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March 11, 2020</w:t>
      </w:r>
    </w:p>
    <w:p>
      <w:pPr>
        <w:spacing w:after="0" w:line="27"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86"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90" w:lineRule="exact"/>
        <w:rPr>
          <w:sz w:val="24"/>
          <w:szCs w:val="24"/>
          <w:color w:val="auto"/>
        </w:rPr>
      </w:pPr>
    </w:p>
    <w:p>
      <w:pPr>
        <w:sectPr>
          <w:pgSz w:w="11900" w:h="16838" w:orient="portrait"/>
          <w:cols w:equalWidth="0" w:num="3">
            <w:col w:w="4680" w:space="720"/>
            <w:col w:w="2940" w:space="720"/>
            <w:col w:w="2180"/>
          </w:cols>
          <w:pgMar w:left="320" w:top="1035"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60" w:space="720"/>
            <w:col w:w="2420"/>
          </w:cols>
          <w:pgMar w:left="320" w:top="1035" w:right="339" w:bottom="1440" w:gutter="0" w:footer="0" w:header="0"/>
          <w:type w:val="continuous"/>
        </w:sectPr>
      </w:pPr>
    </w:p>
    <w:p>
      <w:pPr>
        <w:spacing w:after="0" w:line="223"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One Technology Way,</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Norwood, MA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02062</w:t>
      </w:r>
    </w:p>
    <w:p>
      <w:pPr>
        <w:spacing w:after="0" w:line="90" w:lineRule="exact"/>
        <w:rPr>
          <w:sz w:val="24"/>
          <w:szCs w:val="24"/>
          <w:color w:val="auto"/>
        </w:rPr>
      </w:pPr>
    </w:p>
    <w:p>
      <w:pPr>
        <w:sectPr>
          <w:pgSz w:w="11900" w:h="16838" w:orient="portrait"/>
          <w:cols w:equalWidth="0" w:num="3">
            <w:col w:w="2740" w:space="360"/>
            <w:col w:w="3960" w:space="720"/>
            <w:col w:w="346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6900" w:space="720"/>
            <w:col w:w="362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0"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79"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Trading</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Symbol(s)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7"/>
          <w:szCs w:val="17"/>
          <w:b w:val="1"/>
          <w:bCs w:val="1"/>
          <w:color w:val="auto"/>
        </w:rPr>
        <w:t>on which registered</w:t>
      </w:r>
    </w:p>
    <w:p>
      <w:pPr>
        <w:spacing w:after="0" w:line="60" w:lineRule="exact"/>
        <w:rPr>
          <w:sz w:val="24"/>
          <w:szCs w:val="24"/>
          <w:color w:val="auto"/>
        </w:rPr>
      </w:pPr>
    </w:p>
    <w:p>
      <w:pPr>
        <w:sectPr>
          <w:pgSz w:w="11900" w:h="16838" w:orient="portrait"/>
          <w:cols w:equalWidth="0" w:num="3">
            <w:col w:w="4480" w:space="720"/>
            <w:col w:w="2140" w:space="720"/>
            <w:col w:w="3180"/>
          </w:cols>
          <w:pgMar w:left="320" w:top="1035" w:right="3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22" w:lineRule="exact"/>
        <w:rPr>
          <w:sz w:val="24"/>
          <w:szCs w:val="24"/>
          <w:color w:val="auto"/>
        </w:rPr>
      </w:pPr>
    </w:p>
    <w:p>
      <w:pPr>
        <w:sectPr>
          <w:pgSz w:w="11900" w:h="16838" w:orient="portrait"/>
          <w:cols w:equalWidth="0" w:num="3">
            <w:col w:w="4720" w:space="720"/>
            <w:col w:w="1760" w:space="720"/>
            <w:col w:w="3320"/>
          </w:cols>
          <w:pgMar w:left="320" w:top="1035" w:right="339" w:bottom="1440" w:gutter="0" w:footer="0" w:header="0"/>
          <w:type w:val="continuous"/>
        </w:sectPr>
      </w:pPr>
    </w:p>
    <w:p>
      <w:pPr>
        <w:spacing w:after="0" w:line="187"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ind w:right="26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right="220" w:firstLine="8"/>
        <w:spacing w:after="0" w:line="243" w:lineRule="auto"/>
        <w:tabs>
          <w:tab w:leader="none" w:pos="64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described in Item 5.07 below, on March 11, 2020, Analog Devices, Inc. (the “Company”) held its 2020 Annual Meeting of Shareholders (the “2020 Annual Meeting”). At the 2020 Annual Meeting, the Company’s shareholders approved the Analog Devices, Inc. 2020 Equity Incentive Plan (the “2020 Plan”). The 2020 Plan was adopted by the Company’s Board of Directors (the “Board”) on December 11, 2019, subject to and effective upon the approval of our shareholders.</w:t>
      </w:r>
    </w:p>
    <w:p>
      <w:pPr>
        <w:spacing w:after="0" w:line="215" w:lineRule="exact"/>
        <w:rPr>
          <w:sz w:val="20"/>
          <w:szCs w:val="20"/>
          <w:color w:val="auto"/>
        </w:rPr>
      </w:pPr>
    </w:p>
    <w:p>
      <w:pPr>
        <w:ind w:right="500" w:firstLine="648"/>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The description of the 2020 Plan contained on pages 72-81 of the </w:t>
      </w:r>
      <w:hyperlink r:id="rId11">
        <w:r>
          <w:rPr>
            <w:rFonts w:ascii="Arial" w:cs="Arial" w:eastAsia="Arial" w:hAnsi="Arial"/>
            <w:sz w:val="17"/>
            <w:szCs w:val="17"/>
            <w:u w:val="single" w:color="auto"/>
            <w:color w:val="0000FF"/>
          </w:rPr>
          <w:t>Company’s definitive proxy statement on 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“Proxy Statement”), which was filed with the Securities and Exchange Commission (the “SEC”) on January 24, 2020, is incorporated herein by reference. A complete copy of the 2020 Plan is included as </w:t>
      </w:r>
      <w:hyperlink r:id="rId11">
        <w:r>
          <w:rPr>
            <w:rFonts w:ascii="Arial" w:cs="Arial" w:eastAsia="Arial" w:hAnsi="Arial"/>
            <w:sz w:val="17"/>
            <w:szCs w:val="17"/>
            <w:u w:val="single" w:color="auto"/>
            <w:color w:val="0000FF"/>
          </w:rPr>
          <w:t>Appendix B to the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 is incorporated herein by reference.</w:t>
      </w:r>
    </w:p>
    <w:p>
      <w:pPr>
        <w:spacing w:after="0" w:line="191" w:lineRule="exact"/>
        <w:rPr>
          <w:sz w:val="20"/>
          <w:szCs w:val="20"/>
          <w:color w:val="auto"/>
        </w:rPr>
      </w:pPr>
    </w:p>
    <w:p>
      <w:pPr>
        <w:ind w:right="20" w:firstLine="648"/>
        <w:spacing w:after="0"/>
        <w:rPr>
          <w:sz w:val="20"/>
          <w:szCs w:val="20"/>
          <w:color w:val="auto"/>
        </w:rPr>
      </w:pPr>
      <w:r>
        <w:rPr>
          <w:rFonts w:ascii="Arial" w:cs="Arial" w:eastAsia="Arial" w:hAnsi="Arial"/>
          <w:sz w:val="18"/>
          <w:szCs w:val="18"/>
          <w:color w:val="auto"/>
        </w:rPr>
        <w:t>The Compensation Committee of the Board has approved the following forms of award agreements for grants pursuant to the 2020 Plan: (i) Financial Metric Performance Restricted Stock Unit Agreement for Employees; (ii) Global Non-Qualified Stock Option Agreement for Employees; (iii) Global Restricted Stock Unit Agreement for Employees; (iv) Restricted Stock Unit Agreement for Directors; and (v) Relative Total Shareholder Return Performance Restricted Stock Unit Agreement for Employees. Each of these forms of award agreements were filed as Exhibits 10.1 to 10.5, respectively, to the Company's Quarterly Report on Form 10-Q for the quarter ended February 1, 2020, filed with the SEC on February 19, 2020, and are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r>
        <w:rPr>
          <w:rFonts w:ascii="Arial" w:cs="Arial" w:eastAsia="Arial" w:hAnsi="Arial"/>
          <w:sz w:val="18"/>
          <w:szCs w:val="18"/>
          <w:color w:val="auto"/>
        </w:rPr>
        <w:t>.</w:t>
      </w:r>
    </w:p>
    <w:p>
      <w:pPr>
        <w:spacing w:after="0" w:line="239"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At the 2020 Annual Meeting, the proposals listed below were submitted to a vote of our shareholders. The proposals are described in our Proxy Statement.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ten nominees to our Board of Directors each for a term expiring at the next annual meeting of shareholders.</w:t>
      </w:r>
    </w:p>
    <w:p>
      <w:pPr>
        <w:spacing w:after="0" w:line="23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ten nominees named in the Proxy Statement were elected to serve as directors until our next annual meeting of shareholders. Information as to the vote on each director standing for election is provided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ind w:left="960"/>
              <w:spacing w:after="0"/>
              <w:rPr>
                <w:sz w:val="20"/>
                <w:szCs w:val="20"/>
                <w:color w:val="auto"/>
              </w:rPr>
            </w:pPr>
            <w:r>
              <w:rPr>
                <w:rFonts w:ascii="Arial" w:cs="Arial" w:eastAsia="Arial" w:hAnsi="Arial"/>
                <w:sz w:val="18"/>
                <w:szCs w:val="18"/>
                <w:b w:val="1"/>
                <w:bCs w:val="1"/>
                <w:color w:val="auto"/>
              </w:rPr>
              <w:t>Nominee</w:t>
            </w:r>
          </w:p>
        </w:tc>
        <w:tc>
          <w:tcPr>
            <w:tcW w:w="8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6"/>
              </w:rPr>
              <w:t>Votes For</w:t>
            </w:r>
          </w:p>
        </w:tc>
        <w:tc>
          <w:tcPr>
            <w:tcW w:w="2660" w:type="dxa"/>
            <w:vAlign w:val="bottom"/>
            <w:gridSpan w:val="3"/>
          </w:tcPr>
          <w:p>
            <w:pPr>
              <w:ind w:left="640"/>
              <w:spacing w:after="0"/>
              <w:rPr>
                <w:sz w:val="20"/>
                <w:szCs w:val="20"/>
                <w:color w:val="auto"/>
              </w:rPr>
            </w:pPr>
            <w:r>
              <w:rPr>
                <w:rFonts w:ascii="Arial" w:cs="Arial" w:eastAsia="Arial" w:hAnsi="Arial"/>
                <w:sz w:val="18"/>
                <w:szCs w:val="18"/>
                <w:b w:val="1"/>
                <w:bCs w:val="1"/>
                <w:color w:val="auto"/>
              </w:rPr>
              <w:t>Votes Against</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Votes Abstaining</w:t>
            </w:r>
          </w:p>
        </w:tc>
        <w:tc>
          <w:tcPr>
            <w:tcW w:w="2180" w:type="dxa"/>
            <w:vAlign w:val="bottom"/>
            <w:gridSpan w:val="3"/>
          </w:tcPr>
          <w:p>
            <w:pPr>
              <w:ind w:left="400"/>
              <w:spacing w:after="0"/>
              <w:rPr>
                <w:sz w:val="20"/>
                <w:szCs w:val="20"/>
                <w:color w:val="auto"/>
              </w:rPr>
            </w:pPr>
            <w:r>
              <w:rPr>
                <w:rFonts w:ascii="Arial" w:cs="Arial" w:eastAsia="Arial" w:hAnsi="Arial"/>
                <w:sz w:val="18"/>
                <w:szCs w:val="18"/>
                <w:b w:val="1"/>
                <w:bCs w:val="1"/>
                <w:color w:val="auto"/>
              </w:rPr>
              <w:t>Broker Non-Votes</w:t>
            </w:r>
          </w:p>
        </w:tc>
      </w:tr>
      <w:tr>
        <w:trPr>
          <w:trHeight w:val="48"/>
        </w:trPr>
        <w:tc>
          <w:tcPr>
            <w:tcW w:w="960" w:type="dxa"/>
            <w:vAlign w:val="bottom"/>
            <w:tcBorders>
              <w:bottom w:val="single" w:sz="8" w:color="0094FF"/>
            </w:tcBorders>
          </w:tcPr>
          <w:p>
            <w:pPr>
              <w:spacing w:after="0"/>
              <w:rPr>
                <w:sz w:val="4"/>
                <w:szCs w:val="4"/>
                <w:color w:val="auto"/>
              </w:rPr>
            </w:pPr>
          </w:p>
        </w:tc>
        <w:tc>
          <w:tcPr>
            <w:tcW w:w="680" w:type="dxa"/>
            <w:vAlign w:val="bottom"/>
            <w:tcBorders>
              <w:top w:val="single" w:sz="8" w:color="auto"/>
              <w:bottom w:val="single" w:sz="8" w:color="0094FF"/>
            </w:tcBorders>
          </w:tcPr>
          <w:p>
            <w:pPr>
              <w:spacing w:after="0"/>
              <w:rPr>
                <w:sz w:val="4"/>
                <w:szCs w:val="4"/>
                <w:color w:val="auto"/>
              </w:rPr>
            </w:pPr>
          </w:p>
        </w:tc>
        <w:tc>
          <w:tcPr>
            <w:tcW w:w="860" w:type="dxa"/>
            <w:vAlign w:val="bottom"/>
            <w:tcBorders>
              <w:bottom w:val="single" w:sz="8" w:color="0094FF"/>
            </w:tcBorders>
          </w:tcPr>
          <w:p>
            <w:pPr>
              <w:spacing w:after="0"/>
              <w:rPr>
                <w:sz w:val="4"/>
                <w:szCs w:val="4"/>
                <w:color w:val="auto"/>
              </w:rPr>
            </w:pPr>
          </w:p>
        </w:tc>
        <w:tc>
          <w:tcPr>
            <w:tcW w:w="800" w:type="dxa"/>
            <w:vAlign w:val="bottom"/>
            <w:tcBorders>
              <w:bottom w:val="single" w:sz="8" w:color="0094FF"/>
            </w:tcBorders>
          </w:tcPr>
          <w:p>
            <w:pPr>
              <w:spacing w:after="0"/>
              <w:rPr>
                <w:sz w:val="4"/>
                <w:szCs w:val="4"/>
                <w:color w:val="auto"/>
              </w:rPr>
            </w:pPr>
          </w:p>
        </w:tc>
        <w:tc>
          <w:tcPr>
            <w:tcW w:w="740" w:type="dxa"/>
            <w:vAlign w:val="bottom"/>
            <w:tcBorders>
              <w:top w:val="single" w:sz="8" w:color="auto"/>
              <w:bottom w:val="single" w:sz="8" w:color="0094FF"/>
            </w:tcBorders>
          </w:tcPr>
          <w:p>
            <w:pPr>
              <w:spacing w:after="0"/>
              <w:rPr>
                <w:sz w:val="4"/>
                <w:szCs w:val="4"/>
                <w:color w:val="auto"/>
              </w:rPr>
            </w:pPr>
          </w:p>
        </w:tc>
        <w:tc>
          <w:tcPr>
            <w:tcW w:w="640" w:type="dxa"/>
            <w:vAlign w:val="bottom"/>
            <w:tcBorders>
              <w:bottom w:val="single" w:sz="8" w:color="0094FF"/>
            </w:tcBorders>
          </w:tcPr>
          <w:p>
            <w:pPr>
              <w:spacing w:after="0"/>
              <w:rPr>
                <w:sz w:val="4"/>
                <w:szCs w:val="4"/>
                <w:color w:val="auto"/>
              </w:rPr>
            </w:pPr>
          </w:p>
        </w:tc>
        <w:tc>
          <w:tcPr>
            <w:tcW w:w="640" w:type="dxa"/>
            <w:vAlign w:val="bottom"/>
            <w:tcBorders>
              <w:bottom w:val="single" w:sz="8" w:color="0094FF"/>
            </w:tcBorders>
          </w:tcPr>
          <w:p>
            <w:pPr>
              <w:spacing w:after="0"/>
              <w:rPr>
                <w:sz w:val="4"/>
                <w:szCs w:val="4"/>
                <w:color w:val="auto"/>
              </w:rPr>
            </w:pPr>
          </w:p>
        </w:tc>
        <w:tc>
          <w:tcPr>
            <w:tcW w:w="1040" w:type="dxa"/>
            <w:vAlign w:val="bottom"/>
            <w:tcBorders>
              <w:top w:val="single" w:sz="8" w:color="auto"/>
              <w:bottom w:val="single" w:sz="8" w:color="0094FF"/>
            </w:tcBorders>
          </w:tcPr>
          <w:p>
            <w:pPr>
              <w:spacing w:after="0"/>
              <w:rPr>
                <w:sz w:val="4"/>
                <w:szCs w:val="4"/>
                <w:color w:val="auto"/>
              </w:rPr>
            </w:pPr>
          </w:p>
        </w:tc>
        <w:tc>
          <w:tcPr>
            <w:tcW w:w="980" w:type="dxa"/>
            <w:vAlign w:val="bottom"/>
            <w:tcBorders>
              <w:bottom w:val="single" w:sz="8" w:color="0094FF"/>
            </w:tcBorders>
          </w:tcPr>
          <w:p>
            <w:pPr>
              <w:spacing w:after="0"/>
              <w:rPr>
                <w:sz w:val="4"/>
                <w:szCs w:val="4"/>
                <w:color w:val="auto"/>
              </w:rPr>
            </w:pPr>
          </w:p>
        </w:tc>
        <w:tc>
          <w:tcPr>
            <w:tcW w:w="1300" w:type="dxa"/>
            <w:vAlign w:val="bottom"/>
            <w:tcBorders>
              <w:top w:val="single" w:sz="8" w:color="auto"/>
              <w:bottom w:val="single" w:sz="8" w:color="0094FF"/>
            </w:tcBorders>
          </w:tcPr>
          <w:p>
            <w:pPr>
              <w:spacing w:after="0"/>
              <w:rPr>
                <w:sz w:val="4"/>
                <w:szCs w:val="4"/>
                <w:color w:val="auto"/>
              </w:rPr>
            </w:pPr>
          </w:p>
        </w:tc>
        <w:tc>
          <w:tcPr>
            <w:tcW w:w="400" w:type="dxa"/>
            <w:vAlign w:val="bottom"/>
            <w:tcBorders>
              <w:bottom w:val="single" w:sz="8" w:color="0094FF"/>
            </w:tcBorders>
          </w:tcPr>
          <w:p>
            <w:pPr>
              <w:spacing w:after="0"/>
              <w:rPr>
                <w:sz w:val="4"/>
                <w:szCs w:val="4"/>
                <w:color w:val="auto"/>
              </w:rPr>
            </w:pPr>
          </w:p>
        </w:tc>
        <w:tc>
          <w:tcPr>
            <w:tcW w:w="400" w:type="dxa"/>
            <w:vAlign w:val="bottom"/>
            <w:tcBorders>
              <w:bottom w:val="single" w:sz="8" w:color="0094FF"/>
            </w:tcBorders>
          </w:tcPr>
          <w:p>
            <w:pPr>
              <w:spacing w:after="0"/>
              <w:rPr>
                <w:sz w:val="4"/>
                <w:szCs w:val="4"/>
                <w:color w:val="auto"/>
              </w:rPr>
            </w:pPr>
          </w:p>
        </w:tc>
        <w:tc>
          <w:tcPr>
            <w:tcW w:w="1400" w:type="dxa"/>
            <w:vAlign w:val="bottom"/>
            <w:tcBorders>
              <w:top w:val="single" w:sz="8" w:color="auto"/>
              <w:bottom w:val="single" w:sz="8" w:color="0094FF"/>
            </w:tcBorders>
          </w:tcPr>
          <w:p>
            <w:pPr>
              <w:spacing w:after="0"/>
              <w:rPr>
                <w:sz w:val="4"/>
                <w:szCs w:val="4"/>
                <w:color w:val="auto"/>
              </w:rPr>
            </w:pPr>
          </w:p>
        </w:tc>
        <w:tc>
          <w:tcPr>
            <w:tcW w:w="380" w:type="dxa"/>
            <w:vAlign w:val="bottom"/>
            <w:tcBorders>
              <w:bottom w:val="single" w:sz="8" w:color="0094FF"/>
            </w:tcBorders>
          </w:tcPr>
          <w:p>
            <w:pPr>
              <w:spacing w:after="0"/>
              <w:rPr>
                <w:sz w:val="4"/>
                <w:szCs w:val="4"/>
                <w:color w:val="auto"/>
              </w:rPr>
            </w:pPr>
          </w:p>
        </w:tc>
      </w:tr>
      <w:tr>
        <w:trPr>
          <w:trHeight w:val="243"/>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Ray Stata</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302,695,469</w:t>
            </w:r>
          </w:p>
        </w:tc>
        <w:tc>
          <w:tcPr>
            <w:tcW w:w="1680" w:type="dxa"/>
            <w:vAlign w:val="bottom"/>
            <w:tcBorders>
              <w:bottom w:val="single" w:sz="8" w:color="CCEEFF"/>
            </w:tcBorders>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9"/>
              </w:rPr>
              <w:t>6,740,895</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6"/>
              </w:rPr>
              <w:t>110,111</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Vincent Roche</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305,740,148</w:t>
            </w:r>
          </w:p>
        </w:tc>
        <w:tc>
          <w:tcPr>
            <w:tcW w:w="168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3,691,803</w:t>
            </w:r>
          </w:p>
        </w:tc>
        <w:tc>
          <w:tcPr>
            <w:tcW w:w="98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114,524</w:t>
            </w:r>
          </w:p>
        </w:tc>
        <w:tc>
          <w:tcPr>
            <w:tcW w:w="40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James A. Champy</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296,257,698</w:t>
            </w:r>
          </w:p>
        </w:tc>
        <w:tc>
          <w:tcPr>
            <w:tcW w:w="168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13,162,238</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126,539</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Anantha P. Chandrakasan</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273,257,464</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90"/>
              </w:rPr>
              <w:t>36,162,022</w:t>
            </w:r>
          </w:p>
        </w:tc>
        <w:tc>
          <w:tcPr>
            <w:tcW w:w="98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126,989</w:t>
            </w:r>
          </w:p>
        </w:tc>
        <w:tc>
          <w:tcPr>
            <w:tcW w:w="40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Bruce R. Evans</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308,846,472</w:t>
            </w:r>
          </w:p>
        </w:tc>
        <w:tc>
          <w:tcPr>
            <w:tcW w:w="168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573,350</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126,653</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Edward H. Frank</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306,511,566</w:t>
            </w:r>
          </w:p>
        </w:tc>
        <w:tc>
          <w:tcPr>
            <w:tcW w:w="168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2,909,049</w:t>
            </w:r>
          </w:p>
        </w:tc>
        <w:tc>
          <w:tcPr>
            <w:tcW w:w="98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125,860</w:t>
            </w:r>
          </w:p>
        </w:tc>
        <w:tc>
          <w:tcPr>
            <w:tcW w:w="40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Karen M. Golz</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309,047,322</w:t>
            </w:r>
          </w:p>
        </w:tc>
        <w:tc>
          <w:tcPr>
            <w:tcW w:w="168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380,722</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118,431</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Mark M. Little</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308,463,637</w:t>
            </w:r>
          </w:p>
        </w:tc>
        <w:tc>
          <w:tcPr>
            <w:tcW w:w="16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953,354</w:t>
            </w:r>
          </w:p>
        </w:tc>
        <w:tc>
          <w:tcPr>
            <w:tcW w:w="98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129,484</w:t>
            </w:r>
          </w:p>
        </w:tc>
        <w:tc>
          <w:tcPr>
            <w:tcW w:w="40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Pr>
          <w:p>
            <w:pPr>
              <w:spacing w:after="0"/>
              <w:rPr>
                <w:sz w:val="21"/>
                <w:szCs w:val="21"/>
                <w:color w:val="auto"/>
              </w:rPr>
            </w:pPr>
          </w:p>
        </w:tc>
      </w:tr>
      <w:tr>
        <w:trPr>
          <w:trHeight w:val="27"/>
        </w:trPr>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Kenton J. Sicchitano</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299,413,753</w:t>
            </w:r>
          </w:p>
        </w:tc>
        <w:tc>
          <w:tcPr>
            <w:tcW w:w="168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0"/>
              </w:rPr>
              <w:t>10,000,378</w:t>
            </w:r>
          </w:p>
        </w:tc>
        <w:tc>
          <w:tcPr>
            <w:tcW w:w="9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132,344</w:t>
            </w:r>
          </w:p>
        </w:tc>
        <w:tc>
          <w:tcPr>
            <w:tcW w:w="4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Susie Wee</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308,294,588</w:t>
            </w:r>
          </w:p>
        </w:tc>
        <w:tc>
          <w:tcPr>
            <w:tcW w:w="168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1,132,449</w:t>
            </w:r>
          </w:p>
        </w:tc>
        <w:tc>
          <w:tcPr>
            <w:tcW w:w="98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color w:val="auto"/>
                <w:w w:val="89"/>
              </w:rPr>
              <w:t>119,438</w:t>
            </w:r>
          </w:p>
        </w:tc>
        <w:tc>
          <w:tcPr>
            <w:tcW w:w="400" w:type="dxa"/>
            <w:vAlign w:val="bottom"/>
          </w:tcPr>
          <w:p>
            <w:pPr>
              <w:spacing w:after="0"/>
              <w:rPr>
                <w:sz w:val="21"/>
                <w:szCs w:val="21"/>
                <w:color w:val="auto"/>
              </w:rPr>
            </w:pPr>
          </w:p>
        </w:tc>
        <w:tc>
          <w:tcPr>
            <w:tcW w:w="1800" w:type="dxa"/>
            <w:vAlign w:val="bottom"/>
            <w:gridSpan w:val="2"/>
          </w:tcPr>
          <w:p>
            <w:pPr>
              <w:jc w:val="right"/>
              <w:ind w:right="360"/>
              <w:spacing w:after="0"/>
              <w:rPr>
                <w:sz w:val="20"/>
                <w:szCs w:val="20"/>
                <w:color w:val="auto"/>
              </w:rPr>
            </w:pPr>
            <w:r>
              <w:rPr>
                <w:rFonts w:ascii="Arial" w:cs="Arial" w:eastAsia="Arial" w:hAnsi="Arial"/>
                <w:sz w:val="18"/>
                <w:szCs w:val="18"/>
                <w:color w:val="auto"/>
              </w:rPr>
              <w:t>20,548,812</w:t>
            </w:r>
          </w:p>
        </w:tc>
        <w:tc>
          <w:tcPr>
            <w:tcW w:w="380" w:type="dxa"/>
            <w:vAlign w:val="bottom"/>
          </w:tcPr>
          <w:p>
            <w:pPr>
              <w:spacing w:after="0"/>
              <w:rPr>
                <w:sz w:val="21"/>
                <w:szCs w:val="21"/>
                <w:color w:val="auto"/>
              </w:rPr>
            </w:pPr>
          </w:p>
        </w:tc>
      </w:tr>
      <w:tr>
        <w:trPr>
          <w:trHeight w:val="27"/>
        </w:trPr>
        <w:tc>
          <w:tcPr>
            <w:tcW w:w="960" w:type="dxa"/>
            <w:vAlign w:val="bottom"/>
            <w:tcBorders>
              <w:bottom w:val="single" w:sz="8" w:color="0094FF"/>
            </w:tcBorders>
          </w:tcPr>
          <w:p>
            <w:pPr>
              <w:spacing w:after="0"/>
              <w:rPr>
                <w:sz w:val="2"/>
                <w:szCs w:val="2"/>
                <w:color w:val="auto"/>
              </w:rPr>
            </w:pPr>
          </w:p>
        </w:tc>
        <w:tc>
          <w:tcPr>
            <w:tcW w:w="680" w:type="dxa"/>
            <w:vAlign w:val="bottom"/>
            <w:tcBorders>
              <w:bottom w:val="single" w:sz="8" w:color="0094FF"/>
            </w:tcBorders>
          </w:tcPr>
          <w:p>
            <w:pPr>
              <w:spacing w:after="0"/>
              <w:rPr>
                <w:sz w:val="2"/>
                <w:szCs w:val="2"/>
                <w:color w:val="auto"/>
              </w:rPr>
            </w:pPr>
          </w:p>
        </w:tc>
        <w:tc>
          <w:tcPr>
            <w:tcW w:w="860" w:type="dxa"/>
            <w:vAlign w:val="bottom"/>
            <w:tcBorders>
              <w:bottom w:val="single" w:sz="8" w:color="0094FF"/>
            </w:tcBorders>
          </w:tcPr>
          <w:p>
            <w:pPr>
              <w:spacing w:after="0"/>
              <w:rPr>
                <w:sz w:val="2"/>
                <w:szCs w:val="2"/>
                <w:color w:val="auto"/>
              </w:rPr>
            </w:pPr>
          </w:p>
        </w:tc>
        <w:tc>
          <w:tcPr>
            <w:tcW w:w="800" w:type="dxa"/>
            <w:vAlign w:val="bottom"/>
            <w:tcBorders>
              <w:bottom w:val="single" w:sz="8" w:color="0094FF"/>
            </w:tcBorders>
          </w:tcPr>
          <w:p>
            <w:pPr>
              <w:spacing w:after="0"/>
              <w:rPr>
                <w:sz w:val="2"/>
                <w:szCs w:val="2"/>
                <w:color w:val="auto"/>
              </w:rPr>
            </w:pPr>
          </w:p>
        </w:tc>
        <w:tc>
          <w:tcPr>
            <w:tcW w:w="740" w:type="dxa"/>
            <w:vAlign w:val="bottom"/>
            <w:tcBorders>
              <w:bottom w:val="single" w:sz="8" w:color="0094FF"/>
            </w:tcBorders>
          </w:tcPr>
          <w:p>
            <w:pPr>
              <w:spacing w:after="0"/>
              <w:rPr>
                <w:sz w:val="2"/>
                <w:szCs w:val="2"/>
                <w:color w:val="auto"/>
              </w:rPr>
            </w:pPr>
          </w:p>
        </w:tc>
        <w:tc>
          <w:tcPr>
            <w:tcW w:w="640" w:type="dxa"/>
            <w:vAlign w:val="bottom"/>
            <w:tcBorders>
              <w:bottom w:val="single" w:sz="8" w:color="0094FF"/>
            </w:tcBorders>
          </w:tcPr>
          <w:p>
            <w:pPr>
              <w:spacing w:after="0"/>
              <w:rPr>
                <w:sz w:val="2"/>
                <w:szCs w:val="2"/>
                <w:color w:val="auto"/>
              </w:rPr>
            </w:pPr>
          </w:p>
        </w:tc>
        <w:tc>
          <w:tcPr>
            <w:tcW w:w="640" w:type="dxa"/>
            <w:vAlign w:val="bottom"/>
            <w:tcBorders>
              <w:bottom w:val="single" w:sz="8" w:color="0094FF"/>
            </w:tcBorders>
          </w:tcPr>
          <w:p>
            <w:pPr>
              <w:spacing w:after="0"/>
              <w:rPr>
                <w:sz w:val="2"/>
                <w:szCs w:val="2"/>
                <w:color w:val="auto"/>
              </w:rPr>
            </w:pPr>
          </w:p>
        </w:tc>
        <w:tc>
          <w:tcPr>
            <w:tcW w:w="1040" w:type="dxa"/>
            <w:vAlign w:val="bottom"/>
            <w:tcBorders>
              <w:bottom w:val="single" w:sz="8" w:color="0094FF"/>
            </w:tcBorders>
          </w:tcPr>
          <w:p>
            <w:pPr>
              <w:spacing w:after="0"/>
              <w:rPr>
                <w:sz w:val="2"/>
                <w:szCs w:val="2"/>
                <w:color w:val="auto"/>
              </w:rPr>
            </w:pPr>
          </w:p>
        </w:tc>
        <w:tc>
          <w:tcPr>
            <w:tcW w:w="980" w:type="dxa"/>
            <w:vAlign w:val="bottom"/>
            <w:tcBorders>
              <w:bottom w:val="single" w:sz="8" w:color="0094FF"/>
            </w:tcBorders>
          </w:tcPr>
          <w:p>
            <w:pPr>
              <w:spacing w:after="0"/>
              <w:rPr>
                <w:sz w:val="2"/>
                <w:szCs w:val="2"/>
                <w:color w:val="auto"/>
              </w:rPr>
            </w:pPr>
          </w:p>
        </w:tc>
        <w:tc>
          <w:tcPr>
            <w:tcW w:w="1300" w:type="dxa"/>
            <w:vAlign w:val="bottom"/>
            <w:tcBorders>
              <w:bottom w:val="single" w:sz="8" w:color="0094FF"/>
            </w:tcBorders>
          </w:tcPr>
          <w:p>
            <w:pPr>
              <w:spacing w:after="0"/>
              <w:rPr>
                <w:sz w:val="2"/>
                <w:szCs w:val="2"/>
                <w:color w:val="auto"/>
              </w:rPr>
            </w:pPr>
          </w:p>
        </w:tc>
        <w:tc>
          <w:tcPr>
            <w:tcW w:w="400" w:type="dxa"/>
            <w:vAlign w:val="bottom"/>
            <w:tcBorders>
              <w:bottom w:val="single" w:sz="8" w:color="0094FF"/>
            </w:tcBorders>
          </w:tcPr>
          <w:p>
            <w:pPr>
              <w:spacing w:after="0"/>
              <w:rPr>
                <w:sz w:val="2"/>
                <w:szCs w:val="2"/>
                <w:color w:val="auto"/>
              </w:rPr>
            </w:pPr>
          </w:p>
        </w:tc>
        <w:tc>
          <w:tcPr>
            <w:tcW w:w="400" w:type="dxa"/>
            <w:vAlign w:val="bottom"/>
            <w:tcBorders>
              <w:bottom w:val="single" w:sz="8" w:color="0094FF"/>
            </w:tcBorders>
          </w:tcPr>
          <w:p>
            <w:pPr>
              <w:spacing w:after="0"/>
              <w:rPr>
                <w:sz w:val="2"/>
                <w:szCs w:val="2"/>
                <w:color w:val="auto"/>
              </w:rPr>
            </w:pPr>
          </w:p>
        </w:tc>
        <w:tc>
          <w:tcPr>
            <w:tcW w:w="1400" w:type="dxa"/>
            <w:vAlign w:val="bottom"/>
            <w:tcBorders>
              <w:bottom w:val="single" w:sz="8" w:color="0094FF"/>
            </w:tcBorders>
          </w:tcPr>
          <w:p>
            <w:pPr>
              <w:spacing w:after="0"/>
              <w:rPr>
                <w:sz w:val="2"/>
                <w:szCs w:val="2"/>
                <w:color w:val="auto"/>
              </w:rPr>
            </w:pPr>
          </w:p>
        </w:tc>
        <w:tc>
          <w:tcPr>
            <w:tcW w:w="380" w:type="dxa"/>
            <w:vAlign w:val="bottom"/>
            <w:tcBorders>
              <w:bottom w:val="single" w:sz="8" w:color="0094FF"/>
            </w:tcBorders>
          </w:tcPr>
          <w:p>
            <w:pPr>
              <w:spacing w:after="0"/>
              <w:rPr>
                <w:sz w:val="2"/>
                <w:szCs w:val="2"/>
                <w:color w:val="auto"/>
              </w:rPr>
            </w:pPr>
          </w:p>
        </w:tc>
      </w:tr>
    </w:tbl>
    <w:p>
      <w:pPr>
        <w:spacing w:after="0" w:line="229" w:lineRule="exact"/>
        <w:rPr>
          <w:sz w:val="20"/>
          <w:szCs w:val="20"/>
          <w:color w:val="auto"/>
        </w:rPr>
      </w:pPr>
    </w:p>
    <w:p>
      <w:pPr>
        <w:jc w:val="both"/>
        <w:ind w:right="420"/>
        <w:spacing w:after="0" w:line="261" w:lineRule="auto"/>
        <w:rPr>
          <w:sz w:val="20"/>
          <w:szCs w:val="20"/>
          <w:color w:val="auto"/>
        </w:rPr>
      </w:pPr>
      <w:r>
        <w:rPr>
          <w:rFonts w:ascii="Arial" w:cs="Arial" w:eastAsia="Arial" w:hAnsi="Arial"/>
          <w:sz w:val="18"/>
          <w:szCs w:val="18"/>
          <w:i w:val="1"/>
          <w:iCs w:val="1"/>
          <w:u w:val="single" w:color="auto"/>
          <w:color w:val="auto"/>
        </w:rPr>
        <w:t>Proposal 2 – The approval of the compensation of our named executive officers, as described in the Compensation Discussion and Analysis, executive compensation tables and accompanying narrative disclosure in our Proxy Statement.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shareholders approved, on an advisory basis, the compensation of our named executive officers. The voting results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w w:val="86"/>
              </w:rPr>
              <w:t>Votes For</w:t>
            </w:r>
          </w:p>
        </w:tc>
        <w:tc>
          <w:tcPr>
            <w:tcW w:w="3640" w:type="dxa"/>
            <w:vAlign w:val="bottom"/>
            <w:gridSpan w:val="3"/>
          </w:tcPr>
          <w:p>
            <w:pPr>
              <w:ind w:left="960"/>
              <w:spacing w:after="0"/>
              <w:rPr>
                <w:sz w:val="20"/>
                <w:szCs w:val="20"/>
                <w:color w:val="auto"/>
              </w:rPr>
            </w:pPr>
            <w:r>
              <w:rPr>
                <w:rFonts w:ascii="Arial" w:cs="Arial" w:eastAsia="Arial" w:hAnsi="Arial"/>
                <w:sz w:val="18"/>
                <w:szCs w:val="18"/>
                <w:b w:val="1"/>
                <w:bCs w:val="1"/>
                <w:color w:val="auto"/>
              </w:rPr>
              <w:t>Votes Against</w:t>
            </w: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Votes Abstaining</w:t>
            </w:r>
          </w:p>
        </w:tc>
        <w:tc>
          <w:tcPr>
            <w:tcW w:w="2820" w:type="dxa"/>
            <w:vAlign w:val="bottom"/>
            <w:gridSpan w:val="3"/>
          </w:tcPr>
          <w:p>
            <w:pPr>
              <w:ind w:left="740"/>
              <w:spacing w:after="0"/>
              <w:rPr>
                <w:sz w:val="20"/>
                <w:szCs w:val="20"/>
                <w:color w:val="auto"/>
              </w:rPr>
            </w:pPr>
            <w:r>
              <w:rPr>
                <w:rFonts w:ascii="Arial" w:cs="Arial" w:eastAsia="Arial" w:hAnsi="Arial"/>
                <w:sz w:val="18"/>
                <w:szCs w:val="18"/>
                <w:b w:val="1"/>
                <w:bCs w:val="1"/>
                <w:color w:val="auto"/>
              </w:rPr>
              <w:t>Broker Non-Votes</w:t>
            </w:r>
          </w:p>
        </w:tc>
      </w:tr>
      <w:tr>
        <w:trPr>
          <w:trHeight w:val="48"/>
        </w:trPr>
        <w:tc>
          <w:tcPr>
            <w:tcW w:w="1060" w:type="dxa"/>
            <w:vAlign w:val="bottom"/>
            <w:tcBorders>
              <w:bottom w:val="single" w:sz="8" w:color="0094FF"/>
            </w:tcBorders>
          </w:tcPr>
          <w:p>
            <w:pPr>
              <w:spacing w:after="0"/>
              <w:rPr>
                <w:sz w:val="4"/>
                <w:szCs w:val="4"/>
                <w:color w:val="auto"/>
              </w:rPr>
            </w:pPr>
          </w:p>
        </w:tc>
        <w:tc>
          <w:tcPr>
            <w:tcW w:w="740" w:type="dxa"/>
            <w:vAlign w:val="bottom"/>
            <w:tcBorders>
              <w:top w:val="single" w:sz="8" w:color="auto"/>
              <w:bottom w:val="single" w:sz="8" w:color="0094FF"/>
            </w:tcBorders>
          </w:tcPr>
          <w:p>
            <w:pPr>
              <w:spacing w:after="0"/>
              <w:rPr>
                <w:sz w:val="4"/>
                <w:szCs w:val="4"/>
                <w:color w:val="auto"/>
              </w:rPr>
            </w:pPr>
          </w:p>
        </w:tc>
        <w:tc>
          <w:tcPr>
            <w:tcW w:w="960" w:type="dxa"/>
            <w:vAlign w:val="bottom"/>
            <w:tcBorders>
              <w:bottom w:val="single" w:sz="8" w:color="0094FF"/>
            </w:tcBorders>
          </w:tcPr>
          <w:p>
            <w:pPr>
              <w:spacing w:after="0"/>
              <w:rPr>
                <w:sz w:val="4"/>
                <w:szCs w:val="4"/>
                <w:color w:val="auto"/>
              </w:rPr>
            </w:pPr>
          </w:p>
        </w:tc>
        <w:tc>
          <w:tcPr>
            <w:tcW w:w="960" w:type="dxa"/>
            <w:vAlign w:val="bottom"/>
            <w:tcBorders>
              <w:bottom w:val="single" w:sz="8" w:color="0094FF"/>
            </w:tcBorders>
          </w:tcPr>
          <w:p>
            <w:pPr>
              <w:spacing w:after="0"/>
              <w:rPr>
                <w:sz w:val="4"/>
                <w:szCs w:val="4"/>
                <w:color w:val="auto"/>
              </w:rPr>
            </w:pPr>
          </w:p>
        </w:tc>
        <w:tc>
          <w:tcPr>
            <w:tcW w:w="1060" w:type="dxa"/>
            <w:vAlign w:val="bottom"/>
            <w:tcBorders>
              <w:top w:val="single" w:sz="8" w:color="auto"/>
              <w:bottom w:val="single" w:sz="8" w:color="0094FF"/>
            </w:tcBorders>
          </w:tcPr>
          <w:p>
            <w:pPr>
              <w:spacing w:after="0"/>
              <w:rPr>
                <w:sz w:val="4"/>
                <w:szCs w:val="4"/>
                <w:color w:val="auto"/>
              </w:rPr>
            </w:pPr>
          </w:p>
        </w:tc>
        <w:tc>
          <w:tcPr>
            <w:tcW w:w="1620" w:type="dxa"/>
            <w:vAlign w:val="bottom"/>
            <w:tcBorders>
              <w:bottom w:val="single" w:sz="8" w:color="0094FF"/>
            </w:tcBorders>
          </w:tcPr>
          <w:p>
            <w:pPr>
              <w:spacing w:after="0"/>
              <w:rPr>
                <w:sz w:val="4"/>
                <w:szCs w:val="4"/>
                <w:color w:val="auto"/>
              </w:rPr>
            </w:pPr>
          </w:p>
        </w:tc>
        <w:tc>
          <w:tcPr>
            <w:tcW w:w="1300" w:type="dxa"/>
            <w:vAlign w:val="bottom"/>
            <w:tcBorders>
              <w:top w:val="single" w:sz="8" w:color="auto"/>
              <w:bottom w:val="single" w:sz="8" w:color="0094FF"/>
            </w:tcBorders>
          </w:tcPr>
          <w:p>
            <w:pPr>
              <w:spacing w:after="0"/>
              <w:rPr>
                <w:sz w:val="4"/>
                <w:szCs w:val="4"/>
                <w:color w:val="auto"/>
              </w:rPr>
            </w:pPr>
          </w:p>
        </w:tc>
        <w:tc>
          <w:tcPr>
            <w:tcW w:w="720" w:type="dxa"/>
            <w:vAlign w:val="bottom"/>
            <w:tcBorders>
              <w:bottom w:val="single" w:sz="8" w:color="0094FF"/>
            </w:tcBorders>
          </w:tcPr>
          <w:p>
            <w:pPr>
              <w:spacing w:after="0"/>
              <w:rPr>
                <w:sz w:val="4"/>
                <w:szCs w:val="4"/>
                <w:color w:val="auto"/>
              </w:rPr>
            </w:pPr>
          </w:p>
        </w:tc>
        <w:tc>
          <w:tcPr>
            <w:tcW w:w="740" w:type="dxa"/>
            <w:vAlign w:val="bottom"/>
            <w:tcBorders>
              <w:bottom w:val="single" w:sz="8" w:color="0094FF"/>
            </w:tcBorders>
          </w:tcPr>
          <w:p>
            <w:pPr>
              <w:spacing w:after="0"/>
              <w:rPr>
                <w:sz w:val="4"/>
                <w:szCs w:val="4"/>
                <w:color w:val="auto"/>
              </w:rPr>
            </w:pPr>
          </w:p>
        </w:tc>
        <w:tc>
          <w:tcPr>
            <w:tcW w:w="1380" w:type="dxa"/>
            <w:vAlign w:val="bottom"/>
            <w:tcBorders>
              <w:top w:val="single" w:sz="8" w:color="auto"/>
              <w:bottom w:val="single" w:sz="8" w:color="0094FF"/>
            </w:tcBorders>
          </w:tcPr>
          <w:p>
            <w:pPr>
              <w:spacing w:after="0"/>
              <w:rPr>
                <w:sz w:val="4"/>
                <w:szCs w:val="4"/>
                <w:color w:val="auto"/>
              </w:rPr>
            </w:pPr>
          </w:p>
        </w:tc>
        <w:tc>
          <w:tcPr>
            <w:tcW w:w="700" w:type="dxa"/>
            <w:vAlign w:val="bottom"/>
            <w:tcBorders>
              <w:bottom w:val="single" w:sz="8" w:color="0094FF"/>
            </w:tcBorders>
          </w:tcPr>
          <w:p>
            <w:pPr>
              <w:spacing w:after="0"/>
              <w:rPr>
                <w:sz w:val="4"/>
                <w:szCs w:val="4"/>
                <w:color w:val="auto"/>
              </w:rPr>
            </w:pPr>
          </w:p>
        </w:tc>
      </w:tr>
      <w:tr>
        <w:trPr>
          <w:trHeight w:val="269"/>
        </w:trPr>
        <w:tc>
          <w:tcPr>
            <w:tcW w:w="2760" w:type="dxa"/>
            <w:vAlign w:val="bottom"/>
            <w:tcBorders>
              <w:bottom w:val="single" w:sz="8" w:color="CCEEFF"/>
            </w:tcBorders>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296,365,365</w:t>
            </w: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12,747,685</w:t>
            </w:r>
          </w:p>
        </w:tc>
        <w:tc>
          <w:tcPr>
            <w:tcW w:w="16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433,425</w:t>
            </w:r>
          </w:p>
        </w:tc>
        <w:tc>
          <w:tcPr>
            <w:tcW w:w="7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700" w:type="dxa"/>
            <w:vAlign w:val="bottom"/>
            <w:tcBorders>
              <w:bottom w:val="single" w:sz="8" w:color="CCEEFF"/>
            </w:tcBorders>
            <w:shd w:val="clear" w:color="auto" w:fill="CCEEFF"/>
          </w:tcPr>
          <w:p>
            <w:pPr>
              <w:spacing w:after="0"/>
              <w:rPr>
                <w:sz w:val="22"/>
                <w:szCs w:val="22"/>
                <w:color w:val="auto"/>
              </w:rPr>
            </w:pPr>
          </w:p>
        </w:tc>
      </w:tr>
      <w:tr>
        <w:trPr>
          <w:trHeight w:val="1364"/>
        </w:trPr>
        <w:tc>
          <w:tcPr>
            <w:tcW w:w="1060" w:type="dxa"/>
            <w:vAlign w:val="bottom"/>
            <w:tcBorders>
              <w:top w:val="single" w:sz="8" w:color="0094FF"/>
              <w:bottom w:val="single" w:sz="8" w:color="9A9A9A"/>
            </w:tcBorders>
          </w:tcPr>
          <w:p>
            <w:pPr>
              <w:spacing w:after="0"/>
              <w:rPr>
                <w:sz w:val="24"/>
                <w:szCs w:val="24"/>
                <w:color w:val="auto"/>
              </w:rPr>
            </w:pPr>
          </w:p>
        </w:tc>
        <w:tc>
          <w:tcPr>
            <w:tcW w:w="740" w:type="dxa"/>
            <w:vAlign w:val="bottom"/>
            <w:tcBorders>
              <w:top w:val="single" w:sz="8" w:color="0094FF"/>
              <w:bottom w:val="single" w:sz="8" w:color="9A9A9A"/>
            </w:tcBorders>
          </w:tcPr>
          <w:p>
            <w:pPr>
              <w:spacing w:after="0"/>
              <w:rPr>
                <w:sz w:val="24"/>
                <w:szCs w:val="24"/>
                <w:color w:val="auto"/>
              </w:rPr>
            </w:pPr>
          </w:p>
        </w:tc>
        <w:tc>
          <w:tcPr>
            <w:tcW w:w="960" w:type="dxa"/>
            <w:vAlign w:val="bottom"/>
            <w:tcBorders>
              <w:top w:val="single" w:sz="8" w:color="0094FF"/>
              <w:bottom w:val="single" w:sz="8" w:color="9A9A9A"/>
            </w:tcBorders>
          </w:tcPr>
          <w:p>
            <w:pPr>
              <w:spacing w:after="0"/>
              <w:rPr>
                <w:sz w:val="24"/>
                <w:szCs w:val="24"/>
                <w:color w:val="auto"/>
              </w:rPr>
            </w:pPr>
          </w:p>
        </w:tc>
        <w:tc>
          <w:tcPr>
            <w:tcW w:w="960" w:type="dxa"/>
            <w:vAlign w:val="bottom"/>
            <w:tcBorders>
              <w:top w:val="single" w:sz="8" w:color="0094FF"/>
              <w:bottom w:val="single" w:sz="8" w:color="9A9A9A"/>
            </w:tcBorders>
          </w:tcPr>
          <w:p>
            <w:pPr>
              <w:spacing w:after="0"/>
              <w:rPr>
                <w:sz w:val="24"/>
                <w:szCs w:val="24"/>
                <w:color w:val="auto"/>
              </w:rPr>
            </w:pPr>
          </w:p>
        </w:tc>
        <w:tc>
          <w:tcPr>
            <w:tcW w:w="1060" w:type="dxa"/>
            <w:vAlign w:val="bottom"/>
            <w:tcBorders>
              <w:top w:val="single" w:sz="8" w:color="0094FF"/>
              <w:bottom w:val="single" w:sz="8" w:color="9A9A9A"/>
            </w:tcBorders>
          </w:tcPr>
          <w:p>
            <w:pPr>
              <w:spacing w:after="0"/>
              <w:rPr>
                <w:sz w:val="24"/>
                <w:szCs w:val="24"/>
                <w:color w:val="auto"/>
              </w:rPr>
            </w:pPr>
          </w:p>
        </w:tc>
        <w:tc>
          <w:tcPr>
            <w:tcW w:w="1620" w:type="dxa"/>
            <w:vAlign w:val="bottom"/>
            <w:tcBorders>
              <w:top w:val="single" w:sz="8" w:color="0094FF"/>
              <w:bottom w:val="single" w:sz="8" w:color="9A9A9A"/>
            </w:tcBorders>
          </w:tcPr>
          <w:p>
            <w:pPr>
              <w:spacing w:after="0"/>
              <w:rPr>
                <w:sz w:val="24"/>
                <w:szCs w:val="24"/>
                <w:color w:val="auto"/>
              </w:rPr>
            </w:pPr>
          </w:p>
        </w:tc>
        <w:tc>
          <w:tcPr>
            <w:tcW w:w="1300" w:type="dxa"/>
            <w:vAlign w:val="bottom"/>
            <w:tcBorders>
              <w:top w:val="single" w:sz="8" w:color="0094FF"/>
              <w:bottom w:val="single" w:sz="8" w:color="9A9A9A"/>
            </w:tcBorders>
          </w:tcPr>
          <w:p>
            <w:pPr>
              <w:spacing w:after="0"/>
              <w:rPr>
                <w:sz w:val="24"/>
                <w:szCs w:val="24"/>
                <w:color w:val="auto"/>
              </w:rPr>
            </w:pPr>
          </w:p>
        </w:tc>
        <w:tc>
          <w:tcPr>
            <w:tcW w:w="720" w:type="dxa"/>
            <w:vAlign w:val="bottom"/>
            <w:tcBorders>
              <w:top w:val="single" w:sz="8" w:color="0094FF"/>
              <w:bottom w:val="single" w:sz="8" w:color="9A9A9A"/>
            </w:tcBorders>
          </w:tcPr>
          <w:p>
            <w:pPr>
              <w:spacing w:after="0"/>
              <w:rPr>
                <w:sz w:val="24"/>
                <w:szCs w:val="24"/>
                <w:color w:val="auto"/>
              </w:rPr>
            </w:pPr>
          </w:p>
        </w:tc>
        <w:tc>
          <w:tcPr>
            <w:tcW w:w="740" w:type="dxa"/>
            <w:vAlign w:val="bottom"/>
            <w:tcBorders>
              <w:top w:val="single" w:sz="8" w:color="0094FF"/>
              <w:bottom w:val="single" w:sz="8" w:color="9A9A9A"/>
            </w:tcBorders>
          </w:tcPr>
          <w:p>
            <w:pPr>
              <w:spacing w:after="0"/>
              <w:rPr>
                <w:sz w:val="24"/>
                <w:szCs w:val="24"/>
                <w:color w:val="auto"/>
              </w:rPr>
            </w:pPr>
          </w:p>
        </w:tc>
        <w:tc>
          <w:tcPr>
            <w:tcW w:w="1380" w:type="dxa"/>
            <w:vAlign w:val="bottom"/>
            <w:tcBorders>
              <w:top w:val="single" w:sz="8" w:color="0094FF"/>
              <w:bottom w:val="single" w:sz="8" w:color="9A9A9A"/>
            </w:tcBorders>
          </w:tcPr>
          <w:p>
            <w:pPr>
              <w:spacing w:after="0"/>
              <w:rPr>
                <w:sz w:val="24"/>
                <w:szCs w:val="24"/>
                <w:color w:val="auto"/>
              </w:rPr>
            </w:pPr>
          </w:p>
        </w:tc>
        <w:tc>
          <w:tcPr>
            <w:tcW w:w="700" w:type="dxa"/>
            <w:vAlign w:val="bottom"/>
            <w:tcBorders>
              <w:top w:val="single" w:sz="8" w:color="0094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u w:val="single" w:color="auto"/>
          <w:color w:val="auto"/>
        </w:rPr>
        <w:t>Proposal 3 – The approval of our 2020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shareholders approved our 2020 Plan. The voting results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17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w w:val="86"/>
              </w:rPr>
              <w:t>Votes For</w:t>
            </w:r>
          </w:p>
        </w:tc>
        <w:tc>
          <w:tcPr>
            <w:tcW w:w="3640" w:type="dxa"/>
            <w:vAlign w:val="bottom"/>
            <w:gridSpan w:val="3"/>
          </w:tcPr>
          <w:p>
            <w:pPr>
              <w:ind w:left="960"/>
              <w:spacing w:after="0"/>
              <w:rPr>
                <w:sz w:val="20"/>
                <w:szCs w:val="20"/>
                <w:color w:val="auto"/>
              </w:rPr>
            </w:pPr>
            <w:r>
              <w:rPr>
                <w:rFonts w:ascii="Arial" w:cs="Arial" w:eastAsia="Arial" w:hAnsi="Arial"/>
                <w:sz w:val="18"/>
                <w:szCs w:val="18"/>
                <w:b w:val="1"/>
                <w:bCs w:val="1"/>
                <w:color w:val="auto"/>
              </w:rPr>
              <w:t>Votes Against</w:t>
            </w: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Votes Abstaining</w:t>
            </w:r>
          </w:p>
        </w:tc>
        <w:tc>
          <w:tcPr>
            <w:tcW w:w="2820" w:type="dxa"/>
            <w:vAlign w:val="bottom"/>
            <w:gridSpan w:val="3"/>
          </w:tcPr>
          <w:p>
            <w:pPr>
              <w:ind w:left="740"/>
              <w:spacing w:after="0"/>
              <w:rPr>
                <w:sz w:val="20"/>
                <w:szCs w:val="20"/>
                <w:color w:val="auto"/>
              </w:rPr>
            </w:pPr>
            <w:r>
              <w:rPr>
                <w:rFonts w:ascii="Arial" w:cs="Arial" w:eastAsia="Arial" w:hAnsi="Arial"/>
                <w:sz w:val="18"/>
                <w:szCs w:val="18"/>
                <w:b w:val="1"/>
                <w:bCs w:val="1"/>
                <w:color w:val="auto"/>
              </w:rPr>
              <w:t>Broker Non-Votes</w:t>
            </w:r>
          </w:p>
        </w:tc>
      </w:tr>
      <w:tr>
        <w:trPr>
          <w:trHeight w:val="48"/>
        </w:trPr>
        <w:tc>
          <w:tcPr>
            <w:tcW w:w="1060" w:type="dxa"/>
            <w:vAlign w:val="bottom"/>
            <w:tcBorders>
              <w:bottom w:val="single" w:sz="8" w:color="0094FF"/>
            </w:tcBorders>
          </w:tcPr>
          <w:p>
            <w:pPr>
              <w:spacing w:after="0"/>
              <w:rPr>
                <w:sz w:val="4"/>
                <w:szCs w:val="4"/>
                <w:color w:val="auto"/>
              </w:rPr>
            </w:pPr>
          </w:p>
        </w:tc>
        <w:tc>
          <w:tcPr>
            <w:tcW w:w="740" w:type="dxa"/>
            <w:vAlign w:val="bottom"/>
            <w:tcBorders>
              <w:top w:val="single" w:sz="8" w:color="auto"/>
              <w:bottom w:val="single" w:sz="8" w:color="0094FF"/>
            </w:tcBorders>
          </w:tcPr>
          <w:p>
            <w:pPr>
              <w:spacing w:after="0"/>
              <w:rPr>
                <w:sz w:val="4"/>
                <w:szCs w:val="4"/>
                <w:color w:val="auto"/>
              </w:rPr>
            </w:pPr>
          </w:p>
        </w:tc>
        <w:tc>
          <w:tcPr>
            <w:tcW w:w="960" w:type="dxa"/>
            <w:vAlign w:val="bottom"/>
            <w:tcBorders>
              <w:bottom w:val="single" w:sz="8" w:color="0094FF"/>
            </w:tcBorders>
          </w:tcPr>
          <w:p>
            <w:pPr>
              <w:spacing w:after="0"/>
              <w:rPr>
                <w:sz w:val="4"/>
                <w:szCs w:val="4"/>
                <w:color w:val="auto"/>
              </w:rPr>
            </w:pPr>
          </w:p>
        </w:tc>
        <w:tc>
          <w:tcPr>
            <w:tcW w:w="960" w:type="dxa"/>
            <w:vAlign w:val="bottom"/>
            <w:tcBorders>
              <w:bottom w:val="single" w:sz="8" w:color="0094FF"/>
            </w:tcBorders>
          </w:tcPr>
          <w:p>
            <w:pPr>
              <w:spacing w:after="0"/>
              <w:rPr>
                <w:sz w:val="4"/>
                <w:szCs w:val="4"/>
                <w:color w:val="auto"/>
              </w:rPr>
            </w:pPr>
          </w:p>
        </w:tc>
        <w:tc>
          <w:tcPr>
            <w:tcW w:w="1060" w:type="dxa"/>
            <w:vAlign w:val="bottom"/>
            <w:tcBorders>
              <w:top w:val="single" w:sz="8" w:color="auto"/>
              <w:bottom w:val="single" w:sz="8" w:color="0094FF"/>
            </w:tcBorders>
          </w:tcPr>
          <w:p>
            <w:pPr>
              <w:spacing w:after="0"/>
              <w:rPr>
                <w:sz w:val="4"/>
                <w:szCs w:val="4"/>
                <w:color w:val="auto"/>
              </w:rPr>
            </w:pPr>
          </w:p>
        </w:tc>
        <w:tc>
          <w:tcPr>
            <w:tcW w:w="1620" w:type="dxa"/>
            <w:vAlign w:val="bottom"/>
            <w:tcBorders>
              <w:bottom w:val="single" w:sz="8" w:color="0094FF"/>
            </w:tcBorders>
          </w:tcPr>
          <w:p>
            <w:pPr>
              <w:spacing w:after="0"/>
              <w:rPr>
                <w:sz w:val="4"/>
                <w:szCs w:val="4"/>
                <w:color w:val="auto"/>
              </w:rPr>
            </w:pPr>
          </w:p>
        </w:tc>
        <w:tc>
          <w:tcPr>
            <w:tcW w:w="1300" w:type="dxa"/>
            <w:vAlign w:val="bottom"/>
            <w:tcBorders>
              <w:top w:val="single" w:sz="8" w:color="auto"/>
              <w:bottom w:val="single" w:sz="8" w:color="0094FF"/>
            </w:tcBorders>
          </w:tcPr>
          <w:p>
            <w:pPr>
              <w:spacing w:after="0"/>
              <w:rPr>
                <w:sz w:val="4"/>
                <w:szCs w:val="4"/>
                <w:color w:val="auto"/>
              </w:rPr>
            </w:pPr>
          </w:p>
        </w:tc>
        <w:tc>
          <w:tcPr>
            <w:tcW w:w="720" w:type="dxa"/>
            <w:vAlign w:val="bottom"/>
            <w:tcBorders>
              <w:bottom w:val="single" w:sz="8" w:color="0094FF"/>
            </w:tcBorders>
          </w:tcPr>
          <w:p>
            <w:pPr>
              <w:spacing w:after="0"/>
              <w:rPr>
                <w:sz w:val="4"/>
                <w:szCs w:val="4"/>
                <w:color w:val="auto"/>
              </w:rPr>
            </w:pPr>
          </w:p>
        </w:tc>
        <w:tc>
          <w:tcPr>
            <w:tcW w:w="740" w:type="dxa"/>
            <w:vAlign w:val="bottom"/>
            <w:tcBorders>
              <w:bottom w:val="single" w:sz="8" w:color="0094FF"/>
            </w:tcBorders>
          </w:tcPr>
          <w:p>
            <w:pPr>
              <w:spacing w:after="0"/>
              <w:rPr>
                <w:sz w:val="4"/>
                <w:szCs w:val="4"/>
                <w:color w:val="auto"/>
              </w:rPr>
            </w:pPr>
          </w:p>
        </w:tc>
        <w:tc>
          <w:tcPr>
            <w:tcW w:w="1380" w:type="dxa"/>
            <w:vAlign w:val="bottom"/>
            <w:tcBorders>
              <w:top w:val="single" w:sz="8" w:color="auto"/>
              <w:bottom w:val="single" w:sz="8" w:color="0094FF"/>
            </w:tcBorders>
          </w:tcPr>
          <w:p>
            <w:pPr>
              <w:spacing w:after="0"/>
              <w:rPr>
                <w:sz w:val="4"/>
                <w:szCs w:val="4"/>
                <w:color w:val="auto"/>
              </w:rPr>
            </w:pPr>
          </w:p>
        </w:tc>
        <w:tc>
          <w:tcPr>
            <w:tcW w:w="700" w:type="dxa"/>
            <w:vAlign w:val="bottom"/>
            <w:tcBorders>
              <w:bottom w:val="single" w:sz="8" w:color="0094FF"/>
            </w:tcBorders>
          </w:tcPr>
          <w:p>
            <w:pPr>
              <w:spacing w:after="0"/>
              <w:rPr>
                <w:sz w:val="4"/>
                <w:szCs w:val="4"/>
                <w:color w:val="auto"/>
              </w:rPr>
            </w:pPr>
          </w:p>
        </w:tc>
      </w:tr>
      <w:tr>
        <w:trPr>
          <w:trHeight w:val="243"/>
        </w:trPr>
        <w:tc>
          <w:tcPr>
            <w:tcW w:w="2760" w:type="dxa"/>
            <w:vAlign w:val="bottom"/>
            <w:tcBorders>
              <w:bottom w:val="single" w:sz="8" w:color="CCEEFF"/>
            </w:tcBorders>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298,407,916</w:t>
            </w: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10,901,660</w:t>
            </w:r>
          </w:p>
        </w:tc>
        <w:tc>
          <w:tcPr>
            <w:tcW w:w="16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236,899</w:t>
            </w:r>
          </w:p>
        </w:tc>
        <w:tc>
          <w:tcPr>
            <w:tcW w:w="7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20,548,812</w:t>
            </w:r>
          </w:p>
        </w:tc>
        <w:tc>
          <w:tcPr>
            <w:tcW w:w="700" w:type="dxa"/>
            <w:vAlign w:val="bottom"/>
            <w:tcBorders>
              <w:bottom w:val="single" w:sz="8" w:color="CCEEFF"/>
            </w:tcBorders>
            <w:shd w:val="clear" w:color="auto" w:fill="CCEEFF"/>
          </w:tcPr>
          <w:p>
            <w:pPr>
              <w:spacing w:after="0"/>
              <w:rPr>
                <w:sz w:val="21"/>
                <w:szCs w:val="21"/>
                <w:color w:val="auto"/>
              </w:rPr>
            </w:pPr>
          </w:p>
        </w:tc>
      </w:tr>
      <w:tr>
        <w:trPr>
          <w:trHeight w:val="20"/>
        </w:trPr>
        <w:tc>
          <w:tcPr>
            <w:tcW w:w="1060" w:type="dxa"/>
            <w:vAlign w:val="bottom"/>
            <w:shd w:val="clear" w:color="auto" w:fill="0094FF"/>
          </w:tcPr>
          <w:p>
            <w:pPr>
              <w:spacing w:after="0" w:line="20" w:lineRule="exact"/>
              <w:rPr>
                <w:sz w:val="1"/>
                <w:szCs w:val="1"/>
                <w:color w:val="auto"/>
              </w:rPr>
            </w:pPr>
          </w:p>
        </w:tc>
        <w:tc>
          <w:tcPr>
            <w:tcW w:w="740" w:type="dxa"/>
            <w:vAlign w:val="bottom"/>
            <w:shd w:val="clear" w:color="auto" w:fill="0094FF"/>
          </w:tcPr>
          <w:p>
            <w:pPr>
              <w:spacing w:after="0" w:line="20" w:lineRule="exact"/>
              <w:rPr>
                <w:sz w:val="1"/>
                <w:szCs w:val="1"/>
                <w:color w:val="auto"/>
              </w:rPr>
            </w:pPr>
          </w:p>
        </w:tc>
        <w:tc>
          <w:tcPr>
            <w:tcW w:w="960" w:type="dxa"/>
            <w:vAlign w:val="bottom"/>
            <w:shd w:val="clear" w:color="auto" w:fill="0094FF"/>
          </w:tcPr>
          <w:p>
            <w:pPr>
              <w:spacing w:after="0" w:line="20" w:lineRule="exact"/>
              <w:rPr>
                <w:sz w:val="1"/>
                <w:szCs w:val="1"/>
                <w:color w:val="auto"/>
              </w:rPr>
            </w:pPr>
          </w:p>
        </w:tc>
        <w:tc>
          <w:tcPr>
            <w:tcW w:w="960" w:type="dxa"/>
            <w:vAlign w:val="bottom"/>
            <w:shd w:val="clear" w:color="auto" w:fill="0094FF"/>
          </w:tcPr>
          <w:p>
            <w:pPr>
              <w:spacing w:after="0" w:line="20" w:lineRule="exact"/>
              <w:rPr>
                <w:sz w:val="1"/>
                <w:szCs w:val="1"/>
                <w:color w:val="auto"/>
              </w:rPr>
            </w:pPr>
          </w:p>
        </w:tc>
        <w:tc>
          <w:tcPr>
            <w:tcW w:w="1060" w:type="dxa"/>
            <w:vAlign w:val="bottom"/>
            <w:shd w:val="clear" w:color="auto" w:fill="0094FF"/>
          </w:tcPr>
          <w:p>
            <w:pPr>
              <w:spacing w:after="0" w:line="20" w:lineRule="exact"/>
              <w:rPr>
                <w:sz w:val="1"/>
                <w:szCs w:val="1"/>
                <w:color w:val="auto"/>
              </w:rPr>
            </w:pPr>
          </w:p>
        </w:tc>
        <w:tc>
          <w:tcPr>
            <w:tcW w:w="1620" w:type="dxa"/>
            <w:vAlign w:val="bottom"/>
            <w:shd w:val="clear" w:color="auto" w:fill="0094FF"/>
          </w:tcPr>
          <w:p>
            <w:pPr>
              <w:spacing w:after="0" w:line="20" w:lineRule="exact"/>
              <w:rPr>
                <w:sz w:val="1"/>
                <w:szCs w:val="1"/>
                <w:color w:val="auto"/>
              </w:rPr>
            </w:pPr>
          </w:p>
        </w:tc>
        <w:tc>
          <w:tcPr>
            <w:tcW w:w="1300" w:type="dxa"/>
            <w:vAlign w:val="bottom"/>
            <w:shd w:val="clear" w:color="auto" w:fill="0094FF"/>
          </w:tcPr>
          <w:p>
            <w:pPr>
              <w:spacing w:after="0" w:line="20" w:lineRule="exact"/>
              <w:rPr>
                <w:sz w:val="1"/>
                <w:szCs w:val="1"/>
                <w:color w:val="auto"/>
              </w:rPr>
            </w:pPr>
          </w:p>
        </w:tc>
        <w:tc>
          <w:tcPr>
            <w:tcW w:w="720" w:type="dxa"/>
            <w:vAlign w:val="bottom"/>
            <w:shd w:val="clear" w:color="auto" w:fill="0094FF"/>
          </w:tcPr>
          <w:p>
            <w:pPr>
              <w:spacing w:after="0" w:line="20" w:lineRule="exact"/>
              <w:rPr>
                <w:sz w:val="1"/>
                <w:szCs w:val="1"/>
                <w:color w:val="auto"/>
              </w:rPr>
            </w:pPr>
          </w:p>
        </w:tc>
        <w:tc>
          <w:tcPr>
            <w:tcW w:w="740" w:type="dxa"/>
            <w:vAlign w:val="bottom"/>
            <w:shd w:val="clear" w:color="auto" w:fill="0094FF"/>
          </w:tcPr>
          <w:p>
            <w:pPr>
              <w:spacing w:after="0" w:line="20" w:lineRule="exact"/>
              <w:rPr>
                <w:sz w:val="1"/>
                <w:szCs w:val="1"/>
                <w:color w:val="auto"/>
              </w:rPr>
            </w:pPr>
          </w:p>
        </w:tc>
        <w:tc>
          <w:tcPr>
            <w:tcW w:w="1380" w:type="dxa"/>
            <w:vAlign w:val="bottom"/>
            <w:shd w:val="clear" w:color="auto" w:fill="0094FF"/>
          </w:tcPr>
          <w:p>
            <w:pPr>
              <w:spacing w:after="0" w:line="20" w:lineRule="exact"/>
              <w:rPr>
                <w:sz w:val="1"/>
                <w:szCs w:val="1"/>
                <w:color w:val="auto"/>
              </w:rPr>
            </w:pPr>
          </w:p>
        </w:tc>
        <w:tc>
          <w:tcPr>
            <w:tcW w:w="700" w:type="dxa"/>
            <w:vAlign w:val="bottom"/>
            <w:shd w:val="clear" w:color="auto" w:fill="0094FF"/>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u w:val="single" w:color="auto"/>
          <w:color w:val="auto"/>
        </w:rPr>
        <w:t>Proposal 4 – The ratification of the selection of Ernst &amp; Young LLP as our independent registered public accounting firm for the fiscal year ending October 31, 2020.</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shareholders ratified the Company’s selection of Ernst &amp; Young LLP as our independent registered public accounting firm for the fiscal year ending October 31, 2020.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80" w:type="dxa"/>
            <w:vAlign w:val="bottom"/>
            <w:gridSpan w:val="5"/>
          </w:tcPr>
          <w:p>
            <w:pPr>
              <w:jc w:val="right"/>
              <w:ind w:right="2650"/>
              <w:spacing w:after="0"/>
              <w:rPr>
                <w:sz w:val="20"/>
                <w:szCs w:val="20"/>
                <w:color w:val="auto"/>
              </w:rPr>
            </w:pPr>
            <w:r>
              <w:rPr>
                <w:rFonts w:ascii="Arial" w:cs="Arial" w:eastAsia="Arial" w:hAnsi="Arial"/>
                <w:sz w:val="18"/>
                <w:szCs w:val="18"/>
                <w:b w:val="1"/>
                <w:bCs w:val="1"/>
                <w:color w:val="auto"/>
                <w:w w:val="86"/>
              </w:rPr>
              <w:t>Votes For</w:t>
            </w:r>
          </w:p>
        </w:tc>
        <w:tc>
          <w:tcPr>
            <w:tcW w:w="3720" w:type="dxa"/>
            <w:vAlign w:val="bottom"/>
            <w:gridSpan w:val="4"/>
          </w:tcPr>
          <w:p>
            <w:pPr>
              <w:ind w:left="120"/>
              <w:spacing w:after="0"/>
              <w:rPr>
                <w:sz w:val="20"/>
                <w:szCs w:val="20"/>
                <w:color w:val="auto"/>
              </w:rPr>
            </w:pPr>
            <w:r>
              <w:rPr>
                <w:rFonts w:ascii="Arial" w:cs="Arial" w:eastAsia="Arial" w:hAnsi="Arial"/>
                <w:sz w:val="18"/>
                <w:szCs w:val="18"/>
                <w:b w:val="1"/>
                <w:bCs w:val="1"/>
                <w:color w:val="auto"/>
              </w:rPr>
              <w:t>Votes Against</w:t>
            </w:r>
          </w:p>
        </w:tc>
        <w:tc>
          <w:tcPr>
            <w:tcW w:w="2520" w:type="dxa"/>
            <w:vAlign w:val="bottom"/>
            <w:gridSpan w:val="5"/>
          </w:tcPr>
          <w:p>
            <w:pPr>
              <w:spacing w:after="0"/>
              <w:rPr>
                <w:sz w:val="20"/>
                <w:szCs w:val="20"/>
                <w:color w:val="auto"/>
              </w:rPr>
            </w:pPr>
            <w:r>
              <w:rPr>
                <w:rFonts w:ascii="Arial" w:cs="Arial" w:eastAsia="Arial" w:hAnsi="Arial"/>
                <w:sz w:val="18"/>
                <w:szCs w:val="18"/>
                <w:b w:val="1"/>
                <w:bCs w:val="1"/>
                <w:color w:val="auto"/>
              </w:rPr>
              <w:t>Votes Abstaining</w:t>
            </w:r>
          </w:p>
        </w:tc>
      </w:tr>
      <w:tr>
        <w:trPr>
          <w:trHeight w:val="48"/>
        </w:trPr>
        <w:tc>
          <w:tcPr>
            <w:tcW w:w="40" w:type="dxa"/>
            <w:vAlign w:val="bottom"/>
            <w:tcBorders>
              <w:bottom w:val="single" w:sz="8" w:color="0094FF"/>
            </w:tcBorders>
          </w:tcPr>
          <w:p>
            <w:pPr>
              <w:spacing w:after="0"/>
              <w:rPr>
                <w:sz w:val="4"/>
                <w:szCs w:val="4"/>
                <w:color w:val="auto"/>
              </w:rPr>
            </w:pPr>
          </w:p>
        </w:tc>
        <w:tc>
          <w:tcPr>
            <w:tcW w:w="840" w:type="dxa"/>
            <w:vAlign w:val="bottom"/>
            <w:tcBorders>
              <w:bottom w:val="single" w:sz="8" w:color="0094FF"/>
            </w:tcBorders>
          </w:tcPr>
          <w:p>
            <w:pPr>
              <w:spacing w:after="0"/>
              <w:rPr>
                <w:sz w:val="4"/>
                <w:szCs w:val="4"/>
                <w:color w:val="auto"/>
              </w:rPr>
            </w:pPr>
          </w:p>
        </w:tc>
        <w:tc>
          <w:tcPr>
            <w:tcW w:w="300" w:type="dxa"/>
            <w:vAlign w:val="bottom"/>
            <w:tcBorders>
              <w:bottom w:val="single" w:sz="8" w:color="0094FF"/>
            </w:tcBorders>
          </w:tcPr>
          <w:p>
            <w:pPr>
              <w:spacing w:after="0"/>
              <w:rPr>
                <w:sz w:val="4"/>
                <w:szCs w:val="4"/>
                <w:color w:val="auto"/>
              </w:rPr>
            </w:pPr>
          </w:p>
        </w:tc>
        <w:tc>
          <w:tcPr>
            <w:tcW w:w="340" w:type="dxa"/>
            <w:vAlign w:val="bottom"/>
            <w:tcBorders>
              <w:bottom w:val="single" w:sz="8" w:color="0094FF"/>
            </w:tcBorders>
          </w:tcPr>
          <w:p>
            <w:pPr>
              <w:spacing w:after="0"/>
              <w:rPr>
                <w:sz w:val="4"/>
                <w:szCs w:val="4"/>
                <w:color w:val="auto"/>
              </w:rPr>
            </w:pPr>
          </w:p>
        </w:tc>
        <w:tc>
          <w:tcPr>
            <w:tcW w:w="360" w:type="dxa"/>
            <w:vAlign w:val="bottom"/>
            <w:tcBorders>
              <w:top w:val="single" w:sz="8" w:color="auto"/>
              <w:bottom w:val="single" w:sz="8" w:color="0094FF"/>
            </w:tcBorders>
          </w:tcPr>
          <w:p>
            <w:pPr>
              <w:spacing w:after="0"/>
              <w:rPr>
                <w:sz w:val="4"/>
                <w:szCs w:val="4"/>
                <w:color w:val="auto"/>
              </w:rPr>
            </w:pPr>
          </w:p>
        </w:tc>
        <w:tc>
          <w:tcPr>
            <w:tcW w:w="380" w:type="dxa"/>
            <w:vAlign w:val="bottom"/>
            <w:tcBorders>
              <w:top w:val="single" w:sz="8" w:color="auto"/>
              <w:bottom w:val="single" w:sz="8" w:color="0094FF"/>
            </w:tcBorders>
          </w:tcPr>
          <w:p>
            <w:pPr>
              <w:spacing w:after="0"/>
              <w:rPr>
                <w:sz w:val="4"/>
                <w:szCs w:val="4"/>
                <w:color w:val="auto"/>
              </w:rPr>
            </w:pPr>
          </w:p>
        </w:tc>
        <w:tc>
          <w:tcPr>
            <w:tcW w:w="460" w:type="dxa"/>
            <w:vAlign w:val="bottom"/>
            <w:tcBorders>
              <w:bottom w:val="single" w:sz="8" w:color="0094FF"/>
            </w:tcBorders>
          </w:tcPr>
          <w:p>
            <w:pPr>
              <w:spacing w:after="0"/>
              <w:rPr>
                <w:sz w:val="4"/>
                <w:szCs w:val="4"/>
                <w:color w:val="auto"/>
              </w:rPr>
            </w:pPr>
          </w:p>
        </w:tc>
        <w:tc>
          <w:tcPr>
            <w:tcW w:w="1040" w:type="dxa"/>
            <w:vAlign w:val="bottom"/>
            <w:tcBorders>
              <w:bottom w:val="single" w:sz="8" w:color="0094FF"/>
            </w:tcBorders>
          </w:tcPr>
          <w:p>
            <w:pPr>
              <w:spacing w:after="0"/>
              <w:rPr>
                <w:sz w:val="4"/>
                <w:szCs w:val="4"/>
                <w:color w:val="auto"/>
              </w:rPr>
            </w:pPr>
          </w:p>
        </w:tc>
        <w:tc>
          <w:tcPr>
            <w:tcW w:w="1240" w:type="dxa"/>
            <w:vAlign w:val="bottom"/>
            <w:tcBorders>
              <w:bottom w:val="single" w:sz="8" w:color="0094FF"/>
            </w:tcBorders>
          </w:tcPr>
          <w:p>
            <w:pPr>
              <w:spacing w:after="0"/>
              <w:rPr>
                <w:sz w:val="4"/>
                <w:szCs w:val="4"/>
                <w:color w:val="auto"/>
              </w:rPr>
            </w:pPr>
          </w:p>
        </w:tc>
        <w:tc>
          <w:tcPr>
            <w:tcW w:w="120" w:type="dxa"/>
            <w:vAlign w:val="bottom"/>
            <w:tcBorders>
              <w:bottom w:val="single" w:sz="8" w:color="0094FF"/>
            </w:tcBorders>
          </w:tcPr>
          <w:p>
            <w:pPr>
              <w:spacing w:after="0"/>
              <w:rPr>
                <w:sz w:val="4"/>
                <w:szCs w:val="4"/>
                <w:color w:val="auto"/>
              </w:rPr>
            </w:pPr>
          </w:p>
        </w:tc>
        <w:tc>
          <w:tcPr>
            <w:tcW w:w="1040" w:type="dxa"/>
            <w:vAlign w:val="bottom"/>
            <w:tcBorders>
              <w:top w:val="single" w:sz="8" w:color="auto"/>
              <w:bottom w:val="single" w:sz="8" w:color="0094FF"/>
            </w:tcBorders>
          </w:tcPr>
          <w:p>
            <w:pPr>
              <w:spacing w:after="0"/>
              <w:rPr>
                <w:sz w:val="4"/>
                <w:szCs w:val="4"/>
                <w:color w:val="auto"/>
              </w:rPr>
            </w:pPr>
          </w:p>
        </w:tc>
        <w:tc>
          <w:tcPr>
            <w:tcW w:w="1080" w:type="dxa"/>
            <w:vAlign w:val="bottom"/>
            <w:tcBorders>
              <w:bottom w:val="single" w:sz="8" w:color="0094FF"/>
            </w:tcBorders>
          </w:tcPr>
          <w:p>
            <w:pPr>
              <w:spacing w:after="0"/>
              <w:rPr>
                <w:sz w:val="4"/>
                <w:szCs w:val="4"/>
                <w:color w:val="auto"/>
              </w:rPr>
            </w:pPr>
          </w:p>
        </w:tc>
        <w:tc>
          <w:tcPr>
            <w:tcW w:w="1480" w:type="dxa"/>
            <w:vAlign w:val="bottom"/>
            <w:tcBorders>
              <w:bottom w:val="single" w:sz="8" w:color="0094FF"/>
            </w:tcBorders>
          </w:tcPr>
          <w:p>
            <w:pPr>
              <w:spacing w:after="0"/>
              <w:rPr>
                <w:sz w:val="4"/>
                <w:szCs w:val="4"/>
                <w:color w:val="auto"/>
              </w:rPr>
            </w:pPr>
          </w:p>
        </w:tc>
        <w:tc>
          <w:tcPr>
            <w:tcW w:w="1300" w:type="dxa"/>
            <w:vAlign w:val="bottom"/>
            <w:tcBorders>
              <w:top w:val="single" w:sz="8" w:color="auto"/>
              <w:bottom w:val="single" w:sz="8" w:color="0094FF"/>
            </w:tcBorders>
          </w:tcPr>
          <w:p>
            <w:pPr>
              <w:spacing w:after="0"/>
              <w:rPr>
                <w:sz w:val="4"/>
                <w:szCs w:val="4"/>
                <w:color w:val="auto"/>
              </w:rPr>
            </w:pPr>
          </w:p>
        </w:tc>
        <w:tc>
          <w:tcPr>
            <w:tcW w:w="860" w:type="dxa"/>
            <w:vAlign w:val="bottom"/>
            <w:tcBorders>
              <w:bottom w:val="single" w:sz="8" w:color="0094FF"/>
            </w:tcBorders>
          </w:tcPr>
          <w:p>
            <w:pPr>
              <w:spacing w:after="0"/>
              <w:rPr>
                <w:sz w:val="4"/>
                <w:szCs w:val="4"/>
                <w:color w:val="auto"/>
              </w:rPr>
            </w:pPr>
          </w:p>
        </w:tc>
        <w:tc>
          <w:tcPr>
            <w:tcW w:w="20" w:type="dxa"/>
            <w:vAlign w:val="bottom"/>
            <w:tcBorders>
              <w:bottom w:val="single" w:sz="8" w:color="0094FF"/>
            </w:tcBorders>
          </w:tcPr>
          <w:p>
            <w:pPr>
              <w:spacing w:after="0"/>
              <w:rPr>
                <w:sz w:val="4"/>
                <w:szCs w:val="4"/>
                <w:color w:val="auto"/>
              </w:rPr>
            </w:pPr>
          </w:p>
        </w:tc>
        <w:tc>
          <w:tcPr>
            <w:tcW w:w="60" w:type="dxa"/>
            <w:vAlign w:val="bottom"/>
            <w:tcBorders>
              <w:bottom w:val="single" w:sz="8" w:color="0094FF"/>
            </w:tcBorders>
          </w:tcPr>
          <w:p>
            <w:pPr>
              <w:spacing w:after="0"/>
              <w:rPr>
                <w:sz w:val="4"/>
                <w:szCs w:val="4"/>
                <w:color w:val="auto"/>
              </w:rPr>
            </w:pPr>
          </w:p>
        </w:tc>
        <w:tc>
          <w:tcPr>
            <w:tcW w:w="280" w:type="dxa"/>
            <w:vAlign w:val="bottom"/>
            <w:tcBorders>
              <w:bottom w:val="single" w:sz="8" w:color="0094FF"/>
            </w:tcBorders>
          </w:tcPr>
          <w:p>
            <w:pPr>
              <w:spacing w:after="0"/>
              <w:rPr>
                <w:sz w:val="4"/>
                <w:szCs w:val="4"/>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319,426,187</w:t>
            </w:r>
          </w:p>
        </w:tc>
        <w:tc>
          <w:tcPr>
            <w:tcW w:w="10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10,167,878</w:t>
            </w:r>
          </w:p>
        </w:tc>
        <w:tc>
          <w:tcPr>
            <w:tcW w:w="10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501,222</w:t>
            </w:r>
          </w:p>
        </w:tc>
        <w:tc>
          <w:tcPr>
            <w:tcW w:w="8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r>
      <w:tr>
        <w:trPr>
          <w:trHeight w:val="453"/>
        </w:trPr>
        <w:tc>
          <w:tcPr>
            <w:tcW w:w="5000" w:type="dxa"/>
            <w:vAlign w:val="bottom"/>
            <w:tcBorders>
              <w:top w:val="single" w:sz="8" w:color="0094FF"/>
            </w:tcBorders>
            <w:gridSpan w:val="9"/>
          </w:tcPr>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9.01.   Financial Statements and Exhibits.</w:t>
            </w:r>
          </w:p>
        </w:tc>
        <w:tc>
          <w:tcPr>
            <w:tcW w:w="120" w:type="dxa"/>
            <w:vAlign w:val="bottom"/>
            <w:tcBorders>
              <w:top w:val="single" w:sz="8" w:color="0094FF"/>
            </w:tcBorders>
          </w:tcPr>
          <w:p>
            <w:pPr>
              <w:spacing w:after="0"/>
              <w:rPr>
                <w:sz w:val="24"/>
                <w:szCs w:val="24"/>
                <w:color w:val="auto"/>
              </w:rPr>
            </w:pPr>
          </w:p>
        </w:tc>
        <w:tc>
          <w:tcPr>
            <w:tcW w:w="1040" w:type="dxa"/>
            <w:vAlign w:val="bottom"/>
            <w:tcBorders>
              <w:top w:val="single" w:sz="8" w:color="0094FF"/>
            </w:tcBorders>
          </w:tcPr>
          <w:p>
            <w:pPr>
              <w:spacing w:after="0"/>
              <w:rPr>
                <w:sz w:val="24"/>
                <w:szCs w:val="24"/>
                <w:color w:val="auto"/>
              </w:rPr>
            </w:pPr>
          </w:p>
        </w:tc>
        <w:tc>
          <w:tcPr>
            <w:tcW w:w="1080" w:type="dxa"/>
            <w:vAlign w:val="bottom"/>
            <w:tcBorders>
              <w:top w:val="single" w:sz="8" w:color="0094FF"/>
            </w:tcBorders>
          </w:tcPr>
          <w:p>
            <w:pPr>
              <w:spacing w:after="0"/>
              <w:rPr>
                <w:sz w:val="24"/>
                <w:szCs w:val="24"/>
                <w:color w:val="auto"/>
              </w:rPr>
            </w:pPr>
          </w:p>
        </w:tc>
        <w:tc>
          <w:tcPr>
            <w:tcW w:w="1480" w:type="dxa"/>
            <w:vAlign w:val="bottom"/>
            <w:tcBorders>
              <w:top w:val="single" w:sz="8" w:color="0094FF"/>
            </w:tcBorders>
          </w:tcPr>
          <w:p>
            <w:pPr>
              <w:spacing w:after="0"/>
              <w:rPr>
                <w:sz w:val="24"/>
                <w:szCs w:val="24"/>
                <w:color w:val="auto"/>
              </w:rPr>
            </w:pPr>
          </w:p>
        </w:tc>
        <w:tc>
          <w:tcPr>
            <w:tcW w:w="1300" w:type="dxa"/>
            <w:vAlign w:val="bottom"/>
            <w:tcBorders>
              <w:top w:val="single" w:sz="8" w:color="0094FF"/>
            </w:tcBorders>
          </w:tcPr>
          <w:p>
            <w:pPr>
              <w:spacing w:after="0"/>
              <w:rPr>
                <w:sz w:val="24"/>
                <w:szCs w:val="24"/>
                <w:color w:val="auto"/>
              </w:rPr>
            </w:pPr>
          </w:p>
        </w:tc>
        <w:tc>
          <w:tcPr>
            <w:tcW w:w="860" w:type="dxa"/>
            <w:vAlign w:val="bottom"/>
            <w:tcBorders>
              <w:top w:val="single" w:sz="8" w:color="0094FF"/>
            </w:tcBorders>
          </w:tcPr>
          <w:p>
            <w:pPr>
              <w:spacing w:after="0"/>
              <w:rPr>
                <w:sz w:val="24"/>
                <w:szCs w:val="24"/>
                <w:color w:val="auto"/>
              </w:rPr>
            </w:pPr>
          </w:p>
        </w:tc>
        <w:tc>
          <w:tcPr>
            <w:tcW w:w="20" w:type="dxa"/>
            <w:vAlign w:val="bottom"/>
            <w:tcBorders>
              <w:top w:val="single" w:sz="8" w:color="0094FF"/>
            </w:tcBorders>
          </w:tcPr>
          <w:p>
            <w:pPr>
              <w:spacing w:after="0"/>
              <w:rPr>
                <w:sz w:val="24"/>
                <w:szCs w:val="24"/>
                <w:color w:val="auto"/>
              </w:rPr>
            </w:pPr>
          </w:p>
        </w:tc>
        <w:tc>
          <w:tcPr>
            <w:tcW w:w="60" w:type="dxa"/>
            <w:vAlign w:val="bottom"/>
            <w:tcBorders>
              <w:top w:val="single" w:sz="8" w:color="0094FF"/>
            </w:tcBorders>
          </w:tcPr>
          <w:p>
            <w:pPr>
              <w:spacing w:after="0"/>
              <w:rPr>
                <w:sz w:val="24"/>
                <w:szCs w:val="24"/>
                <w:color w:val="auto"/>
              </w:rPr>
            </w:pPr>
          </w:p>
        </w:tc>
        <w:tc>
          <w:tcPr>
            <w:tcW w:w="280" w:type="dxa"/>
            <w:vAlign w:val="bottom"/>
            <w:tcBorders>
              <w:top w:val="single" w:sz="8" w:color="0094FF"/>
            </w:tcBorders>
          </w:tcPr>
          <w:p>
            <w:pPr>
              <w:spacing w:after="0"/>
              <w:rPr>
                <w:sz w:val="24"/>
                <w:szCs w:val="24"/>
                <w:color w:val="auto"/>
              </w:rPr>
            </w:pPr>
          </w:p>
        </w:tc>
      </w:tr>
      <w:tr>
        <w:trPr>
          <w:trHeight w:val="297"/>
        </w:trPr>
        <w:tc>
          <w:tcPr>
            <w:tcW w:w="11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648"/>
        </w:trPr>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Exhibit No.</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60" w:type="dxa"/>
            <w:vAlign w:val="bottom"/>
            <w:gridSpan w:val="13"/>
          </w:tcPr>
          <w:p>
            <w:pPr>
              <w:spacing w:after="0"/>
              <w:rPr>
                <w:rFonts w:ascii="Arial" w:cs="Arial" w:eastAsia="Arial" w:hAnsi="Arial"/>
                <w:sz w:val="18"/>
                <w:szCs w:val="18"/>
                <w:color w:val="0000FF"/>
                <w:w w:val="97"/>
              </w:rPr>
            </w:pPr>
            <w:hyperlink r:id="rId11">
              <w:r>
                <w:rPr>
                  <w:rFonts w:ascii="Arial" w:cs="Arial" w:eastAsia="Arial" w:hAnsi="Arial"/>
                  <w:sz w:val="18"/>
                  <w:szCs w:val="18"/>
                  <w:color w:val="0000FF"/>
                  <w:w w:val="97"/>
                </w:rPr>
                <w:t xml:space="preserve">Analog Devices, Inc. 2020 Equity Incentive Plan, included as Appendix B </w:t>
              </w:r>
            </w:hyperlink>
            <w:r>
              <w:rPr>
                <w:rFonts w:ascii="Arial" w:cs="Arial" w:eastAsia="Arial" w:hAnsi="Arial"/>
                <w:sz w:val="18"/>
                <w:szCs w:val="18"/>
                <w:color w:val="000000"/>
                <w:w w:val="97"/>
              </w:rPr>
              <w:t>to</w:t>
            </w:r>
            <w:r>
              <w:rPr>
                <w:rFonts w:ascii="Arial" w:cs="Arial" w:eastAsia="Arial" w:hAnsi="Arial"/>
                <w:sz w:val="18"/>
                <w:szCs w:val="18"/>
                <w:color w:val="0000FF"/>
                <w:w w:val="97"/>
              </w:rPr>
              <w:t xml:space="preserve"> </w:t>
            </w:r>
            <w:r>
              <w:rPr>
                <w:rFonts w:ascii="Arial" w:cs="Arial" w:eastAsia="Arial" w:hAnsi="Arial"/>
                <w:sz w:val="18"/>
                <w:szCs w:val="18"/>
                <w:color w:val="000000"/>
                <w:w w:val="97"/>
              </w:rPr>
              <w:t>the Company's definitive proxy statement on</w:t>
            </w:r>
          </w:p>
        </w:tc>
      </w:tr>
      <w:tr>
        <w:trPr>
          <w:trHeight w:val="195"/>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360" w:type="dxa"/>
            <w:vAlign w:val="bottom"/>
            <w:tcBorders>
              <w:top w:val="single" w:sz="8" w:color="0000FF"/>
            </w:tcBorders>
            <w:gridSpan w:val="7"/>
          </w:tcPr>
          <w:p>
            <w:pPr>
              <w:spacing w:after="0" w:line="195" w:lineRule="exact"/>
              <w:rPr>
                <w:sz w:val="20"/>
                <w:szCs w:val="20"/>
                <w:color w:val="auto"/>
              </w:rPr>
            </w:pPr>
            <w:r>
              <w:rPr>
                <w:rFonts w:ascii="Arial" w:cs="Arial" w:eastAsia="Arial" w:hAnsi="Arial"/>
                <w:sz w:val="18"/>
                <w:szCs w:val="18"/>
                <w:color w:val="auto"/>
                <w:w w:val="92"/>
              </w:rPr>
              <w:t>Schedule 14A (File No. 001-07819) as filed with the SEC on January 24,</w:t>
            </w:r>
          </w:p>
        </w:tc>
        <w:tc>
          <w:tcPr>
            <w:tcW w:w="4000" w:type="dxa"/>
            <w:vAlign w:val="bottom"/>
            <w:gridSpan w:val="6"/>
          </w:tcPr>
          <w:p>
            <w:pPr>
              <w:spacing w:after="0" w:line="195" w:lineRule="exact"/>
              <w:rPr>
                <w:sz w:val="20"/>
                <w:szCs w:val="20"/>
                <w:color w:val="auto"/>
              </w:rPr>
            </w:pPr>
            <w:r>
              <w:rPr>
                <w:rFonts w:ascii="Arial" w:cs="Arial" w:eastAsia="Arial" w:hAnsi="Arial"/>
                <w:sz w:val="18"/>
                <w:szCs w:val="18"/>
                <w:color w:val="auto"/>
              </w:rPr>
              <w:t>2020 and incorporated herein by reference.</w:t>
            </w:r>
          </w:p>
        </w:tc>
      </w:tr>
      <w:tr>
        <w:trPr>
          <w:trHeight w:val="190"/>
        </w:trPr>
        <w:tc>
          <w:tcPr>
            <w:tcW w:w="1180" w:type="dxa"/>
            <w:vAlign w:val="bottom"/>
            <w:gridSpan w:val="3"/>
          </w:tcPr>
          <w:p>
            <w:pPr>
              <w:jc w:val="right"/>
              <w:ind w:right="180"/>
              <w:spacing w:after="0" w:line="170" w:lineRule="exact"/>
              <w:rPr>
                <w:sz w:val="20"/>
                <w:szCs w:val="20"/>
                <w:color w:val="auto"/>
              </w:rPr>
            </w:pPr>
            <w:r>
              <w:rPr>
                <w:rFonts w:ascii="Arial" w:cs="Arial" w:eastAsia="Arial" w:hAnsi="Arial"/>
                <w:sz w:val="18"/>
                <w:szCs w:val="18"/>
                <w:color w:val="auto"/>
              </w:rPr>
              <w:t>10.2#</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360" w:type="dxa"/>
            <w:vAlign w:val="bottom"/>
            <w:gridSpan w:val="13"/>
          </w:tcPr>
          <w:p>
            <w:pPr>
              <w:spacing w:after="0" w:line="170" w:lineRule="exact"/>
              <w:rPr>
                <w:rFonts w:ascii="Arial" w:cs="Arial" w:eastAsia="Arial" w:hAnsi="Arial"/>
                <w:sz w:val="18"/>
                <w:szCs w:val="18"/>
                <w:color w:val="0000FF"/>
                <w:w w:val="94"/>
              </w:rPr>
            </w:pPr>
            <w:hyperlink r:id="rId14">
              <w:r>
                <w:rPr>
                  <w:rFonts w:ascii="Arial" w:cs="Arial" w:eastAsia="Arial" w:hAnsi="Arial"/>
                  <w:sz w:val="18"/>
                  <w:szCs w:val="18"/>
                  <w:color w:val="0000FF"/>
                  <w:w w:val="94"/>
                </w:rPr>
                <w:t>Form of Financial Metric Performance Restricted Stock Unit Agreement for Employees for usage under the Company's 2020</w:t>
              </w:r>
            </w:hyperlink>
          </w:p>
        </w:tc>
      </w:tr>
      <w:tr>
        <w:trPr>
          <w:trHeight w:val="156"/>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20" w:type="dxa"/>
            <w:vAlign w:val="bottom"/>
            <w:tcBorders>
              <w:top w:val="single" w:sz="8" w:color="0000FF"/>
            </w:tcBorders>
            <w:gridSpan w:val="11"/>
          </w:tcPr>
          <w:p>
            <w:pPr>
              <w:spacing w:after="0" w:line="156" w:lineRule="exact"/>
              <w:rPr>
                <w:rFonts w:ascii="Arial" w:cs="Arial" w:eastAsia="Arial" w:hAnsi="Arial"/>
                <w:sz w:val="18"/>
                <w:szCs w:val="18"/>
                <w:color w:val="0000FF"/>
                <w:w w:val="93"/>
              </w:rPr>
            </w:pPr>
            <w:hyperlink r:id="rId14">
              <w:r>
                <w:rPr>
                  <w:rFonts w:ascii="Arial" w:cs="Arial" w:eastAsia="Arial" w:hAnsi="Arial"/>
                  <w:sz w:val="18"/>
                  <w:szCs w:val="18"/>
                  <w:color w:val="0000FF"/>
                  <w:w w:val="93"/>
                </w:rPr>
                <w:t xml:space="preserve">Equity Incentive Plan, filed as Exhibit 10.1 </w:t>
              </w:r>
              <w:r>
                <w:rPr>
                  <w:rFonts w:ascii="Arial" w:cs="Arial" w:eastAsia="Arial" w:hAnsi="Arial"/>
                  <w:sz w:val="18"/>
                  <w:szCs w:val="18"/>
                  <w:color w:val="000000"/>
                  <w:w w:val="93"/>
                </w:rPr>
                <w:t>to the Company's Quarterly Report on Form 10-Q (File No. 001-07819) as filed</w:t>
              </w:r>
            </w:hyperlink>
          </w:p>
        </w:tc>
        <w:tc>
          <w:tcPr>
            <w:tcW w:w="340" w:type="dxa"/>
            <w:vAlign w:val="bottom"/>
            <w:gridSpan w:val="2"/>
          </w:tcPr>
          <w:p>
            <w:pPr>
              <w:spacing w:after="0" w:line="156" w:lineRule="exact"/>
              <w:rPr>
                <w:sz w:val="20"/>
                <w:szCs w:val="20"/>
                <w:color w:val="auto"/>
              </w:rPr>
            </w:pPr>
            <w:r>
              <w:rPr>
                <w:rFonts w:ascii="Arial" w:cs="Arial" w:eastAsia="Arial" w:hAnsi="Arial"/>
                <w:sz w:val="18"/>
                <w:szCs w:val="18"/>
                <w:color w:val="auto"/>
                <w:w w:val="99"/>
              </w:rPr>
              <w:t>with</w:t>
            </w: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40" w:type="dxa"/>
            <w:vAlign w:val="bottom"/>
            <w:gridSpan w:val="8"/>
          </w:tcPr>
          <w:p>
            <w:pPr>
              <w:spacing w:after="0" w:line="195" w:lineRule="exact"/>
              <w:rPr>
                <w:sz w:val="20"/>
                <w:szCs w:val="20"/>
                <w:color w:val="auto"/>
              </w:rPr>
            </w:pPr>
            <w:r>
              <w:rPr>
                <w:rFonts w:ascii="Arial" w:cs="Arial" w:eastAsia="Arial" w:hAnsi="Arial"/>
                <w:sz w:val="18"/>
                <w:szCs w:val="18"/>
                <w:color w:val="auto"/>
              </w:rPr>
              <w:t>the SEC on February 19, 2020 and incorporated herein by reference.</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1180" w:type="dxa"/>
            <w:vAlign w:val="bottom"/>
            <w:gridSpan w:val="3"/>
          </w:tcPr>
          <w:p>
            <w:pPr>
              <w:jc w:val="right"/>
              <w:ind w:right="180"/>
              <w:spacing w:after="0" w:line="190"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80" w:type="dxa"/>
            <w:vAlign w:val="bottom"/>
            <w:tcBorders>
              <w:bottom w:val="single" w:sz="8" w:color="0000FF"/>
            </w:tcBorders>
            <w:gridSpan w:val="12"/>
          </w:tcPr>
          <w:p>
            <w:pPr>
              <w:spacing w:after="0" w:line="170"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Form of Global Non-Qualified Stock Option Agreement for Employees for usage under the Company's 2020 Equity Incentive</w:t>
              </w:r>
            </w:hyperlink>
          </w:p>
        </w:tc>
        <w:tc>
          <w:tcPr>
            <w:tcW w:w="280" w:type="dxa"/>
            <w:vAlign w:val="bottom"/>
          </w:tcPr>
          <w:p>
            <w:pPr>
              <w:spacing w:after="0"/>
              <w:rPr>
                <w:sz w:val="16"/>
                <w:szCs w:val="16"/>
                <w:color w:val="auto"/>
              </w:rPr>
            </w:pPr>
          </w:p>
        </w:tc>
      </w:tr>
      <w:tr>
        <w:trPr>
          <w:trHeight w:val="156"/>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80" w:type="dxa"/>
            <w:vAlign w:val="bottom"/>
            <w:gridSpan w:val="12"/>
          </w:tcPr>
          <w:p>
            <w:pPr>
              <w:spacing w:after="0" w:line="15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 xml:space="preserve">Plan, filed as Exhibit 10.2 </w:t>
              </w:r>
              <w:r>
                <w:rPr>
                  <w:rFonts w:ascii="Arial" w:cs="Arial" w:eastAsia="Arial" w:hAnsi="Arial"/>
                  <w:sz w:val="18"/>
                  <w:szCs w:val="18"/>
                  <w:color w:val="000000"/>
                  <w:w w:val="93"/>
                </w:rPr>
                <w:t>to the Company's Quarterly Report on Form 10-Q (File No. 001-07819) as filed with the SEC on</w:t>
              </w:r>
            </w:hyperlink>
          </w:p>
        </w:tc>
        <w:tc>
          <w:tcPr>
            <w:tcW w:w="280" w:type="dxa"/>
            <w:vAlign w:val="bottom"/>
          </w:tcPr>
          <w:p>
            <w:pPr>
              <w:spacing w:after="0"/>
              <w:rPr>
                <w:sz w:val="13"/>
                <w:szCs w:val="13"/>
                <w:color w:val="auto"/>
              </w:rPr>
            </w:pPr>
          </w:p>
        </w:tc>
      </w:tr>
      <w:tr>
        <w:trPr>
          <w:trHeight w:val="195"/>
        </w:trPr>
        <w:tc>
          <w:tcPr>
            <w:tcW w:w="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tcBorders>
              <w:top w:val="single" w:sz="8" w:color="0000FF"/>
            </w:tcBorders>
            <w:gridSpan w:val="3"/>
          </w:tcPr>
          <w:p>
            <w:pPr>
              <w:spacing w:after="0" w:line="195" w:lineRule="exact"/>
              <w:rPr>
                <w:sz w:val="20"/>
                <w:szCs w:val="20"/>
                <w:color w:val="auto"/>
              </w:rPr>
            </w:pPr>
            <w:r>
              <w:rPr>
                <w:rFonts w:ascii="Arial" w:cs="Arial" w:eastAsia="Arial" w:hAnsi="Arial"/>
                <w:sz w:val="18"/>
                <w:szCs w:val="18"/>
                <w:color w:val="auto"/>
              </w:rPr>
              <w:t>February 19, 2020 and</w:t>
            </w:r>
          </w:p>
        </w:tc>
        <w:tc>
          <w:tcPr>
            <w:tcW w:w="4960" w:type="dxa"/>
            <w:vAlign w:val="bottom"/>
            <w:gridSpan w:val="5"/>
          </w:tcPr>
          <w:p>
            <w:pPr>
              <w:spacing w:after="0" w:line="195" w:lineRule="exact"/>
              <w:rPr>
                <w:sz w:val="20"/>
                <w:szCs w:val="20"/>
                <w:color w:val="auto"/>
              </w:rPr>
            </w:pPr>
            <w:r>
              <w:rPr>
                <w:rFonts w:ascii="Arial" w:cs="Arial" w:eastAsia="Arial" w:hAnsi="Arial"/>
                <w:sz w:val="18"/>
                <w:szCs w:val="18"/>
                <w:color w:val="auto"/>
              </w:rPr>
              <w:t>incorporated herein by reference.</w:t>
            </w:r>
          </w:p>
        </w:tc>
        <w:tc>
          <w:tcPr>
            <w:tcW w:w="1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90"/>
        </w:trPr>
        <w:tc>
          <w:tcPr>
            <w:tcW w:w="1180" w:type="dxa"/>
            <w:vAlign w:val="bottom"/>
            <w:gridSpan w:val="3"/>
          </w:tcPr>
          <w:p>
            <w:pPr>
              <w:jc w:val="right"/>
              <w:ind w:right="180"/>
              <w:spacing w:after="0" w:line="170" w:lineRule="exact"/>
              <w:rPr>
                <w:sz w:val="20"/>
                <w:szCs w:val="20"/>
                <w:color w:val="auto"/>
              </w:rPr>
            </w:pPr>
            <w:r>
              <w:rPr>
                <w:rFonts w:ascii="Arial" w:cs="Arial" w:eastAsia="Arial" w:hAnsi="Arial"/>
                <w:sz w:val="18"/>
                <w:szCs w:val="18"/>
                <w:color w:val="auto"/>
              </w:rPr>
              <w:t>10.4#</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0" w:type="dxa"/>
            <w:vAlign w:val="bottom"/>
            <w:tcBorders>
              <w:bottom w:val="single" w:sz="8" w:color="0000FF"/>
            </w:tcBorders>
            <w:gridSpan w:val="10"/>
          </w:tcPr>
          <w:p>
            <w:pPr>
              <w:spacing w:after="0" w:line="170"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Form of Global Restricted Stock Unit Agreement for Employees for usage under the Company's 2020 Equity Incentive Plan,</w:t>
              </w:r>
            </w:hyperlink>
          </w:p>
        </w:tc>
        <w:tc>
          <w:tcPr>
            <w:tcW w:w="360" w:type="dxa"/>
            <w:vAlign w:val="bottom"/>
            <w:gridSpan w:val="3"/>
          </w:tcPr>
          <w:p>
            <w:pPr>
              <w:spacing w:after="0"/>
              <w:rPr>
                <w:sz w:val="16"/>
                <w:szCs w:val="16"/>
                <w:color w:val="auto"/>
              </w:rPr>
            </w:pPr>
          </w:p>
        </w:tc>
      </w:tr>
      <w:tr>
        <w:trPr>
          <w:trHeight w:val="157"/>
        </w:trPr>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360" w:type="dxa"/>
            <w:vAlign w:val="bottom"/>
            <w:gridSpan w:val="13"/>
          </w:tcPr>
          <w:p>
            <w:pPr>
              <w:spacing w:after="0" w:line="157" w:lineRule="exact"/>
              <w:rPr>
                <w:rFonts w:ascii="Arial" w:cs="Arial" w:eastAsia="Arial" w:hAnsi="Arial"/>
                <w:sz w:val="18"/>
                <w:szCs w:val="18"/>
                <w:color w:val="0000FF"/>
                <w:w w:val="93"/>
              </w:rPr>
            </w:pPr>
            <w:hyperlink r:id="rId16">
              <w:r>
                <w:rPr>
                  <w:rFonts w:ascii="Arial" w:cs="Arial" w:eastAsia="Arial" w:hAnsi="Arial"/>
                  <w:sz w:val="18"/>
                  <w:szCs w:val="18"/>
                  <w:u w:val="single" w:color="auto"/>
                  <w:color w:val="0000FF"/>
                  <w:w w:val="93"/>
                </w:rPr>
                <w:t>filed as Exhibit 10.3</w:t>
              </w:r>
              <w:r>
                <w:rPr>
                  <w:rFonts w:ascii="Arial" w:cs="Arial" w:eastAsia="Arial" w:hAnsi="Arial"/>
                  <w:sz w:val="18"/>
                  <w:szCs w:val="18"/>
                  <w:color w:val="0000FF"/>
                  <w:w w:val="93"/>
                </w:rPr>
                <w:t xml:space="preserve"> </w:t>
              </w:r>
              <w:r>
                <w:rPr>
                  <w:rFonts w:ascii="Arial" w:cs="Arial" w:eastAsia="Arial" w:hAnsi="Arial"/>
                  <w:sz w:val="18"/>
                  <w:szCs w:val="18"/>
                  <w:color w:val="000000"/>
                  <w:w w:val="93"/>
                </w:rPr>
                <w:t>to the Company's Quarterly Report on Form 10-Q (File No. 001-07819) as filed with the SEC on February</w:t>
              </w:r>
            </w:hyperlink>
          </w:p>
        </w:tc>
      </w:tr>
    </w:tbl>
    <w:p>
      <w:pPr>
        <w:ind w:left="1880"/>
        <w:spacing w:after="0"/>
        <w:rPr>
          <w:sz w:val="20"/>
          <w:szCs w:val="20"/>
          <w:color w:val="auto"/>
        </w:rPr>
      </w:pPr>
      <w:r>
        <w:rPr>
          <w:rFonts w:ascii="Arial" w:cs="Arial" w:eastAsia="Arial" w:hAnsi="Arial"/>
          <w:sz w:val="18"/>
          <w:szCs w:val="18"/>
          <w:color w:val="auto"/>
        </w:rPr>
        <w:t>19, 2020 and incorporated herein by reference.</w:t>
      </w:r>
    </w:p>
    <w:p>
      <w:pPr>
        <w:sectPr>
          <w:pgSz w:w="11900" w:h="16838" w:orient="portrait"/>
          <w:cols w:equalWidth="0" w:num="1">
            <w:col w:w="11240"/>
          </w:cols>
          <w:pgMar w:left="320" w:top="895" w:right="339" w:bottom="1440" w:gutter="0" w:footer="0" w:header="0"/>
        </w:sectPr>
      </w:pPr>
    </w:p>
    <w:p>
      <w:pPr>
        <w:spacing w:after="0" w:line="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10.5#</w:t>
      </w:r>
    </w:p>
    <w:p>
      <w:pPr>
        <w:spacing w:after="0" w:line="3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ind w:right="80"/>
        <w:spacing w:after="0" w:line="224" w:lineRule="auto"/>
        <w:rPr>
          <w:rFonts w:ascii="Arial" w:cs="Arial" w:eastAsia="Arial" w:hAnsi="Arial"/>
          <w:sz w:val="18"/>
          <w:szCs w:val="18"/>
          <w:color w:val="0000FF"/>
        </w:rPr>
      </w:pPr>
      <w:hyperlink r:id="rId17">
        <w:r>
          <w:rPr>
            <w:rFonts w:ascii="Arial" w:cs="Arial" w:eastAsia="Arial" w:hAnsi="Arial"/>
            <w:sz w:val="18"/>
            <w:szCs w:val="18"/>
            <w:u w:val="single" w:color="auto"/>
            <w:color w:val="0000FF"/>
          </w:rPr>
          <w:t>Form of Restricted Stock Unit Agreement for Directors for usage under the Company's 2020 Equity Incentive Plan, filed as</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Exhibit 10.4</w:t>
        </w:r>
        <w:r>
          <w:rPr>
            <w:rFonts w:ascii="Arial" w:cs="Arial" w:eastAsia="Arial" w:hAnsi="Arial"/>
            <w:sz w:val="18"/>
            <w:szCs w:val="18"/>
            <w:color w:val="0000FF"/>
          </w:rPr>
          <w:t xml:space="preserve"> </w:t>
        </w:r>
        <w:r>
          <w:rPr>
            <w:rFonts w:ascii="Arial" w:cs="Arial" w:eastAsia="Arial" w:hAnsi="Arial"/>
            <w:sz w:val="18"/>
            <w:szCs w:val="18"/>
            <w:color w:val="000000"/>
          </w:rPr>
          <w:t xml:space="preserve">to the Company's Quarterly Report on Form 10-Q (File No. 001-07819) as filed with the SEC on February 19, </w:t>
        </w:r>
      </w:hyperlink>
      <w:r>
        <w:rPr>
          <w:rFonts w:ascii="Arial" w:cs="Arial" w:eastAsia="Arial" w:hAnsi="Arial"/>
          <w:sz w:val="18"/>
          <w:szCs w:val="18"/>
          <w:color w:val="0000FF"/>
        </w:rPr>
        <w:t xml:space="preserve">2020 </w:t>
      </w:r>
      <w:r>
        <w:rPr>
          <w:rFonts w:ascii="Arial" w:cs="Arial" w:eastAsia="Arial" w:hAnsi="Arial"/>
          <w:sz w:val="18"/>
          <w:szCs w:val="18"/>
          <w:color w:val="000000"/>
        </w:rPr>
        <w:t>and incorporated herein by reference.</w:t>
      </w:r>
    </w:p>
    <w:p>
      <w:pPr>
        <w:spacing w:after="0" w:line="1" w:lineRule="exact"/>
        <w:rPr>
          <w:sz w:val="20"/>
          <w:szCs w:val="20"/>
          <w:color w:val="auto"/>
        </w:rPr>
      </w:pPr>
    </w:p>
    <w:p>
      <w:pPr>
        <w:jc w:val="both"/>
        <w:ind w:right="280"/>
        <w:spacing w:after="0" w:line="237" w:lineRule="auto"/>
        <w:rPr>
          <w:rFonts w:ascii="Arial" w:cs="Arial" w:eastAsia="Arial" w:hAnsi="Arial"/>
          <w:sz w:val="17"/>
          <w:szCs w:val="17"/>
          <w:color w:val="0000FF"/>
        </w:rPr>
      </w:pPr>
      <w:hyperlink r:id="rId18">
        <w:r>
          <w:rPr>
            <w:rFonts w:ascii="Arial" w:cs="Arial" w:eastAsia="Arial" w:hAnsi="Arial"/>
            <w:sz w:val="17"/>
            <w:szCs w:val="17"/>
            <w:u w:val="single" w:color="auto"/>
            <w:color w:val="0000FF"/>
          </w:rPr>
          <w:t>Form of Relative Total Shareholder Return Performance Restricted Stock Unit Agreement for Employees for usage under the</w:t>
        </w:r>
      </w:hyperlink>
      <w:r>
        <w:rPr>
          <w:rFonts w:ascii="Arial" w:cs="Arial" w:eastAsia="Arial" w:hAnsi="Arial"/>
          <w:sz w:val="17"/>
          <w:szCs w:val="17"/>
          <w:u w:val="single" w:color="auto"/>
          <w:color w:val="0000FF"/>
        </w:rPr>
        <w:t xml:space="preserve"> </w:t>
      </w:r>
      <w:hyperlink r:id="rId18">
        <w:r>
          <w:rPr>
            <w:rFonts w:ascii="Arial" w:cs="Arial" w:eastAsia="Arial" w:hAnsi="Arial"/>
            <w:sz w:val="17"/>
            <w:szCs w:val="17"/>
            <w:u w:val="single" w:color="auto"/>
            <w:color w:val="0000FF"/>
          </w:rPr>
          <w:t>Company's 2020 Equity Incentive Plan, filed as Exhibit 10.5</w:t>
        </w:r>
        <w:r>
          <w:rPr>
            <w:rFonts w:ascii="Arial" w:cs="Arial" w:eastAsia="Arial" w:hAnsi="Arial"/>
            <w:sz w:val="17"/>
            <w:szCs w:val="17"/>
            <w:color w:val="0000FF"/>
          </w:rPr>
          <w:t xml:space="preserve"> </w:t>
        </w:r>
        <w:r>
          <w:rPr>
            <w:rFonts w:ascii="Arial" w:cs="Arial" w:eastAsia="Arial" w:hAnsi="Arial"/>
            <w:sz w:val="17"/>
            <w:szCs w:val="17"/>
            <w:color w:val="000000"/>
          </w:rPr>
          <w:t>to the Company's Quarterly Report on Form 10-Q (File No. 001</w:t>
        </w:r>
      </w:hyperlink>
      <w:r>
        <w:rPr>
          <w:rFonts w:ascii="Arial" w:cs="Arial" w:eastAsia="Arial" w:hAnsi="Arial"/>
          <w:sz w:val="17"/>
          <w:szCs w:val="17"/>
          <w:color w:val="0000FF"/>
        </w:rPr>
        <w:t>-</w:t>
      </w:r>
      <w:r>
        <w:rPr>
          <w:rFonts w:ascii="Arial" w:cs="Arial" w:eastAsia="Arial" w:hAnsi="Arial"/>
          <w:sz w:val="17"/>
          <w:szCs w:val="17"/>
          <w:color w:val="000000"/>
        </w:rPr>
        <w:t>07819) as filed with the SEC on February 19, 2020 and incorporated herein by reference.</w:t>
      </w:r>
    </w:p>
    <w:p>
      <w:pPr>
        <w:spacing w:after="0" w:line="14" w:lineRule="exact"/>
        <w:rPr>
          <w:sz w:val="20"/>
          <w:szCs w:val="20"/>
          <w:color w:val="auto"/>
        </w:rPr>
      </w:pPr>
    </w:p>
    <w:p>
      <w:pPr>
        <w:sectPr>
          <w:pgSz w:w="11900" w:h="16838" w:orient="portrait"/>
          <w:cols w:equalWidth="0" w:num="2">
            <w:col w:w="1160" w:space="720"/>
            <w:col w:w="9360"/>
          </w:cols>
          <w:pgMar w:left="320" w:top="895" w:right="33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9680" w:type="dxa"/>
            <w:vAlign w:val="bottom"/>
          </w:tcPr>
          <w:p>
            <w:pPr>
              <w:ind w:left="360"/>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30"/>
        </w:trPr>
        <w:tc>
          <w:tcPr>
            <w:tcW w:w="1060" w:type="dxa"/>
            <w:vAlign w:val="bottom"/>
          </w:tcPr>
          <w:p>
            <w:pPr>
              <w:spacing w:after="0"/>
              <w:rPr>
                <w:sz w:val="20"/>
                <w:szCs w:val="20"/>
                <w:color w:val="auto"/>
              </w:rPr>
            </w:pPr>
          </w:p>
        </w:tc>
        <w:tc>
          <w:tcPr>
            <w:tcW w:w="9680" w:type="dxa"/>
            <w:vAlign w:val="bottom"/>
          </w:tcPr>
          <w:p>
            <w:pPr>
              <w:ind w:left="360"/>
              <w:spacing w:after="0"/>
              <w:rPr>
                <w:sz w:val="20"/>
                <w:szCs w:val="20"/>
                <w:color w:val="auto"/>
              </w:rPr>
            </w:pPr>
            <w:r>
              <w:rPr>
                <w:rFonts w:ascii="Arial" w:cs="Arial" w:eastAsia="Arial" w:hAnsi="Arial"/>
                <w:sz w:val="18"/>
                <w:szCs w:val="18"/>
                <w:color w:val="auto"/>
              </w:rPr>
              <w:t>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9680" w:type="dxa"/>
            <w:vAlign w:val="bottom"/>
          </w:tcPr>
          <w:p>
            <w:pPr>
              <w:ind w:left="360"/>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9680" w:type="dxa"/>
            <w:vAlign w:val="bottom"/>
          </w:tcPr>
          <w:p>
            <w:pPr>
              <w:ind w:left="360"/>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9680" w:type="dxa"/>
            <w:vAlign w:val="bottom"/>
          </w:tcPr>
          <w:p>
            <w:pPr>
              <w:ind w:left="360"/>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9680" w:type="dxa"/>
            <w:vAlign w:val="bottom"/>
          </w:tcPr>
          <w:p>
            <w:pPr>
              <w:ind w:left="360"/>
              <w:spacing w:after="0"/>
              <w:rPr>
                <w:sz w:val="20"/>
                <w:szCs w:val="20"/>
                <w:color w:val="auto"/>
              </w:rPr>
            </w:pPr>
            <w:r>
              <w:rPr>
                <w:rFonts w:ascii="Arial" w:cs="Arial" w:eastAsia="Arial" w:hAnsi="Arial"/>
                <w:sz w:val="18"/>
                <w:szCs w:val="18"/>
                <w:color w:val="auto"/>
              </w:rPr>
              <w:t>Inline XBRL Presentation Linkbase Document.**</w:t>
            </w: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9680" w:type="dxa"/>
            <w:vAlign w:val="bottom"/>
          </w:tcPr>
          <w:p>
            <w:pPr>
              <w:ind w:left="360"/>
              <w:spacing w:after="0"/>
              <w:rPr>
                <w:sz w:val="20"/>
                <w:szCs w:val="20"/>
                <w:color w:val="auto"/>
              </w:rPr>
            </w:pPr>
            <w:r>
              <w:rPr>
                <w:rFonts w:ascii="Arial" w:cs="Arial" w:eastAsia="Arial" w:hAnsi="Arial"/>
                <w:sz w:val="18"/>
                <w:szCs w:val="18"/>
                <w:color w:val="auto"/>
              </w:rPr>
              <w:t>Inline XBRL Definition Linkbase Document.**</w:t>
            </w:r>
          </w:p>
        </w:tc>
      </w:tr>
    </w:tbl>
    <w:p>
      <w:pPr>
        <w:spacing w:after="0" w:line="40" w:lineRule="exact"/>
        <w:rPr>
          <w:sz w:val="20"/>
          <w:szCs w:val="20"/>
          <w:color w:val="auto"/>
        </w:rPr>
      </w:pPr>
    </w:p>
    <w:p>
      <w:pPr>
        <w:ind w:left="1880" w:right="560" w:hanging="1224"/>
        <w:spacing w:after="0" w:line="277" w:lineRule="auto"/>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880" w:hanging="1179"/>
        <w:spacing w:after="0"/>
        <w:tabs>
          <w:tab w:leader="none" w:pos="1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63" w:lineRule="exact"/>
        <w:rPr>
          <w:sz w:val="20"/>
          <w:szCs w:val="20"/>
          <w:color w:val="auto"/>
        </w:rPr>
      </w:pPr>
    </w:p>
    <w:p>
      <w:pPr>
        <w:ind w:left="1880" w:hanging="1134"/>
        <w:spacing w:after="0"/>
        <w:tabs>
          <w:tab w:leader="none" w:pos="1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ind w:left="40"/>
        <w:spacing w:after="0"/>
        <w:tabs>
          <w:tab w:leader="none" w:pos="660" w:val="left"/>
          <w:tab w:leader="none" w:pos="6000" w:val="left"/>
        </w:tabs>
        <w:rPr>
          <w:sz w:val="20"/>
          <w:szCs w:val="20"/>
          <w:color w:val="auto"/>
        </w:rPr>
      </w:pPr>
      <w:r>
        <w:rPr>
          <w:rFonts w:ascii="Arial" w:cs="Arial" w:eastAsia="Arial" w:hAnsi="Arial"/>
          <w:sz w:val="18"/>
          <w:szCs w:val="18"/>
          <w:color w:val="auto"/>
        </w:rPr>
        <w:t>Date:</w:t>
        <w:tab/>
        <w:t>March 11, 2020</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31750</wp:posOffset>
            </wp:positionV>
            <wp:extent cx="1962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0980"/>
      </w:cols>
      <w:pgMar w:left="320" w:top="989"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5"/>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11" Type="http://schemas.openxmlformats.org/officeDocument/2006/relationships/hyperlink" Target="http://www.sec.gov/Archives/edgar/data/6281/000119312520013584/d796344ddef14a.htm" TargetMode="External"/><Relationship Id="rId14" Type="http://schemas.openxmlformats.org/officeDocument/2006/relationships/hyperlink" Target="http://www.sec.gov/Archives/edgar/data/6281/000000628120000013/financialprsuagreement.htm" TargetMode="External"/><Relationship Id="rId15" Type="http://schemas.openxmlformats.org/officeDocument/2006/relationships/hyperlink" Target="http://www.sec.gov/Archives/edgar/data/6281/000000628120000013/globalnqagreementappen.htm" TargetMode="External"/><Relationship Id="rId16" Type="http://schemas.openxmlformats.org/officeDocument/2006/relationships/hyperlink" Target="http://www.sec.gov/Archives/edgar/data/6281/000000628120000013/globalrsuagreement2020.htm" TargetMode="External"/><Relationship Id="rId17" Type="http://schemas.openxmlformats.org/officeDocument/2006/relationships/hyperlink" Target="http://www.sec.gov/Archives/edgar/data/6281/000000628120000013/directorannualrsuagree.htm" TargetMode="External"/><Relationship Id="rId18" Type="http://schemas.openxmlformats.org/officeDocument/2006/relationships/hyperlink" Target="http://www.sec.gov/Archives/edgar/data/6281/000000628120000013/tsrprsuagreement2020e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2020-03-11T15:02:50Z</dcterms:created>
  <dcterms:modified xsi:type="dcterms:W3CDTF">2020-03-11T15:02:50Z</dcterms:modified>
</cp:coreProperties>
</file>