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158750</wp:posOffset>
            </wp:positionV>
            <wp:extent cx="192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SD</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124460</wp:posOffset>
            </wp:positionV>
            <wp:extent cx="1929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8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tbl>
      <w:tblPr>
        <w:tblLayout w:type="fixed"/>
        <w:tblInd w:w="600" w:type="dxa"/>
        <w:tblCellMar>
          <w:top w:w="0" w:type="dxa"/>
          <w:left w:w="0" w:type="dxa"/>
          <w:bottom w:w="0" w:type="dxa"/>
          <w:right w:w="0" w:type="dxa"/>
        </w:tblCellMar>
      </w:tblPr>
      <w:tr>
        <w:trPr>
          <w:trHeight w:val="230"/>
        </w:trPr>
        <w:tc>
          <w:tcPr>
            <w:tcW w:w="7300" w:type="dxa"/>
            <w:vAlign w:val="bottom"/>
            <w:gridSpan w:val="3"/>
          </w:tcPr>
          <w:p>
            <w:pPr>
              <w:ind w:left="3220"/>
              <w:spacing w:after="0"/>
              <w:rPr>
                <w:sz w:val="20"/>
                <w:szCs w:val="20"/>
                <w:color w:val="auto"/>
              </w:rPr>
            </w:pPr>
            <w:r>
              <w:rPr>
                <w:rFonts w:ascii="Arial" w:cs="Arial" w:eastAsia="Arial" w:hAnsi="Arial"/>
                <w:sz w:val="18"/>
                <w:szCs w:val="18"/>
                <w:i w:val="1"/>
                <w:iCs w:val="1"/>
                <w:color w:val="auto"/>
                <w:w w:val="98"/>
              </w:rPr>
              <w:t>(Exact name of registrant as specified in its charter)</w:t>
            </w:r>
          </w:p>
        </w:tc>
        <w:tc>
          <w:tcPr>
            <w:tcW w:w="2380" w:type="dxa"/>
            <w:vAlign w:val="bottom"/>
          </w:tcPr>
          <w:p>
            <w:pPr>
              <w:spacing w:after="0"/>
              <w:rPr>
                <w:sz w:val="20"/>
                <w:szCs w:val="20"/>
                <w:color w:val="auto"/>
              </w:rPr>
            </w:pPr>
          </w:p>
        </w:tc>
      </w:tr>
      <w:tr>
        <w:trPr>
          <w:trHeight w:val="187"/>
        </w:trPr>
        <w:tc>
          <w:tcPr>
            <w:tcW w:w="3600" w:type="dxa"/>
            <w:vAlign w:val="bottom"/>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493"/>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85"/>
              </w:rPr>
              <w:t>Massachusetts</w:t>
            </w:r>
          </w:p>
        </w:tc>
        <w:tc>
          <w:tcPr>
            <w:tcW w:w="2380" w:type="dxa"/>
            <w:vAlign w:val="bottom"/>
          </w:tcPr>
          <w:p>
            <w:pPr>
              <w:jc w:val="center"/>
              <w:ind w:left="237"/>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7300" w:type="dxa"/>
            <w:vAlign w:val="bottom"/>
            <w:gridSpan w:val="3"/>
          </w:tcPr>
          <w:p>
            <w:pPr>
              <w:jc w:val="center"/>
              <w:ind w:right="380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380" w:type="dxa"/>
            <w:vAlign w:val="bottom"/>
          </w:tcPr>
          <w:p>
            <w:pPr>
              <w:jc w:val="center"/>
              <w:ind w:left="23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9"/>
        </w:trPr>
        <w:tc>
          <w:tcPr>
            <w:tcW w:w="3600" w:type="dxa"/>
            <w:vAlign w:val="bottom"/>
          </w:tcPr>
          <w:p>
            <w:pPr>
              <w:spacing w:after="0"/>
              <w:rPr>
                <w:sz w:val="24"/>
                <w:szCs w:val="24"/>
                <w:color w:val="auto"/>
              </w:rPr>
            </w:pPr>
          </w:p>
        </w:tc>
        <w:tc>
          <w:tcPr>
            <w:tcW w:w="3700" w:type="dxa"/>
            <w:vAlign w:val="bottom"/>
            <w:gridSpan w:val="2"/>
          </w:tcPr>
          <w:p>
            <w:pPr>
              <w:ind w:left="780"/>
              <w:spacing w:after="0"/>
              <w:rPr>
                <w:sz w:val="20"/>
                <w:szCs w:val="20"/>
                <w:color w:val="auto"/>
              </w:rPr>
            </w:pPr>
            <w:r>
              <w:rPr>
                <w:rFonts w:ascii="Arial" w:cs="Arial" w:eastAsia="Arial" w:hAnsi="Arial"/>
                <w:sz w:val="18"/>
                <w:szCs w:val="18"/>
                <w:b w:val="1"/>
                <w:bCs w:val="1"/>
                <w:color w:val="auto"/>
              </w:rPr>
              <w:t>1-7819 (Commission File</w:t>
            </w:r>
          </w:p>
        </w:tc>
        <w:tc>
          <w:tcPr>
            <w:tcW w:w="2380" w:type="dxa"/>
            <w:vAlign w:val="bottom"/>
          </w:tcPr>
          <w:p>
            <w:pPr>
              <w:spacing w:after="0"/>
              <w:rPr>
                <w:sz w:val="24"/>
                <w:szCs w:val="24"/>
                <w:color w:val="auto"/>
              </w:rPr>
            </w:pPr>
          </w:p>
        </w:tc>
      </w:tr>
      <w:tr>
        <w:trPr>
          <w:trHeight w:val="234"/>
        </w:trPr>
        <w:tc>
          <w:tcPr>
            <w:tcW w:w="3600" w:type="dxa"/>
            <w:vAlign w:val="bottom"/>
          </w:tcPr>
          <w:p>
            <w:pPr>
              <w:spacing w:after="0"/>
              <w:rPr>
                <w:sz w:val="20"/>
                <w:szCs w:val="20"/>
                <w:color w:val="auto"/>
              </w:rPr>
            </w:pPr>
          </w:p>
        </w:tc>
        <w:tc>
          <w:tcPr>
            <w:tcW w:w="3700" w:type="dxa"/>
            <w:vAlign w:val="bottom"/>
            <w:gridSpan w:val="2"/>
          </w:tcPr>
          <w:p>
            <w:pPr>
              <w:ind w:left="1520"/>
              <w:spacing w:after="0"/>
              <w:rPr>
                <w:sz w:val="20"/>
                <w:szCs w:val="20"/>
                <w:color w:val="auto"/>
              </w:rPr>
            </w:pPr>
            <w:r>
              <w:rPr>
                <w:rFonts w:ascii="Arial" w:cs="Arial" w:eastAsia="Arial" w:hAnsi="Arial"/>
                <w:sz w:val="18"/>
                <w:szCs w:val="18"/>
                <w:b w:val="1"/>
                <w:bCs w:val="1"/>
                <w:color w:val="auto"/>
              </w:rPr>
              <w:t>No.)</w:t>
            </w:r>
          </w:p>
        </w:tc>
        <w:tc>
          <w:tcPr>
            <w:tcW w:w="2380" w:type="dxa"/>
            <w:vAlign w:val="bottom"/>
          </w:tcPr>
          <w:p>
            <w:pPr>
              <w:spacing w:after="0"/>
              <w:rPr>
                <w:sz w:val="20"/>
                <w:szCs w:val="20"/>
                <w:color w:val="auto"/>
              </w:rPr>
            </w:pPr>
          </w:p>
        </w:tc>
      </w:tr>
      <w:tr>
        <w:trPr>
          <w:trHeight w:val="270"/>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91"/>
              </w:rPr>
              <w:t>One Technology Way, Norwood, MA</w:t>
            </w:r>
          </w:p>
        </w:tc>
        <w:tc>
          <w:tcPr>
            <w:tcW w:w="2380" w:type="dxa"/>
            <w:vAlign w:val="bottom"/>
          </w:tcPr>
          <w:p>
            <w:pPr>
              <w:jc w:val="center"/>
              <w:ind w:left="237"/>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7300" w:type="dxa"/>
            <w:vAlign w:val="bottom"/>
            <w:gridSpan w:val="3"/>
          </w:tcPr>
          <w:p>
            <w:pPr>
              <w:jc w:val="center"/>
              <w:ind w:right="3800"/>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2380" w:type="dxa"/>
            <w:vAlign w:val="bottom"/>
          </w:tcPr>
          <w:p>
            <w:pPr>
              <w:jc w:val="center"/>
              <w:ind w:left="237"/>
              <w:spacing w:after="0"/>
              <w:rPr>
                <w:sz w:val="20"/>
                <w:szCs w:val="20"/>
                <w:color w:val="auto"/>
              </w:rPr>
            </w:pPr>
            <w:r>
              <w:rPr>
                <w:rFonts w:ascii="Arial" w:cs="Arial" w:eastAsia="Arial" w:hAnsi="Arial"/>
                <w:sz w:val="14"/>
                <w:szCs w:val="14"/>
                <w:i w:val="1"/>
                <w:iCs w:val="1"/>
                <w:color w:val="auto"/>
                <w:w w:val="93"/>
              </w:rPr>
              <w:t>(Zip Code)</w:t>
            </w:r>
          </w:p>
        </w:tc>
      </w:tr>
      <w:tr>
        <w:trPr>
          <w:trHeight w:val="525"/>
        </w:trPr>
        <w:tc>
          <w:tcPr>
            <w:tcW w:w="7300" w:type="dxa"/>
            <w:vAlign w:val="bottom"/>
            <w:gridSpan w:val="3"/>
          </w:tcPr>
          <w:p>
            <w:pPr>
              <w:jc w:val="center"/>
              <w:ind w:right="3800"/>
              <w:spacing w:after="0"/>
              <w:rPr>
                <w:sz w:val="20"/>
                <w:szCs w:val="20"/>
                <w:color w:val="auto"/>
              </w:rPr>
            </w:pPr>
            <w:r>
              <w:rPr>
                <w:rFonts w:ascii="Arial" w:cs="Arial" w:eastAsia="Arial" w:hAnsi="Arial"/>
                <w:sz w:val="18"/>
                <w:szCs w:val="18"/>
                <w:b w:val="1"/>
                <w:bCs w:val="1"/>
                <w:color w:val="auto"/>
                <w:w w:val="92"/>
              </w:rPr>
              <w:t>Margaret Seif</w:t>
            </w:r>
          </w:p>
        </w:tc>
        <w:tc>
          <w:tcPr>
            <w:tcW w:w="2380" w:type="dxa"/>
            <w:vAlign w:val="bottom"/>
          </w:tcPr>
          <w:p>
            <w:pPr>
              <w:jc w:val="center"/>
              <w:ind w:left="237"/>
              <w:spacing w:after="0"/>
              <w:rPr>
                <w:sz w:val="20"/>
                <w:szCs w:val="20"/>
                <w:color w:val="auto"/>
              </w:rPr>
            </w:pPr>
            <w:r>
              <w:rPr>
                <w:rFonts w:ascii="Arial" w:cs="Arial" w:eastAsia="Arial" w:hAnsi="Arial"/>
                <w:sz w:val="18"/>
                <w:szCs w:val="18"/>
                <w:b w:val="1"/>
                <w:bCs w:val="1"/>
                <w:i w:val="1"/>
                <w:iCs w:val="1"/>
                <w:color w:val="auto"/>
                <w:w w:val="90"/>
              </w:rPr>
              <w:t>781-329-4700</w:t>
            </w:r>
          </w:p>
        </w:tc>
      </w:tr>
    </w:tbl>
    <w:p>
      <w:pPr>
        <w:spacing w:after="0" w:line="103" w:lineRule="exact"/>
        <w:rPr>
          <w:sz w:val="24"/>
          <w:szCs w:val="24"/>
          <w:color w:val="auto"/>
        </w:rPr>
      </w:pPr>
    </w:p>
    <w:p>
      <w:pPr>
        <w:ind w:left="720"/>
        <w:spacing w:after="0"/>
        <w:rPr>
          <w:sz w:val="20"/>
          <w:szCs w:val="20"/>
          <w:color w:val="auto"/>
        </w:rPr>
      </w:pPr>
      <w:r>
        <w:rPr>
          <w:rFonts w:ascii="Arial" w:cs="Arial" w:eastAsia="Arial" w:hAnsi="Arial"/>
          <w:sz w:val="14"/>
          <w:szCs w:val="14"/>
          <w:color w:val="auto"/>
        </w:rPr>
        <w:t>Senior Vice President, Chief Legal Officer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 w:lineRule="exact"/>
        <w:rPr>
          <w:sz w:val="24"/>
          <w:szCs w:val="24"/>
          <w:color w:val="auto"/>
        </w:rPr>
      </w:pPr>
    </w:p>
    <w:p>
      <w:pPr>
        <w:ind w:left="2640"/>
        <w:spacing w:after="0"/>
        <w:rPr>
          <w:sz w:val="20"/>
          <w:szCs w:val="20"/>
          <w:color w:val="auto"/>
        </w:rPr>
      </w:pPr>
      <w:r>
        <w:rPr>
          <w:rFonts w:ascii="Arial" w:cs="Arial" w:eastAsia="Arial" w:hAnsi="Arial"/>
          <w:sz w:val="14"/>
          <w:szCs w:val="14"/>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2132965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2047240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1"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1.01 - Conflict Minerals Disclosure and Report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1.02 - Exhibit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Conflict Minerals Disclosure</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Analog Devices, Inc. has filed a Conflict Minerals Report as Exhibit 1.01 hereto. The Report is publicly available at www.analog.com under the heading "Investor Relations." The content of any website referred to in this Form SD is included for general information only and is not incorporated by reference in this Form SD.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 Exhibits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2.01 Exhibits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Exhibit 1.01 - Conflict Minerals Report as required by Items 1.01 and 1.02 of this Form.</w:t>
      </w:r>
    </w:p>
    <w:p>
      <w:pPr>
        <w:sectPr>
          <w:pgSz w:w="11900" w:h="16838" w:orient="portrait"/>
          <w:cols w:equalWidth="0" w:num="1">
            <w:col w:w="11080"/>
          </w:cols>
          <w:pgMar w:left="240" w:top="625" w:right="5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41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(registrant)</w:t>
      </w:r>
    </w:p>
    <w:p>
      <w:pPr>
        <w:spacing w:after="0" w:line="341" w:lineRule="exact"/>
        <w:rPr>
          <w:sz w:val="20"/>
          <w:szCs w:val="20"/>
          <w:color w:val="auto"/>
        </w:rPr>
      </w:pPr>
    </w:p>
    <w:p>
      <w:pPr>
        <w:ind w:left="60"/>
        <w:spacing w:after="0"/>
        <w:tabs>
          <w:tab w:leader="none" w:pos="6880" w:val="left"/>
        </w:tabs>
        <w:rPr>
          <w:sz w:val="20"/>
          <w:szCs w:val="20"/>
          <w:color w:val="auto"/>
        </w:rPr>
      </w:pPr>
      <w:r>
        <w:rPr>
          <w:rFonts w:ascii="Arial" w:cs="Arial" w:eastAsia="Arial" w:hAnsi="Arial"/>
          <w:sz w:val="22"/>
          <w:szCs w:val="22"/>
          <w:color w:val="auto"/>
        </w:rPr>
        <w:t>/S/ DAVID A. ZINSNER</w:t>
      </w:r>
      <w:r>
        <w:rPr>
          <w:sz w:val="20"/>
          <w:szCs w:val="20"/>
          <w:color w:val="auto"/>
        </w:rPr>
        <w:tab/>
      </w:r>
      <w:r>
        <w:rPr>
          <w:rFonts w:ascii="Arial" w:cs="Arial" w:eastAsia="Arial" w:hAnsi="Arial"/>
          <w:sz w:val="19"/>
          <w:szCs w:val="19"/>
          <w:color w:val="auto"/>
        </w:rPr>
        <w:t>Dated: May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8417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David A. Zinsner</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Senior Vice President, Finance</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and Chief Financial Officer</w:t>
      </w:r>
    </w:p>
    <w:p>
      <w:pPr>
        <w:sectPr>
          <w:pgSz w:w="11900" w:h="16838" w:orient="portrait"/>
          <w:cols w:equalWidth="0" w:num="1">
            <w:col w:w="11160"/>
          </w:cols>
          <w:pgMar w:left="240" w:top="847"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1.01</w:t>
      </w:r>
    </w:p>
    <w:p>
      <w:pPr>
        <w:spacing w:after="0" w:line="250" w:lineRule="exact"/>
        <w:rPr>
          <w:sz w:val="20"/>
          <w:szCs w:val="20"/>
          <w:color w:val="auto"/>
        </w:rPr>
      </w:pPr>
    </w:p>
    <w:p>
      <w:pPr>
        <w:jc w:val="center"/>
        <w:spacing w:after="0" w:line="257" w:lineRule="auto"/>
        <w:rPr>
          <w:sz w:val="20"/>
          <w:szCs w:val="20"/>
          <w:color w:val="auto"/>
        </w:rPr>
      </w:pPr>
      <w:r>
        <w:rPr>
          <w:rFonts w:ascii="Arial" w:cs="Arial" w:eastAsia="Arial" w:hAnsi="Arial"/>
          <w:sz w:val="20"/>
          <w:szCs w:val="20"/>
          <w:b w:val="1"/>
          <w:bCs w:val="1"/>
          <w:color w:val="auto"/>
        </w:rPr>
        <w:t>CONFLICT MINERALS REPORT OF ANALOG DEVICES, INC. IN ACCORDANCE WITH RULE 13P-1 UNDER THE SECURITIES EXCHANGE ACT OF 1934 (UNAUDITED)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 Introduction</w:t>
      </w:r>
    </w:p>
    <w:p>
      <w:pPr>
        <w:spacing w:after="0" w:line="262"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is the Conflict Minerals Report of Analog Devices, Inc. (“Analog Devices”, “we”, “our”) for calendar year 2015 in accordance with Rule 13p-1 under the Securities Exchange Act of 1934 (“Rule 13p-1”). Numerous terms in this Report are defined in Rule 13p-1 and Form SD and the reader is referred to those sources and to 1934 Act Release No. 34-67716 (August 22, 2012) for such definitions and explanations thereof.</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Gold, tantalum, tin or tungsten (collectively, “conflict minerals”) are necessary to the functionality or production of products manufactured or contracted to be manufactured by Analog Devices. Such products include Integrated Circuits, Assembled Products and Evaluation Boards, which (depending on the product) contain one or more conflict minerals (collectively, the “Products”). Based on the Reasonable Country of Origin Inquiry described below, Analog Devices either knows that necessary conflict minerals originated in the Democratic Republic of the Congo or an adjoining country (collectively, “Covered Countries”) and are not from recycled or scrap sources, or has reason to believe that necessary conflict minerals may have originated in the Covered Countries and has reason to believe that they may not be from recycled or scrap sources. Accordingly we undertook due diligence to determine whether the necessary conflict minerals in the Products did originate or may have originated in the Covered Countries.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Analog Devices is many steps removed from the mining of the conflict minerals; we do not purchase raw ore or unrefined conflict minerals, and we do no purchasing in the Covered Countries. We either purchase conflict minerals indirectly from a smelter or refiner for use in our manufacturing processes or purchase components from suppliers that incorporate conflict minerals. The mine or other point of origin of conflict minerals cannot be determined with any certainty once the raw ores are smelted, refined and converted to ingots, bullion or other conflict-mineral containing derivatives. Smelters and refiners are consolidating points for raw ore and are therefore in the best position in the total supply chain to know the origin of the ores. Our due diligence measures were based on multi-industry initiatives with the smelters and refiners of conflict minerals who provide those conflict minerals to Analog Devices’ suppliers.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1.1: Company Overview</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Analog Devices, Inc. is a world leader in the design, manufacture and marketing of a broad portfolio of solutions that leverage high-performance analog, mixed-signal and digital signal processing technology, including integrated circuits (ICs), algorithms, software, and subsystems. We were incorporated in Massachusetts in 1965. Our headquarters are near Boston, in Norwood, Massachusetts. In addition, we have manufacturing facilities in Massachusetts, Ireland, and the Philippines, and have more than thirty design facilities worldwide. Since our inception in 1965, we have focused on solving the engineering challenges associated with signal processing in virtually all types of electronic equipment. Our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w:t>
      </w:r>
    </w:p>
    <w:p>
      <w:pPr>
        <w:sectPr>
          <w:pgSz w:w="11900" w:h="16838" w:orient="portrait"/>
          <w:cols w:equalWidth="0" w:num="1">
            <w:col w:w="11420"/>
          </w:cols>
          <w:pgMar w:left="240" w:top="622" w:right="239" w:bottom="1440" w:gutter="0" w:footer="0" w:header="0"/>
        </w:sectPr>
      </w:pPr>
    </w:p>
    <w:bookmarkStart w:id="4" w:name="page5"/>
    <w:bookmarkEnd w:id="4"/>
    <w:p>
      <w:pPr>
        <w:jc w:val="both"/>
        <w:spacing w:after="0" w:line="278" w:lineRule="auto"/>
        <w:rPr>
          <w:sz w:val="20"/>
          <w:szCs w:val="20"/>
          <w:color w:val="auto"/>
        </w:rPr>
      </w:pPr>
      <w:r>
        <w:rPr>
          <w:rFonts w:ascii="Arial" w:cs="Arial" w:eastAsia="Arial" w:hAnsi="Arial"/>
          <w:sz w:val="18"/>
          <w:szCs w:val="18"/>
          <w:color w:val="auto"/>
        </w:rPr>
        <w:t>for high-performance analog signal processing and digital signal processing (DSP) technology are generated. We focus on sensing, measurement, and connectivity challenges that apply to a diverse set of customers and markets. We combine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we adapt to specific customer and market needs, leveraging our engineering investment across a broad base of customers.</w:t>
      </w:r>
    </w:p>
    <w:p>
      <w:pPr>
        <w:spacing w:after="0" w:line="219"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We focus on key strategic markets where our signal processing technology is often a critical differentiator in our customers’ products, in particular, the industrial, automotive, consumer and communications markets.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1.2 Principal Products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We design, manufacture and market a broad line of high-performance ICs that incorporate analog, mixed-signal and digital signal processing technologies. Our ICs are designed to address a wide range of real-world signal processing applications. We sell our ICs to tens of thousands of customers worldwide, many of whom use products spanning our core technologies in a wide range of applications. Our IC product portfolio includes both general-purpose products used by a broad range of customers and applications, as well as application-specific products designed for specific clusters of customers in key target markets. By using readily available, high-performance, general-purpose products in their systems, our customers can reduce the time they need to bring new products to market. Given the high cost of developing more customized ICs, our standard products often provide a cost-effective solution for many low to medium volume applications. We also focus on working with leading customers to design application-specific solutions. We begin with our existing core technologies, which leverage our data conversion, amplification, RF and microwave, MEMS, power management and DSP capabilities, and devise a solution to more closely meet the needs of a specific customer or group of customers. Because we have already developed the core technology platform for our general-purpose products, we can create application-specific solutions quickly.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produce and market a broad range of ICs and operate in one reportable segment based on the aggregation of six operating segments. The ICs sold by each of our operating segments are manufactured using similar semiconductor manufacturing processes and raw materials in either our own production facilities or by third-party wafer fabricators using proprietary processes. Our ICs are sold to customers globally through a direct sales force, third-party distributors, independent sales representatives and via our website. Our ten highest revenue products, in the aggregate, accounted for approximately 16% of our revenue for our fiscal year ended October 31, 2015 (fiscal 2015). In July 2014, we acquired Hittite Microwave Corporation (Hittite), a company that designed and developed high performance integrated circuits, modules, subsystems and instrumentation for radio frequency, microwave and millimeterwave applications. Hittite’s supply chain is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 Conflict Minerals Policy</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Analog Devices has adopted a Conflict Minerals Policy. The ADI Conflict Minerals Policy is publicly available on our website (http://www.analog.com/media/en/Other/About-ADI/Sustainability/Analog_Devices_Conflict_Minerals_Policy_Statement.pdf) and is a key component of our conflict minerals program framework systems. This policy:</w:t>
      </w:r>
    </w:p>
    <w:p>
      <w:pPr>
        <w:spacing w:after="0" w:line="322" w:lineRule="exact"/>
        <w:rPr>
          <w:sz w:val="20"/>
          <w:szCs w:val="20"/>
          <w:color w:val="auto"/>
        </w:rPr>
      </w:pPr>
    </w:p>
    <w:p>
      <w:pPr>
        <w:ind w:left="560" w:hanging="309"/>
        <w:spacing w:after="0"/>
        <w:tabs>
          <w:tab w:leader="none" w:pos="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reflects ADI’s commitment to ethical practices and compliance with applicable laws and regulations,</w:t>
      </w:r>
    </w:p>
    <w:p>
      <w:pPr>
        <w:sectPr>
          <w:pgSz w:w="11900" w:h="16838" w:orient="portrait"/>
          <w:cols w:equalWidth="0" w:num="1">
            <w:col w:w="11420"/>
          </w:cols>
          <w:pgMar w:left="240" w:top="366" w:right="239" w:bottom="1440" w:gutter="0" w:footer="0" w:header="0"/>
        </w:sectPr>
      </w:pPr>
    </w:p>
    <w:bookmarkStart w:id="5" w:name="page6"/>
    <w:bookmarkEnd w:id="5"/>
    <w:p>
      <w:pPr>
        <w:ind w:left="580" w:hanging="329"/>
        <w:spacing w:after="0" w:line="316" w:lineRule="auto"/>
        <w:tabs>
          <w:tab w:leader="none" w:pos="562"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includes ADI’s actions to collaborate with other concerned electronics companies, under the EICC-GeSI Conflict-Free Sourcing Initiative (CFSI), in developing methods to track the origin of conflict minerals used in the manufacture of electronic products,</w:t>
      </w:r>
    </w:p>
    <w:p>
      <w:pPr>
        <w:spacing w:after="0" w:line="288" w:lineRule="exact"/>
        <w:rPr>
          <w:rFonts w:ascii="Arial" w:cs="Arial" w:eastAsia="Arial" w:hAnsi="Arial"/>
          <w:sz w:val="19"/>
          <w:szCs w:val="19"/>
          <w:color w:val="auto"/>
        </w:rPr>
      </w:pPr>
    </w:p>
    <w:p>
      <w:pPr>
        <w:ind w:left="580" w:hanging="329"/>
        <w:spacing w:after="0" w:line="347" w:lineRule="auto"/>
        <w:tabs>
          <w:tab w:leader="none" w:pos="56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ADI’s support of the Conflict-Free Smelter Program (CFSP) in assessing activities, processes, and systems used by the smelter or refiner (SOR) facility to conduct upstream supply chain due diligence of minerals for conflict-affected and high-risk areas, and</w:t>
      </w:r>
    </w:p>
    <w:p>
      <w:pPr>
        <w:spacing w:after="0" w:line="252" w:lineRule="exact"/>
        <w:rPr>
          <w:rFonts w:ascii="Arial" w:cs="Arial" w:eastAsia="Arial" w:hAnsi="Arial"/>
          <w:sz w:val="18"/>
          <w:szCs w:val="18"/>
          <w:color w:val="auto"/>
        </w:rPr>
      </w:pPr>
    </w:p>
    <w:p>
      <w:pPr>
        <w:ind w:left="580" w:hanging="329"/>
        <w:spacing w:after="0" w:line="287" w:lineRule="auto"/>
        <w:tabs>
          <w:tab w:leader="none" w:pos="562" w:val="left"/>
        </w:tabs>
        <w:numPr>
          <w:ilvl w:val="0"/>
          <w:numId w:val="3"/>
        </w:numPr>
        <w:rPr>
          <w:rFonts w:ascii="Arial" w:cs="Arial" w:eastAsia="Arial" w:hAnsi="Arial"/>
          <w:sz w:val="19"/>
          <w:szCs w:val="19"/>
          <w:color w:val="auto"/>
        </w:rPr>
      </w:pPr>
      <w:r>
        <w:rPr>
          <w:rFonts w:ascii="Arial" w:cs="Arial" w:eastAsia="Arial" w:hAnsi="Arial"/>
          <w:sz w:val="19"/>
          <w:szCs w:val="19"/>
          <w:color w:val="auto"/>
        </w:rPr>
        <w:t>is communicated to ADI’s supply chain with the expectation of compliance with the conflict minerals policy, and for the suppliers to provide sourcing information using the EICC-GeSI Conflict Minerals Reporting Template (EICC-GeSI CMRT) as a standard.</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3: Conflict Minerals Team</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 internal team is tasked to implement our Conflict Minerals Policy and oversee ADI’s conflict-free minerals program. The Director of Environmental, Health, &amp; Safety (EH&amp;S), who reports to the Senior Vice President of Global Operations and Technology, is the assigned team leader and is supported by representatives from different functional groups.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4: Reasonable Country of Origin Inquiry (RCOI)</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Analog Devices engaged with our relevant suppliers to identify the smelters and refiners in our supply chain. We define relevant suppliers as those who supply materials to the Company that are known to contain any or all of the conflict minerals and that end up in our final products. We utilized a web-based platform, provided by a third party, to reach out to our relevant suppliers to request conflict minerals sourcing information using the EICC-GeSI Conflict Minerals Reporting Template (CMRT). Information provided by our relevant suppliers is reviewed for completeness and reasonableness, based on ADI’s knowledge of the supplier. If necessary, assessment reports were created to outline additional actions needed from suppliers regarding their submission, including but not limited to follow-up and escalation.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5: Due Diligence</w:t>
      </w:r>
    </w:p>
    <w:p>
      <w:pPr>
        <w:spacing w:after="0" w:line="2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0"/>
          <w:szCs w:val="20"/>
          <w:color w:val="auto"/>
        </w:rPr>
        <w:t>Design of Analog Devices’ due diligence framework</w:t>
      </w:r>
    </w:p>
    <w:p>
      <w:pPr>
        <w:spacing w:after="0" w:line="24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Analog Devices designed our due diligence measures to conform, in all material respects, with the internationally recognized due diligence framework in the OECD Due Diligence Guidance for Responsible Supply Chains of Minerals from Conflict-Affected and High-Risk Areas: Second Edition (OECD 2013) (“OECD Framework”), including related supplements for each of the conflict minerals.</w:t>
      </w:r>
    </w:p>
    <w:p>
      <w:pPr>
        <w:spacing w:after="0" w:line="224" w:lineRule="exact"/>
        <w:rPr>
          <w:sz w:val="20"/>
          <w:szCs w:val="20"/>
          <w:color w:val="auto"/>
        </w:rPr>
      </w:pPr>
    </w:p>
    <w:p>
      <w:pPr>
        <w:ind w:right="1380" w:firstLine="332"/>
        <w:spacing w:after="0" w:line="561"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8"/>
          <w:szCs w:val="18"/>
          <w:color w:val="auto"/>
        </w:rPr>
        <w:t>Description of Analog Devices’ due diligence measures performed with respect to products manufactured during 2015 Analog Devices’ due diligence measures performed with respect to products manufactured during 2015 included:</w:t>
      </w:r>
    </w:p>
    <w:p>
      <w:pPr>
        <w:spacing w:after="0" w:line="5" w:lineRule="exact"/>
        <w:rPr>
          <w:sz w:val="20"/>
          <w:szCs w:val="20"/>
          <w:color w:val="auto"/>
        </w:rPr>
      </w:pPr>
    </w:p>
    <w:p>
      <w:pPr>
        <w:ind w:left="660" w:hanging="328"/>
        <w:spacing w:after="0" w:line="265"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0"/>
          <w:szCs w:val="20"/>
          <w:color w:val="auto"/>
        </w:rPr>
        <w:t>Comparing the smelters and refiners identified by relevant suppliers via the CMRT against the CFSI list of smelter and refinery facilities that have received a “conflict free” designation for</w:t>
      </w:r>
    </w:p>
    <w:p>
      <w:pPr>
        <w:sectPr>
          <w:pgSz w:w="11900" w:h="16838" w:orient="portrait"/>
          <w:cols w:equalWidth="0" w:num="1">
            <w:col w:w="11420"/>
          </w:cols>
          <w:pgMar w:left="240" w:top="595" w:right="239" w:bottom="1440" w:gutter="0" w:footer="0" w:header="0"/>
        </w:sectPr>
      </w:pPr>
    </w:p>
    <w:bookmarkStart w:id="6" w:name="page7"/>
    <w:bookmarkEnd w:id="6"/>
    <w:p>
      <w:pPr>
        <w:ind w:left="660"/>
        <w:spacing w:after="0" w:line="289" w:lineRule="auto"/>
        <w:rPr>
          <w:sz w:val="20"/>
          <w:szCs w:val="20"/>
          <w:color w:val="auto"/>
        </w:rPr>
      </w:pPr>
      <w:r>
        <w:rPr>
          <w:rFonts w:ascii="Arial" w:cs="Arial" w:eastAsia="Arial" w:hAnsi="Arial"/>
          <w:sz w:val="20"/>
          <w:szCs w:val="20"/>
          <w:color w:val="auto"/>
        </w:rPr>
        <w:t>conflict minerals by participating in an independent third party smelter audit. We also validated the smelters status using CFSI’s Active Smelters and Refiners List.</w:t>
      </w:r>
    </w:p>
    <w:p>
      <w:pPr>
        <w:spacing w:after="0" w:line="175" w:lineRule="exact"/>
        <w:rPr>
          <w:sz w:val="20"/>
          <w:szCs w:val="20"/>
          <w:color w:val="auto"/>
        </w:rPr>
      </w:pPr>
    </w:p>
    <w:p>
      <w:pPr>
        <w:jc w:val="both"/>
        <w:ind w:left="660" w:hanging="328"/>
        <w:spacing w:after="0" w:line="243"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Gathering more information on smelters or refiners (SORs) that are not listed on the references mentioned above by working with the SOR directly, contacting the SOR indirectly through our suppliers, or conducting internet research. If the result of this data collection process indicates that the SOR is legitimately processing conflict minerals, we forward the SOR information to CFSI for further research. If, however, the result reveals that the SOR is not legitimate, we work with our supplier to conduct additional research on the SOR and to obtain information indicating that it is legitimate, otherwise, the supplier is asked to remove the alleged smelter from the supplier CMRT.</w:t>
      </w:r>
    </w:p>
    <w:p>
      <w:pPr>
        <w:spacing w:after="0" w:line="21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Reaching out directly to SORs who are no longer certified as conflict-free by a recognized certification program to gather information regarding their plans of recertification, or lack thereof. If the SOR decided not to pursue recertification, we will ask our supplier to discontinue engagement with the smelter.</w:t>
      </w:r>
    </w:p>
    <w:p>
      <w:pPr>
        <w:spacing w:after="0" w:line="199"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Working with our suppliers to strongly encourage smelters in our supply chain to participate in the CFSP or a similar program and to cease sourcing from SOR who decline to participate in a CFSP or similar program.</w:t>
      </w:r>
    </w:p>
    <w:p>
      <w:pPr>
        <w:spacing w:after="0" w:line="190"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Pursuing non-responsive suppliers to obtain a CMRT. Suppliers who failed to provide survey information were escalated to our purchasing group and the supplier’s management group. We will take measures up to and including termination of our relationship with the supplier, if warranted.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6: Risk Management Plan</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OECD guidelines for managing risk are largely directed towards the upstream portion of the supply chain (SORs and mines of origin). Nevertheless, ADI as a downstream company in the supply chain, participates in the Conflict-Free Sourcing Initiative (CFSI) under the EICC-GeSI industry consortium to identify and review the due diligence process of the smelters or refiners in the electronics industry supply chain. CFSI assesses and audits whether the SORs adhere to the due diligence measures per the OECD Guidance; compliant SORs are then designated as “conflict free” and listed as such on the CFSI website.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Our Risk Mitigation process includes the following:</w:t>
      </w:r>
    </w:p>
    <w:p>
      <w:pPr>
        <w:spacing w:after="0" w:line="337" w:lineRule="exact"/>
        <w:rPr>
          <w:sz w:val="20"/>
          <w:szCs w:val="20"/>
          <w:color w:val="auto"/>
        </w:rPr>
      </w:pPr>
    </w:p>
    <w:p>
      <w:pPr>
        <w:jc w:val="both"/>
        <w:ind w:left="660" w:hanging="328"/>
        <w:spacing w:after="0" w:line="244"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 the event that a supplier reports on the EICC-GeSI Conflict Minerals Reporting Template or it is discovered that the SOR has used conflict minerals sourced from mines that support armed conflict in the Covered Countries, then we work with the SOR to obtain its agreement to take steps to rectify the situation, including implementing corrective action to eliminate the use of non-DRC conflict free minerals in products supplied for ADI products, in an agreed upon timeframe. Should the SOR fail to mitigate the issue, ADI will discontinue engagement with the SOR.</w:t>
      </w:r>
    </w:p>
    <w:p>
      <w:pPr>
        <w:spacing w:after="0" w:line="208"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ADI will continue to work with our suppliers and with CFSI to encourage smelters who have not yet obtained the “conflict-free” designation to do so.</w:t>
      </w:r>
    </w:p>
    <w:p>
      <w:pPr>
        <w:sectPr>
          <w:pgSz w:w="11900" w:h="16838" w:orient="portrait"/>
          <w:cols w:equalWidth="0" w:num="1">
            <w:col w:w="11420"/>
          </w:cols>
          <w:pgMar w:left="240" w:top="379" w:right="239" w:bottom="1440" w:gutter="0" w:footer="0" w:header="0"/>
        </w:sectPr>
      </w:pPr>
    </w:p>
    <w:bookmarkStart w:id="7" w:name="page8"/>
    <w:bookmarkEnd w:id="7"/>
    <w:p>
      <w:pPr>
        <w:jc w:val="both"/>
        <w:ind w:right="20"/>
        <w:spacing w:after="0" w:line="243" w:lineRule="auto"/>
        <w:rPr>
          <w:sz w:val="20"/>
          <w:szCs w:val="20"/>
          <w:color w:val="auto"/>
        </w:rPr>
      </w:pPr>
      <w:r>
        <w:rPr>
          <w:rFonts w:ascii="Arial" w:cs="Arial" w:eastAsia="Arial" w:hAnsi="Arial"/>
          <w:sz w:val="20"/>
          <w:szCs w:val="20"/>
          <w:color w:val="auto"/>
        </w:rPr>
        <w:t>Findings, including the number of SORs which are designated as conflict–free and suppliers which reported conflict-free status of all its SORs during the preceding quarter relative to the total number of SORs and suppliers in the ADI supply chain, the number of SORs whose sources of minerals are undeterminable, and any supplier reporting use of minerals sourced from conflict mines are reported to the Senior Vice President of Global Operations and Technology and staff members quarterly.</w:t>
      </w:r>
    </w:p>
    <w:p>
      <w:pPr>
        <w:spacing w:after="0" w:line="3"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responses from our suppliers listed 330 entities as smelters or refiners of conflict minerals in their supply chains. 212 of these entities were identified as conflict-free by our suppliers. Analog Devices compared the 212 identified entities to the CFSI list of smelters, and we confirmed that all conflict-free entities reported by our suppliers were in fact designated as conflict-free by the CFSP. The following is a summary of the smelters used by our suppliers broken out by mineral type:</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232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Metal</w:t>
            </w:r>
          </w:p>
        </w:tc>
        <w:tc>
          <w:tcPr>
            <w:tcW w:w="456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20"/>
                <w:szCs w:val="20"/>
                <w:b w:val="1"/>
                <w:bCs w:val="1"/>
                <w:color w:val="auto"/>
              </w:rPr>
              <w:t>Total Known Smelters Used</w:t>
            </w:r>
          </w:p>
        </w:tc>
        <w:tc>
          <w:tcPr>
            <w:tcW w:w="45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20"/>
                <w:szCs w:val="20"/>
                <w:b w:val="1"/>
                <w:bCs w:val="1"/>
                <w:color w:val="auto"/>
              </w:rPr>
              <w:t>Conflict-Free Smelters</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54"/>
        </w:trPr>
        <w:tc>
          <w:tcPr>
            <w:tcW w:w="2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Gold</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141</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79</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54"/>
        </w:trPr>
        <w:tc>
          <w:tcPr>
            <w:tcW w:w="2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Tantalum</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47</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46</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54"/>
        </w:trPr>
        <w:tc>
          <w:tcPr>
            <w:tcW w:w="2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Tin</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98</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57</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54"/>
        </w:trPr>
        <w:tc>
          <w:tcPr>
            <w:tcW w:w="23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Tungsten</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44</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30</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54"/>
        </w:trPr>
        <w:tc>
          <w:tcPr>
            <w:tcW w:w="2320" w:type="dxa"/>
            <w:vAlign w:val="bottom"/>
            <w:tcBorders>
              <w:left w:val="single" w:sz="8" w:color="auto"/>
              <w:right w:val="single" w:sz="8" w:color="auto"/>
            </w:tcBorders>
          </w:tcPr>
          <w:p>
            <w:pPr>
              <w:ind w:left="960"/>
              <w:spacing w:after="0"/>
              <w:rPr>
                <w:sz w:val="20"/>
                <w:szCs w:val="20"/>
                <w:color w:val="auto"/>
              </w:rPr>
            </w:pPr>
            <w:r>
              <w:rPr>
                <w:rFonts w:ascii="Arial" w:cs="Arial" w:eastAsia="Arial" w:hAnsi="Arial"/>
                <w:sz w:val="20"/>
                <w:szCs w:val="20"/>
                <w:color w:val="auto"/>
              </w:rPr>
              <w:t>Total</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330</w:t>
            </w: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212</w:t>
            </w:r>
          </w:p>
        </w:tc>
      </w:tr>
      <w:tr>
        <w:trPr>
          <w:trHeight w:val="23"/>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 Other Matters</w:t>
      </w:r>
    </w:p>
    <w:p>
      <w:pPr>
        <w:spacing w:after="0" w:line="262"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Based on the information provided by our suppliers through December 31, 2015, we believe that the facilities that may have been used to process conflict minerals in our products include the refiners listed in Annex I below.</w:t>
      </w:r>
    </w:p>
    <w:p>
      <w:pPr>
        <w:spacing w:after="0" w:line="217"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After exercising the due diligence described above, Analog Devices was unable to obtain sufficient information from our direct suppliers or other sources to conclude whether necessary conflict minerals originated in the Covered Countries and/or, if so, whether or not the conflict minerals directly or indirectly financed an armed group in the Covered Countries. However, based on information provided by our suppliers, as well as from the RCOI data from CFSI, Analog Devices believes the countries of origin of the conflict minerals contained in our products may include the countries listed in Annex II below.</w:t>
      </w:r>
    </w:p>
    <w:p>
      <w:pPr>
        <w:spacing w:after="0" w:line="235"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Analog Devices will undertake the following steps during the next compliance period to continue to improve the due diligence conducted and to further mitigate the risk that our necessary conflict minerals benefit armed groups, including:</w:t>
      </w:r>
    </w:p>
    <w:p>
      <w:pPr>
        <w:spacing w:after="0" w:line="19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0"/>
          <w:szCs w:val="20"/>
          <w:color w:val="auto"/>
        </w:rPr>
      </w:pPr>
      <w:r>
        <w:rPr>
          <w:rFonts w:ascii="Arial" w:cs="Arial" w:eastAsia="Arial" w:hAnsi="Arial"/>
          <w:sz w:val="20"/>
          <w:szCs w:val="20"/>
          <w:color w:val="auto"/>
        </w:rPr>
        <w:t>Continue to participate in industry initiatives, such as the CFSI.</w:t>
      </w:r>
    </w:p>
    <w:p>
      <w:pPr>
        <w:spacing w:after="0" w:line="229" w:lineRule="exact"/>
        <w:rPr>
          <w:rFonts w:ascii="Arial" w:cs="Arial" w:eastAsia="Arial" w:hAnsi="Arial"/>
          <w:sz w:val="20"/>
          <w:szCs w:val="20"/>
          <w:color w:val="auto"/>
        </w:rPr>
      </w:pPr>
    </w:p>
    <w:p>
      <w:pPr>
        <w:ind w:left="660" w:right="20" w:hanging="328"/>
        <w:spacing w:after="0" w:line="287" w:lineRule="auto"/>
        <w:tabs>
          <w:tab w:leader="none" w:pos="66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Continue to contact smelters identified as a result of the RCOI process and request their participation in obtaining a “conflict free” designation from an industry program such as the CFSP program or equivalent, if they have not already done so.</w:t>
      </w:r>
    </w:p>
    <w:p>
      <w:pPr>
        <w:spacing w:after="0" w:line="179" w:lineRule="exact"/>
        <w:rPr>
          <w:rFonts w:ascii="Arial" w:cs="Arial" w:eastAsia="Arial" w:hAnsi="Arial"/>
          <w:sz w:val="19"/>
          <w:szCs w:val="19"/>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8"/>
          <w:szCs w:val="18"/>
          <w:color w:val="auto"/>
        </w:rPr>
        <w:t>Obtain an independent assessment of the current state of our due diligence framework for alignment with the OECD Framework.</w:t>
      </w:r>
    </w:p>
    <w:p>
      <w:pPr>
        <w:sectPr>
          <w:pgSz w:w="11900" w:h="16838" w:orient="portrait"/>
          <w:cols w:equalWidth="0" w:num="1">
            <w:col w:w="11440"/>
          </w:cols>
          <w:pgMar w:left="240" w:top="366" w:right="219" w:bottom="1440" w:gutter="0" w:footer="0" w:header="0"/>
        </w:sectPr>
      </w:pPr>
    </w:p>
    <w:bookmarkStart w:id="8" w:name="page9"/>
    <w:bookmarkEnd w:id="8"/>
    <w:p>
      <w:pPr>
        <w:spacing w:after="0"/>
        <w:rPr>
          <w:sz w:val="20"/>
          <w:szCs w:val="20"/>
          <w:color w:val="auto"/>
        </w:rPr>
      </w:pPr>
      <w:r>
        <w:rPr>
          <w:rFonts w:ascii="Arial" w:cs="Arial" w:eastAsia="Arial" w:hAnsi="Arial"/>
          <w:sz w:val="20"/>
          <w:szCs w:val="20"/>
          <w:color w:val="686868"/>
        </w:rPr>
        <w:t>ANNEX I</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302"/>
        </w:trPr>
        <w:tc>
          <w:tcPr>
            <w:tcW w:w="1280" w:type="dxa"/>
            <w:vAlign w:val="bottom"/>
            <w:tcBorders>
              <w:top w:val="single" w:sz="8" w:color="auto"/>
              <w:left w:val="single" w:sz="8" w:color="auto"/>
              <w:bottom w:val="single" w:sz="8" w:color="AEAAAA"/>
              <w:right w:val="single" w:sz="8" w:color="auto"/>
            </w:tcBorders>
            <w:shd w:val="clear" w:color="auto" w:fill="AEAAAA"/>
          </w:tcPr>
          <w:p>
            <w:pPr>
              <w:ind w:left="420"/>
              <w:spacing w:after="0"/>
              <w:rPr>
                <w:sz w:val="20"/>
                <w:szCs w:val="20"/>
                <w:color w:val="auto"/>
              </w:rPr>
            </w:pPr>
            <w:r>
              <w:rPr>
                <w:rFonts w:ascii="Arial" w:cs="Arial" w:eastAsia="Arial" w:hAnsi="Arial"/>
                <w:sz w:val="20"/>
                <w:szCs w:val="20"/>
                <w:color w:val="auto"/>
              </w:rPr>
              <w:t>Metal</w:t>
            </w:r>
          </w:p>
        </w:tc>
        <w:tc>
          <w:tcPr>
            <w:tcW w:w="7320" w:type="dxa"/>
            <w:vAlign w:val="bottom"/>
            <w:tcBorders>
              <w:top w:val="single" w:sz="8" w:color="auto"/>
              <w:bottom w:val="single" w:sz="8" w:color="AEAAAA"/>
              <w:right w:val="single" w:sz="8" w:color="auto"/>
            </w:tcBorders>
            <w:shd w:val="clear" w:color="auto" w:fill="AEAAAA"/>
          </w:tcPr>
          <w:p>
            <w:pPr>
              <w:ind w:left="2700"/>
              <w:spacing w:after="0"/>
              <w:rPr>
                <w:sz w:val="20"/>
                <w:szCs w:val="20"/>
                <w:color w:val="auto"/>
              </w:rPr>
            </w:pPr>
            <w:r>
              <w:rPr>
                <w:rFonts w:ascii="Arial" w:cs="Arial" w:eastAsia="Arial" w:hAnsi="Arial"/>
                <w:sz w:val="20"/>
                <w:szCs w:val="20"/>
                <w:color w:val="auto"/>
              </w:rPr>
              <w:t>Standard Smelter Name</w:t>
            </w:r>
          </w:p>
        </w:tc>
        <w:tc>
          <w:tcPr>
            <w:tcW w:w="2840" w:type="dxa"/>
            <w:vAlign w:val="bottom"/>
            <w:tcBorders>
              <w:top w:val="single" w:sz="8" w:color="auto"/>
              <w:bottom w:val="single" w:sz="8" w:color="AEAAAA"/>
              <w:right w:val="single" w:sz="8" w:color="auto"/>
            </w:tcBorders>
            <w:shd w:val="clear" w:color="auto" w:fill="AEAAAA"/>
          </w:tcPr>
          <w:p>
            <w:pPr>
              <w:ind w:left="1080"/>
              <w:spacing w:after="0"/>
              <w:rPr>
                <w:sz w:val="20"/>
                <w:szCs w:val="20"/>
                <w:color w:val="auto"/>
              </w:rPr>
            </w:pPr>
            <w:r>
              <w:rPr>
                <w:rFonts w:ascii="Arial" w:cs="Arial" w:eastAsia="Arial" w:hAnsi="Arial"/>
                <w:sz w:val="20"/>
                <w:szCs w:val="20"/>
                <w:color w:val="auto"/>
              </w:rPr>
              <w:t>Country</w:t>
            </w:r>
          </w:p>
        </w:tc>
      </w:tr>
      <w:tr>
        <w:trPr>
          <w:trHeight w:val="254"/>
        </w:trPr>
        <w:tc>
          <w:tcPr>
            <w:tcW w:w="1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Advanced Chemical Company**</w:t>
            </w:r>
          </w:p>
        </w:tc>
        <w:tc>
          <w:tcPr>
            <w:tcW w:w="28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Aida Chemical Industries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Allgemeine Gold-und Silberscheideanstalt A.G.*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 (AMMC)**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UZBEKISTAN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AngloGold Ashanti Córrego do Sítio Mineração*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Argor-Heraeus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Asahi Pretec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Asahi Refining Canada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Asahi Refining USA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Atasay Kuyumculuk Sanayi Ve Ticaret A.S.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AURA-II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Aurubis AG*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BAKER</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Bangalore Refinery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Bangko Sentral ng Pilipinas (Central Bank of the Philippines)*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PHILIPPINES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Boliden AB*</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SWEDEN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 Hafner GmbH + Co. KG*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Caridad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Cendres + Métaux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Chimet S.p.A.*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Chugai Mining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Daejin Indus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Daye Non-Ferrous Metals Mining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DODUCO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Dowa*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DSC (Do Sung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Eco-System Recycling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Elemetal Refining,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Faggi Enrico S.p.A.**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Fidelity Printers and Refiners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ZIMBABWE</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Gansu Seemine Material Hi-Tech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Geib Refining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Great Wall Precious Metals Co., Ltd. of CBPM</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Jinding Gold Limited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Guoda Safina High-Tech Environmental Refinery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Hangzhou Fuchunjiang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Heimerle + Meule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379" w:right="21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Henan Yuguang Gold &amp; Lead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Heraeus Ltd. Hong Kong*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Heraeus Precious Metals GmbH &amp; Co. KG*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HeTai Gold Mineral GuangDong Ltd. Co.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HH HANDY &amp; HARMAN REFINING GROUP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House of Currency of Brazil (Casa da Moeda do Brazil)</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Hunan Chenzhou Mining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Hwasung CJ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Inner Mongolia Qiankun Gold and Silver Refinery Share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Ishifuku Metal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Istanbul Gold Refinery*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 Mint*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Copper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Jin Jinyin refining company limited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Jinlong Copper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JSC Ekaterinburg Non-Ferrous Metal Processing Plant*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JSC Uralelectromed*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JX Nippon Mining &amp;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 Rasmussen AS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Kazakhmys Smelting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KAZAKHSTAN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Kazzinc*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KAZAKHSTAN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Kennecott Utah Copper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KGHM Polska Miedź Spółka Akcyjna**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Kojima Chemicals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Kyrgyzaltyn JSC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KYRGYZSTAN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L'azurde Company For Jewelry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SAUDI ARABIA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Lingbao Gold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Lingbao Jinyuan Tonghui Refinery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LS-NIKKO Copper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Luoyang Zijin Yinhui Gold Refinery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Materion*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Matsuda Sangyo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METALLURGIE HOBOKEN OVERPELT SA/NV</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Metalor Technologies (Hong Kong)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Metalor Technologies (Singapore) Pte.,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Metalor Technologies (Suzhou)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Metalor Technologies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Metalor USA Refining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Metalúrgica Met-Mex Peñoles S.A. De C.V.*</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Mitsubishi Materials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Mitsui Mining and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MMTC-PAMP India Pvt.,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Morris and Watson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NEW ZEALAND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Moscow Special Alloys Processing Plant*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Nadir Metal Rafineri San. Ve Tic. A.Ş.*</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TURKEY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Navoi Mining and Metallurgical Combinat**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UZBEKISTAN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Ögussa Österreichische Gold- und Silber-Scheideanstalt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Ohura Precious Metal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OJSC "The Gulidov Krasnoyarsk Non-Ferrous Metals Plant" (OJSC Krastsvetmet)*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OJSC Novosibirsk Refinery*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PAMP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Penglai Penggang Gold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Precious Metals Sales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Prioksky Plant of Non-Ferrous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Aneka Tambang (Persero) Tbk*</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PX Précinox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Rand Refinery (Pty)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AFRICA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Realized the enterprise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Republic Metals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Royal Canadian Mint*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CANADA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Sabin Metal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Samduck Precious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SAMWON Metals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SAXONIA Edelmetalle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Schone Edelmetaal B.V.*</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SEMPSA Joyería Platería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 Tou Shi Yong Yuan Jin Shu Zai Sheng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Shangdong Humon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Shandong Tiancheng Biological Gold Industrial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Shandong Zhaojin Gold &amp; Silver Refinery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Shenzhen Heng Zhong Industry Co.,Ltd.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Shenzhen Zhonghenglong Real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SOE Shyolkovsky Factory of Secondary Precious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Sichuan Tianze Precious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Singway Technology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 Accurate Group,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SOE Shyolkovsky Factory of Secondary Precious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Solar Applied Materials Technology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Sumitomo Metal Mining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Super Dragon Technology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T.C.A S.p.A*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ITALY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Tanaka Kikinzoku Kogyo K.K.*</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Refinery of Shandong Gold Mining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SHEFFIELD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Tokuriki Honten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Tongling Nonferrous Metals Group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Torecom**</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KOREA, REPUBLIC OF</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Umicore Brasil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Umicore Precious Metals Thailand*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Umicore S.A. Business Unit Precious Metals Refining*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BELGIUM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Precious Metal Refining,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Valcambi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Western Australian Mint trading as The Perth Mint*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AUSTRALIA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WIELAND Edelmetalle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Yamamoto Precious Metal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Yokohama Metal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Yunnan Copper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Zhe Jiang Guang Yuan Noble Metal Smelting Factory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Zhongkuang Gold Industry Co.,LTD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Zhongyuan Gold Smelter of Zhongjin Gold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Zijin Mining Group Co., Ltd. Gold Refinery*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Changsha South Tantalum Niobium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Conghua Tantalum and Niobium Smeltry*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 Block Metals,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Duoluoshan*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Exotech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F&amp;X Electro-Materials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FIR Metals &amp; Resource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Global Advanced Metals Aizu*</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Global Advanced Metals Boyertown*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Zhiyuan New Material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GmbH Goslar*</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GmbH Laufenburg*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Hermsdorf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 KG*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Hengyang King Xing Lifeng New Materials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Hi-Temp Specialty Metals,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Dinghai Tantalum &amp; Niobium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Tuohong New Raw Material*</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JiuJiang JinXin Nonferrous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Jiujiang Tanbre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Jiujiang Zhongao Tantalum &amp; Niobium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KEMET Blue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MEXICO</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KEMET Blue Powder*</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King-Tan Tantalum Industry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LSM Brasil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Metallurgical Products India Pvt.,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Mineração Taboca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Mitsui Mining &amp; Smelting*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Molycorp Silmet A.S.*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ESTONIA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Ningxia Orient Tantalum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Plansee SE Liezen*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Plansee SE Reutte*</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QuantumClean*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Resind Indústria e Comércio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RFH Tantalum Smeltry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Shanghai Jiangxi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Solikamsk Magnesium Works OAO*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Taki Chemicals*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Telex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Tranzact,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Ulba Metallurgical Plant JSC*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KAZAKHSTAN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XinXing HaoRong Electronic Material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Yichun Jin Yang Rare Metal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Zhuzhou Cemented Carbide*</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Alpha*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An Vinh Joint Stock Mineral Processing Company**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Chenzhou Yunxiang Mining and Metallurgy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 Tin Group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CNMC (Guangxi) PGMA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Cooperativa Metalurgica de Rondônia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CV Gita Pesona*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CV Serumpun Sebalai*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CV United Smelting*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CV Venus Inti Perkasa*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Dowa*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3"/>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Electro-Mechanical Facility of the Cao Bang Minerals &amp; Metallurgy Joint Stock</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50"/>
        </w:trPr>
        <w:tc>
          <w:tcPr>
            <w:tcW w:w="1280" w:type="dxa"/>
            <w:vAlign w:val="bottom"/>
            <w:tcBorders>
              <w:left w:val="single" w:sz="8" w:color="auto"/>
              <w:right w:val="single" w:sz="8" w:color="auto"/>
            </w:tcBorders>
          </w:tcPr>
          <w:p>
            <w:pPr>
              <w:spacing w:after="0"/>
              <w:rPr>
                <w:sz w:val="21"/>
                <w:szCs w:val="21"/>
                <w:color w:val="auto"/>
              </w:rPr>
            </w:pP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Company**</w:t>
            </w:r>
          </w:p>
        </w:tc>
        <w:tc>
          <w:tcPr>
            <w:tcW w:w="2840" w:type="dxa"/>
            <w:vAlign w:val="bottom"/>
            <w:tcBorders>
              <w:right w:val="single" w:sz="8" w:color="auto"/>
            </w:tcBorders>
          </w:tcPr>
          <w:p>
            <w:pPr>
              <w:spacing w:after="0"/>
              <w:rPr>
                <w:sz w:val="21"/>
                <w:szCs w:val="21"/>
                <w:color w:val="auto"/>
              </w:rPr>
            </w:pP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Elmet S.L.U.*</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EM Vinto*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BOLIVIA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Estanho de Rondônia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Fenix Metals*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Gejiu Jinye Mineral Company**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Gejiu Kai Meng Industry and Trade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Gejiu Non-Ferrous Metal Processing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Gejiu Yunxi Group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Gejiu Yunxin Nonferrous Electrolysis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Gejiu Zili Mining And Metallurgy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 XI HUA XI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Guangxi Nonferrous Metals Group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Huichang Jinshunda Tin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Jau Janq Enterprise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Ketai Advanced Material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Leybold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Lingbao Jinyuan Tonghui Refinery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Linwu Xianggui Ore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Magnu's Minerais Metais e Ligas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 Smelting Corporation (MSC)*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Materials Eco-Refining CO.LTD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Melt Metais e Ligas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Metahub Industries Sdn. Bhd.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Metallic Resources,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Metallo-Chimique N.V.*</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BELGIUM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Mineração Taboca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Ming Li Jia smelt Metal Factory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Minsur*</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PERU</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Mitsubishi Materials Corporation*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Nankang Nanshan Tin Manufactory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Nghe Tinh Non-Ferrous Metals Joint Stock Company**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O.M. Manufacturing (Thailand)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O.M. Manufacturing Philippines, Inc.*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PHILIPPINES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Operaciones Metalurgical 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BOLIVIA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Aries Kencana Sejahtera*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Artha Cipta Langgeng*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ATD Makmur Mandiri Jaya*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Babel Inti Perkasa*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Bangka Prima Tin*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Bangka Tin Industry*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Belitung Industri Sejahtera*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BilliTin Makmur Lestari*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Bukit Timah*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Cipta Persada Mulia*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DS Jaya Abadi*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Eunindo Usaha Mandiri*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Inti Stania Prima*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Justindo*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Karimun Mining**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Mitra Stania Prima*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Panca Mega Persada*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Prima Timah Utama*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Refined Bangka Tin*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Sariwiguna Binasentosa*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Stanindo Inti Perkasa*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Sumber Jaya Indah*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Timah (Persero) Tbk Kundur*</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Timah (Persero) Tbk Mentok*</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Tinindo Inter Nusa*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Tirus Putra Mandiri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Tommy Utama*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PT Wahana Perkit Jaya*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INDONESIA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Resind Indústria e Comércio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Rui Da Hung*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Settu Chemical Industry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Sevotrans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Shan Tou Shi Yong Yuan Jin Shu Zai Sheng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Soft Metais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Super Ligas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Taicang City Nancang Metal Material Co.,Ltd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Thaisarco*</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Tianshui ling bo technology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Tuyen Quang Non-Ferrous Metals Joint Stock Company**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VQB Mineral and Trading Group JSC*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White Solder Metalurgia e Mineração Ltda.*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BRAZIL</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Winter Metalle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Wu Xi Shi Yi Zheng Ji Xie She Bei Company</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Xianghualing Tin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Xianghualing Tin Minerals</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Xinmao Tin Corp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Yifeng Tin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Yunnan Chengfeng Non-ferrous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Yunnan Chengo Electric Smelting Plant</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Yunnan Tin Company Limited*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Yunnan Xi YE</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Zhuhai Quanjia</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A.L.M.T. TUNGSTEN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Chenzhou Diamond Tungsten Products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Chongyi Zhangyuan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Dayu Jincheng Tungsten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Dayu Weiliang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Fujian Jinxin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Ganxian Shirui New Material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Ganzhou Haichuang Tungsten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518" w:right="21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Ganzhou Huaxing Tungsten Products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61"/>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Ganzhou Jiangwu Ferrotungsten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Ganzhou Non-ferrous Metals Smelting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Ganzhou Seadragon W &amp; Mo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Ganzhou Yatai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Global Tungsten &amp; Powders Corp.*</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Guangdong Xianglu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GmbH*</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H.C. Starck Smelting GmbH &amp; Co.KG*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GERMANY</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Heyuan Carbide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UNKNOWN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Hunan Chenzhou Mining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Hunan Chuangda Vanadium Tungsten Co., Ltd. Wuji*</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Hunan Chunchang Nonferrous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Hydrometallurg, JSC*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 New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JAPAN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Jiangwu H.C. Starck Tungsten Products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Gan Bei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Minmetals Gao'an Non-ferrous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Tonggu Non-ferrous Metallurgical &amp; Chemical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Xinsheng Tungsten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Xiushui Xianggan Nonferrous Metals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Jiangxi Yaosheng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Kennametal Fallon**</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Kennametal Huntsville*</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Luoyang Mudu Tungsten &amp; Molybdenum Technology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Malipo Haiyu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Niagara Refining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Nui Phao H.C. Starck Tungsten Chemicals Manufacturing LLC*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Pobedit, JSC***</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RUSSIAN FEDERATION</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Tejing (Vietnam)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Vietnam Youngsun Tungsten Industry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 NAM</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Wolfram Bergbau und Hütten AG*</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AUSTRIA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Xiamen Tungsten (H.C.)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Xiamen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54"/>
        </w:trPr>
        <w:tc>
          <w:tcPr>
            <w:tcW w:w="1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3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Xinhai Rendan Shaoguan Tungsten Co., Ltd.*</w:t>
            </w:r>
          </w:p>
        </w:tc>
        <w:tc>
          <w:tcPr>
            <w:tcW w:w="28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CHINA</w:t>
            </w:r>
          </w:p>
        </w:tc>
      </w:tr>
      <w:tr>
        <w:trPr>
          <w:trHeight w:val="23"/>
        </w:trPr>
        <w:tc>
          <w:tcPr>
            <w:tcW w:w="1280" w:type="dxa"/>
            <w:vAlign w:val="bottom"/>
            <w:tcBorders>
              <w:left w:val="single" w:sz="8" w:color="auto"/>
              <w:bottom w:val="single" w:sz="8" w:color="auto"/>
              <w:right w:val="single" w:sz="8" w:color="auto"/>
            </w:tcBorders>
          </w:tcPr>
          <w:p>
            <w:pPr>
              <w:spacing w:after="0"/>
              <w:rPr>
                <w:sz w:val="2"/>
                <w:szCs w:val="2"/>
                <w:color w:val="auto"/>
              </w:rPr>
            </w:pPr>
          </w:p>
        </w:tc>
        <w:tc>
          <w:tcPr>
            <w:tcW w:w="732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16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Smelter name included in the Conflict-Free Smelters List as of May 12, 2016</w:t>
      </w:r>
    </w:p>
    <w:p>
      <w:pPr>
        <w:spacing w:after="0" w:line="23"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Smelter name included in the CFSI Active Smelters and Refiners List as of May 12, 2016</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Tungsten Industry Conflict Minerals Council (TI-CMC) Members progressing toward CFSP validation as of May 12, 2016</w:t>
      </w:r>
    </w:p>
    <w:p>
      <w:pPr>
        <w:sectPr>
          <w:pgSz w:w="11900" w:h="16838" w:orient="portrait"/>
          <w:cols w:equalWidth="0" w:num="1">
            <w:col w:w="11440"/>
          </w:cols>
          <w:pgMar w:left="240" w:top="518" w:right="219" w:bottom="1440" w:gutter="0" w:footer="0" w:header="0"/>
        </w:sectPr>
      </w:pPr>
    </w:p>
    <w:bookmarkStart w:id="16" w:name="page17"/>
    <w:bookmarkEnd w:id="16"/>
    <w:p>
      <w:pPr>
        <w:spacing w:after="0"/>
        <w:rPr>
          <w:sz w:val="20"/>
          <w:szCs w:val="20"/>
          <w:color w:val="auto"/>
        </w:rPr>
      </w:pPr>
      <w:r>
        <w:rPr>
          <w:rFonts w:ascii="Arial" w:cs="Arial" w:eastAsia="Arial" w:hAnsi="Arial"/>
          <w:sz w:val="20"/>
          <w:szCs w:val="20"/>
          <w:color w:val="686868"/>
        </w:rPr>
        <w:t>ANNEX II</w:t>
      </w:r>
    </w:p>
    <w:p>
      <w:pPr>
        <w:spacing w:after="0" w:line="200" w:lineRule="exact"/>
        <w:rPr>
          <w:sz w:val="20"/>
          <w:szCs w:val="20"/>
          <w:color w:val="auto"/>
        </w:rPr>
      </w:pPr>
    </w:p>
    <w:p>
      <w:pPr>
        <w:spacing w:after="0" w:line="39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9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Angola</w:t>
            </w:r>
          </w:p>
        </w:tc>
        <w:tc>
          <w:tcPr>
            <w:tcW w:w="54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Luxembourg</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Argentina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Madagascar</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Australia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Malaysia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Austria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Mongolia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Belgium</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Mozambique</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Bolivia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Myanmar</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Brazil</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Namibia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Burundi</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Netherlands</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Cambodia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Nigeria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Canada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Peru</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Central African Republic</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Portugal</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Chile</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Republic of Congo</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China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Russia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Colombia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Rwanda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Côte D'Ivoire</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Sierra Leone</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Czech Republic</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Singapore</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Djibouti</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Slovakia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Ecuador</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Africa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Egypt</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Korea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Estonia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South Sudan</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Ethiopia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Spain</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France</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Suriname</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Germany</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Switzerland</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Guyana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Taiwan</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Hungary</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Tanzania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India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Thailand</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Indonesia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The Democratic Republic of Congo (DRC)</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Ireland</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Uganda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Israel</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Kingdom</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Japan</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United States of America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Kazakhstan</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Vietnam</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Kenya</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Zambia</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r>
        <w:trPr>
          <w:trHeight w:val="254"/>
        </w:trPr>
        <w:tc>
          <w:tcPr>
            <w:tcW w:w="59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Laos</w:t>
            </w:r>
          </w:p>
        </w:tc>
        <w:tc>
          <w:tcPr>
            <w:tcW w:w="546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Zimbabwe</w:t>
            </w:r>
          </w:p>
        </w:tc>
      </w:tr>
      <w:tr>
        <w:trPr>
          <w:trHeight w:val="23"/>
        </w:trPr>
        <w:tc>
          <w:tcPr>
            <w:tcW w:w="5980" w:type="dxa"/>
            <w:vAlign w:val="bottom"/>
            <w:tcBorders>
              <w:left w:val="single" w:sz="8" w:color="auto"/>
              <w:bottom w:val="single" w:sz="8" w:color="auto"/>
              <w:right w:val="single" w:sz="8" w:color="auto"/>
            </w:tcBorders>
          </w:tcPr>
          <w:p>
            <w:pPr>
              <w:spacing w:after="0"/>
              <w:rPr>
                <w:sz w:val="2"/>
                <w:szCs w:val="2"/>
                <w:color w:val="auto"/>
              </w:rPr>
            </w:pPr>
          </w:p>
        </w:tc>
        <w:tc>
          <w:tcPr>
            <w:tcW w:w="5460" w:type="dxa"/>
            <w:vAlign w:val="bottom"/>
            <w:tcBorders>
              <w:bottom w:val="single" w:sz="8" w:color="auto"/>
              <w:right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440"/>
      </w:cols>
      <w:pgMar w:left="240" w:top="37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upperLetter"/>
      <w:start w:val="1"/>
    </w:lvl>
  </w:abstractNum>
  <w:abstractNum w:abstractNumId="4">
    <w:nsid w:val="7545E146"/>
    <w:multiLevelType w:val="hybridMultilevel"/>
    <w:lvl w:ilvl="0">
      <w:lvlJc w:val="left"/>
      <w:lvlText w:val="%1."/>
      <w:numFmt w:val="upperLetter"/>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2019-12-05T01:50:58Z</dcterms:created>
  <dcterms:modified xsi:type="dcterms:W3CDTF">2019-12-05T01:50:58Z</dcterms:modified>
</cp:coreProperties>
</file>