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896713.xml.htm"/>
      <w:bookmarkStart w:id="1" w:name="kswkform4_1741896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51"/>
        <w:gridCol w:w="924"/>
        <w:gridCol w:w="794"/>
        <w:gridCol w:w="614"/>
        <w:gridCol w:w="340"/>
        <w:gridCol w:w="806"/>
        <w:gridCol w:w="416"/>
        <w:gridCol w:w="1101"/>
        <w:gridCol w:w="1348"/>
        <w:gridCol w:w="962"/>
        <w:gridCol w:w="10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8,237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208.7534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66,681.351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209.9153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66,035.351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632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210.9655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65,403.351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485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211.9578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64,918.351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34,828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2023 Grantor Retained Annuity Trust</w:t>
            </w:r>
          </w:p>
        </w:tc>
      </w:tr>
      <w:tr>
        <w:trPr/>
        <w:tc>
          <w:tcPr>
            <w:tcW w:w="18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43,515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disposed of in multiple transactions on March 12, 2025 at actual sales prices ranging from $208.45 to $209.08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on March 12, 2025 at actual sales prices ranging from $209.49 to $210.48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on March 12, 2025 at actual sales prices ranging from $210.64 to $211.505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on March 12, 2025 at actual sales prices ranging from $211.735 to $212.61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held by the Vincent Roche 2023 Grantor Retained Annuity Trust dated August 25,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935</Words>
  <Characters>4980</Characters>
  <CharactersWithSpaces>5822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