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20" w:lineRule="exact"/>
        <w:rPr>
          <w:sz w:val="24"/>
          <w:szCs w:val="24"/>
          <w:color w:val="auto"/>
        </w:rPr>
      </w:pPr>
    </w:p>
    <w:p>
      <w:pPr>
        <w:jc w:val="right"/>
        <w:ind w:right="3919"/>
        <w:spacing w:after="0"/>
        <w:rPr>
          <w:sz w:val="20"/>
          <w:szCs w:val="20"/>
          <w:color w:val="auto"/>
        </w:rPr>
      </w:pPr>
      <w:r>
        <w:rPr>
          <w:rFonts w:ascii="Arial" w:cs="Arial" w:eastAsia="Arial" w:hAnsi="Arial"/>
          <w:sz w:val="16"/>
          <w:szCs w:val="16"/>
          <w:b w:val="1"/>
          <w:bCs w:val="1"/>
          <w:color w:val="auto"/>
        </w:rPr>
        <w:t>SCHEDULE 14A</w:t>
      </w:r>
    </w:p>
    <w:p>
      <w:pPr>
        <w:spacing w:after="0" w:line="39" w:lineRule="exact"/>
        <w:rPr>
          <w:sz w:val="24"/>
          <w:szCs w:val="24"/>
          <w:color w:val="auto"/>
        </w:rPr>
      </w:pPr>
    </w:p>
    <w:p>
      <w:pPr>
        <w:jc w:val="right"/>
        <w:ind w:right="3959"/>
        <w:spacing w:after="0"/>
        <w:rPr>
          <w:sz w:val="20"/>
          <w:szCs w:val="20"/>
          <w:color w:val="auto"/>
        </w:rPr>
      </w:pPr>
      <w:r>
        <w:rPr>
          <w:rFonts w:ascii="Arial" w:cs="Arial" w:eastAsia="Arial" w:hAnsi="Arial"/>
          <w:sz w:val="16"/>
          <w:szCs w:val="16"/>
          <w:b w:val="1"/>
          <w:bCs w:val="1"/>
          <w:color w:val="auto"/>
        </w:rPr>
        <w:t>(Rule 14a-101)</w:t>
      </w:r>
    </w:p>
    <w:p>
      <w:pPr>
        <w:spacing w:after="0" w:line="120"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40"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SCHEDULE 14A INFORMATION</w:t>
      </w:r>
    </w:p>
    <w:p>
      <w:pPr>
        <w:spacing w:after="0" w:line="140" w:lineRule="exact"/>
        <w:rPr>
          <w:sz w:val="24"/>
          <w:szCs w:val="24"/>
          <w:color w:val="auto"/>
        </w:rPr>
      </w:pPr>
    </w:p>
    <w:p>
      <w:pPr>
        <w:jc w:val="right"/>
        <w:ind w:right="22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35"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Exchange Act of 1934</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(Amendment No. )</w:t>
      </w:r>
    </w:p>
    <w:p>
      <w:pPr>
        <w:spacing w:after="0" w:line="237" w:lineRule="exact"/>
        <w:rPr>
          <w:sz w:val="24"/>
          <w:szCs w:val="24"/>
          <w:color w:val="auto"/>
        </w:rPr>
      </w:pPr>
    </w:p>
    <w:p>
      <w:pPr>
        <w:spacing w:after="0" w:line="184" w:lineRule="exact"/>
        <w:tabs>
          <w:tab w:leader="none" w:pos="18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184" w:lineRule="exact"/>
        <w:tabs>
          <w:tab w:leader="none" w:pos="314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75"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270" w:lineRule="exact"/>
        <w:rPr>
          <w:sz w:val="24"/>
          <w:szCs w:val="24"/>
          <w:color w:val="auto"/>
        </w:rPr>
      </w:pPr>
    </w:p>
    <w:p>
      <w:pPr>
        <w:ind w:left="420" w:hanging="41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270" w:lineRule="exact"/>
        <w:rPr>
          <w:sz w:val="24"/>
          <w:szCs w:val="24"/>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§240.14a-12</w:t>
      </w:r>
    </w:p>
    <w:p>
      <w:pPr>
        <w:spacing w:after="0" w:line="33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ind w:left="4280"/>
        <w:spacing w:after="0"/>
        <w:rPr>
          <w:sz w:val="20"/>
          <w:szCs w:val="20"/>
          <w:color w:val="auto"/>
        </w:rPr>
      </w:pPr>
      <w:r>
        <w:rPr>
          <w:rFonts w:ascii="Arial" w:cs="Arial" w:eastAsia="Arial" w:hAnsi="Arial"/>
          <w:sz w:val="13"/>
          <w:szCs w:val="13"/>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ind w:left="3580"/>
        <w:spacing w:after="0"/>
        <w:rPr>
          <w:sz w:val="20"/>
          <w:szCs w:val="20"/>
          <w:color w:val="auto"/>
        </w:rPr>
      </w:pPr>
      <w:r>
        <w:rPr>
          <w:rFonts w:ascii="Arial" w:cs="Arial" w:eastAsia="Arial" w:hAnsi="Arial"/>
          <w:sz w:val="13"/>
          <w:szCs w:val="13"/>
          <w:i w:val="1"/>
          <w:iCs w:val="1"/>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all boxes that apply):</w:t>
      </w:r>
    </w:p>
    <w:p>
      <w:pPr>
        <w:spacing w:after="0" w:line="140" w:lineRule="exact"/>
        <w:rPr>
          <w:sz w:val="24"/>
          <w:szCs w:val="24"/>
          <w:color w:val="auto"/>
        </w:rPr>
      </w:pPr>
    </w:p>
    <w:p>
      <w:pPr>
        <w:ind w:left="480" w:hanging="474"/>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135" w:lineRule="exact"/>
        <w:rPr>
          <w:sz w:val="24"/>
          <w:szCs w:val="24"/>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135" w:lineRule="exact"/>
        <w:rPr>
          <w:rFonts w:ascii="MS PGothic" w:cs="MS PGothic" w:eastAsia="MS PGothic" w:hAnsi="MS PGothic"/>
          <w:sz w:val="18"/>
          <w:szCs w:val="18"/>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699770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1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8"/>
          <w:szCs w:val="58"/>
          <w:color w:val="auto"/>
        </w:rPr>
        <w:t>Mission</w:t>
      </w:r>
    </w:p>
    <w:p>
      <w:pPr>
        <w:spacing w:after="0" w:line="200" w:lineRule="exact"/>
        <w:rPr>
          <w:sz w:val="20"/>
          <w:szCs w:val="20"/>
          <w:color w:val="auto"/>
        </w:rPr>
      </w:pPr>
    </w:p>
    <w:p>
      <w:pPr>
        <w:spacing w:after="0" w:line="300" w:lineRule="exact"/>
        <w:rPr>
          <w:sz w:val="20"/>
          <w:szCs w:val="20"/>
          <w:color w:val="auto"/>
        </w:rPr>
      </w:pPr>
    </w:p>
    <w:p>
      <w:pPr>
        <w:spacing w:after="0" w:line="263" w:lineRule="auto"/>
        <w:rPr>
          <w:sz w:val="20"/>
          <w:szCs w:val="20"/>
          <w:color w:val="auto"/>
        </w:rPr>
      </w:pPr>
      <w:r>
        <w:rPr>
          <w:rFonts w:ascii="Arial" w:cs="Arial" w:eastAsia="Arial" w:hAnsi="Arial"/>
          <w:sz w:val="23"/>
          <w:szCs w:val="23"/>
          <w:color w:val="auto"/>
        </w:rPr>
        <w:t xml:space="preserve">The most exciting development in technology today is the </w:t>
      </w:r>
      <w:r>
        <w:rPr>
          <w:rFonts w:ascii="Arial" w:cs="Arial" w:eastAsia="Arial" w:hAnsi="Arial"/>
          <w:sz w:val="23"/>
          <w:szCs w:val="23"/>
          <w:b w:val="1"/>
          <w:bCs w:val="1"/>
          <w:color w:val="0067B3"/>
        </w:rPr>
        <w:t>dawning of the Intelligent Edge era</w:t>
      </w:r>
      <w:r>
        <w:rPr>
          <w:rFonts w:ascii="Arial" w:cs="Arial" w:eastAsia="Arial" w:hAnsi="Arial"/>
          <w:sz w:val="23"/>
          <w:szCs w:val="23"/>
          <w:color w:val="auto"/>
        </w:rPr>
        <w:t xml:space="preserve">. Pervasive sensing and AI-driven edge computing is bringing computation and data storage closer to data sources in real time, providing intelligent insights faster, and saving bandwidth. This ubiquitous connectivity is coming in smart, connected systems that enable new capabilities, applications, and markets. ADI is at the center of this new era, supplying the intelligent sensing and connectivity on which it depends. Leveraging our strong position at the </w:t>
      </w:r>
      <w:r>
        <w:rPr>
          <w:rFonts w:ascii="Arial" w:cs="Arial" w:eastAsia="Arial" w:hAnsi="Arial"/>
          <w:sz w:val="23"/>
          <w:szCs w:val="23"/>
          <w:b w:val="1"/>
          <w:bCs w:val="1"/>
          <w:color w:val="0067B3"/>
        </w:rPr>
        <w:t>boundary between the physical and digital worlds</w:t>
      </w:r>
      <w:r>
        <w:rPr>
          <w:rFonts w:ascii="Arial" w:cs="Arial" w:eastAsia="Arial" w:hAnsi="Arial"/>
          <w:sz w:val="23"/>
          <w:szCs w:val="23"/>
          <w:color w:val="auto"/>
        </w:rPr>
        <w:t xml:space="preserve">, innovation capabilities, and domain expertise, ADI is </w:t>
      </w:r>
      <w:r>
        <w:rPr>
          <w:rFonts w:ascii="Arial" w:cs="Arial" w:eastAsia="Arial" w:hAnsi="Arial"/>
          <w:sz w:val="23"/>
          <w:szCs w:val="23"/>
          <w:b w:val="1"/>
          <w:bCs w:val="1"/>
          <w:color w:val="0067B3"/>
        </w:rPr>
        <w:t>working closely with customers</w:t>
      </w:r>
      <w:r>
        <w:rPr>
          <w:rFonts w:ascii="Arial" w:cs="Arial" w:eastAsia="Arial" w:hAnsi="Arial"/>
          <w:sz w:val="23"/>
          <w:szCs w:val="23"/>
          <w:color w:val="auto"/>
        </w:rPr>
        <w:t xml:space="preserve"> to bring intelligence to the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132320" cy="156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6845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580" w:right="1680"/>
        <w:spacing w:after="0" w:line="287" w:lineRule="auto"/>
        <w:rPr>
          <w:sz w:val="20"/>
          <w:szCs w:val="20"/>
          <w:color w:val="auto"/>
        </w:rPr>
      </w:pPr>
      <w:r>
        <w:rPr>
          <w:rFonts w:ascii="Arial" w:cs="Arial" w:eastAsia="Arial" w:hAnsi="Arial"/>
          <w:sz w:val="18"/>
          <w:szCs w:val="18"/>
          <w:b w:val="1"/>
          <w:bCs w:val="1"/>
          <w:color w:val="auto"/>
        </w:rPr>
        <w:t xml:space="preserve">Transforming digital healthcare </w:t>
      </w:r>
      <w:r>
        <w:rPr>
          <w:rFonts w:ascii="Arial" w:cs="Arial" w:eastAsia="Arial" w:hAnsi="Arial"/>
          <w:sz w:val="18"/>
          <w:szCs w:val="18"/>
          <w:color w:val="auto"/>
        </w:rPr>
        <w:t>for better</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and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366395</wp:posOffset>
            </wp:positionV>
            <wp:extent cx="248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580" w:right="2580"/>
        <w:spacing w:after="0" w:line="268" w:lineRule="auto"/>
        <w:rPr>
          <w:sz w:val="20"/>
          <w:szCs w:val="20"/>
          <w:color w:val="auto"/>
        </w:rPr>
      </w:pPr>
      <w:r>
        <w:rPr>
          <w:rFonts w:ascii="Arial" w:cs="Arial" w:eastAsia="Arial" w:hAnsi="Arial"/>
          <w:sz w:val="18"/>
          <w:szCs w:val="18"/>
          <w:b w:val="1"/>
          <w:bCs w:val="1"/>
          <w:color w:val="auto"/>
        </w:rPr>
        <w:t xml:space="preserve">Unlocking human potential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safely automating factories and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231775</wp:posOffset>
            </wp:positionV>
            <wp:extent cx="248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color w:val="auto"/>
        </w:rPr>
        <w:t xml:space="preserve">Combating climate change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w:t>
      </w:r>
      <w:r>
        <w:rPr>
          <w:rFonts w:ascii="Arial" w:cs="Arial" w:eastAsia="Arial" w:hAnsi="Arial"/>
          <w:sz w:val="18"/>
          <w:szCs w:val="18"/>
          <w:color w:val="auto"/>
        </w:rPr>
        <w:t>electrification, energy management, and industrial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240030</wp:posOffset>
            </wp:positionV>
            <wp:extent cx="2486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Connecting humanity </w:t>
      </w:r>
      <w:r>
        <w:rPr>
          <w:rFonts w:ascii="Arial" w:cs="Arial" w:eastAsia="Arial" w:hAnsi="Arial"/>
          <w:sz w:val="18"/>
          <w:szCs w:val="18"/>
          <w:color w:val="auto"/>
        </w:rPr>
        <w:t>to foster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and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357505</wp:posOffset>
            </wp:positionV>
            <wp:extent cx="2486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2">
            <w:col w:w="6700" w:space="720"/>
            <w:col w:w="3800"/>
          </w:cols>
          <w:pgMar w:left="320" w:top="112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58"/>
          <w:szCs w:val="58"/>
          <w:color w:val="auto"/>
        </w:rPr>
        <w:t>Letter from our CEO and Chair</w:t>
      </w:r>
    </w:p>
    <w:p>
      <w:pPr>
        <w:spacing w:after="0" w:line="17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strength of a company’s business model, strategy, and culture is proven not by its performance in bullish times, but by the resilience of</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its performance in the face of adverse conditions. I am proud to share that ADI shined against the challenging macroeconomic backdrop of 2023 and once again delivered a year of record revenue and profits. The secret to our long track record of success remains the same –</w:t>
      </w:r>
    </w:p>
    <w:p>
      <w:pPr>
        <w:spacing w:after="0" w:line="236" w:lineRule="auto"/>
        <w:rPr>
          <w:sz w:val="20"/>
          <w:szCs w:val="20"/>
          <w:color w:val="auto"/>
        </w:rPr>
      </w:pPr>
      <w:r>
        <w:rPr>
          <w:rFonts w:ascii="Arial" w:cs="Arial" w:eastAsia="Arial" w:hAnsi="Arial"/>
          <w:sz w:val="18"/>
          <w:szCs w:val="18"/>
          <w:color w:val="auto"/>
        </w:rPr>
        <w:t>alignment of our cutting-edge innovation engine and domain expertise to the macrotrends underpinning the greatest growth opportunities at</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Intelligent Edge; deep partnerships with our customers to cooperatively tackle their biggest challenges; and operational excellence with a continuous-improvement mindset. As we move through the prevailing business cycle downturn, we believe that the optionality and</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resilience of our diversified business model, numerous concurrent secular tailwinds, balance sheet strength, and focused execution will enable us to deliver strong financial returns over the long term.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Results and Strategic Progress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combination of our business model diversity and enterprise-wide focus on our customers’ success generated record revenue of $12.3</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billion in fiscal 2023. We delivered net cash from operating activities and free cash flow of $4.8 billion and $3.6 billion, respectively, or 39% and 29% of our revenue, respectively, even after investing at record levels in research and development (R&amp;D), our go-to-market (GTM)</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capabilities, and capital expenditures (CapEx) to ensure supply chain resiliency. Once again, we exceeded our target of returning 100% of our free cash flow to shareholders over the long term, returning a record $4.6 billion through share repurchases and dividends.</w:t>
      </w:r>
    </w:p>
    <w:p>
      <w:pPr>
        <w:spacing w:after="0" w:line="50"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Though the macroeconomic environment softened in fiscal 2023, our customers deepened their partnerships with us; a reflection of the tremendous value we bring to their businesses. We continued, and continue, to invest heavily in R&amp;D, GTM, and CapEx to strengthen our</w:t>
      </w:r>
    </w:p>
    <w:p>
      <w:pPr>
        <w:spacing w:after="0" w:line="1" w:lineRule="exact"/>
        <w:rPr>
          <w:sz w:val="20"/>
          <w:szCs w:val="20"/>
          <w:color w:val="auto"/>
        </w:rPr>
      </w:pPr>
    </w:p>
    <w:p>
      <w:pPr>
        <w:jc w:val="both"/>
        <w:ind w:right="160"/>
        <w:spacing w:after="0"/>
        <w:rPr>
          <w:sz w:val="20"/>
          <w:szCs w:val="20"/>
          <w:color w:val="auto"/>
        </w:rPr>
      </w:pPr>
      <w:r>
        <w:rPr>
          <w:rFonts w:ascii="Arial" w:cs="Arial" w:eastAsia="Arial" w:hAnsi="Arial"/>
          <w:sz w:val="17"/>
          <w:szCs w:val="17"/>
          <w:color w:val="auto"/>
        </w:rPr>
        <w:t>cutting-edge franchise and position ourselves for even greater success when the market recovers. As we further integrated Maxim this past year, we accelerated our efforts to capitalize on revenue synergy opportunities, and we made stellar progress toward a singular, “best of 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culture across our enterprise.</w:t>
      </w:r>
    </w:p>
    <w:p>
      <w:pPr>
        <w:spacing w:after="0" w:line="7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It is our strong belief that the current business cycle and geopolitical challenges are transitory concerns when viewed against the great wave of opportunity for ADI at the dawn of the Intelligent Edge era.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the Intelligent Edge</w:t>
      </w:r>
    </w:p>
    <w:p>
      <w:pPr>
        <w:spacing w:after="0" w:line="90"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Semiconductors have long been the bedrock of the Information Age and will surge in importance as the global economy continues to digitalize. The Intelligent Edge represents the latest era of digitalization as greater levels of sensing, artificial intelligence (AI)-driven</w:t>
      </w:r>
    </w:p>
    <w:p>
      <w:pPr>
        <w:ind w:right="920"/>
        <w:spacing w:after="0" w:line="226" w:lineRule="auto"/>
        <w:rPr>
          <w:sz w:val="20"/>
          <w:szCs w:val="20"/>
          <w:color w:val="auto"/>
        </w:rPr>
      </w:pPr>
      <w:r>
        <w:rPr>
          <w:rFonts w:ascii="Arial" w:cs="Arial" w:eastAsia="Arial" w:hAnsi="Arial"/>
          <w:sz w:val="18"/>
          <w:szCs w:val="18"/>
          <w:color w:val="auto"/>
        </w:rPr>
        <w:t>computing, security, and connectivity are pushed to the far edges of traditional networks and diffused across innumerable market applications. ADI is well positioned to capitalize on this phenomenal growth opportunity as a technology and industry leader at the</w:t>
      </w:r>
    </w:p>
    <w:p>
      <w:pPr>
        <w:spacing w:after="0" w:line="236" w:lineRule="auto"/>
        <w:rPr>
          <w:sz w:val="20"/>
          <w:szCs w:val="20"/>
          <w:color w:val="auto"/>
        </w:rPr>
      </w:pPr>
      <w:r>
        <w:rPr>
          <w:rFonts w:ascii="Arial" w:cs="Arial" w:eastAsia="Arial" w:hAnsi="Arial"/>
          <w:sz w:val="18"/>
          <w:szCs w:val="18"/>
          <w:color w:val="auto"/>
        </w:rPr>
        <w:t>intersection of the physical and digital domains, aligned to the macrotrends shaping our future – from automation, to electrification of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transportation system, to immersive consumer experiences, to the digitalization of chemistry and biology. ADI is where the world’s most important data is born, and our customers rely on our extensive domain expertise and capabilities to sense, measure, interpret, and securely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deliver the essential data and information fueling their products and solutions.</w:t>
      </w:r>
    </w:p>
    <w:p>
      <w:pPr>
        <w:spacing w:after="0" w:line="86"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Intelligent Edge applications require ever higher levels of performance-driven analog technologies, supplemented by digital and software capabilities, delivered in smaller, securely connected, power-efficient solutions. We are partnering closely, and earlier, with our customers’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product development teams to co-create solutions of compounding sophistication. Increasingly, we are leveraging AI in and around our own products and across our operations to maximize the potential of our solutions’ and business’ performance.</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These initiatives further our mission of accelerating the breakthroughs that enrich lives and the world around us at quantum and cosmic scales. ADI’s products are increasingly allowing customers to deliver market-shaping impact and address critical environmental and social</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issues, making safety, sustainability, and energy efficiency a strategic advantage for their businesses. That future focus extends to our own manufacturing and operations as we pursue continuous improvements in key areas such as energy efficiency, safety, water usage,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chemical management.</w:t>
      </w:r>
    </w:p>
    <w:p>
      <w:pPr>
        <w:spacing w:after="0" w:line="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closing, I fervently believe that ADI’s best days are still ahead. Though we have much to be pleased about, we are restless in our quest to find ever more creative ways to improve the health and welfare of people and our planet. Our strength and momentum reflect the tremendous</w:t>
      </w:r>
    </w:p>
    <w:p>
      <w:pPr>
        <w:spacing w:after="0" w:line="235" w:lineRule="auto"/>
        <w:rPr>
          <w:sz w:val="20"/>
          <w:szCs w:val="20"/>
          <w:color w:val="auto"/>
        </w:rPr>
      </w:pPr>
      <w:r>
        <w:rPr>
          <w:rFonts w:ascii="Arial" w:cs="Arial" w:eastAsia="Arial" w:hAnsi="Arial"/>
          <w:sz w:val="18"/>
          <w:szCs w:val="18"/>
          <w:color w:val="auto"/>
        </w:rPr>
        <w:t>passion, talent, creativity, and disciplined execution of our amazing employees, as well as the robust and long-standing support of our</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8"/>
          <w:szCs w:val="18"/>
          <w:color w:val="auto"/>
        </w:rPr>
        <w:t>partners, customers, and investors. As we continue this journey together, we are grateful for your faith in ADI and are committed to increasing shareholder value into the opportunity-rich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17741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74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67B3"/>
        </w:rPr>
        <w:t>VINCENT ROCHE</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 w:name="page5"/>
    <w:bookmarkEnd w:id="4"/>
    <w:p>
      <w:pPr>
        <w:spacing w:after="0"/>
        <w:rPr>
          <w:sz w:val="20"/>
          <w:szCs w:val="20"/>
          <w:color w:val="auto"/>
        </w:rPr>
      </w:pPr>
      <w:r>
        <w:rPr>
          <w:rFonts w:ascii="Arial" w:cs="Arial" w:eastAsia="Arial" w:hAnsi="Arial"/>
          <w:sz w:val="58"/>
          <w:szCs w:val="58"/>
          <w:color w:val="auto"/>
        </w:rPr>
        <w:t>Letter from our Lead Independent Director</w:t>
      </w:r>
    </w:p>
    <w:p>
      <w:pPr>
        <w:spacing w:after="0" w:line="30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behalf of the Board of Directors, I am pleased to present our annual Proxy Statement and provide an update on key activities and focus areas of the Board as ADI executes on our strategy to unlock long-term shareholder value.</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2023, ADI accelerated its pursuit of the tremendous opportunities at the Intelligent Edge, negotiating macroeconomic and geopolitical challenges, and further sharpening its execution to enable both near- and long-term success. As the Board supported and oversaw management in driving this strategy, we also continued our work to further extend the independence, diversity, and capabilities of the Board to ensure the high standards of governance and results that you, our shareholders, expect and deserve.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Although the pandemic and supply issues the company experienced in recent years have normalized and receded in impact, geopolitical and macroeconomic challenges continued to reverberate across our industry and markets. ADI’s hybrid manufacturing strategy has been a key element of the company’s successful management of both areas, adding diversity and resilience to our supply chain and giving ADI the ability to more effectively and rapidly respond to fluctuations in demand.</w:t>
      </w:r>
    </w:p>
    <w:p>
      <w:pPr>
        <w:spacing w:after="0" w:line="6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However, supply issues extend beyond mere availability. Ensuring compliance with regulatory demands globally and in the regions where ADI operates has always been, and will continue to be, a critical area of focus. Additionally, our industry is facing a significant challenge in the unauthorized resale, diversion, and unintended misuse of semiconductor products and technologies. This challenge is one that ADI’s management and Board take seriously. Beginning in 2022, the Board enhanced its oversight of company programs designed to proactively identify and counter these activities. We are pleased with the progress made to date and with management’s commitment to taking appropriate actions to mitigate the misuse and diversion of our products.</w:t>
      </w:r>
    </w:p>
    <w:p>
      <w:pPr>
        <w:spacing w:after="0" w:line="74"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Sustainability topics also remain key focus areas for ADI and our stakeholders and is a key oversight area for the Board. Accordingly, we engage regularly with management on these topics as they drive bold sustainability initiatives to reduce our overall emissions as we work toward carbon neutrality by 2030 and net zero by 2050. Management further demonstrated ADI’s commitment to sustainability by setting a new target in 2023 to reduce overall water withdrawn for our operations by 50% normalized to production output by 2027.</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ADI creates, interprets, and acts upon data that is increasingly critical and valuable to customers. As such, the Board views the evolution and improvement of programs that protect privacy and security of our data as a top priority. We are strongly focused on minimizing the risk of a cybersecurity incident and actively govern cybersecurity as a Board. ADI’s management, including its Chief Information Security Officer, regularly provide the Audit Committee and full Board with updates on the performance of, and enhancements to, our cyber and information security programs.</w:t>
      </w:r>
    </w:p>
    <w:p>
      <w:pPr>
        <w:spacing w:after="0" w:line="71" w:lineRule="exact"/>
        <w:rPr>
          <w:sz w:val="20"/>
          <w:szCs w:val="20"/>
          <w:color w:val="auto"/>
        </w:rPr>
      </w:pPr>
    </w:p>
    <w:p>
      <w:pPr>
        <w:ind w:right="240"/>
        <w:spacing w:after="0" w:line="318" w:lineRule="auto"/>
        <w:rPr>
          <w:sz w:val="20"/>
          <w:szCs w:val="20"/>
          <w:color w:val="auto"/>
        </w:rPr>
      </w:pPr>
      <w:r>
        <w:rPr>
          <w:rFonts w:ascii="Arial" w:cs="Arial" w:eastAsia="Arial" w:hAnsi="Arial"/>
          <w:sz w:val="17"/>
          <w:szCs w:val="17"/>
          <w:color w:val="auto"/>
        </w:rPr>
        <w:t>To ensure the overall effectiveness and continuous improvement of our Board, we engaged a third-party facilitator for our Board evaluation process in fiscal 2023 to measure the impact of our strategy and actions against globally recognized governance best practices.</w:t>
      </w:r>
    </w:p>
    <w:p>
      <w:pPr>
        <w:spacing w:after="0" w:line="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maintained an active engagement program with our shareholders and the Board directly receives and reviews shareholder feedback to inform decision making. Additionally, members of the Board take part in select meetings with our largest investors to hear what they are focused on and to ensure transparency, alignment, and accountability.</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our business evolves, so does our Board. We continued to expand the capabilities of our Board of Directors during 2023. I was pleased to join the Board in June 2023 to contribute my experience and expertise in corporate governance and strategy as a former Strategy Principal at</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Deloitte, LLP. Further, Dr. Peter B. Henry joined our Board in December 2023. His renowned academic career includes foreign affairs, global economics, and international finance experience; areas of growing importance to ADI’s global operations.</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Board’s Compensation and Talent Committee and the full Board continued to evaluate our compensation, succession, and leadership development programs to ensure alignment with our corporate strategy. Notably for fiscal 2023, we increased the percentile achievement required for target performance of our Relative TSR PRSUs to the 55th percentile, up from the 50th percentile. We also increased the weighting of our CEO and Chair’s annual long-term incentive compensation that is tied to challenging long-term performance goals to 75%, up from 65% in fiscal year 2022 to enhance the difficulty of achieving our performance goals.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expect that 2024 will be another challenging year for our industry and the end-markets we serve. However, the Board and ADI’s management remain confident in what the future holds, and believe that the optionality and resilience of our business model, balance sheet strength, and focused execution, all underpinned by our robust corporate governance practices, will drive further value creation for our shareholders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I am honored to have been appointed by the Board as Lead Independent Director this January. The entire Board would like to thank Jim Champy for his leadership and dedication serving in this role for the last 13 years. We continue to be committed to strong, independent leadership, and the Lead Independent Director role is a critical part of our effective governance practices.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thank you for your investment in ADI and recognize that your ownership of ADI shares reflects your belief in both the value of our company today and its potential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2014220" cy="848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22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67B3"/>
        </w:rPr>
        <w:t>STEPHEN M. JENNINGS</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Lead Independent Director 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Chair of the Nominating 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4" w:right="779" w:bottom="1440" w:gutter="0" w:footer="0" w:header="0"/>
        </w:sectPr>
      </w:pPr>
    </w:p>
    <w:bookmarkStart w:id="6" w:name="page7"/>
    <w:bookmarkEnd w:id="6"/>
    <w:p>
      <w:pPr>
        <w:ind w:right="3340"/>
        <w:spacing w:after="0" w:line="263" w:lineRule="auto"/>
        <w:rPr>
          <w:sz w:val="20"/>
          <w:szCs w:val="20"/>
          <w:color w:val="auto"/>
        </w:rPr>
      </w:pPr>
      <w:r>
        <w:rPr>
          <w:rFonts w:ascii="Arial" w:cs="Arial" w:eastAsia="Arial" w:hAnsi="Arial"/>
          <w:sz w:val="58"/>
          <w:szCs w:val="58"/>
          <w:color w:val="auto"/>
        </w:rPr>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279400</wp:posOffset>
            </wp:positionV>
            <wp:extent cx="8890" cy="7089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08914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DATE AND TIME</w:t>
      </w:r>
    </w:p>
    <w:p>
      <w:pPr>
        <w:spacing w:after="0" w:line="117" w:lineRule="exact"/>
        <w:rPr>
          <w:sz w:val="20"/>
          <w:szCs w:val="20"/>
          <w:color w:val="auto"/>
        </w:rPr>
      </w:pPr>
    </w:p>
    <w:p>
      <w:pPr>
        <w:ind w:left="20" w:right="400"/>
        <w:spacing w:after="0" w:line="260" w:lineRule="auto"/>
        <w:rPr>
          <w:sz w:val="20"/>
          <w:szCs w:val="20"/>
          <w:color w:val="auto"/>
        </w:rPr>
      </w:pPr>
      <w:r>
        <w:rPr>
          <w:rFonts w:ascii="Arial" w:cs="Arial" w:eastAsia="Arial" w:hAnsi="Arial"/>
          <w:sz w:val="18"/>
          <w:szCs w:val="18"/>
          <w:color w:val="auto"/>
        </w:rPr>
        <w:t>Wednesday, March 13, 2024</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9:00 a.m. local time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PLACE</w:t>
      </w:r>
    </w:p>
    <w:p>
      <w:pPr>
        <w:spacing w:after="0" w:line="117" w:lineRule="exact"/>
        <w:rPr>
          <w:sz w:val="20"/>
          <w:szCs w:val="20"/>
          <w:color w:val="auto"/>
        </w:rPr>
      </w:pPr>
    </w:p>
    <w:p>
      <w:pPr>
        <w:ind w:left="20" w:right="700"/>
        <w:spacing w:after="0" w:line="318" w:lineRule="auto"/>
        <w:rPr>
          <w:sz w:val="20"/>
          <w:szCs w:val="20"/>
          <w:color w:val="auto"/>
        </w:rPr>
      </w:pPr>
      <w:r>
        <w:rPr>
          <w:rFonts w:ascii="Arial" w:cs="Arial" w:eastAsia="Arial" w:hAnsi="Arial"/>
          <w:sz w:val="17"/>
          <w:szCs w:val="17"/>
          <w:color w:val="auto"/>
        </w:rPr>
        <w:t>125 Summer Street Boston, MA 02110</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RECORD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Tuesday, January 9, 2024</w:t>
      </w:r>
    </w:p>
    <w:p>
      <w:pPr>
        <w:spacing w:after="0" w:line="224" w:lineRule="exact"/>
        <w:rPr>
          <w:sz w:val="20"/>
          <w:szCs w:val="20"/>
          <w:color w:val="auto"/>
        </w:rPr>
      </w:pPr>
    </w:p>
    <w:p>
      <w:pPr>
        <w:ind w:left="20" w:right="280"/>
        <w:spacing w:after="0" w:line="306" w:lineRule="auto"/>
        <w:rPr>
          <w:sz w:val="20"/>
          <w:szCs w:val="20"/>
          <w:color w:val="auto"/>
        </w:rPr>
      </w:pPr>
      <w:r>
        <w:rPr>
          <w:rFonts w:ascii="Arial" w:cs="Arial" w:eastAsia="Arial" w:hAnsi="Arial"/>
          <w:sz w:val="23"/>
          <w:szCs w:val="23"/>
          <w:b w:val="1"/>
          <w:bCs w:val="1"/>
          <w:color w:val="auto"/>
        </w:rPr>
        <w:t>How to vote: Your vote is important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PROXY: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INTERNET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 to www.proxyvote.com</w:t>
      </w:r>
    </w:p>
    <w:p>
      <w:pPr>
        <w:spacing w:after="0" w:line="104" w:lineRule="exact"/>
        <w:rPr>
          <w:sz w:val="20"/>
          <w:szCs w:val="20"/>
          <w:color w:val="auto"/>
        </w:rPr>
      </w:pPr>
    </w:p>
    <w:p>
      <w:pPr>
        <w:ind w:left="20"/>
        <w:spacing w:after="0" w:line="274" w:lineRule="auto"/>
        <w:rPr>
          <w:sz w:val="20"/>
          <w:szCs w:val="20"/>
          <w:color w:val="auto"/>
        </w:rPr>
      </w:pPr>
      <w:r>
        <w:rPr>
          <w:rFonts w:ascii="Arial" w:cs="Arial" w:eastAsia="Arial" w:hAnsi="Arial"/>
          <w:sz w:val="18"/>
          <w:szCs w:val="18"/>
          <w:color w:val="auto"/>
        </w:rPr>
        <w:t>You will need the 16-digit control number that appears on your proxy card or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Notice.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TELEPHONE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Call 1-800-690-6903</w:t>
      </w:r>
    </w:p>
    <w:p>
      <w:pPr>
        <w:spacing w:after="0" w:line="104" w:lineRule="exact"/>
        <w:rPr>
          <w:sz w:val="20"/>
          <w:szCs w:val="20"/>
          <w:color w:val="auto"/>
        </w:rPr>
      </w:pPr>
    </w:p>
    <w:p>
      <w:pPr>
        <w:ind w:left="20"/>
        <w:spacing w:after="0" w:line="274" w:lineRule="auto"/>
        <w:rPr>
          <w:sz w:val="20"/>
          <w:szCs w:val="20"/>
          <w:color w:val="auto"/>
        </w:rPr>
      </w:pPr>
      <w:r>
        <w:rPr>
          <w:rFonts w:ascii="Arial" w:cs="Arial" w:eastAsia="Arial" w:hAnsi="Arial"/>
          <w:sz w:val="18"/>
          <w:szCs w:val="18"/>
          <w:color w:val="auto"/>
        </w:rPr>
        <w:t>You will need the 16-digit control number that appears on your proxy card or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Notice.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MAIL</w:t>
      </w:r>
    </w:p>
    <w:p>
      <w:pPr>
        <w:spacing w:after="0" w:line="90" w:lineRule="exact"/>
        <w:rPr>
          <w:sz w:val="20"/>
          <w:szCs w:val="20"/>
          <w:color w:val="auto"/>
        </w:rPr>
      </w:pPr>
    </w:p>
    <w:p>
      <w:pPr>
        <w:ind w:left="20"/>
        <w:spacing w:after="0" w:line="279" w:lineRule="auto"/>
        <w:rPr>
          <w:sz w:val="20"/>
          <w:szCs w:val="20"/>
          <w:color w:val="auto"/>
        </w:rPr>
      </w:pPr>
      <w:r>
        <w:rPr>
          <w:rFonts w:ascii="Arial" w:cs="Arial" w:eastAsia="Arial" w:hAnsi="Arial"/>
          <w:sz w:val="18"/>
          <w:szCs w:val="18"/>
          <w:color w:val="auto"/>
        </w:rPr>
        <w:t>Mark, sign, date, and mail your proxy card or your voting instruction form. No postage is required if mailed in the United States.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DURING THE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ANNUAL MEETING:</w:t>
      </w:r>
    </w:p>
    <w:p>
      <w:pPr>
        <w:spacing w:after="0" w:line="86" w:lineRule="exact"/>
        <w:rPr>
          <w:sz w:val="20"/>
          <w:szCs w:val="20"/>
          <w:color w:val="auto"/>
        </w:rPr>
      </w:pPr>
    </w:p>
    <w:p>
      <w:pPr>
        <w:ind w:left="20" w:right="100"/>
        <w:spacing w:after="0" w:line="279" w:lineRule="auto"/>
        <w:rPr>
          <w:sz w:val="20"/>
          <w:szCs w:val="20"/>
          <w:color w:val="auto"/>
        </w:rPr>
      </w:pPr>
      <w:r>
        <w:rPr>
          <w:rFonts w:ascii="Arial" w:cs="Arial" w:eastAsia="Arial" w:hAnsi="Arial"/>
          <w:sz w:val="18"/>
          <w:szCs w:val="18"/>
          <w:color w:val="auto"/>
        </w:rPr>
        <w:t xml:space="preserve">For details on voting your shares during the Annual Meeting, see </w:t>
      </w:r>
      <w:r>
        <w:rPr>
          <w:rFonts w:ascii="Arial" w:cs="Arial" w:eastAsia="Arial" w:hAnsi="Arial"/>
          <w:sz w:val="18"/>
          <w:szCs w:val="18"/>
          <w:i w:val="1"/>
          <w:iCs w:val="1"/>
          <w:color w:val="auto"/>
        </w:rPr>
        <w:t>Q&amp;A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Annual Meeting and Voting </w:t>
      </w:r>
      <w:r>
        <w:rPr>
          <w:rFonts w:ascii="Arial" w:cs="Arial" w:eastAsia="Arial" w:hAnsi="Arial"/>
          <w:sz w:val="18"/>
          <w:szCs w:val="18"/>
          <w:color w:val="auto"/>
        </w:rPr>
        <w:t>on page 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Items of Business</w:t>
      </w:r>
    </w:p>
    <w:p>
      <w:pPr>
        <w:spacing w:after="0" w:line="20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2024 Annual Meeting of Shareholders (Annual Meeting) of Analog Devices, Inc. (ADI) will be held at our offices located at 125 Summer Street, Boston, Massachusetts 02110, on Wednesday, March 13, 2024 at 9:00 a.m. local time. At the Annual Meeting, shareholders will consider and vote on the following matters:</w:t>
      </w:r>
    </w:p>
    <w:p>
      <w:pPr>
        <w:spacing w:after="0" w:line="23" w:lineRule="exact"/>
        <w:rPr>
          <w:sz w:val="20"/>
          <w:szCs w:val="20"/>
          <w:color w:val="auto"/>
        </w:rPr>
      </w:pPr>
    </w:p>
    <w:p>
      <w:pPr>
        <w:ind w:left="260" w:right="300" w:hanging="254"/>
        <w:spacing w:after="0" w:line="304"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elect the 11 director nominees named in this Proxy Statement to our Board of Directors, each to serve for a term expiring at the next annual meeting of shareholders;</w:t>
      </w:r>
    </w:p>
    <w:p>
      <w:pPr>
        <w:spacing w:after="0" w:line="19" w:lineRule="exact"/>
        <w:rPr>
          <w:rFonts w:ascii="Arial" w:cs="Arial" w:eastAsia="Arial" w:hAnsi="Arial"/>
          <w:sz w:val="16"/>
          <w:szCs w:val="16"/>
          <w:b w:val="1"/>
          <w:bCs w:val="1"/>
          <w:color w:val="0067B3"/>
        </w:rPr>
      </w:pPr>
    </w:p>
    <w:p>
      <w:pPr>
        <w:ind w:left="260" w:right="100" w:hanging="254"/>
        <w:spacing w:after="0" w:line="292"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 xml:space="preserve">To approve, by a non-binding “say-on-pay” vote, the compensation of our named executive officers,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executive compensation tables, and accompanying narrative disclosures in this Proxy Statement;</w:t>
      </w:r>
    </w:p>
    <w:p>
      <w:pPr>
        <w:spacing w:after="0" w:line="30" w:lineRule="exact"/>
        <w:rPr>
          <w:rFonts w:ascii="Arial" w:cs="Arial" w:eastAsia="Arial" w:hAnsi="Arial"/>
          <w:sz w:val="16"/>
          <w:szCs w:val="16"/>
          <w:b w:val="1"/>
          <w:bCs w:val="1"/>
          <w:color w:val="0067B3"/>
        </w:rPr>
      </w:pPr>
    </w:p>
    <w:p>
      <w:pPr>
        <w:ind w:left="260" w:right="340" w:hanging="254"/>
        <w:spacing w:after="0" w:line="321"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ratify the selection of Ernst &amp; Young LLP as our independent registered public accounting firm for the fiscal year ending November 2, 2024; and</w:t>
      </w:r>
    </w:p>
    <w:p>
      <w:pPr>
        <w:spacing w:after="0" w:line="7" w:lineRule="exact"/>
        <w:rPr>
          <w:rFonts w:ascii="Arial" w:cs="Arial" w:eastAsia="Arial" w:hAnsi="Arial"/>
          <w:sz w:val="16"/>
          <w:szCs w:val="16"/>
          <w:b w:val="1"/>
          <w:bCs w:val="1"/>
          <w:color w:val="0067B3"/>
        </w:rPr>
      </w:pPr>
    </w:p>
    <w:p>
      <w:pPr>
        <w:ind w:left="300" w:hanging="294"/>
        <w:spacing w:after="0"/>
        <w:tabs>
          <w:tab w:leader="none" w:pos="300"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consider a shareholder proposal regarding simple majority vote, if properly presented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will also act on any other business that may properly come before the Annual Meeting.</w:t>
      </w:r>
    </w:p>
    <w:p>
      <w:pPr>
        <w:spacing w:after="0" w:line="14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Our Board of Directors recommends that you vote FOR each director nominee included in Proposal 1, FOR each of Proposals 2 and 3, and AGAINST Proposal 4. The full text of these proposals is set forth in this Proxy Statement.</w:t>
      </w:r>
    </w:p>
    <w:p>
      <w:pPr>
        <w:spacing w:after="0" w:line="60"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Beginning on January 19, 2024, we will mail to our shareholders a Notice of Internet Availability of Proxy Materials, or Notice, which contains instructions on how to access our proxy materials and vote online. The Notice also contains instructions on how each of our shareholders can receive a paper copy of our proxy materials, including this Proxy Statement, our 2023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82"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Shareholders of record at the close of business on the record date of January 9, 2024 are entitled to vote at the Annual Meeting.</w:t>
      </w:r>
    </w:p>
    <w:p>
      <w:pPr>
        <w:spacing w:after="0" w:line="34"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Your vote is important no matter how many shares you own, and we encourage you to vote promptly whether or not you plan to attend the Annual Meeting.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1722755" cy="857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275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0067B3"/>
        </w:rPr>
        <w:t>JANENE ASGEIRSSON</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Chief Legal Officer, Chief Risk Officer, and Secretary</w:t>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5391785"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91785" cy="7200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40" w:right="260"/>
        <w:spacing w:after="0" w:line="291" w:lineRule="auto"/>
        <w:rPr>
          <w:sz w:val="20"/>
          <w:szCs w:val="20"/>
          <w:color w:val="auto"/>
        </w:rPr>
      </w:pPr>
      <w:r>
        <w:rPr>
          <w:rFonts w:ascii="Arial" w:cs="Arial" w:eastAsia="Arial" w:hAnsi="Arial"/>
          <w:sz w:val="17"/>
          <w:szCs w:val="17"/>
          <w:color w:val="0067B3"/>
        </w:rPr>
        <w:t xml:space="preserve">Important Notice Regarding the Availability of Proxy Materials for the Annual Meeting of Shareholders to be Held on March 13, 2024: This Proxy Statement and the </w:t>
      </w:r>
      <w:r>
        <w:rPr>
          <w:rFonts w:ascii="Arial" w:cs="Arial" w:eastAsia="Arial" w:hAnsi="Arial"/>
          <w:sz w:val="15"/>
          <w:szCs w:val="15"/>
          <w:color w:val="0067B3"/>
        </w:rPr>
        <w:t>2023</w:t>
      </w:r>
      <w:r>
        <w:rPr>
          <w:rFonts w:ascii="Arial" w:cs="Arial" w:eastAsia="Arial" w:hAnsi="Arial"/>
          <w:sz w:val="17"/>
          <w:szCs w:val="17"/>
          <w:color w:val="0067B3"/>
        </w:rPr>
        <w:t xml:space="preserve"> Annual Report are available for viewing, printing and downloading at https://investor.analog.com/financial-info/annual-reports.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868045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480"/>
            <w:col w:w="8460"/>
          </w:cols>
          <w:pgMar w:left="320" w:top="1126" w:right="359" w:bottom="1440" w:gutter="0" w:footer="0" w:header="0"/>
          <w:type w:val="continuous"/>
        </w:sectPr>
      </w:pPr>
    </w:p>
    <w:bookmarkStart w:id="7" w:name="page8"/>
    <w:bookmarkEnd w:id="7"/>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1605280</wp:posOffset>
            </wp:positionH>
            <wp:positionV relativeFrom="page">
              <wp:posOffset>911860</wp:posOffset>
            </wp:positionV>
            <wp:extent cx="8255" cy="5760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5760720"/>
                    </a:xfrm>
                    <a:prstGeom prst="rect">
                      <a:avLst/>
                    </a:prstGeom>
                    <a:noFill/>
                  </pic:spPr>
                </pic:pic>
              </a:graphicData>
            </a:graphic>
          </wp:anchor>
        </w:drawing>
      </w:r>
    </w:p>
    <w:p>
      <w:pPr>
        <w:spacing w:after="0" w:line="274" w:lineRule="auto"/>
        <w:rPr>
          <w:sz w:val="20"/>
          <w:szCs w:val="20"/>
          <w:color w:val="auto"/>
        </w:rPr>
      </w:pPr>
      <w:r>
        <w:rPr>
          <w:rFonts w:ascii="Arial" w:cs="Arial" w:eastAsia="Arial" w:hAnsi="Arial"/>
          <w:sz w:val="17"/>
          <w:szCs w:val="17"/>
          <w:color w:val="auto"/>
        </w:rPr>
        <w:t>Web links throughout this document are provided for convenience only, and the content on the referenced websites does not constitute a part of this Proxy Statement.</w:t>
      </w:r>
    </w:p>
    <w:p>
      <w:pPr>
        <w:spacing w:after="0" w:line="5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sum and/or computation of individual numerical amounts or percentages disclosed in this Proxy Statement may not equal the total due to rounding.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1"/>
          <w:szCs w:val="41"/>
          <w:b w:val="1"/>
          <w:bCs w:val="1"/>
          <w:color w:val="0067B3"/>
        </w:rPr>
        <w:t>Forward-Looking Statements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and our long-term financial model; our strategy; our anticipated growth and trends in our industry, markets, and businesses; new or improved innovative solutions, products, and technologies, including those related to artificial intelligence and the Intelligent Edge; future investments in research and development; the effects of business, economic, political, legal, and regulatory impacts or conflicts upon our global operations; recruiting or retaining our key personnel; changes to our compensation programs; our future liquidity, capital needs, and capital expenditures; our future market position, expected competitive changes in the marketplace, and changes in demand and supply for our products; the importance of our product offerings and technologies to our customers; our ability to pay dividends or repurchase stock; our ability to service our outstanding debt; our expected tax rate; our ability to successfully integrate acquired businesses and technologies, including Maxim Integrated Products, Inc. (Maxim); environment, social, and governance related goals, commitments, and progress towards such goals and commitments; and other characterizations of future events or circumstances are forward-looking statements. The following important factors and uncertainties, among others, could cause actual results to differ materially from those described in these forward-looking statements: the effects of business, economic, political, legal, and regulatory uncertainty or conflicts upon our global operations; changes in demand for semiconductors and the related changes in demand and supply for our products; products that may be diverted from our authorized distribution channels; manufacturing delays, product availability, and supply chain disruptions; our future liquidity, capital needs, and capital expenditures; our development of technologies and research and development investments; our ability to compete successfully in the markets in which we operate; changes in our estimates of our expected tax rates based on current tax law; adverse results in litigation matters; the risk that we will be unable to retain and hire key personnel; security breaches or other cyber incidents; unanticipated difficulties or expenditures relating to integrating Maxim; uncertainty as to the long-term value of our common stock; and the risk that expected benefits, synergies, and growth prospects of acquisitions, including those from our acquisition of Maxim, may not be fully achieved in a timely manner, or at all.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750570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20" w:space="460"/>
            <w:col w:w="8720"/>
          </w:cols>
          <w:pgMar w:left="340" w:top="1410" w:right="359" w:bottom="1440" w:gutter="0" w:footer="0" w:header="0"/>
        </w:sectPr>
      </w:pPr>
    </w:p>
    <w:bookmarkStart w:id="8" w:name="page9"/>
    <w:bookmarkEnd w:id="8"/>
    <w:p>
      <w:pPr>
        <w:spacing w:after="0"/>
        <w:rPr>
          <w:sz w:val="20"/>
          <w:szCs w:val="20"/>
          <w:color w:val="auto"/>
        </w:rPr>
      </w:pPr>
      <w:r>
        <w:rPr>
          <w:rFonts w:ascii="Arial" w:cs="Arial" w:eastAsia="Arial" w:hAnsi="Arial"/>
          <w:sz w:val="56"/>
          <w:szCs w:val="56"/>
          <w:color w:val="auto"/>
        </w:rPr>
        <w:t>Table of Contents</w:t>
      </w:r>
    </w:p>
    <w:p>
      <w:pPr>
        <w:sectPr>
          <w:pgSz w:w="11900" w:h="16838" w:orient="portrait"/>
          <w:cols w:equalWidth="0" w:num="1">
            <w:col w:w="10139"/>
          </w:cols>
          <w:pgMar w:left="320" w:top="112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7"/>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Highlights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09"/>
        </w:trPr>
        <w:tc>
          <w:tcPr>
            <w:tcW w:w="4940" w:type="dxa"/>
            <w:vAlign w:val="bottom"/>
            <w:tcBorders>
              <w:bottom w:val="single" w:sz="8" w:color="B3B3B3"/>
            </w:tcBorders>
          </w:tcPr>
          <w:p>
            <w:pPr>
              <w:spacing w:after="0"/>
              <w:rPr>
                <w:sz w:val="9"/>
                <w:szCs w:val="9"/>
                <w:color w:val="auto"/>
              </w:rPr>
            </w:pPr>
          </w:p>
        </w:tc>
        <w:tc>
          <w:tcPr>
            <w:tcW w:w="500" w:type="dxa"/>
            <w:vAlign w:val="bottom"/>
            <w:tcBorders>
              <w:bottom w:val="single" w:sz="8" w:color="B3B3B3"/>
            </w:tcBorders>
          </w:tcPr>
          <w:p>
            <w:pPr>
              <w:spacing w:after="0"/>
              <w:rPr>
                <w:sz w:val="9"/>
                <w:szCs w:val="9"/>
                <w:color w:val="auto"/>
              </w:rPr>
            </w:pPr>
          </w:p>
        </w:tc>
      </w:tr>
      <w:tr>
        <w:trPr>
          <w:trHeight w:val="41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Proxy Summary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1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Board of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54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1 — Election of Directors</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14</w:t>
            </w:r>
          </w:p>
        </w:tc>
      </w:tr>
      <w:tr>
        <w:trPr>
          <w:trHeight w:val="109"/>
        </w:trPr>
        <w:tc>
          <w:tcPr>
            <w:tcW w:w="4940" w:type="dxa"/>
            <w:vAlign w:val="bottom"/>
            <w:tcBorders>
              <w:bottom w:val="single" w:sz="8" w:color="0067B3"/>
            </w:tcBorders>
          </w:tcPr>
          <w:p>
            <w:pPr>
              <w:spacing w:after="0"/>
              <w:rPr>
                <w:sz w:val="9"/>
                <w:szCs w:val="9"/>
                <w:color w:val="auto"/>
              </w:rPr>
            </w:pPr>
          </w:p>
        </w:tc>
        <w:tc>
          <w:tcPr>
            <w:tcW w:w="500" w:type="dxa"/>
            <w:vAlign w:val="bottom"/>
            <w:tcBorders>
              <w:bottom w:val="single" w:sz="8" w:color="0067B3"/>
            </w:tcBorders>
          </w:tcPr>
          <w:p>
            <w:pPr>
              <w:spacing w:after="0"/>
              <w:rPr>
                <w:sz w:val="9"/>
                <w:szCs w:val="9"/>
                <w:color w:val="auto"/>
              </w:rPr>
            </w:pPr>
          </w:p>
        </w:tc>
      </w:tr>
      <w:tr>
        <w:trPr>
          <w:trHeight w:val="389"/>
        </w:trPr>
        <w:tc>
          <w:tcPr>
            <w:tcW w:w="4940" w:type="dxa"/>
            <w:vAlign w:val="bottom"/>
          </w:tcPr>
          <w:p>
            <w:pPr>
              <w:ind w:left="20"/>
              <w:spacing w:after="0"/>
              <w:rPr>
                <w:sz w:val="20"/>
                <w:szCs w:val="20"/>
                <w:color w:val="auto"/>
              </w:rPr>
            </w:pPr>
            <w:r>
              <w:rPr>
                <w:rFonts w:ascii="Arial" w:cs="Arial" w:eastAsia="Arial" w:hAnsi="Arial"/>
                <w:sz w:val="18"/>
                <w:szCs w:val="18"/>
                <w:color w:val="auto"/>
              </w:rPr>
              <w:t>Election Process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Director Criteria, Qualifications, and Experience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Director Biographies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Determination of Independence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Director Candidates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548"/>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Corporate Governance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389"/>
        </w:trPr>
        <w:tc>
          <w:tcPr>
            <w:tcW w:w="4940" w:type="dxa"/>
            <w:vAlign w:val="bottom"/>
          </w:tcPr>
          <w:p>
            <w:pPr>
              <w:ind w:left="20"/>
              <w:spacing w:after="0"/>
              <w:rPr>
                <w:sz w:val="20"/>
                <w:szCs w:val="20"/>
                <w:color w:val="auto"/>
              </w:rPr>
            </w:pPr>
            <w:r>
              <w:rPr>
                <w:rFonts w:ascii="Arial" w:cs="Arial" w:eastAsia="Arial" w:hAnsi="Arial"/>
                <w:sz w:val="18"/>
                <w:szCs w:val="18"/>
                <w:color w:val="auto"/>
              </w:rPr>
              <w:t>Board Policies and Practices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Board and Committee Structure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28</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Oversight by Our Board</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Other Governance Matters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548"/>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389"/>
        </w:trPr>
        <w:tc>
          <w:tcPr>
            <w:tcW w:w="4940" w:type="dxa"/>
            <w:vAlign w:val="bottom"/>
          </w:tcPr>
          <w:p>
            <w:pPr>
              <w:ind w:left="20"/>
              <w:spacing w:after="0"/>
              <w:rPr>
                <w:sz w:val="20"/>
                <w:szCs w:val="20"/>
                <w:color w:val="auto"/>
              </w:rPr>
            </w:pPr>
            <w:r>
              <w:rPr>
                <w:rFonts w:ascii="Arial" w:cs="Arial" w:eastAsia="Arial" w:hAnsi="Arial"/>
                <w:sz w:val="18"/>
                <w:szCs w:val="18"/>
                <w:color w:val="auto"/>
              </w:rPr>
              <w:t>Annual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Fiscal Year 2023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43</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Stock Ownership Guidelines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44</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Equity Award Grant Date Policy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44</w:t>
            </w:r>
          </w:p>
        </w:tc>
      </w:tr>
      <w:tr>
        <w:trPr>
          <w:trHeight w:val="548"/>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Leadership Team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45</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389"/>
        </w:trPr>
        <w:tc>
          <w:tcPr>
            <w:tcW w:w="4940" w:type="dxa"/>
            <w:vAlign w:val="bottom"/>
          </w:tcPr>
          <w:p>
            <w:pPr>
              <w:ind w:left="20"/>
              <w:spacing w:after="0"/>
              <w:rPr>
                <w:sz w:val="20"/>
                <w:szCs w:val="20"/>
                <w:color w:val="auto"/>
              </w:rPr>
            </w:pPr>
            <w:r>
              <w:rPr>
                <w:rFonts w:ascii="Arial" w:cs="Arial" w:eastAsia="Arial" w:hAnsi="Arial"/>
                <w:sz w:val="18"/>
                <w:szCs w:val="18"/>
                <w:color w:val="auto"/>
              </w:rPr>
              <w:t>Leadership Team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45</w:t>
            </w:r>
          </w:p>
        </w:tc>
      </w:tr>
      <w:tr>
        <w:trPr>
          <w:trHeight w:val="549"/>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Executive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47</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51"/>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2 — Advisory Approval of the</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47</w:t>
            </w:r>
          </w:p>
        </w:tc>
      </w:tr>
      <w:tr>
        <w:trPr>
          <w:trHeight w:val="25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Compensation of ADI’s Named Executive</w:t>
            </w:r>
          </w:p>
        </w:tc>
        <w:tc>
          <w:tcPr>
            <w:tcW w:w="500" w:type="dxa"/>
            <w:vAlign w:val="bottom"/>
          </w:tcPr>
          <w:p>
            <w:pPr>
              <w:spacing w:after="0"/>
              <w:rPr>
                <w:sz w:val="22"/>
                <w:szCs w:val="22"/>
                <w:color w:val="auto"/>
              </w:rPr>
            </w:pPr>
          </w:p>
        </w:tc>
      </w:tr>
      <w:tr>
        <w:trPr>
          <w:trHeight w:val="297"/>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Officers</w:t>
            </w:r>
          </w:p>
        </w:tc>
        <w:tc>
          <w:tcPr>
            <w:tcW w:w="500" w:type="dxa"/>
            <w:vAlign w:val="bottom"/>
          </w:tcPr>
          <w:p>
            <w:pPr>
              <w:spacing w:after="0"/>
              <w:rPr>
                <w:sz w:val="24"/>
                <w:szCs w:val="24"/>
                <w:color w:val="auto"/>
              </w:rPr>
            </w:pPr>
          </w:p>
        </w:tc>
      </w:tr>
      <w:tr>
        <w:trPr>
          <w:trHeight w:val="123"/>
        </w:trPr>
        <w:tc>
          <w:tcPr>
            <w:tcW w:w="4940" w:type="dxa"/>
            <w:vAlign w:val="bottom"/>
            <w:tcBorders>
              <w:bottom w:val="single" w:sz="8" w:color="0067B3"/>
            </w:tcBorders>
          </w:tcPr>
          <w:p>
            <w:pPr>
              <w:spacing w:after="0"/>
              <w:rPr>
                <w:sz w:val="10"/>
                <w:szCs w:val="10"/>
                <w:color w:val="auto"/>
              </w:rPr>
            </w:pPr>
          </w:p>
        </w:tc>
        <w:tc>
          <w:tcPr>
            <w:tcW w:w="500" w:type="dxa"/>
            <w:vAlign w:val="bottom"/>
            <w:tcBorders>
              <w:bottom w:val="single" w:sz="8" w:color="0067B3"/>
            </w:tcBorders>
          </w:tcPr>
          <w:p>
            <w:pPr>
              <w:spacing w:after="0"/>
              <w:rPr>
                <w:sz w:val="10"/>
                <w:szCs w:val="10"/>
                <w:color w:val="auto"/>
              </w:rPr>
            </w:pPr>
          </w:p>
        </w:tc>
      </w:tr>
      <w:tr>
        <w:trPr>
          <w:trHeight w:val="389"/>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Discussion and Analysis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48</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Report</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68</w:t>
            </w:r>
          </w:p>
        </w:tc>
      </w:tr>
      <w:tr>
        <w:trPr>
          <w:trHeight w:val="463"/>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Interlocks and</w:t>
            </w:r>
          </w:p>
        </w:tc>
        <w:tc>
          <w:tcPr>
            <w:tcW w:w="500" w:type="dxa"/>
            <w:vAlign w:val="bottom"/>
          </w:tcPr>
          <w:p>
            <w:pPr>
              <w:spacing w:after="0"/>
              <w:rPr>
                <w:sz w:val="24"/>
                <w:szCs w:val="24"/>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Insider Participation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Tables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CEO Pay Ratio</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79</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Pay Versus Performance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225"/>
        </w:trPr>
        <w:tc>
          <w:tcPr>
            <w:tcW w:w="4940" w:type="dxa"/>
            <w:vAlign w:val="bottom"/>
            <w:tcBorders>
              <w:bottom w:val="single" w:sz="8" w:color="939598"/>
            </w:tcBorders>
          </w:tcPr>
          <w:p>
            <w:pPr>
              <w:spacing w:after="0"/>
              <w:rPr>
                <w:sz w:val="19"/>
                <w:szCs w:val="19"/>
                <w:color w:val="auto"/>
              </w:rPr>
            </w:pPr>
          </w:p>
        </w:tc>
        <w:tc>
          <w:tcPr>
            <w:tcW w:w="500" w:type="dxa"/>
            <w:vAlign w:val="bottom"/>
            <w:tcBorders>
              <w:bottom w:val="single" w:sz="8" w:color="939598"/>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-8888730</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-2673985</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Audit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83</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51"/>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Proposal 3 — Ratification of the Selection</w:t>
            </w:r>
          </w:p>
        </w:tc>
        <w:tc>
          <w:tcPr>
            <w:tcW w:w="560" w:type="dxa"/>
            <w:vAlign w:val="bottom"/>
          </w:tcPr>
          <w:p>
            <w:pPr>
              <w:jc w:val="center"/>
              <w:spacing w:after="0"/>
              <w:rPr>
                <w:sz w:val="20"/>
                <w:szCs w:val="20"/>
                <w:color w:val="auto"/>
              </w:rPr>
            </w:pPr>
            <w:r>
              <w:rPr>
                <w:rFonts w:ascii="Arial" w:cs="Arial" w:eastAsia="Arial" w:hAnsi="Arial"/>
                <w:sz w:val="22"/>
                <w:szCs w:val="22"/>
                <w:b w:val="1"/>
                <w:bCs w:val="1"/>
                <w:color w:val="0067B3"/>
                <w:w w:val="97"/>
              </w:rPr>
              <w:t>83</w:t>
            </w:r>
          </w:p>
        </w:tc>
      </w:tr>
      <w:tr>
        <w:trPr>
          <w:trHeight w:val="25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of Ernst &amp; Young LLP as Independent</w:t>
            </w:r>
          </w:p>
        </w:tc>
        <w:tc>
          <w:tcPr>
            <w:tcW w:w="560" w:type="dxa"/>
            <w:vAlign w:val="bottom"/>
          </w:tcPr>
          <w:p>
            <w:pPr>
              <w:spacing w:after="0"/>
              <w:rPr>
                <w:sz w:val="22"/>
                <w:szCs w:val="22"/>
                <w:color w:val="auto"/>
              </w:rPr>
            </w:pPr>
          </w:p>
        </w:tc>
      </w:tr>
      <w:tr>
        <w:trPr>
          <w:trHeight w:val="270"/>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Registered Public Accounting Firm for the</w:t>
            </w:r>
          </w:p>
        </w:tc>
        <w:tc>
          <w:tcPr>
            <w:tcW w:w="560" w:type="dxa"/>
            <w:vAlign w:val="bottom"/>
          </w:tcPr>
          <w:p>
            <w:pPr>
              <w:spacing w:after="0"/>
              <w:rPr>
                <w:sz w:val="23"/>
                <w:szCs w:val="23"/>
                <w:color w:val="auto"/>
              </w:rPr>
            </w:pPr>
          </w:p>
        </w:tc>
      </w:tr>
      <w:tr>
        <w:trPr>
          <w:trHeight w:val="25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Company’s Fiscal Year Ending November</w:t>
            </w:r>
          </w:p>
        </w:tc>
        <w:tc>
          <w:tcPr>
            <w:tcW w:w="560" w:type="dxa"/>
            <w:vAlign w:val="bottom"/>
          </w:tcPr>
          <w:p>
            <w:pPr>
              <w:spacing w:after="0"/>
              <w:rPr>
                <w:sz w:val="22"/>
                <w:szCs w:val="22"/>
                <w:color w:val="auto"/>
              </w:rPr>
            </w:pPr>
          </w:p>
        </w:tc>
      </w:tr>
      <w:tr>
        <w:trPr>
          <w:trHeight w:val="29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2, 2024</w:t>
            </w:r>
          </w:p>
        </w:tc>
        <w:tc>
          <w:tcPr>
            <w:tcW w:w="560" w:type="dxa"/>
            <w:vAlign w:val="bottom"/>
          </w:tcPr>
          <w:p>
            <w:pPr>
              <w:spacing w:after="0"/>
              <w:rPr>
                <w:sz w:val="24"/>
                <w:szCs w:val="24"/>
                <w:color w:val="auto"/>
              </w:rPr>
            </w:pPr>
          </w:p>
        </w:tc>
      </w:tr>
      <w:tr>
        <w:trPr>
          <w:trHeight w:val="109"/>
        </w:trPr>
        <w:tc>
          <w:tcPr>
            <w:tcW w:w="4880" w:type="dxa"/>
            <w:vAlign w:val="bottom"/>
            <w:tcBorders>
              <w:bottom w:val="single" w:sz="8" w:color="0067B3"/>
            </w:tcBorders>
          </w:tcPr>
          <w:p>
            <w:pPr>
              <w:spacing w:after="0"/>
              <w:rPr>
                <w:sz w:val="9"/>
                <w:szCs w:val="9"/>
                <w:color w:val="auto"/>
              </w:rPr>
            </w:pPr>
          </w:p>
        </w:tc>
        <w:tc>
          <w:tcPr>
            <w:tcW w:w="560" w:type="dxa"/>
            <w:vAlign w:val="bottom"/>
            <w:tcBorders>
              <w:bottom w:val="single" w:sz="8" w:color="0067B3"/>
            </w:tcBorders>
          </w:tcPr>
          <w:p>
            <w:pPr>
              <w:spacing w:after="0"/>
              <w:rPr>
                <w:sz w:val="9"/>
                <w:szCs w:val="9"/>
                <w:color w:val="auto"/>
              </w:rPr>
            </w:pPr>
          </w:p>
        </w:tc>
      </w:tr>
      <w:tr>
        <w:trPr>
          <w:trHeight w:val="389"/>
        </w:trPr>
        <w:tc>
          <w:tcPr>
            <w:tcW w:w="4880" w:type="dxa"/>
            <w:vAlign w:val="bottom"/>
          </w:tcPr>
          <w:p>
            <w:pPr>
              <w:ind w:left="20"/>
              <w:spacing w:after="0"/>
              <w:rPr>
                <w:sz w:val="20"/>
                <w:szCs w:val="20"/>
                <w:color w:val="auto"/>
              </w:rPr>
            </w:pPr>
            <w:r>
              <w:rPr>
                <w:rFonts w:ascii="Arial" w:cs="Arial" w:eastAsia="Arial" w:hAnsi="Arial"/>
                <w:sz w:val="18"/>
                <w:szCs w:val="18"/>
                <w:color w:val="auto"/>
              </w:rPr>
              <w:t>Overview</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83</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Fees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84</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Audit Committee’s Pre-Approval Policy and Procedures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85</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85</w:t>
            </w:r>
          </w:p>
        </w:tc>
      </w:tr>
      <w:tr>
        <w:trPr>
          <w:trHeight w:val="548"/>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Beneficial Ownership of Common Stock</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86</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389"/>
        </w:trPr>
        <w:tc>
          <w:tcPr>
            <w:tcW w:w="488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86</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Security Ownership of Directors and Executive Officers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87</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Delinquent Section 16(a) Reports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88</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No Hedging or Pledging Policy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88</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Equity Award Program Description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88</w:t>
            </w:r>
          </w:p>
        </w:tc>
      </w:tr>
      <w:tr>
        <w:trPr>
          <w:trHeight w:val="463"/>
        </w:trPr>
        <w:tc>
          <w:tcPr>
            <w:tcW w:w="4880" w:type="dxa"/>
            <w:vAlign w:val="bottom"/>
          </w:tcPr>
          <w:p>
            <w:pPr>
              <w:ind w:left="20"/>
              <w:spacing w:after="0"/>
              <w:rPr>
                <w:sz w:val="20"/>
                <w:szCs w:val="20"/>
                <w:color w:val="auto"/>
              </w:rPr>
            </w:pPr>
            <w:r>
              <w:rPr>
                <w:rFonts w:ascii="Arial" w:cs="Arial" w:eastAsia="Arial" w:hAnsi="Arial"/>
                <w:sz w:val="18"/>
                <w:szCs w:val="18"/>
                <w:color w:val="auto"/>
              </w:rPr>
              <w:t>Securities Authorized for Issuance under Equity</w:t>
            </w:r>
          </w:p>
        </w:tc>
        <w:tc>
          <w:tcPr>
            <w:tcW w:w="560" w:type="dxa"/>
            <w:vAlign w:val="bottom"/>
          </w:tcPr>
          <w:p>
            <w:pPr>
              <w:spacing w:after="0"/>
              <w:rPr>
                <w:sz w:val="24"/>
                <w:szCs w:val="24"/>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Compensation Plans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90</w:t>
            </w:r>
          </w:p>
        </w:tc>
      </w:tr>
      <w:tr>
        <w:trPr>
          <w:trHeight w:val="643"/>
        </w:trPr>
        <w:tc>
          <w:tcPr>
            <w:tcW w:w="4880" w:type="dxa"/>
            <w:vAlign w:val="bottom"/>
          </w:tcPr>
          <w:p>
            <w:pPr>
              <w:ind w:left="20"/>
              <w:spacing w:after="0"/>
              <w:rPr>
                <w:sz w:val="20"/>
                <w:szCs w:val="20"/>
                <w:color w:val="auto"/>
              </w:rPr>
            </w:pPr>
            <w:r>
              <w:rPr>
                <w:rFonts w:ascii="Arial" w:cs="Arial" w:eastAsia="Arial" w:hAnsi="Arial"/>
                <w:sz w:val="22"/>
                <w:szCs w:val="22"/>
                <w:b w:val="1"/>
                <w:bCs w:val="1"/>
                <w:color w:val="6D6E71"/>
              </w:rPr>
              <w:t>Shareholder Proposal</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51"/>
        </w:trPr>
        <w:tc>
          <w:tcPr>
            <w:tcW w:w="4880" w:type="dxa"/>
            <w:vAlign w:val="bottom"/>
          </w:tcPr>
          <w:p>
            <w:pPr>
              <w:ind w:left="440"/>
              <w:spacing w:after="0"/>
              <w:rPr>
                <w:sz w:val="20"/>
                <w:szCs w:val="20"/>
                <w:color w:val="auto"/>
              </w:rPr>
            </w:pPr>
            <w:r>
              <w:rPr>
                <w:rFonts w:ascii="Arial" w:cs="Arial" w:eastAsia="Arial" w:hAnsi="Arial"/>
                <w:sz w:val="22"/>
                <w:szCs w:val="22"/>
                <w:b w:val="1"/>
                <w:bCs w:val="1"/>
                <w:color w:val="6D6E71"/>
              </w:rPr>
              <w:t>Proposal 4 — Shareholder Proposal</w:t>
            </w:r>
          </w:p>
        </w:tc>
        <w:tc>
          <w:tcPr>
            <w:tcW w:w="560" w:type="dxa"/>
            <w:vAlign w:val="bottom"/>
          </w:tcPr>
          <w:p>
            <w:pPr>
              <w:jc w:val="center"/>
              <w:spacing w:after="0"/>
              <w:rPr>
                <w:sz w:val="20"/>
                <w:szCs w:val="20"/>
                <w:color w:val="auto"/>
              </w:rPr>
            </w:pPr>
            <w:r>
              <w:rPr>
                <w:rFonts w:ascii="Arial" w:cs="Arial" w:eastAsia="Arial" w:hAnsi="Arial"/>
                <w:sz w:val="22"/>
                <w:szCs w:val="22"/>
                <w:b w:val="1"/>
                <w:bCs w:val="1"/>
                <w:color w:val="6D6E71"/>
                <w:w w:val="97"/>
              </w:rPr>
              <w:t>91</w:t>
            </w:r>
          </w:p>
        </w:tc>
      </w:tr>
      <w:tr>
        <w:trPr>
          <w:trHeight w:val="297"/>
        </w:trPr>
        <w:tc>
          <w:tcPr>
            <w:tcW w:w="4880" w:type="dxa"/>
            <w:vAlign w:val="bottom"/>
          </w:tcPr>
          <w:p>
            <w:pPr>
              <w:ind w:left="440"/>
              <w:spacing w:after="0"/>
              <w:rPr>
                <w:sz w:val="20"/>
                <w:szCs w:val="20"/>
                <w:color w:val="auto"/>
              </w:rPr>
            </w:pPr>
            <w:r>
              <w:rPr>
                <w:rFonts w:ascii="Arial" w:cs="Arial" w:eastAsia="Arial" w:hAnsi="Arial"/>
                <w:sz w:val="22"/>
                <w:szCs w:val="22"/>
                <w:b w:val="1"/>
                <w:bCs w:val="1"/>
                <w:color w:val="6D6E71"/>
              </w:rPr>
              <w:t>Regarding Simple Majority Vote</w:t>
            </w:r>
          </w:p>
        </w:tc>
        <w:tc>
          <w:tcPr>
            <w:tcW w:w="560" w:type="dxa"/>
            <w:vAlign w:val="bottom"/>
          </w:tcPr>
          <w:p>
            <w:pPr>
              <w:spacing w:after="0"/>
              <w:rPr>
                <w:sz w:val="24"/>
                <w:szCs w:val="24"/>
                <w:color w:val="auto"/>
              </w:rPr>
            </w:pPr>
          </w:p>
        </w:tc>
      </w:tr>
      <w:tr>
        <w:trPr>
          <w:trHeight w:val="109"/>
        </w:trPr>
        <w:tc>
          <w:tcPr>
            <w:tcW w:w="4880" w:type="dxa"/>
            <w:vAlign w:val="bottom"/>
            <w:tcBorders>
              <w:bottom w:val="single" w:sz="8" w:color="2175D9"/>
            </w:tcBorders>
          </w:tcPr>
          <w:p>
            <w:pPr>
              <w:spacing w:after="0"/>
              <w:rPr>
                <w:sz w:val="9"/>
                <w:szCs w:val="9"/>
                <w:color w:val="auto"/>
              </w:rPr>
            </w:pPr>
          </w:p>
        </w:tc>
        <w:tc>
          <w:tcPr>
            <w:tcW w:w="560" w:type="dxa"/>
            <w:vAlign w:val="bottom"/>
            <w:tcBorders>
              <w:bottom w:val="single" w:sz="8" w:color="2175D9"/>
            </w:tcBorders>
          </w:tcPr>
          <w:p>
            <w:pPr>
              <w:spacing w:after="0"/>
              <w:rPr>
                <w:sz w:val="9"/>
                <w:szCs w:val="9"/>
                <w:color w:val="auto"/>
              </w:rPr>
            </w:pPr>
          </w:p>
        </w:tc>
      </w:tr>
      <w:tr>
        <w:trPr>
          <w:trHeight w:val="600"/>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Q&amp;A About Annual Meeting and Voting</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93</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11"/>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Additional Information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83"/>
        </w:trPr>
        <w:tc>
          <w:tcPr>
            <w:tcW w:w="4880" w:type="dxa"/>
            <w:vAlign w:val="bottom"/>
          </w:tcPr>
          <w:p>
            <w:pPr>
              <w:ind w:left="20"/>
              <w:spacing w:after="0"/>
              <w:rPr>
                <w:sz w:val="20"/>
                <w:szCs w:val="20"/>
                <w:color w:val="auto"/>
              </w:rPr>
            </w:pPr>
            <w:r>
              <w:rPr>
                <w:rFonts w:ascii="Arial" w:cs="Arial" w:eastAsia="Arial" w:hAnsi="Arial"/>
                <w:sz w:val="18"/>
                <w:szCs w:val="18"/>
                <w:color w:val="auto"/>
              </w:rPr>
              <w:t>Other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486"/>
        </w:trPr>
        <w:tc>
          <w:tcPr>
            <w:tcW w:w="4880" w:type="dxa"/>
            <w:vAlign w:val="bottom"/>
          </w:tcPr>
          <w:p>
            <w:pPr>
              <w:ind w:left="20"/>
              <w:spacing w:after="0"/>
              <w:rPr>
                <w:sz w:val="20"/>
                <w:szCs w:val="20"/>
                <w:color w:val="auto"/>
              </w:rPr>
            </w:pPr>
            <w:r>
              <w:rPr>
                <w:rFonts w:ascii="Arial" w:cs="Arial" w:eastAsia="Arial" w:hAnsi="Arial"/>
                <w:sz w:val="18"/>
                <w:szCs w:val="18"/>
                <w:color w:val="auto"/>
              </w:rPr>
              <w:t>Shareholder Proposals for Inclusion in 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504"/>
        </w:trPr>
        <w:tc>
          <w:tcPr>
            <w:tcW w:w="4880" w:type="dxa"/>
            <w:vAlign w:val="bottom"/>
          </w:tcPr>
          <w:p>
            <w:pPr>
              <w:ind w:left="20"/>
              <w:spacing w:after="0"/>
              <w:rPr>
                <w:sz w:val="20"/>
                <w:szCs w:val="20"/>
                <w:color w:val="auto"/>
              </w:rPr>
            </w:pPr>
            <w:r>
              <w:rPr>
                <w:rFonts w:ascii="Arial" w:cs="Arial" w:eastAsia="Arial" w:hAnsi="Arial"/>
                <w:sz w:val="18"/>
                <w:szCs w:val="18"/>
                <w:color w:val="auto"/>
              </w:rPr>
              <w:t>Shareholder Director Nominations for Inclusion in</w:t>
            </w:r>
          </w:p>
        </w:tc>
        <w:tc>
          <w:tcPr>
            <w:tcW w:w="560" w:type="dxa"/>
            <w:vAlign w:val="bottom"/>
          </w:tcPr>
          <w:p>
            <w:pPr>
              <w:spacing w:after="0"/>
              <w:rPr>
                <w:sz w:val="24"/>
                <w:szCs w:val="24"/>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504"/>
        </w:trPr>
        <w:tc>
          <w:tcPr>
            <w:tcW w:w="4880" w:type="dxa"/>
            <w:vAlign w:val="bottom"/>
          </w:tcPr>
          <w:p>
            <w:pPr>
              <w:ind w:left="20"/>
              <w:spacing w:after="0"/>
              <w:rPr>
                <w:sz w:val="20"/>
                <w:szCs w:val="20"/>
                <w:color w:val="auto"/>
              </w:rPr>
            </w:pPr>
            <w:r>
              <w:rPr>
                <w:rFonts w:ascii="Arial" w:cs="Arial" w:eastAsia="Arial" w:hAnsi="Arial"/>
                <w:sz w:val="18"/>
                <w:szCs w:val="18"/>
                <w:color w:val="auto"/>
              </w:rPr>
              <w:t>Shareholder Proposals and Director Nominations Not</w:t>
            </w:r>
          </w:p>
        </w:tc>
        <w:tc>
          <w:tcPr>
            <w:tcW w:w="560" w:type="dxa"/>
            <w:vAlign w:val="bottom"/>
          </w:tcPr>
          <w:p>
            <w:pPr>
              <w:spacing w:after="0"/>
              <w:rPr>
                <w:sz w:val="24"/>
                <w:szCs w:val="24"/>
                <w:color w:val="auto"/>
              </w:rPr>
            </w:pPr>
          </w:p>
        </w:tc>
      </w:tr>
      <w:tr>
        <w:trPr>
          <w:trHeight w:val="266"/>
        </w:trPr>
        <w:tc>
          <w:tcPr>
            <w:tcW w:w="4880" w:type="dxa"/>
            <w:vAlign w:val="bottom"/>
          </w:tcPr>
          <w:p>
            <w:pPr>
              <w:ind w:left="20"/>
              <w:spacing w:after="0"/>
              <w:rPr>
                <w:sz w:val="20"/>
                <w:szCs w:val="20"/>
                <w:color w:val="auto"/>
              </w:rPr>
            </w:pPr>
            <w:r>
              <w:rPr>
                <w:rFonts w:ascii="Arial" w:cs="Arial" w:eastAsia="Arial" w:hAnsi="Arial"/>
                <w:sz w:val="18"/>
                <w:szCs w:val="18"/>
                <w:color w:val="auto"/>
              </w:rPr>
              <w:t>Included in 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715"/>
        </w:trPr>
        <w:tc>
          <w:tcPr>
            <w:tcW w:w="4880" w:type="dxa"/>
            <w:vAlign w:val="bottom"/>
          </w:tcPr>
          <w:p>
            <w:pPr>
              <w:ind w:left="20"/>
              <w:spacing w:after="0"/>
              <w:rPr>
                <w:sz w:val="20"/>
                <w:szCs w:val="20"/>
                <w:color w:val="auto"/>
              </w:rPr>
            </w:pPr>
            <w:r>
              <w:rPr>
                <w:rFonts w:ascii="Arial" w:cs="Arial" w:eastAsia="Arial" w:hAnsi="Arial"/>
                <w:sz w:val="18"/>
                <w:szCs w:val="18"/>
                <w:color w:val="auto"/>
              </w:rPr>
              <w:t>Householding of Annual Meeting Materials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98</w:t>
            </w:r>
          </w:p>
        </w:tc>
      </w:tr>
      <w:tr>
        <w:trPr>
          <w:trHeight w:val="508"/>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Appendix A: Reconciliation of GAAP</w:t>
            </w:r>
          </w:p>
        </w:tc>
        <w:tc>
          <w:tcPr>
            <w:tcW w:w="560" w:type="dxa"/>
            <w:vAlign w:val="bottom"/>
          </w:tcPr>
          <w:p>
            <w:pPr>
              <w:spacing w:after="0"/>
              <w:rPr>
                <w:sz w:val="24"/>
                <w:szCs w:val="24"/>
                <w:color w:val="auto"/>
              </w:rPr>
            </w:pPr>
          </w:p>
        </w:tc>
      </w:tr>
      <w:tr>
        <w:trPr>
          <w:trHeight w:val="297"/>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Measures to Non-GAAP Measures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99</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11"/>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Helpful Resources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-9265920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-4191635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5440" w:space="260"/>
            <w:col w:w="5440"/>
          </w:cols>
          <w:pgMar w:left="320" w:top="341" w:right="439" w:bottom="204"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393700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58"/>
          <w:szCs w:val="58"/>
          <w:color w:val="auto"/>
        </w:rPr>
        <w:t>Highlights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About ADI</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Analog Devices, Inc.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ADI at a Glance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540" w:type="dxa"/>
            <w:vAlign w:val="bottom"/>
          </w:tcPr>
          <w:p>
            <w:pPr>
              <w:spacing w:after="0"/>
              <w:rPr>
                <w:sz w:val="20"/>
                <w:szCs w:val="20"/>
                <w:color w:val="auto"/>
              </w:rPr>
            </w:pPr>
            <w:r>
              <w:rPr>
                <w:rFonts w:ascii="Arial" w:cs="Arial" w:eastAsia="Arial" w:hAnsi="Arial"/>
                <w:sz w:val="18"/>
                <w:szCs w:val="18"/>
                <w:b w:val="1"/>
                <w:bCs w:val="1"/>
                <w:color w:val="0067B3"/>
              </w:rPr>
              <w:t>Background</w:t>
            </w:r>
          </w:p>
        </w:tc>
        <w:tc>
          <w:tcPr>
            <w:tcW w:w="3840" w:type="dxa"/>
            <w:vAlign w:val="bottom"/>
          </w:tcPr>
          <w:p>
            <w:pPr>
              <w:spacing w:after="0"/>
              <w:rPr>
                <w:sz w:val="22"/>
                <w:szCs w:val="22"/>
                <w:color w:val="auto"/>
              </w:rPr>
            </w:pPr>
          </w:p>
        </w:tc>
        <w:tc>
          <w:tcPr>
            <w:tcW w:w="3240" w:type="dxa"/>
            <w:vAlign w:val="bottom"/>
          </w:tcPr>
          <w:p>
            <w:pPr>
              <w:ind w:left="360"/>
              <w:spacing w:after="0"/>
              <w:rPr>
                <w:sz w:val="20"/>
                <w:szCs w:val="20"/>
                <w:color w:val="auto"/>
              </w:rPr>
            </w:pPr>
            <w:r>
              <w:rPr>
                <w:rFonts w:ascii="Arial" w:cs="Arial" w:eastAsia="Arial" w:hAnsi="Arial"/>
                <w:sz w:val="18"/>
                <w:szCs w:val="18"/>
                <w:b w:val="1"/>
                <w:bCs w:val="1"/>
                <w:color w:val="0067B3"/>
                <w:w w:val="98"/>
              </w:rPr>
              <w:t xml:space="preserve">Fiscal Year 2023 Revenue: </w:t>
            </w:r>
            <w:r>
              <w:rPr>
                <w:rFonts w:ascii="Arial" w:cs="Arial" w:eastAsia="Arial" w:hAnsi="Arial"/>
                <w:sz w:val="18"/>
                <w:szCs w:val="18"/>
                <w:b w:val="1"/>
                <w:bCs w:val="1"/>
                <w:color w:val="000000"/>
                <w:w w:val="98"/>
              </w:rPr>
              <w:t>$12.3B</w:t>
            </w:r>
          </w:p>
        </w:tc>
      </w:tr>
      <w:tr>
        <w:trPr>
          <w:trHeight w:val="109"/>
        </w:trPr>
        <w:tc>
          <w:tcPr>
            <w:tcW w:w="1540" w:type="dxa"/>
            <w:vAlign w:val="bottom"/>
            <w:tcBorders>
              <w:bottom w:val="single" w:sz="8" w:color="0067B3"/>
            </w:tcBorders>
          </w:tcPr>
          <w:p>
            <w:pPr>
              <w:spacing w:after="0"/>
              <w:rPr>
                <w:sz w:val="9"/>
                <w:szCs w:val="9"/>
                <w:color w:val="auto"/>
              </w:rPr>
            </w:pPr>
          </w:p>
        </w:tc>
        <w:tc>
          <w:tcPr>
            <w:tcW w:w="3840" w:type="dxa"/>
            <w:vAlign w:val="bottom"/>
            <w:tcBorders>
              <w:bottom w:val="single" w:sz="8" w:color="0067B3"/>
            </w:tcBorders>
          </w:tcPr>
          <w:p>
            <w:pPr>
              <w:spacing w:after="0"/>
              <w:rPr>
                <w:sz w:val="9"/>
                <w:szCs w:val="9"/>
                <w:color w:val="auto"/>
              </w:rPr>
            </w:pPr>
          </w:p>
        </w:tc>
        <w:tc>
          <w:tcPr>
            <w:tcW w:w="3240" w:type="dxa"/>
            <w:vAlign w:val="bottom"/>
          </w:tcPr>
          <w:p>
            <w:pPr>
              <w:spacing w:after="0"/>
              <w:rPr>
                <w:sz w:val="9"/>
                <w:szCs w:val="9"/>
                <w:color w:val="auto"/>
              </w:rPr>
            </w:pPr>
          </w:p>
        </w:tc>
      </w:tr>
      <w:tr>
        <w:trPr>
          <w:trHeight w:val="257"/>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Founded:</w:t>
            </w:r>
          </w:p>
        </w:tc>
        <w:tc>
          <w:tcPr>
            <w:tcW w:w="3840" w:type="dxa"/>
            <w:vAlign w:val="bottom"/>
            <w:tcBorders>
              <w:bottom w:val="single" w:sz="8" w:color="939598"/>
            </w:tcBorders>
          </w:tcPr>
          <w:p>
            <w:pPr>
              <w:ind w:left="100"/>
              <w:spacing w:after="0"/>
              <w:rPr>
                <w:sz w:val="20"/>
                <w:szCs w:val="20"/>
                <w:color w:val="auto"/>
              </w:rPr>
            </w:pPr>
            <w:r>
              <w:rPr>
                <w:rFonts w:ascii="Arial" w:cs="Arial" w:eastAsia="Arial" w:hAnsi="Arial"/>
                <w:sz w:val="18"/>
                <w:szCs w:val="18"/>
                <w:color w:val="auto"/>
              </w:rPr>
              <w:t>1965</w:t>
            </w:r>
          </w:p>
        </w:tc>
        <w:tc>
          <w:tcPr>
            <w:tcW w:w="3240" w:type="dxa"/>
            <w:vAlign w:val="bottom"/>
          </w:tcPr>
          <w:p>
            <w:pPr>
              <w:spacing w:after="0"/>
              <w:rPr>
                <w:sz w:val="22"/>
                <w:szCs w:val="22"/>
                <w:color w:val="auto"/>
              </w:rPr>
            </w:pP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Headquarters:</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Wilmington, MA</w:t>
            </w: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Employees:</w:t>
            </w:r>
          </w:p>
        </w:tc>
        <w:tc>
          <w:tcPr>
            <w:tcW w:w="3840" w:type="dxa"/>
            <w:vAlign w:val="bottom"/>
            <w:tcBorders>
              <w:top w:val="single" w:sz="8" w:color="939598"/>
              <w:bottom w:val="single" w:sz="8" w:color="939598"/>
            </w:tcBorders>
          </w:tcPr>
          <w:p>
            <w:pPr>
              <w:ind w:left="100"/>
              <w:spacing w:after="0"/>
              <w:rPr>
                <w:sz w:val="20"/>
                <w:szCs w:val="20"/>
                <w:color w:val="auto"/>
              </w:rPr>
            </w:pPr>
            <w:r>
              <w:rPr>
                <w:rFonts w:ascii="Arial" w:cs="Arial" w:eastAsia="Arial" w:hAnsi="Arial"/>
                <w:sz w:val="18"/>
                <w:szCs w:val="18"/>
                <w:color w:val="auto"/>
              </w:rPr>
              <w:t>~26,000</w:t>
            </w:r>
          </w:p>
        </w:tc>
        <w:tc>
          <w:tcPr>
            <w:tcW w:w="3240" w:type="dxa"/>
            <w:vAlign w:val="bottom"/>
          </w:tcPr>
          <w:p>
            <w:pPr>
              <w:spacing w:after="0"/>
              <w:rPr>
                <w:sz w:val="22"/>
                <w:szCs w:val="22"/>
                <w:color w:val="auto"/>
              </w:rPr>
            </w:pPr>
          </w:p>
        </w:tc>
      </w:tr>
      <w:tr>
        <w:trPr>
          <w:trHeight w:val="224"/>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Office</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31 Countries</w:t>
            </w:r>
          </w:p>
        </w:tc>
      </w:tr>
      <w:tr>
        <w:trPr>
          <w:trHeight w:val="216"/>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Locations:</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Worldwide sales, field applications, product</w:t>
            </w:r>
          </w:p>
        </w:tc>
      </w:tr>
      <w:tr>
        <w:trPr>
          <w:trHeight w:val="216"/>
        </w:trPr>
        <w:tc>
          <w:tcPr>
            <w:tcW w:w="1540" w:type="dxa"/>
            <w:vAlign w:val="bottom"/>
          </w:tcPr>
          <w:p>
            <w:pPr>
              <w:spacing w:after="0"/>
              <w:rPr>
                <w:sz w:val="18"/>
                <w:szCs w:val="18"/>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development, design, service and technical</w:t>
            </w:r>
          </w:p>
        </w:tc>
      </w:tr>
      <w:tr>
        <w:trPr>
          <w:trHeight w:val="239"/>
        </w:trPr>
        <w:tc>
          <w:tcPr>
            <w:tcW w:w="1540" w:type="dxa"/>
            <w:vAlign w:val="bottom"/>
          </w:tcPr>
          <w:p>
            <w:pPr>
              <w:spacing w:after="0"/>
              <w:rPr>
                <w:sz w:val="20"/>
                <w:szCs w:val="20"/>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support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-1167765</wp:posOffset>
            </wp:positionV>
            <wp:extent cx="6591935" cy="2503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1935" cy="250317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Products: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Customers:</w:t>
      </w:r>
    </w:p>
    <w:p>
      <w:pPr>
        <w:spacing w:after="0" w:line="77" w:lineRule="exact"/>
        <w:rPr>
          <w:sz w:val="20"/>
          <w:szCs w:val="20"/>
          <w:color w:val="auto"/>
        </w:rPr>
      </w:pPr>
    </w:p>
    <w:p>
      <w:pPr>
        <w:ind w:left="80"/>
        <w:spacing w:after="0" w:line="306" w:lineRule="auto"/>
        <w:rPr>
          <w:sz w:val="20"/>
          <w:szCs w:val="20"/>
          <w:color w:val="auto"/>
        </w:rPr>
      </w:pPr>
      <w:r>
        <w:rPr>
          <w:rFonts w:ascii="Arial" w:cs="Arial" w:eastAsia="Arial" w:hAnsi="Arial"/>
          <w:sz w:val="17"/>
          <w:szCs w:val="17"/>
          <w:b w:val="1"/>
          <w:bCs w:val="1"/>
          <w:color w:val="FFFFFF"/>
        </w:rPr>
        <w:t>Publicly Listed – Nasdaq:</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75,000+ SKUs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41910</wp:posOffset>
            </wp:positionV>
            <wp:extent cx="2434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34925</wp:posOffset>
            </wp:positionV>
            <wp:extent cx="2434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172085</wp:posOffset>
            </wp:positionV>
            <wp:extent cx="2434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1340" w:space="300"/>
            <w:col w:w="9580"/>
          </w:cols>
          <w:pgMar w:left="320" w:top="1126" w:right="359" w:bottom="1440" w:gutter="0" w:footer="0" w:header="0"/>
          <w:type w:val="continuous"/>
        </w:sectPr>
      </w:pPr>
    </w:p>
    <w:tbl>
      <w:tblPr>
        <w:tblLayout w:type="fixed"/>
        <w:tblInd w:w="80" w:type="dxa"/>
        <w:tblCellMar>
          <w:top w:w="0" w:type="dxa"/>
          <w:left w:w="0" w:type="dxa"/>
          <w:bottom w:w="0" w:type="dxa"/>
          <w:right w:w="0" w:type="dxa"/>
        </w:tblCellMar>
      </w:tblP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FFFFFF"/>
              </w:rPr>
              <w:t>Design Centers:</w:t>
            </w:r>
          </w:p>
        </w:tc>
        <w:tc>
          <w:tcPr>
            <w:tcW w:w="3840" w:type="dxa"/>
            <w:vAlign w:val="bottom"/>
            <w:tcBorders>
              <w:bottom w:val="single" w:sz="8" w:color="939598"/>
            </w:tcBorders>
          </w:tcPr>
          <w:p>
            <w:pPr>
              <w:ind w:left="100"/>
              <w:spacing w:after="0"/>
              <w:rPr>
                <w:sz w:val="20"/>
                <w:szCs w:val="20"/>
                <w:color w:val="auto"/>
              </w:rPr>
            </w:pPr>
            <w:r>
              <w:rPr>
                <w:rFonts w:ascii="Arial" w:cs="Arial" w:eastAsia="Arial" w:hAnsi="Arial"/>
                <w:sz w:val="18"/>
                <w:szCs w:val="18"/>
                <w:color w:val="auto"/>
              </w:rPr>
              <w:t>~80</w:t>
            </w:r>
          </w:p>
        </w:tc>
      </w:tr>
      <w:tr>
        <w:trPr>
          <w:trHeight w:val="224"/>
        </w:trPr>
        <w:tc>
          <w:tcPr>
            <w:tcW w:w="1460" w:type="dxa"/>
            <w:vAlign w:val="bottom"/>
          </w:tcPr>
          <w:p>
            <w:pPr>
              <w:spacing w:after="0"/>
              <w:rPr>
                <w:sz w:val="20"/>
                <w:szCs w:val="20"/>
                <w:color w:val="auto"/>
              </w:rPr>
            </w:pPr>
            <w:r>
              <w:rPr>
                <w:rFonts w:ascii="Arial" w:cs="Arial" w:eastAsia="Arial" w:hAnsi="Arial"/>
                <w:sz w:val="18"/>
                <w:szCs w:val="18"/>
                <w:b w:val="1"/>
                <w:bCs w:val="1"/>
                <w:color w:val="FFFFFF"/>
              </w:rPr>
              <w:t>Global</w:t>
            </w:r>
          </w:p>
        </w:tc>
        <w:tc>
          <w:tcPr>
            <w:tcW w:w="3840" w:type="dxa"/>
            <w:vAlign w:val="bottom"/>
          </w:tcPr>
          <w:p>
            <w:pPr>
              <w:ind w:left="100"/>
              <w:spacing w:after="0"/>
              <w:rPr>
                <w:sz w:val="20"/>
                <w:szCs w:val="20"/>
                <w:color w:val="auto"/>
              </w:rPr>
            </w:pPr>
            <w:r>
              <w:rPr>
                <w:rFonts w:ascii="Arial" w:cs="Arial" w:eastAsia="Arial" w:hAnsi="Arial"/>
                <w:sz w:val="18"/>
                <w:szCs w:val="18"/>
                <w:color w:val="auto"/>
              </w:rPr>
              <w:t>United States (Massachusetts, Oregon,</w:t>
            </w: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FFFFFF"/>
              </w:rPr>
              <w:t>Manufacturing:</w:t>
            </w:r>
          </w:p>
        </w:tc>
        <w:tc>
          <w:tcPr>
            <w:tcW w:w="3840" w:type="dxa"/>
            <w:vAlign w:val="bottom"/>
          </w:tcPr>
          <w:p>
            <w:pPr>
              <w:ind w:left="100"/>
              <w:spacing w:after="0"/>
              <w:rPr>
                <w:sz w:val="20"/>
                <w:szCs w:val="20"/>
                <w:color w:val="auto"/>
              </w:rPr>
            </w:pPr>
            <w:r>
              <w:rPr>
                <w:rFonts w:ascii="Arial" w:cs="Arial" w:eastAsia="Arial" w:hAnsi="Arial"/>
                <w:sz w:val="18"/>
                <w:szCs w:val="18"/>
                <w:color w:val="auto"/>
              </w:rPr>
              <w:t>Washington) | Ireland | Philippines | Malaysia |</w:t>
            </w:r>
          </w:p>
        </w:tc>
      </w:tr>
      <w:tr>
        <w:trPr>
          <w:trHeight w:val="239"/>
        </w:trPr>
        <w:tc>
          <w:tcPr>
            <w:tcW w:w="146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Thailand</w:t>
            </w:r>
          </w:p>
        </w:tc>
      </w:tr>
      <w:tr>
        <w:trPr>
          <w:trHeight w:val="23"/>
        </w:trPr>
        <w:tc>
          <w:tcPr>
            <w:tcW w:w="1460" w:type="dxa"/>
            <w:vAlign w:val="bottom"/>
          </w:tcPr>
          <w:p>
            <w:pPr>
              <w:spacing w:after="0"/>
              <w:rPr>
                <w:sz w:val="2"/>
                <w:szCs w:val="2"/>
                <w:color w:val="auto"/>
              </w:rPr>
            </w:pPr>
          </w:p>
        </w:tc>
        <w:tc>
          <w:tcPr>
            <w:tcW w:w="3840" w:type="dxa"/>
            <w:vAlign w:val="bottom"/>
            <w:tcBorders>
              <w:bottom w:val="single" w:sz="8" w:color="0067B3"/>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ADI’s Extensive Hybrid Manufacturing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&amp; Supply Chain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74930</wp:posOffset>
            </wp:positionV>
            <wp:extent cx="5760720" cy="2665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266573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32"/>
          <w:szCs w:val="32"/>
          <w:b w:val="1"/>
          <w:bCs w:val="1"/>
          <w:color w:val="auto"/>
        </w:rPr>
        <w:t>Our Strategy</w:t>
      </w:r>
    </w:p>
    <w:p>
      <w:pPr>
        <w:spacing w:after="0" w:line="15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strategy is focused on our customers’ success. We dedicate our unparalleled technology portfolio, superior engineering and domain expertise, and exceptional end-to-end customer experience to achieve our goals. The end results are deeper, more strategic customer relationships, expanded business opportunities, and stronger and more sustainable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October 28, 2023 (fiscal year 2023), we continued to make progress against our three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245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p>
      <w:pPr>
        <w:spacing w:after="0" w:line="225" w:lineRule="exact"/>
        <w:rPr>
          <w:sz w:val="20"/>
          <w:szCs w:val="20"/>
          <w:color w:val="auto"/>
        </w:rPr>
      </w:pPr>
    </w:p>
    <w:p>
      <w:pPr>
        <w:ind w:left="100" w:right="140"/>
        <w:spacing w:after="0" w:line="273" w:lineRule="auto"/>
        <w:rPr>
          <w:sz w:val="20"/>
          <w:szCs w:val="20"/>
          <w:color w:val="auto"/>
        </w:rPr>
      </w:pPr>
      <w:r>
        <w:rPr>
          <w:rFonts w:ascii="Arial" w:cs="Arial" w:eastAsia="Arial" w:hAnsi="Arial"/>
          <w:sz w:val="18"/>
          <w:szCs w:val="18"/>
          <w:b w:val="1"/>
          <w:bCs w:val="1"/>
          <w:color w:val="FFFFFF"/>
        </w:rPr>
        <w:t>Deploying Capital Efficiently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right="20"/>
        <w:spacing w:after="0" w:line="273" w:lineRule="auto"/>
        <w:rPr>
          <w:sz w:val="20"/>
          <w:szCs w:val="20"/>
          <w:color w:val="auto"/>
        </w:rPr>
      </w:pPr>
      <w:r>
        <w:rPr>
          <w:rFonts w:ascii="Arial" w:cs="Arial" w:eastAsia="Arial" w:hAnsi="Arial"/>
          <w:sz w:val="18"/>
          <w:szCs w:val="18"/>
          <w:b w:val="1"/>
          <w:bCs w:val="1"/>
          <w:color w:val="FFFFFF"/>
        </w:rPr>
        <w:t>Deepening Customer’s Centricity</w:t>
      </w:r>
    </w:p>
    <w:p>
      <w:pPr>
        <w:spacing w:after="0" w:line="200" w:lineRule="exact"/>
        <w:rPr>
          <w:sz w:val="20"/>
          <w:szCs w:val="20"/>
          <w:color w:val="auto"/>
        </w:rPr>
      </w:pPr>
    </w:p>
    <w:p>
      <w:pPr>
        <w:spacing w:after="0" w:line="268" w:lineRule="exact"/>
        <w:rPr>
          <w:sz w:val="20"/>
          <w:szCs w:val="20"/>
          <w:color w:val="auto"/>
        </w:rPr>
      </w:pPr>
    </w:p>
    <w:p>
      <w:pPr>
        <w:jc w:val="both"/>
        <w:ind w:left="100"/>
        <w:spacing w:after="0" w:line="273" w:lineRule="auto"/>
        <w:rPr>
          <w:sz w:val="20"/>
          <w:szCs w:val="20"/>
          <w:color w:val="auto"/>
        </w:rPr>
      </w:pPr>
      <w:r>
        <w:rPr>
          <w:rFonts w:ascii="Arial" w:cs="Arial" w:eastAsia="Arial" w:hAnsi="Arial"/>
          <w:sz w:val="18"/>
          <w:szCs w:val="18"/>
          <w:b w:val="1"/>
          <w:bCs w:val="1"/>
          <w:color w:val="FFFFFF"/>
        </w:rPr>
        <w:t>Capitalizing on Secular Trends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Annual R&amp;D investment of approximately $1.7B with approximately 95% targeted on most attractive B2B opportunities</w:t>
      </w:r>
    </w:p>
    <w:p>
      <w:pPr>
        <w:spacing w:after="0" w:line="90" w:lineRule="exact"/>
        <w:rPr>
          <w:rFonts w:ascii="Arial" w:cs="Arial" w:eastAsia="Arial" w:hAnsi="Arial"/>
          <w:sz w:val="13"/>
          <w:szCs w:val="13"/>
          <w:color w:val="0067B3"/>
        </w:rPr>
      </w:pPr>
    </w:p>
    <w:p>
      <w:pPr>
        <w:ind w:left="202" w:right="80" w:hanging="202"/>
        <w:spacing w:after="0" w:line="287" w:lineRule="auto"/>
        <w:tabs>
          <w:tab w:leader="none" w:pos="159" w:val="left"/>
        </w:tabs>
        <w:numPr>
          <w:ilvl w:val="0"/>
          <w:numId w:val="7"/>
        </w:numPr>
        <w:rPr>
          <w:rFonts w:ascii="Arial" w:cs="Arial" w:eastAsia="Arial" w:hAnsi="Arial"/>
          <w:sz w:val="13"/>
          <w:szCs w:val="13"/>
          <w:color w:val="0067B3"/>
        </w:rPr>
      </w:pPr>
      <w:r>
        <w:rPr>
          <w:rFonts w:ascii="Arial" w:cs="Arial" w:eastAsia="Arial" w:hAnsi="Arial"/>
          <w:sz w:val="18"/>
          <w:szCs w:val="18"/>
          <w:color w:val="auto"/>
        </w:rPr>
        <w:t>Extracted value from M&amp;A to enhance scale and scope, creating a destination for the world’s best talent: Maxim in FY’21, Linear Technology in FY’17, and Hittite in FY’14</w:t>
      </w:r>
    </w:p>
    <w:p>
      <w:pPr>
        <w:spacing w:after="0" w:line="4" w:lineRule="exact"/>
        <w:rPr>
          <w:rFonts w:ascii="Arial" w:cs="Arial" w:eastAsia="Arial" w:hAnsi="Arial"/>
          <w:sz w:val="13"/>
          <w:szCs w:val="13"/>
          <w:color w:val="0067B3"/>
        </w:rPr>
      </w:pPr>
    </w:p>
    <w:p>
      <w:pPr>
        <w:ind w:left="202" w:right="500" w:hanging="202"/>
        <w:spacing w:after="0" w:line="287" w:lineRule="auto"/>
        <w:tabs>
          <w:tab w:leader="none" w:pos="159" w:val="left"/>
        </w:tabs>
        <w:numPr>
          <w:ilvl w:val="0"/>
          <w:numId w:val="7"/>
        </w:numPr>
        <w:rPr>
          <w:rFonts w:ascii="Arial" w:cs="Arial" w:eastAsia="Arial" w:hAnsi="Arial"/>
          <w:sz w:val="13"/>
          <w:szCs w:val="13"/>
          <w:color w:val="0067B3"/>
        </w:rPr>
      </w:pPr>
      <w:r>
        <w:rPr>
          <w:rFonts w:ascii="Arial" w:cs="Arial" w:eastAsia="Arial" w:hAnsi="Arial"/>
          <w:sz w:val="18"/>
          <w:szCs w:val="18"/>
          <w:color w:val="auto"/>
        </w:rPr>
        <w:t>Delivered on our commitment to return at least 100% of free cash flow over the long term, distributing $4.6B through share repurchases and dividends</w:t>
      </w:r>
    </w:p>
    <w:p>
      <w:pPr>
        <w:spacing w:after="0" w:line="98" w:lineRule="exact"/>
        <w:rPr>
          <w:rFonts w:ascii="Arial" w:cs="Arial" w:eastAsia="Arial" w:hAnsi="Arial"/>
          <w:sz w:val="13"/>
          <w:szCs w:val="13"/>
          <w:color w:val="0067B3"/>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Partnered more deeply with customers to deliver complete solutions and breakthroughs at the Intelligent Edge</w:t>
      </w:r>
    </w:p>
    <w:p>
      <w:pPr>
        <w:spacing w:after="0" w:line="90" w:lineRule="exact"/>
        <w:rPr>
          <w:rFonts w:ascii="Arial" w:cs="Arial" w:eastAsia="Arial" w:hAnsi="Arial"/>
          <w:sz w:val="13"/>
          <w:szCs w:val="13"/>
          <w:color w:val="0067B3"/>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Provided customers with the technical expertise, support, and resources to overcome engineering’s toughest challenges</w:t>
      </w:r>
    </w:p>
    <w:p>
      <w:pPr>
        <w:spacing w:after="0" w:line="76" w:lineRule="exact"/>
        <w:rPr>
          <w:rFonts w:ascii="Arial" w:cs="Arial" w:eastAsia="Arial" w:hAnsi="Arial"/>
          <w:sz w:val="13"/>
          <w:szCs w:val="13"/>
          <w:color w:val="0067B3"/>
        </w:rPr>
      </w:pPr>
    </w:p>
    <w:p>
      <w:pPr>
        <w:ind w:left="202" w:right="720" w:hanging="202"/>
        <w:spacing w:after="0" w:line="287" w:lineRule="auto"/>
        <w:tabs>
          <w:tab w:leader="none" w:pos="159" w:val="left"/>
        </w:tabs>
        <w:numPr>
          <w:ilvl w:val="0"/>
          <w:numId w:val="7"/>
        </w:numPr>
        <w:rPr>
          <w:rFonts w:ascii="Arial" w:cs="Arial" w:eastAsia="Arial" w:hAnsi="Arial"/>
          <w:sz w:val="13"/>
          <w:szCs w:val="13"/>
          <w:color w:val="0067B3"/>
        </w:rPr>
      </w:pPr>
      <w:r>
        <w:rPr>
          <w:rFonts w:ascii="Arial" w:cs="Arial" w:eastAsia="Arial" w:hAnsi="Arial"/>
          <w:sz w:val="18"/>
          <w:szCs w:val="18"/>
          <w:color w:val="auto"/>
        </w:rPr>
        <w:t>Accelerated innovation engine to develop cutting-edge technologies designed to help make our world safer, more efficient, and sustainable. Opportunity pipeline value achieved record levels in FY’23</w:t>
      </w:r>
    </w:p>
    <w:p>
      <w:pPr>
        <w:spacing w:after="0" w:line="98" w:lineRule="exact"/>
        <w:rPr>
          <w:rFonts w:ascii="Arial" w:cs="Arial" w:eastAsia="Arial" w:hAnsi="Arial"/>
          <w:sz w:val="13"/>
          <w:szCs w:val="13"/>
          <w:color w:val="0067B3"/>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Automotive: Electrification, In-Cabin Experience, Advanced Driver Assistance System (Autonomous Mobility)</w:t>
      </w:r>
    </w:p>
    <w:p>
      <w:pPr>
        <w:spacing w:after="0" w:line="90" w:lineRule="exact"/>
        <w:rPr>
          <w:rFonts w:ascii="Arial" w:cs="Arial" w:eastAsia="Arial" w:hAnsi="Arial"/>
          <w:sz w:val="13"/>
          <w:szCs w:val="13"/>
          <w:color w:val="0067B3"/>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Industrial: Industry 4.0, Digital Healthcare, Space, Sustainable Energy</w:t>
      </w:r>
    </w:p>
    <w:p>
      <w:pPr>
        <w:spacing w:after="0" w:line="76" w:lineRule="exact"/>
        <w:rPr>
          <w:rFonts w:ascii="Arial" w:cs="Arial" w:eastAsia="Arial" w:hAnsi="Arial"/>
          <w:sz w:val="13"/>
          <w:szCs w:val="13"/>
          <w:color w:val="0067B3"/>
        </w:rPr>
      </w:pPr>
    </w:p>
    <w:p>
      <w:pPr>
        <w:ind w:left="142" w:hanging="142"/>
        <w:spacing w:after="0"/>
        <w:tabs>
          <w:tab w:leader="none" w:pos="142" w:val="left"/>
        </w:tabs>
        <w:numPr>
          <w:ilvl w:val="0"/>
          <w:numId w:val="7"/>
        </w:numPr>
        <w:rPr>
          <w:rFonts w:ascii="Arial" w:cs="Arial" w:eastAsia="Arial" w:hAnsi="Arial"/>
          <w:sz w:val="13"/>
          <w:szCs w:val="13"/>
          <w:color w:val="0067B3"/>
        </w:rPr>
      </w:pPr>
      <w:r>
        <w:rPr>
          <w:rFonts w:ascii="Arial" w:cs="Arial" w:eastAsia="Arial" w:hAnsi="Arial"/>
          <w:sz w:val="18"/>
          <w:szCs w:val="18"/>
          <w:color w:val="auto"/>
        </w:rPr>
        <w:t>Communications: Advanced Connectivity and High Performance Computing</w:t>
      </w:r>
    </w:p>
    <w:p>
      <w:pPr>
        <w:spacing w:after="0" w:line="200" w:lineRule="exact"/>
        <w:rPr>
          <w:sz w:val="20"/>
          <w:szCs w:val="20"/>
          <w:color w:val="auto"/>
        </w:rPr>
      </w:pPr>
    </w:p>
    <w:p>
      <w:pPr>
        <w:sectPr>
          <w:pgSz w:w="11900" w:h="16838" w:orient="portrait"/>
          <w:cols w:equalWidth="0" w:num="2">
            <w:col w:w="1120" w:space="278"/>
            <w:col w:w="9862"/>
          </w:cols>
          <w:pgMar w:left="320" w:top="1311" w:right="31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Fiscal Year 2023 Performance Highlights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670"/>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$12.3B</w:t>
            </w:r>
          </w:p>
        </w:tc>
        <w:tc>
          <w:tcPr>
            <w:tcW w:w="226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64.0%</w:t>
            </w: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31.1%</w:t>
            </w:r>
          </w:p>
        </w:tc>
        <w:tc>
          <w:tcPr>
            <w:tcW w:w="236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$6.55</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color w:val="0067B3"/>
              </w:rPr>
              <w:t>$4.8B</w:t>
            </w: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r>
      <w:tr>
        <w:trPr>
          <w:trHeight w:val="720"/>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~90%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72.5%</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48.9%</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$10.09</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color w:val="0067B3"/>
              </w:rPr>
              <w:t>$3.6B</w:t>
            </w: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r>
      <w:tr>
        <w:trPr>
          <w:trHeight w:val="172"/>
        </w:trPr>
        <w:tc>
          <w:tcPr>
            <w:tcW w:w="2120" w:type="dxa"/>
            <w:vAlign w:val="bottom"/>
            <w:tcBorders>
              <w:left w:val="single" w:sz="8" w:color="0067B3"/>
              <w:bottom w:val="single" w:sz="8" w:color="0067B3"/>
              <w:right w:val="single" w:sz="8" w:color="auto"/>
            </w:tcBorders>
          </w:tcPr>
          <w:p>
            <w:pPr>
              <w:spacing w:after="0"/>
              <w:rPr>
                <w:sz w:val="14"/>
                <w:szCs w:val="14"/>
                <w:color w:val="auto"/>
              </w:rPr>
            </w:pPr>
          </w:p>
        </w:tc>
        <w:tc>
          <w:tcPr>
            <w:tcW w:w="2260" w:type="dxa"/>
            <w:vAlign w:val="bottom"/>
            <w:tcBorders>
              <w:bottom w:val="single" w:sz="8" w:color="0067B3"/>
              <w:right w:val="single" w:sz="8" w:color="auto"/>
            </w:tcBorders>
          </w:tcPr>
          <w:p>
            <w:pPr>
              <w:spacing w:after="0"/>
              <w:rPr>
                <w:sz w:val="14"/>
                <w:szCs w:val="14"/>
                <w:color w:val="auto"/>
              </w:rPr>
            </w:pPr>
          </w:p>
        </w:tc>
        <w:tc>
          <w:tcPr>
            <w:tcW w:w="2340" w:type="dxa"/>
            <w:vAlign w:val="bottom"/>
            <w:tcBorders>
              <w:bottom w:val="single" w:sz="8" w:color="0067B3"/>
              <w:right w:val="single" w:sz="8" w:color="auto"/>
            </w:tcBorders>
          </w:tcPr>
          <w:p>
            <w:pPr>
              <w:spacing w:after="0"/>
              <w:rPr>
                <w:sz w:val="14"/>
                <w:szCs w:val="14"/>
                <w:color w:val="auto"/>
              </w:rPr>
            </w:pPr>
          </w:p>
        </w:tc>
        <w:tc>
          <w:tcPr>
            <w:tcW w:w="2360" w:type="dxa"/>
            <w:vAlign w:val="bottom"/>
            <w:tcBorders>
              <w:bottom w:val="single" w:sz="8" w:color="0067B3"/>
              <w:right w:val="single" w:sz="8" w:color="auto"/>
            </w:tcBorders>
          </w:tcPr>
          <w:p>
            <w:pPr>
              <w:spacing w:after="0"/>
              <w:rPr>
                <w:sz w:val="14"/>
                <w:szCs w:val="14"/>
                <w:color w:val="auto"/>
              </w:rPr>
            </w:pPr>
          </w:p>
        </w:tc>
        <w:tc>
          <w:tcPr>
            <w:tcW w:w="2180" w:type="dxa"/>
            <w:vAlign w:val="bottom"/>
            <w:tcBorders>
              <w:bottom w:val="single" w:sz="8" w:color="0067B3"/>
              <w:right w:val="single" w:sz="8" w:color="0067B3"/>
            </w:tcBorders>
          </w:tcPr>
          <w:p>
            <w:pPr>
              <w:spacing w:after="0"/>
              <w:rPr>
                <w:sz w:val="14"/>
                <w:szCs w:val="14"/>
                <w:color w:val="auto"/>
              </w:rPr>
            </w:pPr>
          </w:p>
        </w:tc>
      </w:tr>
    </w:tbl>
    <w:p>
      <w:pPr>
        <w:spacing w:after="0" w:line="148" w:lineRule="exact"/>
        <w:rPr>
          <w:sz w:val="20"/>
          <w:szCs w:val="20"/>
          <w:color w:val="auto"/>
        </w:rPr>
      </w:pPr>
    </w:p>
    <w:p>
      <w:pPr>
        <w:ind w:left="200" w:right="360" w:hanging="192"/>
        <w:spacing w:after="0" w:line="304"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Environment, Social, and Governance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Our Approach</w:t>
      </w:r>
    </w:p>
    <w:p>
      <w:pPr>
        <w:spacing w:after="0" w:line="15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At ADI, we have long held the belief that we can and should be a force for positive change in the world. We believe that our growth over the past few years gives us the opportunity to take an even stronger leadership position in driving the changes that must take place to create a better society and a healthier planet. Environment, Social, and Governance (ESG) principles are at the heart of our work because they are aligned with our stakeholders’ priorities. The efforts we take across ADI to operate with integrity, preserve the environment, slow down and remediate climate change, and drive greater diversity, equity, and inclusion (DE&amp;I), both within our leadership and workforce, are key to our long-term growth and profitability. We believe sustainability means delivering holistic solutions that make a positive, demonstrable impact on the world.</w:t>
      </w:r>
    </w:p>
    <w:p>
      <w:pPr>
        <w:sectPr>
          <w:pgSz w:w="11900" w:h="16838" w:orient="portrait"/>
          <w:cols w:equalWidth="0" w:num="1">
            <w:col w:w="11260"/>
          </w:cols>
          <w:pgMar w:left="320" w:top="1311" w:right="31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9"/>
          <w:szCs w:val="19"/>
          <w:b w:val="1"/>
          <w:bCs w:val="1"/>
          <w:color w:val="auto"/>
        </w:rPr>
      </w:pPr>
      <w:r>
        <w:rPr>
          <w:rFonts w:ascii="Arial" w:cs="Arial" w:eastAsia="Arial" w:hAnsi="Arial"/>
          <w:sz w:val="15"/>
          <w:szCs w:val="15"/>
          <w:color w:val="6D6E71"/>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2"/>
          <w:szCs w:val="32"/>
          <w:b w:val="1"/>
          <w:bCs w:val="1"/>
          <w:color w:val="auto"/>
        </w:rPr>
        <w:t>ESG Oversight</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ESG program is led by our CEO, our Leadership Team, as defined below, and appointed roles exclusively dedicated to ESG matters. Our head of ESG and sustainability is a key member of our CEO Strategy Office to ensure our ESG programs and principles are deeply embedded in our business strategy. Management regularly reports to the full Board of Directors on ESG topics, providing updates on key metrics and progress. These ESG updates are intended to keep our Board of Directors abreast of the quickly changing ESG regulatory environment, as well as evolving practices, risk oversight, mitigation strategies, and other relevant ESG topics, including environmental sustainability risks and opportunities, salient human rights risks, and emerging issues such as ethical AI. Our ESG council—comprised of in-house subject matter experts, including Human Resources, Procurement, Environment, Health and Safety, Legal, Risk, and Compliance and Ethics—meets regularly and shares updates, which are shared with the Leadership Team and the Nominating and Corporate Governance Committee on a quarterly basis. These updates highlight program advancements, regulatory updates, and risks.</w:t>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ADI Corporate &amp; ESG Recognition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are proud that our commitments are routinely recognized around the globe, including most recently with the following recognition:</w:t>
      </w:r>
    </w:p>
    <w:p>
      <w:pPr>
        <w:sectPr>
          <w:pgSz w:w="11900" w:h="16838" w:orient="portrait"/>
          <w:cols w:equalWidth="0" w:num="1">
            <w:col w:w="11220"/>
          </w:cols>
          <w:pgMar w:left="320" w:top="1311" w:right="359" w:bottom="1440" w:gutter="0" w:footer="0" w:header="0"/>
        </w:sectPr>
      </w:pP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3"/>
                <w:szCs w:val="13"/>
                <w:color w:val="0067B3"/>
              </w:rPr>
              <w:t>u</w:t>
            </w:r>
          </w:p>
        </w:tc>
        <w:tc>
          <w:tcPr>
            <w:tcW w:w="3300" w:type="dxa"/>
            <w:vAlign w:val="bottom"/>
          </w:tcPr>
          <w:p>
            <w:pPr>
              <w:ind w:left="40"/>
              <w:spacing w:after="0"/>
              <w:rPr>
                <w:sz w:val="20"/>
                <w:szCs w:val="20"/>
                <w:color w:val="auto"/>
              </w:rPr>
            </w:pPr>
            <w:r>
              <w:rPr>
                <w:rFonts w:ascii="Arial" w:cs="Arial" w:eastAsia="Arial" w:hAnsi="Arial"/>
                <w:sz w:val="16"/>
                <w:szCs w:val="16"/>
                <w:color w:val="auto"/>
              </w:rPr>
              <w:t>Carbon Clean 200</w:t>
            </w:r>
          </w:p>
        </w:tc>
        <w:tc>
          <w:tcPr>
            <w:tcW w:w="420" w:type="dxa"/>
            <w:vAlign w:val="bottom"/>
          </w:tcPr>
          <w:p>
            <w:pPr>
              <w:ind w:left="320"/>
              <w:spacing w:after="0"/>
              <w:rPr>
                <w:sz w:val="20"/>
                <w:szCs w:val="20"/>
                <w:color w:val="auto"/>
              </w:rPr>
            </w:pPr>
            <w:r>
              <w:rPr>
                <w:rFonts w:ascii="Arial" w:cs="Arial" w:eastAsia="Arial" w:hAnsi="Arial"/>
                <w:sz w:val="13"/>
                <w:szCs w:val="13"/>
                <w:color w:val="0067B3"/>
              </w:rPr>
              <w:t>u</w:t>
            </w:r>
          </w:p>
        </w:tc>
        <w:tc>
          <w:tcPr>
            <w:tcW w:w="3060" w:type="dxa"/>
            <w:vAlign w:val="bottom"/>
          </w:tcPr>
          <w:p>
            <w:pPr>
              <w:ind w:left="40"/>
              <w:spacing w:after="0"/>
              <w:rPr>
                <w:sz w:val="20"/>
                <w:szCs w:val="20"/>
                <w:color w:val="auto"/>
              </w:rPr>
            </w:pPr>
            <w:r>
              <w:rPr>
                <w:rFonts w:ascii="Arial" w:cs="Arial" w:eastAsia="Arial" w:hAnsi="Arial"/>
                <w:sz w:val="16"/>
                <w:szCs w:val="16"/>
                <w:color w:val="auto"/>
              </w:rPr>
              <w:t>Business Intelligence Group Sustainability</w:t>
            </w:r>
          </w:p>
        </w:tc>
      </w:tr>
      <w:tr>
        <w:trPr>
          <w:trHeight w:val="215"/>
        </w:trPr>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Leadership Award 2023</w:t>
            </w:r>
          </w:p>
        </w:tc>
      </w:tr>
      <w:tr>
        <w:trPr>
          <w:trHeight w:val="311"/>
        </w:trPr>
        <w:tc>
          <w:tcPr>
            <w:tcW w:w="120" w:type="dxa"/>
            <w:vAlign w:val="bottom"/>
          </w:tcPr>
          <w:p>
            <w:pPr>
              <w:spacing w:after="0"/>
              <w:rPr>
                <w:sz w:val="20"/>
                <w:szCs w:val="20"/>
                <w:color w:val="auto"/>
              </w:rPr>
            </w:pPr>
            <w:r>
              <w:rPr>
                <w:rFonts w:ascii="Arial" w:cs="Arial" w:eastAsia="Arial" w:hAnsi="Arial"/>
                <w:sz w:val="13"/>
                <w:szCs w:val="13"/>
                <w:color w:val="0067B3"/>
              </w:rPr>
              <w:t>u</w:t>
            </w:r>
          </w:p>
        </w:tc>
        <w:tc>
          <w:tcPr>
            <w:tcW w:w="3300" w:type="dxa"/>
            <w:vAlign w:val="bottom"/>
          </w:tcPr>
          <w:p>
            <w:pPr>
              <w:ind w:left="40"/>
              <w:spacing w:after="0"/>
              <w:rPr>
                <w:sz w:val="20"/>
                <w:szCs w:val="20"/>
                <w:color w:val="auto"/>
              </w:rPr>
            </w:pPr>
            <w:r>
              <w:rPr>
                <w:rFonts w:ascii="Arial" w:cs="Arial" w:eastAsia="Arial" w:hAnsi="Arial"/>
                <w:sz w:val="16"/>
                <w:szCs w:val="16"/>
                <w:color w:val="auto"/>
              </w:rPr>
              <w:t>2022 JUST Capital Workforce Equity and</w:t>
            </w:r>
          </w:p>
        </w:tc>
        <w:tc>
          <w:tcPr>
            <w:tcW w:w="420" w:type="dxa"/>
            <w:vAlign w:val="bottom"/>
          </w:tcPr>
          <w:p>
            <w:pPr>
              <w:ind w:left="320"/>
              <w:spacing w:after="0"/>
              <w:rPr>
                <w:sz w:val="20"/>
                <w:szCs w:val="20"/>
                <w:color w:val="auto"/>
              </w:rPr>
            </w:pPr>
            <w:r>
              <w:rPr>
                <w:rFonts w:ascii="Arial" w:cs="Arial" w:eastAsia="Arial" w:hAnsi="Arial"/>
                <w:sz w:val="13"/>
                <w:szCs w:val="13"/>
                <w:color w:val="0067B3"/>
              </w:rPr>
              <w:t>u</w:t>
            </w:r>
          </w:p>
        </w:tc>
        <w:tc>
          <w:tcPr>
            <w:tcW w:w="3060" w:type="dxa"/>
            <w:vAlign w:val="bottom"/>
          </w:tcPr>
          <w:p>
            <w:pPr>
              <w:ind w:left="40"/>
              <w:spacing w:after="0"/>
              <w:rPr>
                <w:sz w:val="20"/>
                <w:szCs w:val="20"/>
                <w:color w:val="auto"/>
              </w:rPr>
            </w:pPr>
            <w:r>
              <w:rPr>
                <w:rFonts w:ascii="Arial" w:cs="Arial" w:eastAsia="Arial" w:hAnsi="Arial"/>
                <w:sz w:val="16"/>
                <w:szCs w:val="16"/>
                <w:color w:val="auto"/>
              </w:rPr>
              <w:t>2022 Forbes World’s Most Female</w:t>
            </w:r>
          </w:p>
        </w:tc>
      </w:tr>
      <w:tr>
        <w:trPr>
          <w:trHeight w:val="215"/>
        </w:trPr>
        <w:tc>
          <w:tcPr>
            <w:tcW w:w="1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Mobility Ranking</w:t>
            </w:r>
          </w:p>
        </w:tc>
        <w:tc>
          <w:tcPr>
            <w:tcW w:w="4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Friendly Companies</w:t>
            </w:r>
          </w:p>
        </w:tc>
      </w:tr>
      <w:tr>
        <w:trPr>
          <w:trHeight w:val="312"/>
        </w:trPr>
        <w:tc>
          <w:tcPr>
            <w:tcW w:w="120" w:type="dxa"/>
            <w:vAlign w:val="bottom"/>
          </w:tcPr>
          <w:p>
            <w:pPr>
              <w:spacing w:after="0"/>
              <w:rPr>
                <w:sz w:val="20"/>
                <w:szCs w:val="20"/>
                <w:color w:val="auto"/>
              </w:rPr>
            </w:pPr>
            <w:r>
              <w:rPr>
                <w:rFonts w:ascii="Arial" w:cs="Arial" w:eastAsia="Arial" w:hAnsi="Arial"/>
                <w:sz w:val="13"/>
                <w:szCs w:val="13"/>
                <w:color w:val="0067B3"/>
              </w:rPr>
              <w:t>u</w:t>
            </w:r>
          </w:p>
        </w:tc>
        <w:tc>
          <w:tcPr>
            <w:tcW w:w="3300" w:type="dxa"/>
            <w:vAlign w:val="bottom"/>
          </w:tcPr>
          <w:p>
            <w:pPr>
              <w:ind w:left="40"/>
              <w:spacing w:after="0"/>
              <w:rPr>
                <w:sz w:val="20"/>
                <w:szCs w:val="20"/>
                <w:color w:val="auto"/>
              </w:rPr>
            </w:pPr>
            <w:r>
              <w:rPr>
                <w:rFonts w:ascii="Arial" w:cs="Arial" w:eastAsia="Arial" w:hAnsi="Arial"/>
                <w:sz w:val="16"/>
                <w:szCs w:val="16"/>
                <w:color w:val="auto"/>
              </w:rPr>
              <w:t>2023 JUST Capital 100</w:t>
            </w:r>
          </w:p>
        </w:tc>
        <w:tc>
          <w:tcPr>
            <w:tcW w:w="420" w:type="dxa"/>
            <w:vAlign w:val="bottom"/>
          </w:tcPr>
          <w:p>
            <w:pPr>
              <w:ind w:left="320"/>
              <w:spacing w:after="0"/>
              <w:rPr>
                <w:sz w:val="20"/>
                <w:szCs w:val="20"/>
                <w:color w:val="auto"/>
              </w:rPr>
            </w:pPr>
            <w:r>
              <w:rPr>
                <w:rFonts w:ascii="Arial" w:cs="Arial" w:eastAsia="Arial" w:hAnsi="Arial"/>
                <w:sz w:val="13"/>
                <w:szCs w:val="13"/>
                <w:color w:val="0067B3"/>
              </w:rPr>
              <w:t>u</w:t>
            </w:r>
          </w:p>
        </w:tc>
        <w:tc>
          <w:tcPr>
            <w:tcW w:w="3060" w:type="dxa"/>
            <w:vAlign w:val="bottom"/>
          </w:tcPr>
          <w:p>
            <w:pPr>
              <w:ind w:left="40"/>
              <w:spacing w:after="0"/>
              <w:rPr>
                <w:sz w:val="20"/>
                <w:szCs w:val="20"/>
                <w:color w:val="auto"/>
              </w:rPr>
            </w:pPr>
            <w:r>
              <w:rPr>
                <w:rFonts w:ascii="Arial" w:cs="Arial" w:eastAsia="Arial" w:hAnsi="Arial"/>
                <w:sz w:val="16"/>
                <w:szCs w:val="16"/>
                <w:color w:val="auto"/>
              </w:rPr>
              <w:t>50/50 Women on Boards-3+ Women</w:t>
            </w:r>
          </w:p>
        </w:tc>
      </w:tr>
      <w:tr>
        <w:trPr>
          <w:trHeight w:val="215"/>
        </w:trPr>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on Company Boards 2022</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5" w:right="1080" w:hanging="195"/>
        <w:spacing w:after="0" w:line="268" w:lineRule="auto"/>
        <w:tabs>
          <w:tab w:leader="none" w:pos="152" w:val="left"/>
        </w:tabs>
        <w:numPr>
          <w:ilvl w:val="0"/>
          <w:numId w:val="10"/>
        </w:numPr>
        <w:rPr>
          <w:rFonts w:ascii="Arial" w:cs="Arial" w:eastAsia="Arial" w:hAnsi="Arial"/>
          <w:sz w:val="13"/>
          <w:szCs w:val="13"/>
          <w:color w:val="0067B3"/>
        </w:rPr>
      </w:pPr>
      <w:r>
        <w:rPr>
          <w:rFonts w:ascii="Arial" w:cs="Arial" w:eastAsia="Arial" w:hAnsi="Arial"/>
          <w:sz w:val="16"/>
          <w:szCs w:val="16"/>
          <w:color w:val="auto"/>
        </w:rPr>
        <w:t>Investor Business Daily’s 100 Best ESG Companies of 2022</w:t>
      </w:r>
    </w:p>
    <w:p>
      <w:pPr>
        <w:spacing w:after="0" w:line="115" w:lineRule="exact"/>
        <w:rPr>
          <w:rFonts w:ascii="Arial" w:cs="Arial" w:eastAsia="Arial" w:hAnsi="Arial"/>
          <w:sz w:val="13"/>
          <w:szCs w:val="13"/>
          <w:color w:val="0067B3"/>
        </w:rPr>
      </w:pPr>
    </w:p>
    <w:p>
      <w:pPr>
        <w:ind w:left="195" w:right="300" w:hanging="195"/>
        <w:spacing w:after="0" w:line="268" w:lineRule="auto"/>
        <w:tabs>
          <w:tab w:leader="none" w:pos="152" w:val="left"/>
        </w:tabs>
        <w:numPr>
          <w:ilvl w:val="0"/>
          <w:numId w:val="10"/>
        </w:numPr>
        <w:rPr>
          <w:rFonts w:ascii="Arial" w:cs="Arial" w:eastAsia="Arial" w:hAnsi="Arial"/>
          <w:sz w:val="13"/>
          <w:szCs w:val="13"/>
          <w:color w:val="0067B3"/>
        </w:rPr>
      </w:pPr>
      <w:r>
        <w:rPr>
          <w:rFonts w:ascii="Arial" w:cs="Arial" w:eastAsia="Arial" w:hAnsi="Arial"/>
          <w:sz w:val="16"/>
          <w:szCs w:val="16"/>
          <w:color w:val="auto"/>
        </w:rPr>
        <w:t>Global 100 Most Sustainable Corporations by Corporate Knights 2022</w:t>
      </w:r>
    </w:p>
    <w:p>
      <w:pPr>
        <w:spacing w:after="0" w:line="183" w:lineRule="exact"/>
        <w:rPr>
          <w:rFonts w:ascii="Arial" w:cs="Arial" w:eastAsia="Arial" w:hAnsi="Arial"/>
          <w:sz w:val="13"/>
          <w:szCs w:val="13"/>
          <w:color w:val="0067B3"/>
        </w:rPr>
      </w:pPr>
    </w:p>
    <w:p>
      <w:pPr>
        <w:ind w:left="195" w:right="680" w:hanging="195"/>
        <w:spacing w:after="0" w:line="286" w:lineRule="auto"/>
        <w:tabs>
          <w:tab w:leader="none" w:pos="152" w:val="left"/>
        </w:tabs>
        <w:numPr>
          <w:ilvl w:val="0"/>
          <w:numId w:val="10"/>
        </w:numPr>
        <w:rPr>
          <w:rFonts w:ascii="Arial" w:cs="Arial" w:eastAsia="Arial" w:hAnsi="Arial"/>
          <w:sz w:val="13"/>
          <w:szCs w:val="13"/>
          <w:color w:val="0067B3"/>
        </w:rPr>
      </w:pPr>
      <w:r>
        <w:rPr>
          <w:rFonts w:ascii="Arial" w:cs="Arial" w:eastAsia="Arial" w:hAnsi="Arial"/>
          <w:sz w:val="16"/>
          <w:szCs w:val="16"/>
          <w:color w:val="auto"/>
        </w:rPr>
        <w:t>Wall Street Journal’s 250 Best-Managed Companies of 2022</w:t>
      </w:r>
    </w:p>
    <w:p>
      <w:pPr>
        <w:spacing w:after="0" w:line="113" w:lineRule="exact"/>
        <w:rPr>
          <w:sz w:val="20"/>
          <w:szCs w:val="20"/>
          <w:color w:val="auto"/>
        </w:rPr>
      </w:pPr>
    </w:p>
    <w:p>
      <w:pPr>
        <w:sectPr>
          <w:pgSz w:w="11900" w:h="16838" w:orient="portrait"/>
          <w:cols w:equalWidth="0" w:num="2">
            <w:col w:w="6920" w:space="585"/>
            <w:col w:w="3715"/>
          </w:cols>
          <w:pgMar w:left="320" w:top="1311" w:right="359" w:bottom="1440" w:gutter="0" w:footer="0" w:header="0"/>
          <w:type w:val="continuous"/>
        </w:sectPr>
      </w:pPr>
    </w:p>
    <w:p>
      <w:pPr>
        <w:spacing w:after="0"/>
        <w:rPr>
          <w:sz w:val="20"/>
          <w:szCs w:val="20"/>
          <w:color w:val="auto"/>
        </w:rPr>
      </w:pPr>
      <w:r>
        <w:rPr>
          <w:rFonts w:ascii="Arial" w:cs="Arial" w:eastAsia="Arial" w:hAnsi="Arial"/>
          <w:sz w:val="27"/>
          <w:szCs w:val="27"/>
          <w:b w:val="1"/>
          <w:bCs w:val="1"/>
          <w:color w:val="0067B3"/>
        </w:rPr>
        <w:t>Recent Highlights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54"/>
        <w:spacing w:after="0"/>
        <w:tabs>
          <w:tab w:leader="none" w:pos="180" w:val="left"/>
        </w:tabs>
        <w:numPr>
          <w:ilvl w:val="0"/>
          <w:numId w:val="11"/>
        </w:numPr>
        <w:rPr>
          <w:rFonts w:ascii="Arial" w:cs="Arial" w:eastAsia="Arial" w:hAnsi="Arial"/>
          <w:sz w:val="13"/>
          <w:szCs w:val="13"/>
          <w:color w:val="0067B3"/>
        </w:rPr>
      </w:pPr>
      <w:r>
        <w:rPr>
          <w:rFonts w:ascii="Arial" w:cs="Arial" w:eastAsia="Arial" w:hAnsi="Arial"/>
          <w:sz w:val="16"/>
          <w:szCs w:val="16"/>
          <w:color w:val="auto"/>
        </w:rPr>
        <w:t>Published our 2022 ESG Report</w:t>
      </w:r>
    </w:p>
    <w:p>
      <w:pPr>
        <w:spacing w:after="0" w:line="59" w:lineRule="exact"/>
        <w:rPr>
          <w:rFonts w:ascii="Arial" w:cs="Arial" w:eastAsia="Arial" w:hAnsi="Arial"/>
          <w:sz w:val="13"/>
          <w:szCs w:val="13"/>
          <w:color w:val="0067B3"/>
        </w:rPr>
      </w:pPr>
    </w:p>
    <w:p>
      <w:pPr>
        <w:ind w:left="220" w:right="400" w:hanging="194"/>
        <w:spacing w:after="0" w:line="257" w:lineRule="auto"/>
        <w:tabs>
          <w:tab w:leader="none" w:pos="177" w:val="left"/>
        </w:tabs>
        <w:numPr>
          <w:ilvl w:val="0"/>
          <w:numId w:val="11"/>
        </w:numPr>
        <w:rPr>
          <w:rFonts w:ascii="Arial" w:cs="Arial" w:eastAsia="Arial" w:hAnsi="Arial"/>
          <w:sz w:val="13"/>
          <w:szCs w:val="13"/>
          <w:color w:val="0067B3"/>
        </w:rPr>
      </w:pPr>
      <w:r>
        <w:rPr>
          <w:rFonts w:ascii="Arial" w:cs="Arial" w:eastAsia="Arial" w:hAnsi="Arial"/>
          <w:sz w:val="16"/>
          <w:szCs w:val="16"/>
          <w:color w:val="auto"/>
        </w:rPr>
        <w:t>Mapped our ESG Report to GRI (Core Option), SASB, TCFD and the U.N.’s Sustainable Development Goals</w:t>
      </w:r>
    </w:p>
    <w:p>
      <w:pPr>
        <w:spacing w:after="0" w:line="16" w:lineRule="exact"/>
        <w:rPr>
          <w:rFonts w:ascii="Arial" w:cs="Arial" w:eastAsia="Arial" w:hAnsi="Arial"/>
          <w:sz w:val="13"/>
          <w:szCs w:val="13"/>
          <w:color w:val="0067B3"/>
        </w:rPr>
      </w:pPr>
    </w:p>
    <w:p>
      <w:pPr>
        <w:jc w:val="both"/>
        <w:ind w:left="220" w:hanging="194"/>
        <w:spacing w:after="0" w:line="248" w:lineRule="auto"/>
        <w:tabs>
          <w:tab w:leader="none" w:pos="177" w:val="left"/>
        </w:tabs>
        <w:numPr>
          <w:ilvl w:val="0"/>
          <w:numId w:val="11"/>
        </w:numPr>
        <w:rPr>
          <w:rFonts w:ascii="Arial" w:cs="Arial" w:eastAsia="Arial" w:hAnsi="Arial"/>
          <w:sz w:val="13"/>
          <w:szCs w:val="13"/>
          <w:color w:val="0067B3"/>
        </w:rPr>
      </w:pPr>
      <w:r>
        <w:rPr>
          <w:rFonts w:ascii="Arial" w:cs="Arial" w:eastAsia="Arial" w:hAnsi="Arial"/>
          <w:sz w:val="16"/>
          <w:szCs w:val="16"/>
          <w:color w:val="auto"/>
        </w:rPr>
        <w:t>Reported program updates to CDP Climate Change and Water Security, EcoVadis, and KnowTheChain</w:t>
      </w:r>
    </w:p>
    <w:p>
      <w:pPr>
        <w:spacing w:after="0" w:line="37" w:lineRule="exact"/>
        <w:rPr>
          <w:rFonts w:ascii="Arial" w:cs="Arial" w:eastAsia="Arial" w:hAnsi="Arial"/>
          <w:sz w:val="13"/>
          <w:szCs w:val="13"/>
          <w:color w:val="0067B3"/>
        </w:rPr>
      </w:pPr>
    </w:p>
    <w:p>
      <w:pPr>
        <w:ind w:left="220" w:right="340" w:hanging="194"/>
        <w:spacing w:after="0" w:line="268" w:lineRule="auto"/>
        <w:tabs>
          <w:tab w:leader="none" w:pos="177" w:val="left"/>
        </w:tabs>
        <w:numPr>
          <w:ilvl w:val="0"/>
          <w:numId w:val="11"/>
        </w:numPr>
        <w:rPr>
          <w:rFonts w:ascii="Arial" w:cs="Arial" w:eastAsia="Arial" w:hAnsi="Arial"/>
          <w:sz w:val="13"/>
          <w:szCs w:val="13"/>
          <w:color w:val="0067B3"/>
        </w:rPr>
      </w:pPr>
      <w:r>
        <w:rPr>
          <w:rFonts w:ascii="Arial" w:cs="Arial" w:eastAsia="Arial" w:hAnsi="Arial"/>
          <w:sz w:val="16"/>
          <w:szCs w:val="16"/>
          <w:color w:val="auto"/>
        </w:rPr>
        <w:t>Published online our most recent EEO-1 reports</w:t>
      </w:r>
    </w:p>
    <w:p>
      <w:pPr>
        <w:spacing w:after="0" w:line="21" w:lineRule="exact"/>
        <w:rPr>
          <w:rFonts w:ascii="Arial" w:cs="Arial" w:eastAsia="Arial" w:hAnsi="Arial"/>
          <w:sz w:val="13"/>
          <w:szCs w:val="13"/>
          <w:color w:val="0067B3"/>
        </w:rPr>
      </w:pPr>
    </w:p>
    <w:p>
      <w:pPr>
        <w:ind w:left="220" w:right="200" w:hanging="194"/>
        <w:spacing w:after="0" w:line="248" w:lineRule="auto"/>
        <w:tabs>
          <w:tab w:leader="none" w:pos="177" w:val="left"/>
        </w:tabs>
        <w:numPr>
          <w:ilvl w:val="0"/>
          <w:numId w:val="11"/>
        </w:numPr>
        <w:rPr>
          <w:rFonts w:ascii="Arial" w:cs="Arial" w:eastAsia="Arial" w:hAnsi="Arial"/>
          <w:sz w:val="13"/>
          <w:szCs w:val="13"/>
          <w:color w:val="0067B3"/>
        </w:rPr>
      </w:pPr>
      <w:r>
        <w:rPr>
          <w:rFonts w:ascii="Arial" w:cs="Arial" w:eastAsia="Arial" w:hAnsi="Arial"/>
          <w:sz w:val="16"/>
          <w:szCs w:val="16"/>
          <w:color w:val="auto"/>
        </w:rPr>
        <w:t>Set a new target to reduce overall water withdrawn for our operations by 50% normalized to production output by 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27" w:hanging="162"/>
        <w:spacing w:after="0"/>
        <w:tabs>
          <w:tab w:leader="none" w:pos="527" w:val="left"/>
        </w:tabs>
        <w:numPr>
          <w:ilvl w:val="0"/>
          <w:numId w:val="12"/>
        </w:numPr>
        <w:rPr>
          <w:rFonts w:ascii="Arial" w:cs="Arial" w:eastAsia="Arial" w:hAnsi="Arial"/>
          <w:sz w:val="13"/>
          <w:szCs w:val="13"/>
          <w:b w:val="1"/>
          <w:bCs w:val="1"/>
          <w:color w:val="0067B3"/>
        </w:rPr>
      </w:pPr>
      <w:r>
        <w:rPr>
          <w:rFonts w:ascii="Arial" w:cs="Arial" w:eastAsia="Arial" w:hAnsi="Arial"/>
          <w:sz w:val="18"/>
          <w:szCs w:val="18"/>
          <w:b w:val="1"/>
          <w:bCs w:val="1"/>
          <w:color w:val="FFFFFF"/>
        </w:rPr>
        <w:t>ENVIRONMENT AND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-170180</wp:posOffset>
            </wp:positionV>
            <wp:extent cx="71323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23" w:lineRule="exact"/>
        <w:rPr>
          <w:sz w:val="20"/>
          <w:szCs w:val="20"/>
          <w:color w:val="auto"/>
        </w:rPr>
      </w:pPr>
    </w:p>
    <w:p>
      <w:pPr>
        <w:ind w:left="187" w:hanging="187"/>
        <w:spacing w:after="0" w:line="237" w:lineRule="auto"/>
        <w:tabs>
          <w:tab w:leader="none" w:pos="144" w:val="left"/>
        </w:tabs>
        <w:numPr>
          <w:ilvl w:val="0"/>
          <w:numId w:val="13"/>
        </w:numPr>
        <w:rPr>
          <w:rFonts w:ascii="Arial" w:cs="Arial" w:eastAsia="Arial" w:hAnsi="Arial"/>
          <w:sz w:val="13"/>
          <w:szCs w:val="13"/>
          <w:color w:val="0067B3"/>
        </w:rPr>
      </w:pPr>
      <w:r>
        <w:rPr>
          <w:rFonts w:ascii="Arial" w:cs="Arial" w:eastAsia="Arial" w:hAnsi="Arial"/>
          <w:sz w:val="16"/>
          <w:szCs w:val="16"/>
          <w:color w:val="auto"/>
        </w:rPr>
        <w:t>Continued to innovate and develop solutions with meaningful environmental benefits for our customers, including our Battery Management Solutions, Energy Storage Systems, precision monitoring for enabling industrial transformation, and leveraging our intelligent sensing systems to continue towards our environmental commitments</w:t>
      </w:r>
    </w:p>
    <w:p>
      <w:pPr>
        <w:spacing w:after="0" w:line="45" w:lineRule="exact"/>
        <w:rPr>
          <w:rFonts w:ascii="Arial" w:cs="Arial" w:eastAsia="Arial" w:hAnsi="Arial"/>
          <w:sz w:val="13"/>
          <w:szCs w:val="13"/>
          <w:color w:val="0067B3"/>
        </w:rPr>
      </w:pPr>
    </w:p>
    <w:p>
      <w:pPr>
        <w:jc w:val="both"/>
        <w:ind w:left="187" w:right="460" w:hanging="187"/>
        <w:spacing w:after="0" w:line="248" w:lineRule="auto"/>
        <w:tabs>
          <w:tab w:leader="none" w:pos="144" w:val="left"/>
        </w:tabs>
        <w:numPr>
          <w:ilvl w:val="0"/>
          <w:numId w:val="13"/>
        </w:numPr>
        <w:rPr>
          <w:rFonts w:ascii="Arial" w:cs="Arial" w:eastAsia="Arial" w:hAnsi="Arial"/>
          <w:sz w:val="13"/>
          <w:szCs w:val="13"/>
          <w:color w:val="0067B3"/>
        </w:rPr>
      </w:pPr>
      <w:r>
        <w:rPr>
          <w:rFonts w:ascii="Arial" w:cs="Arial" w:eastAsia="Arial" w:hAnsi="Arial"/>
          <w:sz w:val="16"/>
          <w:szCs w:val="16"/>
          <w:color w:val="auto"/>
        </w:rPr>
        <w:t>Remained signatories to the U.N. Global Compact and their campaign, Business Ambition for 1.5°C</w:t>
      </w:r>
    </w:p>
    <w:p>
      <w:pPr>
        <w:spacing w:after="0" w:line="23" w:lineRule="exact"/>
        <w:rPr>
          <w:rFonts w:ascii="Arial" w:cs="Arial" w:eastAsia="Arial" w:hAnsi="Arial"/>
          <w:sz w:val="13"/>
          <w:szCs w:val="13"/>
          <w:color w:val="0067B3"/>
        </w:rPr>
      </w:pPr>
    </w:p>
    <w:p>
      <w:pPr>
        <w:jc w:val="both"/>
        <w:ind w:left="187" w:right="700" w:hanging="187"/>
        <w:spacing w:after="0" w:line="257" w:lineRule="auto"/>
        <w:tabs>
          <w:tab w:leader="none" w:pos="144" w:val="left"/>
        </w:tabs>
        <w:numPr>
          <w:ilvl w:val="0"/>
          <w:numId w:val="13"/>
        </w:numPr>
        <w:rPr>
          <w:rFonts w:ascii="Arial" w:cs="Arial" w:eastAsia="Arial" w:hAnsi="Arial"/>
          <w:sz w:val="13"/>
          <w:szCs w:val="13"/>
          <w:color w:val="0067B3"/>
        </w:rPr>
      </w:pPr>
      <w:r>
        <w:rPr>
          <w:rFonts w:ascii="Arial" w:cs="Arial" w:eastAsia="Arial" w:hAnsi="Arial"/>
          <w:sz w:val="16"/>
          <w:szCs w:val="16"/>
          <w:color w:val="auto"/>
        </w:rPr>
        <w:t>Achieved ISO 14001 and ISO 45001 certification across all manufacturing sites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122555</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9" w:right="60" w:hanging="199"/>
        <w:spacing w:after="0" w:line="242" w:lineRule="auto"/>
        <w:tabs>
          <w:tab w:leader="none" w:pos="156" w:val="left"/>
        </w:tabs>
        <w:numPr>
          <w:ilvl w:val="0"/>
          <w:numId w:val="14"/>
        </w:numPr>
        <w:rPr>
          <w:rFonts w:ascii="Arial" w:cs="Arial" w:eastAsia="Arial" w:hAnsi="Arial"/>
          <w:sz w:val="13"/>
          <w:szCs w:val="13"/>
          <w:color w:val="0067B3"/>
        </w:rPr>
      </w:pPr>
      <w:r>
        <w:rPr>
          <w:rFonts w:ascii="Arial" w:cs="Arial" w:eastAsia="Arial" w:hAnsi="Arial"/>
          <w:sz w:val="16"/>
          <w:szCs w:val="16"/>
          <w:color w:val="auto"/>
        </w:rPr>
        <w:t>Continued to support STEM education programs, including through our collaboration with University of Massachusetts Lowell to create an RF/Microwave Learning Lab</w:t>
      </w:r>
    </w:p>
    <w:p>
      <w:pPr>
        <w:spacing w:after="0" w:line="40" w:lineRule="exact"/>
        <w:rPr>
          <w:rFonts w:ascii="Arial" w:cs="Arial" w:eastAsia="Arial" w:hAnsi="Arial"/>
          <w:sz w:val="13"/>
          <w:szCs w:val="13"/>
          <w:color w:val="0067B3"/>
        </w:rPr>
      </w:pPr>
    </w:p>
    <w:p>
      <w:pPr>
        <w:ind w:left="199" w:right="20" w:hanging="199"/>
        <w:spacing w:after="0" w:line="235" w:lineRule="auto"/>
        <w:tabs>
          <w:tab w:leader="none" w:pos="156" w:val="left"/>
        </w:tabs>
        <w:numPr>
          <w:ilvl w:val="0"/>
          <w:numId w:val="14"/>
        </w:numPr>
        <w:rPr>
          <w:rFonts w:ascii="Arial" w:cs="Arial" w:eastAsia="Arial" w:hAnsi="Arial"/>
          <w:sz w:val="13"/>
          <w:szCs w:val="13"/>
          <w:color w:val="0067B3"/>
        </w:rPr>
      </w:pPr>
      <w:r>
        <w:rPr>
          <w:rFonts w:ascii="Arial" w:cs="Arial" w:eastAsia="Arial" w:hAnsi="Arial"/>
          <w:sz w:val="16"/>
          <w:szCs w:val="16"/>
          <w:color w:val="auto"/>
        </w:rPr>
        <w:t>Provided community grants and matched employee donations to support 1,300+ unique organizations through the Analog</w:t>
      </w:r>
    </w:p>
    <w:p>
      <w:pPr>
        <w:spacing w:after="0" w:line="2" w:lineRule="exact"/>
        <w:rPr>
          <w:rFonts w:ascii="Arial" w:cs="Arial" w:eastAsia="Arial" w:hAnsi="Arial"/>
          <w:sz w:val="13"/>
          <w:szCs w:val="13"/>
          <w:color w:val="0067B3"/>
        </w:rPr>
      </w:pPr>
    </w:p>
    <w:p>
      <w:pPr>
        <w:ind w:left="199"/>
        <w:spacing w:after="0"/>
        <w:rPr>
          <w:rFonts w:ascii="Arial" w:cs="Arial" w:eastAsia="Arial" w:hAnsi="Arial"/>
          <w:sz w:val="13"/>
          <w:szCs w:val="13"/>
          <w:color w:val="0067B3"/>
        </w:rPr>
      </w:pPr>
      <w:r>
        <w:rPr>
          <w:rFonts w:ascii="Arial" w:cs="Arial" w:eastAsia="Arial" w:hAnsi="Arial"/>
          <w:sz w:val="16"/>
          <w:szCs w:val="16"/>
          <w:color w:val="auto"/>
        </w:rPr>
        <w:t>Devices Foundation</w:t>
      </w:r>
    </w:p>
    <w:p>
      <w:pPr>
        <w:spacing w:after="0" w:line="56" w:lineRule="exact"/>
        <w:rPr>
          <w:rFonts w:ascii="Arial" w:cs="Arial" w:eastAsia="Arial" w:hAnsi="Arial"/>
          <w:sz w:val="13"/>
          <w:szCs w:val="13"/>
          <w:color w:val="0067B3"/>
        </w:rPr>
      </w:pPr>
    </w:p>
    <w:p>
      <w:pPr>
        <w:ind w:left="199" w:right="80" w:hanging="199"/>
        <w:spacing w:after="0" w:line="268" w:lineRule="auto"/>
        <w:tabs>
          <w:tab w:leader="none" w:pos="156" w:val="left"/>
        </w:tabs>
        <w:numPr>
          <w:ilvl w:val="0"/>
          <w:numId w:val="14"/>
        </w:numPr>
        <w:rPr>
          <w:rFonts w:ascii="Arial" w:cs="Arial" w:eastAsia="Arial" w:hAnsi="Arial"/>
          <w:sz w:val="13"/>
          <w:szCs w:val="13"/>
          <w:color w:val="0067B3"/>
        </w:rPr>
      </w:pPr>
      <w:r>
        <w:rPr>
          <w:rFonts w:ascii="Arial" w:cs="Arial" w:eastAsia="Arial" w:hAnsi="Arial"/>
          <w:sz w:val="16"/>
          <w:szCs w:val="16"/>
          <w:color w:val="auto"/>
        </w:rPr>
        <w:t>Achieved 7.2% absolute reduction in Scope 1 and 2 emissions versus 2019 baseline</w:t>
      </w:r>
    </w:p>
    <w:p>
      <w:pPr>
        <w:spacing w:after="0" w:line="21" w:lineRule="exact"/>
        <w:rPr>
          <w:rFonts w:ascii="Arial" w:cs="Arial" w:eastAsia="Arial" w:hAnsi="Arial"/>
          <w:sz w:val="13"/>
          <w:szCs w:val="13"/>
          <w:color w:val="0067B3"/>
        </w:rPr>
      </w:pPr>
    </w:p>
    <w:p>
      <w:pPr>
        <w:ind w:left="199" w:right="120" w:hanging="199"/>
        <w:spacing w:after="0" w:line="239" w:lineRule="auto"/>
        <w:tabs>
          <w:tab w:leader="none" w:pos="156" w:val="left"/>
        </w:tabs>
        <w:numPr>
          <w:ilvl w:val="0"/>
          <w:numId w:val="14"/>
        </w:numPr>
        <w:rPr>
          <w:rFonts w:ascii="Arial" w:cs="Arial" w:eastAsia="Arial" w:hAnsi="Arial"/>
          <w:sz w:val="13"/>
          <w:szCs w:val="13"/>
          <w:color w:val="0067B3"/>
        </w:rPr>
      </w:pPr>
      <w:r>
        <w:rPr>
          <w:rFonts w:ascii="Arial" w:cs="Arial" w:eastAsia="Arial" w:hAnsi="Arial"/>
          <w:sz w:val="16"/>
          <w:szCs w:val="16"/>
          <w:color w:val="auto"/>
        </w:rPr>
        <w:t>Disclosed Scope 3 emissions, in line with our commitment to be Net Zero by 2050</w:t>
      </w:r>
    </w:p>
    <w:p>
      <w:pPr>
        <w:ind w:left="199"/>
        <w:spacing w:after="0"/>
        <w:rPr>
          <w:rFonts w:ascii="Arial" w:cs="Arial" w:eastAsia="Arial" w:hAnsi="Arial"/>
          <w:sz w:val="13"/>
          <w:szCs w:val="13"/>
          <w:color w:val="0067B3"/>
        </w:rPr>
      </w:pPr>
      <w:r>
        <w:rPr>
          <w:rFonts w:ascii="Arial" w:cs="Arial" w:eastAsia="Arial" w:hAnsi="Arial"/>
          <w:sz w:val="16"/>
          <w:szCs w:val="16"/>
          <w:color w:val="auto"/>
        </w:rPr>
        <w:t>or sooner</w:t>
      </w:r>
    </w:p>
    <w:p>
      <w:pPr>
        <w:spacing w:after="0" w:line="334" w:lineRule="exact"/>
        <w:rPr>
          <w:sz w:val="20"/>
          <w:szCs w:val="20"/>
          <w:color w:val="auto"/>
        </w:rPr>
      </w:pPr>
    </w:p>
    <w:p>
      <w:pPr>
        <w:sectPr>
          <w:pgSz w:w="11900" w:h="16838" w:orient="portrait"/>
          <w:cols w:equalWidth="0" w:num="3">
            <w:col w:w="3320" w:space="513"/>
            <w:col w:w="3507" w:space="381"/>
            <w:col w:w="3499"/>
          </w:cols>
          <w:pgMar w:left="320" w:top="1311" w:right="3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220" w:right="80" w:hanging="194"/>
        <w:spacing w:after="0" w:line="239" w:lineRule="auto"/>
        <w:tabs>
          <w:tab w:leader="none" w:pos="177" w:val="left"/>
        </w:tabs>
        <w:numPr>
          <w:ilvl w:val="0"/>
          <w:numId w:val="15"/>
        </w:numPr>
        <w:rPr>
          <w:rFonts w:ascii="Arial" w:cs="Arial" w:eastAsia="Arial" w:hAnsi="Arial"/>
          <w:sz w:val="13"/>
          <w:szCs w:val="13"/>
          <w:color w:val="0067B3"/>
        </w:rPr>
      </w:pPr>
      <w:r>
        <w:rPr>
          <w:rFonts w:ascii="Arial" w:cs="Arial" w:eastAsia="Arial" w:hAnsi="Arial"/>
          <w:sz w:val="16"/>
          <w:szCs w:val="16"/>
          <w:color w:val="auto"/>
        </w:rPr>
        <w:t>Continued to expand the capabilities of the Board of Directors by adding Mr. Stephen M. Jennings, who brings deep corporate governance and strategic experience to our Board of Directors and Dr. Peter B. Henry, who brings foreign affairs, global economics, and international finance experience to our Board of Directors</w:t>
      </w:r>
    </w:p>
    <w:p>
      <w:pPr>
        <w:spacing w:after="0" w:line="32" w:lineRule="exact"/>
        <w:rPr>
          <w:rFonts w:ascii="Arial" w:cs="Arial" w:eastAsia="Arial" w:hAnsi="Arial"/>
          <w:sz w:val="13"/>
          <w:szCs w:val="13"/>
          <w:color w:val="0067B3"/>
        </w:rPr>
      </w:pPr>
    </w:p>
    <w:p>
      <w:pPr>
        <w:ind w:left="220" w:hanging="194"/>
        <w:spacing w:after="0" w:line="238" w:lineRule="auto"/>
        <w:tabs>
          <w:tab w:leader="none" w:pos="177" w:val="left"/>
        </w:tabs>
        <w:numPr>
          <w:ilvl w:val="0"/>
          <w:numId w:val="15"/>
        </w:numPr>
        <w:rPr>
          <w:rFonts w:ascii="Arial" w:cs="Arial" w:eastAsia="Arial" w:hAnsi="Arial"/>
          <w:sz w:val="13"/>
          <w:szCs w:val="13"/>
          <w:color w:val="0067B3"/>
        </w:rPr>
      </w:pPr>
      <w:r>
        <w:rPr>
          <w:rFonts w:ascii="Arial" w:cs="Arial" w:eastAsia="Arial" w:hAnsi="Arial"/>
          <w:sz w:val="16"/>
          <w:szCs w:val="16"/>
          <w:color w:val="auto"/>
        </w:rPr>
        <w:t>Enhanced the evaluation process of our Board of Directors and its committees, including leveraging the assistance of a third-party facilitator, to align with best</w:t>
      </w:r>
    </w:p>
    <w:p>
      <w:pPr>
        <w:spacing w:after="0" w:line="1" w:lineRule="exact"/>
        <w:rPr>
          <w:rFonts w:ascii="Arial" w:cs="Arial" w:eastAsia="Arial" w:hAnsi="Arial"/>
          <w:sz w:val="13"/>
          <w:szCs w:val="13"/>
          <w:color w:val="0067B3"/>
        </w:rPr>
      </w:pPr>
    </w:p>
    <w:p>
      <w:pPr>
        <w:ind w:left="220"/>
        <w:spacing w:after="0"/>
        <w:rPr>
          <w:rFonts w:ascii="Arial" w:cs="Arial" w:eastAsia="Arial" w:hAnsi="Arial"/>
          <w:sz w:val="13"/>
          <w:szCs w:val="13"/>
          <w:color w:val="0067B3"/>
        </w:rPr>
      </w:pPr>
      <w:r>
        <w:rPr>
          <w:rFonts w:ascii="Arial" w:cs="Arial" w:eastAsia="Arial" w:hAnsi="Arial"/>
          <w:sz w:val="16"/>
          <w:szCs w:val="16"/>
          <w:color w:val="auto"/>
        </w:rPr>
        <w:t>governance practices</w:t>
      </w:r>
    </w:p>
    <w:p>
      <w:pPr>
        <w:spacing w:after="0" w:line="43" w:lineRule="exact"/>
        <w:rPr>
          <w:rFonts w:ascii="Arial" w:cs="Arial" w:eastAsia="Arial" w:hAnsi="Arial"/>
          <w:sz w:val="13"/>
          <w:szCs w:val="13"/>
          <w:color w:val="0067B3"/>
        </w:rPr>
      </w:pPr>
    </w:p>
    <w:p>
      <w:pPr>
        <w:ind w:left="220" w:hanging="194"/>
        <w:spacing w:after="0" w:line="243" w:lineRule="auto"/>
        <w:tabs>
          <w:tab w:leader="none" w:pos="177" w:val="left"/>
        </w:tabs>
        <w:numPr>
          <w:ilvl w:val="0"/>
          <w:numId w:val="15"/>
        </w:numPr>
        <w:rPr>
          <w:rFonts w:ascii="Arial" w:cs="Arial" w:eastAsia="Arial" w:hAnsi="Arial"/>
          <w:sz w:val="13"/>
          <w:szCs w:val="13"/>
          <w:color w:val="0067B3"/>
        </w:rPr>
      </w:pPr>
      <w:r>
        <w:rPr>
          <w:rFonts w:ascii="Arial" w:cs="Arial" w:eastAsia="Arial" w:hAnsi="Arial"/>
          <w:sz w:val="16"/>
          <w:szCs w:val="16"/>
          <w:color w:val="auto"/>
        </w:rPr>
        <w:t>Unanimously appointed Mr. Jennings as Lead Independent Director to continue the Board of Directors’ practice of having a strong and effective independent partner to our CEO and Chair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left="-66"/>
        <w:spacing w:after="0"/>
        <w:rPr>
          <w:sz w:val="20"/>
          <w:szCs w:val="20"/>
          <w:color w:val="auto"/>
        </w:rPr>
      </w:pPr>
      <w:r>
        <w:rPr>
          <w:rFonts w:ascii="Arial" w:cs="Arial" w:eastAsia="Arial" w:hAnsi="Arial"/>
          <w:sz w:val="18"/>
          <w:szCs w:val="18"/>
          <w:b w:val="1"/>
          <w:bCs w:val="1"/>
          <w:color w:val="FFFFFF"/>
        </w:rPr>
        <w:t>GOVERNANCE</w:t>
      </w:r>
    </w:p>
    <w:p>
      <w:pPr>
        <w:spacing w:after="0" w:line="230" w:lineRule="exact"/>
        <w:rPr>
          <w:sz w:val="20"/>
          <w:szCs w:val="20"/>
          <w:color w:val="auto"/>
        </w:rPr>
      </w:pPr>
    </w:p>
    <w:p>
      <w:pPr>
        <w:ind w:left="187" w:right="380" w:hanging="187"/>
        <w:spacing w:after="0" w:line="248" w:lineRule="auto"/>
        <w:tabs>
          <w:tab w:leader="none" w:pos="143" w:val="left"/>
        </w:tabs>
        <w:numPr>
          <w:ilvl w:val="0"/>
          <w:numId w:val="16"/>
        </w:numPr>
        <w:rPr>
          <w:rFonts w:ascii="Arial" w:cs="Arial" w:eastAsia="Arial" w:hAnsi="Arial"/>
          <w:sz w:val="13"/>
          <w:szCs w:val="13"/>
          <w:color w:val="0067B3"/>
        </w:rPr>
      </w:pPr>
      <w:r>
        <w:rPr>
          <w:rFonts w:ascii="Arial" w:cs="Arial" w:eastAsia="Arial" w:hAnsi="Arial"/>
          <w:sz w:val="16"/>
          <w:szCs w:val="16"/>
          <w:color w:val="auto"/>
        </w:rPr>
        <w:t>Engaged with shareholders representing approximately 33% of our total shares outstanding, with a focus on ESG and compensation practices</w:t>
      </w:r>
    </w:p>
    <w:p>
      <w:pPr>
        <w:spacing w:after="0" w:line="22" w:lineRule="exact"/>
        <w:rPr>
          <w:rFonts w:ascii="Arial" w:cs="Arial" w:eastAsia="Arial" w:hAnsi="Arial"/>
          <w:sz w:val="13"/>
          <w:szCs w:val="13"/>
          <w:color w:val="0067B3"/>
        </w:rPr>
      </w:pPr>
    </w:p>
    <w:p>
      <w:pPr>
        <w:ind w:left="187" w:hanging="187"/>
        <w:spacing w:after="0" w:line="238" w:lineRule="auto"/>
        <w:tabs>
          <w:tab w:leader="none" w:pos="143" w:val="left"/>
        </w:tabs>
        <w:numPr>
          <w:ilvl w:val="0"/>
          <w:numId w:val="16"/>
        </w:numPr>
        <w:rPr>
          <w:rFonts w:ascii="Arial" w:cs="Arial" w:eastAsia="Arial" w:hAnsi="Arial"/>
          <w:sz w:val="13"/>
          <w:szCs w:val="13"/>
          <w:color w:val="0067B3"/>
        </w:rPr>
      </w:pPr>
      <w:r>
        <w:rPr>
          <w:rFonts w:ascii="Arial" w:cs="Arial" w:eastAsia="Arial" w:hAnsi="Arial"/>
          <w:sz w:val="16"/>
          <w:szCs w:val="16"/>
          <w:color w:val="auto"/>
        </w:rPr>
        <w:t>Refreshed the charter of our management-led cross-functional Cybersecurity Steering Committee to more clearly define its purpose and responsibilities, including overseeing security governance, promoting and supporting cybersecurity best practices, reviewing and prioritizing cyber risks, monitoring potential cyber incidents, and establishing key mitigation initiatives</w:t>
      </w:r>
    </w:p>
    <w:p>
      <w:pPr>
        <w:spacing w:after="0" w:line="31" w:lineRule="exact"/>
        <w:rPr>
          <w:rFonts w:ascii="Arial" w:cs="Arial" w:eastAsia="Arial" w:hAnsi="Arial"/>
          <w:sz w:val="13"/>
          <w:szCs w:val="13"/>
          <w:color w:val="0067B3"/>
        </w:rPr>
      </w:pPr>
    </w:p>
    <w:p>
      <w:pPr>
        <w:ind w:left="187" w:right="20" w:hanging="187"/>
        <w:spacing w:after="0" w:line="286" w:lineRule="auto"/>
        <w:tabs>
          <w:tab w:leader="none" w:pos="143" w:val="left"/>
        </w:tabs>
        <w:numPr>
          <w:ilvl w:val="0"/>
          <w:numId w:val="16"/>
        </w:numPr>
        <w:rPr>
          <w:rFonts w:ascii="Arial" w:cs="Arial" w:eastAsia="Arial" w:hAnsi="Arial"/>
          <w:sz w:val="13"/>
          <w:szCs w:val="13"/>
          <w:color w:val="0067B3"/>
        </w:rPr>
      </w:pPr>
      <w:r>
        <w:rPr>
          <w:rFonts w:ascii="Arial" w:cs="Arial" w:eastAsia="Arial" w:hAnsi="Arial"/>
          <w:sz w:val="16"/>
          <w:szCs w:val="16"/>
          <w:color w:val="auto"/>
        </w:rPr>
        <w:t>Specifically delegated oversight of cybersecurity matters to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186" w:right="100" w:hanging="186"/>
        <w:spacing w:after="0"/>
        <w:tabs>
          <w:tab w:leader="none" w:pos="142" w:val="left"/>
        </w:tabs>
        <w:numPr>
          <w:ilvl w:val="0"/>
          <w:numId w:val="17"/>
        </w:numPr>
        <w:rPr>
          <w:rFonts w:ascii="Arial" w:cs="Arial" w:eastAsia="Arial" w:hAnsi="Arial"/>
          <w:sz w:val="13"/>
          <w:szCs w:val="13"/>
          <w:color w:val="0067B3"/>
        </w:rPr>
      </w:pPr>
      <w:r>
        <w:rPr>
          <w:rFonts w:ascii="Arial" w:cs="Arial" w:eastAsia="Arial" w:hAnsi="Arial"/>
          <w:sz w:val="16"/>
          <w:szCs w:val="16"/>
          <w:color w:val="auto"/>
        </w:rPr>
        <w:t>Enhanced our product diversion compliance programs by expanding our proactive monitoring and review processes to inhibit prohibited resale of our products and formed a team focused on gray market mitigation efforts</w:t>
      </w:r>
    </w:p>
    <w:p>
      <w:pPr>
        <w:spacing w:after="0" w:line="43" w:lineRule="exact"/>
        <w:rPr>
          <w:rFonts w:ascii="Arial" w:cs="Arial" w:eastAsia="Arial" w:hAnsi="Arial"/>
          <w:sz w:val="13"/>
          <w:szCs w:val="13"/>
          <w:color w:val="0067B3"/>
        </w:rPr>
      </w:pPr>
    </w:p>
    <w:p>
      <w:pPr>
        <w:ind w:left="186" w:right="20" w:hanging="186"/>
        <w:spacing w:after="0" w:line="237" w:lineRule="auto"/>
        <w:tabs>
          <w:tab w:leader="none" w:pos="142" w:val="left"/>
        </w:tabs>
        <w:numPr>
          <w:ilvl w:val="0"/>
          <w:numId w:val="17"/>
        </w:numPr>
        <w:rPr>
          <w:rFonts w:ascii="Arial" w:cs="Arial" w:eastAsia="Arial" w:hAnsi="Arial"/>
          <w:sz w:val="13"/>
          <w:szCs w:val="13"/>
          <w:color w:val="0067B3"/>
        </w:rPr>
      </w:pPr>
      <w:r>
        <w:rPr>
          <w:rFonts w:ascii="Arial" w:cs="Arial" w:eastAsia="Arial" w:hAnsi="Arial"/>
          <w:sz w:val="16"/>
          <w:szCs w:val="16"/>
          <w:color w:val="auto"/>
        </w:rPr>
        <w:t>Enhanced our global data privacy and compliance programs, by expanding global compliance trainings, further harmonizing policies and procedures, updating data protection notices to all global employees, implementing enhanced due diligence for third-party partners, and expanding our ethics hotline capabilities</w:t>
      </w:r>
    </w:p>
    <w:p>
      <w:pPr>
        <w:spacing w:after="0" w:line="987" w:lineRule="exact"/>
        <w:rPr>
          <w:sz w:val="20"/>
          <w:szCs w:val="20"/>
          <w:color w:val="auto"/>
        </w:rPr>
      </w:pPr>
    </w:p>
    <w:p>
      <w:pPr>
        <w:sectPr>
          <w:pgSz w:w="11900" w:h="16838" w:orient="portrait"/>
          <w:cols w:equalWidth="0" w:num="3">
            <w:col w:w="3500" w:space="373"/>
            <w:col w:w="3447" w:space="414"/>
            <w:col w:w="3486"/>
          </w:cols>
          <w:pgMar w:left="320" w:top="1311" w:right="359" w:bottom="1440" w:gutter="0" w:footer="0" w:header="0"/>
          <w:type w:val="continuous"/>
        </w:sectPr>
      </w:pPr>
    </w:p>
    <w:p>
      <w:pPr>
        <w:spacing w:after="0" w:line="331"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1"/>
          <w:szCs w:val="41"/>
          <w:b w:val="1"/>
          <w:bCs w:val="1"/>
          <w:color w:val="0067B3"/>
        </w:rPr>
        <w:t>People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102235</wp:posOffset>
            </wp:positionV>
            <wp:extent cx="111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145415</wp:posOffset>
            </wp:positionV>
            <wp:extent cx="779780" cy="779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ectPr>
          <w:pgSz w:w="11900" w:h="16838" w:orient="portrait"/>
          <w:cols w:equalWidth="0" w:num="1">
            <w:col w:w="11240"/>
          </w:cols>
          <w:pgMar w:left="320" w:top="1356" w:right="339" w:bottom="692"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right="1440"/>
        <w:spacing w:after="0" w:line="221" w:lineRule="auto"/>
        <w:rPr>
          <w:sz w:val="20"/>
          <w:szCs w:val="20"/>
          <w:color w:val="auto"/>
        </w:rPr>
      </w:pPr>
      <w:r>
        <w:rPr>
          <w:rFonts w:ascii="Arial" w:cs="Arial" w:eastAsia="Arial" w:hAnsi="Arial"/>
          <w:sz w:val="18"/>
          <w:szCs w:val="18"/>
          <w:color w:val="0067B3"/>
        </w:rPr>
        <w:t>ADI’s collaborative culture, internally and with customers and ecosystem partners, is the cornerstone of the breakthrough solutions we provide. As a values driven destination for the</w:t>
      </w:r>
    </w:p>
    <w:p>
      <w:pPr>
        <w:spacing w:after="0" w:line="1" w:lineRule="exact"/>
        <w:rPr>
          <w:sz w:val="20"/>
          <w:szCs w:val="20"/>
          <w:color w:val="auto"/>
        </w:rPr>
      </w:pPr>
    </w:p>
    <w:p>
      <w:pPr>
        <w:ind w:left="20" w:right="1120"/>
        <w:spacing w:after="0" w:line="221" w:lineRule="auto"/>
        <w:rPr>
          <w:sz w:val="20"/>
          <w:szCs w:val="20"/>
          <w:color w:val="auto"/>
        </w:rPr>
      </w:pPr>
      <w:r>
        <w:rPr>
          <w:rFonts w:ascii="Arial" w:cs="Arial" w:eastAsia="Arial" w:hAnsi="Arial"/>
          <w:sz w:val="17"/>
          <w:szCs w:val="17"/>
          <w:color w:val="0067B3"/>
        </w:rPr>
        <w:t>brightest minds, we’re home to a diverse array of insatiably curious and technical people who engineer good for our planet and society. We are committed to continuous learning and innovation in our technology and as a company, and that spirit drives us to keep building a great</w:t>
      </w:r>
    </w:p>
    <w:p>
      <w:pPr>
        <w:ind w:left="20"/>
        <w:spacing w:after="0"/>
        <w:rPr>
          <w:sz w:val="20"/>
          <w:szCs w:val="20"/>
          <w:color w:val="auto"/>
        </w:rPr>
      </w:pPr>
      <w:r>
        <w:rPr>
          <w:rFonts w:ascii="Arial" w:cs="Arial" w:eastAsia="Arial" w:hAnsi="Arial"/>
          <w:sz w:val="18"/>
          <w:szCs w:val="18"/>
          <w:color w:val="0067B3"/>
        </w:rPr>
        <w:t>place to work around the world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6350</wp:posOffset>
            </wp:positionV>
            <wp:extent cx="111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0067B3"/>
        </w:rPr>
        <w:t>MARIYA TRICKETT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226" w:lineRule="exact"/>
        <w:rPr>
          <w:sz w:val="20"/>
          <w:szCs w:val="20"/>
          <w:color w:val="auto"/>
        </w:rPr>
      </w:pPr>
    </w:p>
    <w:p>
      <w:pPr>
        <w:sectPr>
          <w:pgSz w:w="11900" w:h="16838" w:orient="portrait"/>
          <w:cols w:equalWidth="0" w:num="2">
            <w:col w:w="8760" w:space="720"/>
            <w:col w:w="1760"/>
          </w:cols>
          <w:pgMar w:left="320" w:top="1356" w:right="339" w:bottom="692" w:gutter="0" w:footer="0" w:header="0"/>
          <w:type w:val="continuous"/>
        </w:sectPr>
      </w:pPr>
    </w:p>
    <w:p>
      <w:pPr>
        <w:spacing w:after="0" w:line="183"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ADI’s talent strategy underscores our commitment to our employees. We believe that talent is our greatest asset and innovation thrives when people of different identities, cultures, backgrounds, and experiences collaborate. We strive to ensure that all employees reach their</w:t>
      </w:r>
    </w:p>
    <w:p>
      <w:pPr>
        <w:spacing w:after="0" w:line="1" w:lineRule="exact"/>
        <w:rPr>
          <w:sz w:val="20"/>
          <w:szCs w:val="20"/>
          <w:color w:val="auto"/>
        </w:rPr>
      </w:pPr>
    </w:p>
    <w:p>
      <w:pPr>
        <w:ind w:right="740"/>
        <w:spacing w:after="0" w:line="229" w:lineRule="auto"/>
        <w:rPr>
          <w:sz w:val="20"/>
          <w:szCs w:val="20"/>
          <w:color w:val="auto"/>
        </w:rPr>
      </w:pPr>
      <w:r>
        <w:rPr>
          <w:rFonts w:ascii="Arial" w:cs="Arial" w:eastAsia="Arial" w:hAnsi="Arial"/>
          <w:sz w:val="18"/>
          <w:szCs w:val="18"/>
          <w:color w:val="auto"/>
        </w:rPr>
        <w:t>ambitions, are critically focused on enhancing the infrastructure necessary to support employee engagement, accelerate growth and development, and promote equity among all employees.</w:t>
      </w:r>
    </w:p>
    <w:p>
      <w:pPr>
        <w:spacing w:after="0" w:line="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Talent Priorities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invest in our people so that we can develop the next generation of technology that betters our world. We care about our employees,</w:t>
      </w:r>
    </w:p>
    <w:p>
      <w:pPr>
        <w:ind w:right="80"/>
        <w:spacing w:after="0" w:line="229" w:lineRule="auto"/>
        <w:rPr>
          <w:sz w:val="20"/>
          <w:szCs w:val="20"/>
          <w:color w:val="auto"/>
        </w:rPr>
      </w:pPr>
      <w:r>
        <w:rPr>
          <w:rFonts w:ascii="Arial" w:cs="Arial" w:eastAsia="Arial" w:hAnsi="Arial"/>
          <w:sz w:val="18"/>
          <w:szCs w:val="18"/>
          <w:color w:val="auto"/>
        </w:rPr>
        <w:t>offering competitive benefits and compensation, as well as fulfilling career opportunities. To this end, we continuously look for ways to evolve our programs and practices to enhance employee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5709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ectPr>
          <w:pgSz w:w="11900" w:h="16838" w:orient="portrait"/>
          <w:cols w:equalWidth="0" w:num="1">
            <w:col w:w="11240"/>
          </w:cols>
          <w:pgMar w:left="320" w:top="1356" w:right="339" w:bottom="692" w:gutter="0" w:footer="0" w:header="0"/>
          <w:type w:val="continuous"/>
        </w:sectPr>
      </w:pP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Empower</w:t>
      </w:r>
    </w:p>
    <w:p>
      <w:pPr>
        <w:ind w:left="100"/>
        <w:spacing w:after="0" w:line="203" w:lineRule="auto"/>
        <w:rPr>
          <w:sz w:val="20"/>
          <w:szCs w:val="20"/>
          <w:color w:val="auto"/>
        </w:rPr>
      </w:pPr>
      <w:r>
        <w:rPr>
          <w:rFonts w:ascii="Arial" w:cs="Arial" w:eastAsia="Arial" w:hAnsi="Arial"/>
          <w:sz w:val="18"/>
          <w:szCs w:val="18"/>
          <w:b w:val="1"/>
          <w:bCs w:val="1"/>
          <w:color w:val="FFFFFF"/>
        </w:rPr>
        <w:t>Innovation and</w:t>
      </w:r>
    </w:p>
    <w:p>
      <w:pPr>
        <w:ind w:left="100"/>
        <w:spacing w:after="0"/>
        <w:rPr>
          <w:sz w:val="20"/>
          <w:szCs w:val="20"/>
          <w:color w:val="auto"/>
        </w:rPr>
      </w:pPr>
      <w:r>
        <w:rPr>
          <w:rFonts w:ascii="Arial" w:cs="Arial" w:eastAsia="Arial" w:hAnsi="Arial"/>
          <w:sz w:val="18"/>
          <w:szCs w:val="18"/>
          <w:b w:val="1"/>
          <w:bCs w:val="1"/>
          <w:color w:val="FFFFFF"/>
        </w:rPr>
        <w:t>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Amplify Culture</w:t>
      </w:r>
    </w:p>
    <w:p>
      <w:pPr>
        <w:spacing w:after="0" w:line="12" w:lineRule="exact"/>
        <w:rPr>
          <w:sz w:val="20"/>
          <w:szCs w:val="20"/>
          <w:color w:val="auto"/>
        </w:rPr>
      </w:pPr>
    </w:p>
    <w:p>
      <w:pPr>
        <w:ind w:left="100" w:right="280"/>
        <w:spacing w:after="0" w:line="237" w:lineRule="auto"/>
        <w:rPr>
          <w:sz w:val="20"/>
          <w:szCs w:val="20"/>
          <w:color w:val="auto"/>
        </w:rPr>
      </w:pPr>
      <w:r>
        <w:rPr>
          <w:rFonts w:ascii="Arial" w:cs="Arial" w:eastAsia="Arial" w:hAnsi="Arial"/>
          <w:sz w:val="17"/>
          <w:szCs w:val="17"/>
          <w:b w:val="1"/>
          <w:bCs w:val="1"/>
          <w:color w:val="FFFFFF"/>
        </w:rPr>
        <w:t>through Employee Experiences</w:t>
      </w: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Foster</w:t>
      </w:r>
    </w:p>
    <w:p>
      <w:pPr>
        <w:ind w:left="100" w:right="240"/>
        <w:spacing w:after="0" w:line="221" w:lineRule="auto"/>
        <w:rPr>
          <w:sz w:val="20"/>
          <w:szCs w:val="20"/>
          <w:color w:val="auto"/>
        </w:rPr>
      </w:pPr>
      <w:r>
        <w:rPr>
          <w:rFonts w:ascii="Arial" w:cs="Arial" w:eastAsia="Arial" w:hAnsi="Arial"/>
          <w:sz w:val="17"/>
          <w:szCs w:val="17"/>
          <w:b w:val="1"/>
          <w:bCs w:val="1"/>
          <w:color w:val="FFFFFF"/>
        </w:rPr>
        <w:t>Inclusion and Promote Equal</w:t>
      </w:r>
    </w:p>
    <w:p>
      <w:pPr>
        <w:ind w:left="100"/>
        <w:spacing w:after="0"/>
        <w:rPr>
          <w:sz w:val="20"/>
          <w:szCs w:val="20"/>
          <w:color w:val="auto"/>
        </w:rPr>
      </w:pPr>
      <w:r>
        <w:rPr>
          <w:rFonts w:ascii="Arial" w:cs="Arial" w:eastAsia="Arial" w:hAnsi="Arial"/>
          <w:sz w:val="18"/>
          <w:szCs w:val="18"/>
          <w:b w:val="1"/>
          <w:bCs w:val="1"/>
          <w:color w:val="FFFFFF"/>
        </w:rPr>
        <w:t>Opportunity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Build the</w:t>
      </w:r>
    </w:p>
    <w:p>
      <w:pPr>
        <w:ind w:left="100"/>
        <w:spacing w:after="0" w:line="203" w:lineRule="auto"/>
        <w:rPr>
          <w:sz w:val="20"/>
          <w:szCs w:val="20"/>
          <w:color w:val="auto"/>
        </w:rPr>
      </w:pPr>
      <w:r>
        <w:rPr>
          <w:rFonts w:ascii="Arial" w:cs="Arial" w:eastAsia="Arial" w:hAnsi="Arial"/>
          <w:sz w:val="18"/>
          <w:szCs w:val="18"/>
          <w:b w:val="1"/>
          <w:bCs w:val="1"/>
          <w:color w:val="FFFFFF"/>
        </w:rPr>
        <w:t>Workforce of</w:t>
      </w:r>
    </w:p>
    <w:p>
      <w:pPr>
        <w:ind w:left="100"/>
        <w:spacing w:after="0"/>
        <w:rPr>
          <w:sz w:val="20"/>
          <w:szCs w:val="20"/>
          <w:color w:val="auto"/>
        </w:rPr>
      </w:pPr>
      <w:r>
        <w:rPr>
          <w:rFonts w:ascii="Arial" w:cs="Arial" w:eastAsia="Arial" w:hAnsi="Arial"/>
          <w:sz w:val="18"/>
          <w:szCs w:val="18"/>
          <w:b w:val="1"/>
          <w:bCs w:val="1"/>
          <w:color w:val="FFFFFF"/>
        </w:rPr>
        <w:t>the Future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100"/>
              <w:spacing w:after="0"/>
              <w:rPr>
                <w:sz w:val="20"/>
                <w:szCs w:val="20"/>
                <w:color w:val="auto"/>
              </w:rPr>
            </w:pPr>
            <w:r>
              <w:rPr>
                <w:rFonts w:ascii="Arial" w:cs="Arial" w:eastAsia="Arial" w:hAnsi="Arial"/>
                <w:sz w:val="18"/>
                <w:szCs w:val="18"/>
                <w:color w:val="auto"/>
              </w:rPr>
              <w:t>Empowering our</w:t>
            </w:r>
          </w:p>
        </w:tc>
        <w:tc>
          <w:tcPr>
            <w:tcW w:w="7880" w:type="dxa"/>
            <w:vAlign w:val="bottom"/>
          </w:tcPr>
          <w:p>
            <w:pPr>
              <w:ind w:left="100"/>
              <w:spacing w:after="0"/>
              <w:rPr>
                <w:sz w:val="20"/>
                <w:szCs w:val="20"/>
                <w:color w:val="auto"/>
              </w:rPr>
            </w:pPr>
            <w:r>
              <w:rPr>
                <w:rFonts w:ascii="Arial" w:cs="Arial" w:eastAsia="Arial" w:hAnsi="Arial"/>
                <w:sz w:val="18"/>
                <w:szCs w:val="18"/>
                <w:color w:val="auto"/>
              </w:rPr>
              <w:t>Teams across departments come together to deliver experiences that quicken onboarding, build</w:t>
            </w:r>
          </w:p>
        </w:tc>
      </w:tr>
      <w:tr>
        <w:trPr>
          <w:trHeight w:val="181"/>
        </w:trPr>
        <w:tc>
          <w:tcPr>
            <w:tcW w:w="1800" w:type="dxa"/>
            <w:vAlign w:val="bottom"/>
          </w:tcPr>
          <w:p>
            <w:pPr>
              <w:ind w:left="100"/>
              <w:spacing w:after="0" w:line="181" w:lineRule="exact"/>
              <w:rPr>
                <w:sz w:val="20"/>
                <w:szCs w:val="20"/>
                <w:color w:val="auto"/>
              </w:rPr>
            </w:pPr>
            <w:r>
              <w:rPr>
                <w:rFonts w:ascii="Arial" w:cs="Arial" w:eastAsia="Arial" w:hAnsi="Arial"/>
                <w:sz w:val="18"/>
                <w:szCs w:val="18"/>
                <w:color w:val="auto"/>
              </w:rPr>
              <w:t>teams to innovate</w:t>
            </w: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managerial skills, and ready employees for more complex roles. We prioritize on-the-job</w:t>
            </w:r>
          </w:p>
        </w:tc>
      </w:tr>
      <w:tr>
        <w:trPr>
          <w:trHeight w:val="176"/>
        </w:trPr>
        <w:tc>
          <w:tcPr>
            <w:tcW w:w="1800" w:type="dxa"/>
            <w:vAlign w:val="bottom"/>
          </w:tcPr>
          <w:p>
            <w:pPr>
              <w:ind w:left="100"/>
              <w:spacing w:after="0" w:line="176" w:lineRule="exact"/>
              <w:rPr>
                <w:sz w:val="20"/>
                <w:szCs w:val="20"/>
                <w:color w:val="auto"/>
              </w:rPr>
            </w:pPr>
            <w:r>
              <w:rPr>
                <w:rFonts w:ascii="Arial" w:cs="Arial" w:eastAsia="Arial" w:hAnsi="Arial"/>
                <w:sz w:val="18"/>
                <w:szCs w:val="18"/>
                <w:color w:val="auto"/>
              </w:rPr>
              <w:t>and learn across</w:t>
            </w: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experiences as a way to build skills and drive learning.</w:t>
            </w:r>
          </w:p>
        </w:tc>
      </w:tr>
      <w:tr>
        <w:trPr>
          <w:trHeight w:val="229"/>
        </w:trPr>
        <w:tc>
          <w:tcPr>
            <w:tcW w:w="1800" w:type="dxa"/>
            <w:vAlign w:val="bottom"/>
          </w:tcPr>
          <w:p>
            <w:pPr>
              <w:ind w:left="100"/>
              <w:spacing w:after="0"/>
              <w:rPr>
                <w:sz w:val="20"/>
                <w:szCs w:val="20"/>
                <w:color w:val="auto"/>
              </w:rPr>
            </w:pPr>
            <w:r>
              <w:rPr>
                <w:rFonts w:ascii="Arial" w:cs="Arial" w:eastAsia="Arial" w:hAnsi="Arial"/>
                <w:sz w:val="18"/>
                <w:szCs w:val="18"/>
                <w:color w:val="auto"/>
              </w:rPr>
              <w:t>every level</w:t>
            </w:r>
          </w:p>
        </w:tc>
        <w:tc>
          <w:tcPr>
            <w:tcW w:w="7880" w:type="dxa"/>
            <w:vAlign w:val="bottom"/>
          </w:tcPr>
          <w:p>
            <w:pPr>
              <w:ind w:left="100"/>
              <w:spacing w:after="0"/>
              <w:rPr>
                <w:sz w:val="20"/>
                <w:szCs w:val="20"/>
                <w:color w:val="auto"/>
              </w:rPr>
            </w:pPr>
            <w:r>
              <w:rPr>
                <w:rFonts w:ascii="Arial" w:cs="Arial" w:eastAsia="Arial" w:hAnsi="Arial"/>
                <w:sz w:val="18"/>
                <w:szCs w:val="18"/>
                <w:color w:val="auto"/>
              </w:rPr>
              <w:t>To deepen our bench of leadership, we have focused on developing enterprise leaders through</w:t>
            </w: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and function</w:t>
            </w:r>
          </w:p>
        </w:tc>
        <w:tc>
          <w:tcPr>
            <w:tcW w:w="7880" w:type="dxa"/>
            <w:vAlign w:val="bottom"/>
          </w:tcPr>
          <w:p>
            <w:pPr>
              <w:ind w:left="100"/>
              <w:spacing w:after="0" w:line="189" w:lineRule="exact"/>
              <w:rPr>
                <w:sz w:val="20"/>
                <w:szCs w:val="20"/>
                <w:color w:val="auto"/>
              </w:rPr>
            </w:pPr>
            <w:r>
              <w:rPr>
                <w:rFonts w:ascii="Arial" w:cs="Arial" w:eastAsia="Arial" w:hAnsi="Arial"/>
                <w:sz w:val="18"/>
                <w:szCs w:val="18"/>
                <w:color w:val="auto"/>
              </w:rPr>
              <w:t>our Enterprise Leadership Program, as well as aligning on success criteria for leadership roles.</w:t>
            </w:r>
          </w:p>
        </w:tc>
      </w:tr>
      <w:tr>
        <w:trPr>
          <w:trHeight w:val="175"/>
        </w:trPr>
        <w:tc>
          <w:tcPr>
            <w:tcW w:w="1800" w:type="dxa"/>
            <w:vAlign w:val="bottom"/>
          </w:tcPr>
          <w:p>
            <w:pPr>
              <w:spacing w:after="0"/>
              <w:rPr>
                <w:sz w:val="15"/>
                <w:szCs w:val="15"/>
                <w:color w:val="auto"/>
              </w:rPr>
            </w:pP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Understanding capabilities and encouraging mobility are keys to a robust and diverse</w:t>
            </w:r>
          </w:p>
        </w:tc>
      </w:tr>
      <w:tr>
        <w:trPr>
          <w:trHeight w:val="238"/>
        </w:trPr>
        <w:tc>
          <w:tcPr>
            <w:tcW w:w="1800" w:type="dxa"/>
            <w:vAlign w:val="bottom"/>
          </w:tcPr>
          <w:p>
            <w:pPr>
              <w:spacing w:after="0"/>
              <w:rPr>
                <w:sz w:val="20"/>
                <w:szCs w:val="20"/>
                <w:color w:val="auto"/>
              </w:rPr>
            </w:pPr>
          </w:p>
        </w:tc>
        <w:tc>
          <w:tcPr>
            <w:tcW w:w="7880" w:type="dxa"/>
            <w:vAlign w:val="bottom"/>
          </w:tcPr>
          <w:p>
            <w:pPr>
              <w:ind w:left="100"/>
              <w:spacing w:after="0"/>
              <w:rPr>
                <w:sz w:val="20"/>
                <w:szCs w:val="20"/>
                <w:color w:val="auto"/>
              </w:rPr>
            </w:pPr>
            <w:r>
              <w:rPr>
                <w:rFonts w:ascii="Arial" w:cs="Arial" w:eastAsia="Arial" w:hAnsi="Arial"/>
                <w:sz w:val="18"/>
                <w:szCs w:val="18"/>
                <w:color w:val="auto"/>
              </w:rPr>
              <w:t>leadership bench.</w:t>
            </w:r>
          </w:p>
        </w:tc>
      </w:tr>
      <w:tr>
        <w:trPr>
          <w:trHeight w:val="181"/>
        </w:trPr>
        <w:tc>
          <w:tcPr>
            <w:tcW w:w="1800" w:type="dxa"/>
            <w:vAlign w:val="bottom"/>
          </w:tcPr>
          <w:p>
            <w:pPr>
              <w:spacing w:after="0"/>
              <w:rPr>
                <w:sz w:val="15"/>
                <w:szCs w:val="15"/>
                <w:color w:val="auto"/>
              </w:rPr>
            </w:pP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We also work closely with our business unit leaders and human resources team to provide</w:t>
            </w:r>
          </w:p>
        </w:tc>
      </w:tr>
      <w:tr>
        <w:trPr>
          <w:trHeight w:val="175"/>
        </w:trPr>
        <w:tc>
          <w:tcPr>
            <w:tcW w:w="1800" w:type="dxa"/>
            <w:vAlign w:val="bottom"/>
          </w:tcPr>
          <w:p>
            <w:pPr>
              <w:spacing w:after="0"/>
              <w:rPr>
                <w:sz w:val="15"/>
                <w:szCs w:val="15"/>
                <w:color w:val="auto"/>
              </w:rPr>
            </w:pP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training that addresses technical skills, ADI’s development processes, and tools used throughout</w:t>
            </w:r>
          </w:p>
        </w:tc>
      </w:tr>
      <w:tr>
        <w:trPr>
          <w:trHeight w:val="184"/>
        </w:trPr>
        <w:tc>
          <w:tcPr>
            <w:tcW w:w="1800" w:type="dxa"/>
            <w:vAlign w:val="bottom"/>
          </w:tcPr>
          <w:p>
            <w:pPr>
              <w:spacing w:after="0"/>
              <w:rPr>
                <w:sz w:val="15"/>
                <w:szCs w:val="15"/>
                <w:color w:val="auto"/>
              </w:rPr>
            </w:pPr>
          </w:p>
        </w:tc>
        <w:tc>
          <w:tcPr>
            <w:tcW w:w="7880" w:type="dxa"/>
            <w:vAlign w:val="bottom"/>
          </w:tcPr>
          <w:p>
            <w:pPr>
              <w:ind w:left="100"/>
              <w:spacing w:after="0" w:line="183" w:lineRule="exact"/>
              <w:rPr>
                <w:sz w:val="20"/>
                <w:szCs w:val="20"/>
                <w:color w:val="auto"/>
              </w:rPr>
            </w:pPr>
            <w:r>
              <w:rPr>
                <w:rFonts w:ascii="Arial" w:cs="Arial" w:eastAsia="Arial" w:hAnsi="Arial"/>
                <w:sz w:val="18"/>
                <w:szCs w:val="18"/>
                <w:color w:val="auto"/>
              </w:rPr>
              <w:t>the organization in order for new team members to become productive quickly. More advanced</w:t>
            </w:r>
          </w:p>
        </w:tc>
      </w:tr>
      <w:tr>
        <w:trPr>
          <w:trHeight w:val="181"/>
        </w:trPr>
        <w:tc>
          <w:tcPr>
            <w:tcW w:w="1800" w:type="dxa"/>
            <w:vAlign w:val="bottom"/>
          </w:tcPr>
          <w:p>
            <w:pPr>
              <w:spacing w:after="0"/>
              <w:rPr>
                <w:sz w:val="15"/>
                <w:szCs w:val="15"/>
                <w:color w:val="auto"/>
              </w:rPr>
            </w:pP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training opportunities are available for team members that are looking to deepen or broaden</w:t>
            </w:r>
          </w:p>
        </w:tc>
      </w:tr>
      <w:tr>
        <w:trPr>
          <w:trHeight w:val="239"/>
        </w:trPr>
        <w:tc>
          <w:tcPr>
            <w:tcW w:w="1800" w:type="dxa"/>
            <w:vAlign w:val="bottom"/>
          </w:tcPr>
          <w:p>
            <w:pPr>
              <w:spacing w:after="0"/>
              <w:rPr>
                <w:sz w:val="20"/>
                <w:szCs w:val="20"/>
                <w:color w:val="auto"/>
              </w:rPr>
            </w:pPr>
          </w:p>
        </w:tc>
        <w:tc>
          <w:tcPr>
            <w:tcW w:w="7880" w:type="dxa"/>
            <w:vAlign w:val="bottom"/>
          </w:tcPr>
          <w:p>
            <w:pPr>
              <w:ind w:left="100"/>
              <w:spacing w:after="0"/>
              <w:rPr>
                <w:sz w:val="20"/>
                <w:szCs w:val="20"/>
                <w:color w:val="auto"/>
              </w:rPr>
            </w:pPr>
            <w:r>
              <w:rPr>
                <w:rFonts w:ascii="Arial" w:cs="Arial" w:eastAsia="Arial" w:hAnsi="Arial"/>
                <w:sz w:val="18"/>
                <w:szCs w:val="18"/>
                <w:color w:val="auto"/>
              </w:rPr>
              <w:t>their skill set.</w:t>
            </w:r>
          </w:p>
        </w:tc>
      </w:tr>
      <w:tr>
        <w:trPr>
          <w:trHeight w:val="99"/>
        </w:trPr>
        <w:tc>
          <w:tcPr>
            <w:tcW w:w="1800" w:type="dxa"/>
            <w:vAlign w:val="bottom"/>
            <w:tcBorders>
              <w:bottom w:val="single" w:sz="8" w:color="939598"/>
            </w:tcBorders>
          </w:tcPr>
          <w:p>
            <w:pPr>
              <w:spacing w:after="0"/>
              <w:rPr>
                <w:sz w:val="8"/>
                <w:szCs w:val="8"/>
                <w:color w:val="auto"/>
              </w:rPr>
            </w:pPr>
          </w:p>
        </w:tc>
        <w:tc>
          <w:tcPr>
            <w:tcW w:w="7880" w:type="dxa"/>
            <w:vAlign w:val="bottom"/>
            <w:tcBorders>
              <w:bottom w:val="single" w:sz="8" w:color="939598"/>
            </w:tcBorders>
          </w:tcPr>
          <w:p>
            <w:pPr>
              <w:spacing w:after="0"/>
              <w:rPr>
                <w:sz w:val="8"/>
                <w:szCs w:val="8"/>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Role modeling</w:t>
            </w:r>
          </w:p>
        </w:tc>
        <w:tc>
          <w:tcPr>
            <w:tcW w:w="7880" w:type="dxa"/>
            <w:vAlign w:val="bottom"/>
          </w:tcPr>
          <w:p>
            <w:pPr>
              <w:ind w:left="100"/>
              <w:spacing w:after="0"/>
              <w:rPr>
                <w:sz w:val="20"/>
                <w:szCs w:val="20"/>
                <w:color w:val="auto"/>
              </w:rPr>
            </w:pPr>
            <w:r>
              <w:rPr>
                <w:rFonts w:ascii="Arial" w:cs="Arial" w:eastAsia="Arial" w:hAnsi="Arial"/>
                <w:sz w:val="18"/>
                <w:szCs w:val="18"/>
                <w:color w:val="auto"/>
              </w:rPr>
              <w:t>We are intensely focused on amplifying our cultural attributes that drive our growth. We have</w:t>
            </w:r>
          </w:p>
        </w:tc>
      </w:tr>
      <w:tr>
        <w:trPr>
          <w:trHeight w:val="181"/>
        </w:trPr>
        <w:tc>
          <w:tcPr>
            <w:tcW w:w="1800" w:type="dxa"/>
            <w:vAlign w:val="bottom"/>
          </w:tcPr>
          <w:p>
            <w:pPr>
              <w:ind w:left="100"/>
              <w:spacing w:after="0" w:line="181" w:lineRule="exact"/>
              <w:rPr>
                <w:sz w:val="20"/>
                <w:szCs w:val="20"/>
                <w:color w:val="auto"/>
              </w:rPr>
            </w:pPr>
            <w:r>
              <w:rPr>
                <w:rFonts w:ascii="Arial" w:cs="Arial" w:eastAsia="Arial" w:hAnsi="Arial"/>
                <w:sz w:val="18"/>
                <w:szCs w:val="18"/>
                <w:color w:val="auto"/>
              </w:rPr>
              <w:t>values and</w:t>
            </w: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launched focused culture programming, grounded in our values and behaviors, in support of</w:t>
            </w:r>
          </w:p>
        </w:tc>
      </w:tr>
      <w:tr>
        <w:trPr>
          <w:trHeight w:val="176"/>
        </w:trPr>
        <w:tc>
          <w:tcPr>
            <w:tcW w:w="1800" w:type="dxa"/>
            <w:vAlign w:val="bottom"/>
          </w:tcPr>
          <w:p>
            <w:pPr>
              <w:ind w:left="100"/>
              <w:spacing w:after="0" w:line="176" w:lineRule="exact"/>
              <w:rPr>
                <w:sz w:val="20"/>
                <w:szCs w:val="20"/>
                <w:color w:val="auto"/>
              </w:rPr>
            </w:pPr>
            <w:r>
              <w:rPr>
                <w:rFonts w:ascii="Arial" w:cs="Arial" w:eastAsia="Arial" w:hAnsi="Arial"/>
                <w:sz w:val="18"/>
                <w:szCs w:val="18"/>
                <w:color w:val="auto"/>
              </w:rPr>
              <w:t>behaviors and</w:t>
            </w: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achieving our vision and sustaining high performing teams.</w:t>
            </w:r>
          </w:p>
        </w:tc>
      </w:tr>
      <w:tr>
        <w:trPr>
          <w:trHeight w:val="229"/>
        </w:trPr>
        <w:tc>
          <w:tcPr>
            <w:tcW w:w="1800" w:type="dxa"/>
            <w:vAlign w:val="bottom"/>
          </w:tcPr>
          <w:p>
            <w:pPr>
              <w:ind w:left="100"/>
              <w:spacing w:after="0"/>
              <w:rPr>
                <w:sz w:val="20"/>
                <w:szCs w:val="20"/>
                <w:color w:val="auto"/>
              </w:rPr>
            </w:pPr>
            <w:r>
              <w:rPr>
                <w:rFonts w:ascii="Arial" w:cs="Arial" w:eastAsia="Arial" w:hAnsi="Arial"/>
                <w:sz w:val="18"/>
                <w:szCs w:val="18"/>
                <w:color w:val="auto"/>
              </w:rPr>
              <w:t>listening and</w:t>
            </w:r>
          </w:p>
        </w:tc>
        <w:tc>
          <w:tcPr>
            <w:tcW w:w="7880" w:type="dxa"/>
            <w:vAlign w:val="bottom"/>
          </w:tcPr>
          <w:p>
            <w:pPr>
              <w:ind w:left="100"/>
              <w:spacing w:after="0"/>
              <w:rPr>
                <w:sz w:val="20"/>
                <w:szCs w:val="20"/>
                <w:color w:val="auto"/>
              </w:rPr>
            </w:pPr>
            <w:r>
              <w:rPr>
                <w:rFonts w:ascii="Arial" w:cs="Arial" w:eastAsia="Arial" w:hAnsi="Arial"/>
                <w:sz w:val="18"/>
                <w:szCs w:val="18"/>
                <w:color w:val="auto"/>
              </w:rPr>
              <w:t>Throughout the year, we conduct employee surveys and listening activities to gain feedback and</w:t>
            </w: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responding to</w:t>
            </w:r>
          </w:p>
        </w:tc>
        <w:tc>
          <w:tcPr>
            <w:tcW w:w="7880" w:type="dxa"/>
            <w:vAlign w:val="bottom"/>
          </w:tcPr>
          <w:p>
            <w:pPr>
              <w:ind w:left="100"/>
              <w:spacing w:after="0" w:line="189" w:lineRule="exact"/>
              <w:rPr>
                <w:sz w:val="20"/>
                <w:szCs w:val="20"/>
                <w:color w:val="auto"/>
              </w:rPr>
            </w:pPr>
            <w:r>
              <w:rPr>
                <w:rFonts w:ascii="Arial" w:cs="Arial" w:eastAsia="Arial" w:hAnsi="Arial"/>
                <w:sz w:val="18"/>
                <w:szCs w:val="18"/>
                <w:color w:val="auto"/>
              </w:rPr>
              <w:t>learn more about ADI’s strengths as a workplace and opportunities for improvement. This</w:t>
            </w:r>
          </w:p>
        </w:tc>
      </w:tr>
      <w:tr>
        <w:trPr>
          <w:trHeight w:val="239"/>
        </w:trPr>
        <w:tc>
          <w:tcPr>
            <w:tcW w:w="1800" w:type="dxa"/>
            <w:vAlign w:val="bottom"/>
          </w:tcPr>
          <w:p>
            <w:pPr>
              <w:ind w:left="100"/>
              <w:spacing w:after="0"/>
              <w:rPr>
                <w:sz w:val="20"/>
                <w:szCs w:val="20"/>
                <w:color w:val="auto"/>
              </w:rPr>
            </w:pPr>
            <w:r>
              <w:rPr>
                <w:rFonts w:ascii="Arial" w:cs="Arial" w:eastAsia="Arial" w:hAnsi="Arial"/>
                <w:sz w:val="18"/>
                <w:szCs w:val="18"/>
                <w:color w:val="auto"/>
              </w:rPr>
              <w:t>employee feedback</w:t>
            </w:r>
          </w:p>
        </w:tc>
        <w:tc>
          <w:tcPr>
            <w:tcW w:w="7880" w:type="dxa"/>
            <w:vAlign w:val="bottom"/>
          </w:tcPr>
          <w:p>
            <w:pPr>
              <w:ind w:left="100"/>
              <w:spacing w:after="0"/>
              <w:rPr>
                <w:sz w:val="20"/>
                <w:szCs w:val="20"/>
                <w:color w:val="auto"/>
              </w:rPr>
            </w:pPr>
            <w:r>
              <w:rPr>
                <w:rFonts w:ascii="Arial" w:cs="Arial" w:eastAsia="Arial" w:hAnsi="Arial"/>
                <w:sz w:val="18"/>
                <w:szCs w:val="18"/>
                <w:color w:val="auto"/>
              </w:rPr>
              <w:t>enables us to take action and provide employees the tools they need to grow and prosper.</w:t>
            </w:r>
          </w:p>
        </w:tc>
      </w:tr>
      <w:tr>
        <w:trPr>
          <w:trHeight w:val="99"/>
        </w:trPr>
        <w:tc>
          <w:tcPr>
            <w:tcW w:w="1800" w:type="dxa"/>
            <w:vAlign w:val="bottom"/>
            <w:tcBorders>
              <w:bottom w:val="single" w:sz="8" w:color="939598"/>
            </w:tcBorders>
          </w:tcPr>
          <w:p>
            <w:pPr>
              <w:spacing w:after="0"/>
              <w:rPr>
                <w:sz w:val="8"/>
                <w:szCs w:val="8"/>
                <w:color w:val="auto"/>
              </w:rPr>
            </w:pPr>
          </w:p>
        </w:tc>
        <w:tc>
          <w:tcPr>
            <w:tcW w:w="7880" w:type="dxa"/>
            <w:vAlign w:val="bottom"/>
            <w:tcBorders>
              <w:bottom w:val="single" w:sz="8" w:color="939598"/>
            </w:tcBorders>
          </w:tcPr>
          <w:p>
            <w:pPr>
              <w:spacing w:after="0"/>
              <w:rPr>
                <w:sz w:val="8"/>
                <w:szCs w:val="8"/>
                <w:color w:val="auto"/>
              </w:rPr>
            </w:pPr>
          </w:p>
        </w:tc>
      </w:tr>
      <w:tr>
        <w:trPr>
          <w:trHeight w:val="263"/>
        </w:trPr>
        <w:tc>
          <w:tcPr>
            <w:tcW w:w="1800" w:type="dxa"/>
            <w:vAlign w:val="bottom"/>
          </w:tcPr>
          <w:p>
            <w:pPr>
              <w:ind w:left="100"/>
              <w:spacing w:after="0"/>
              <w:rPr>
                <w:sz w:val="20"/>
                <w:szCs w:val="20"/>
                <w:color w:val="auto"/>
              </w:rPr>
            </w:pPr>
            <w:r>
              <w:rPr>
                <w:rFonts w:ascii="Arial" w:cs="Arial" w:eastAsia="Arial" w:hAnsi="Arial"/>
                <w:sz w:val="18"/>
                <w:szCs w:val="18"/>
                <w:color w:val="auto"/>
              </w:rPr>
              <w:t>Taking a holistic</w:t>
            </w:r>
          </w:p>
        </w:tc>
        <w:tc>
          <w:tcPr>
            <w:tcW w:w="7880" w:type="dxa"/>
            <w:vAlign w:val="bottom"/>
          </w:tcPr>
          <w:p>
            <w:pPr>
              <w:ind w:left="100"/>
              <w:spacing w:after="0"/>
              <w:rPr>
                <w:sz w:val="20"/>
                <w:szCs w:val="20"/>
                <w:color w:val="auto"/>
              </w:rPr>
            </w:pPr>
            <w:r>
              <w:rPr>
                <w:rFonts w:ascii="Arial" w:cs="Arial" w:eastAsia="Arial" w:hAnsi="Arial"/>
                <w:sz w:val="18"/>
                <w:szCs w:val="18"/>
                <w:color w:val="auto"/>
              </w:rPr>
              <w:t>We are launching a series of identity-based learning modules to help build cultural competency</w:t>
            </w: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approach to</w:t>
            </w:r>
          </w:p>
        </w:tc>
        <w:tc>
          <w:tcPr>
            <w:tcW w:w="7880" w:type="dxa"/>
            <w:vAlign w:val="bottom"/>
          </w:tcPr>
          <w:p>
            <w:pPr>
              <w:ind w:left="100"/>
              <w:spacing w:after="0" w:line="189" w:lineRule="exact"/>
              <w:rPr>
                <w:sz w:val="20"/>
                <w:szCs w:val="20"/>
                <w:color w:val="auto"/>
              </w:rPr>
            </w:pPr>
            <w:r>
              <w:rPr>
                <w:rFonts w:ascii="Arial" w:cs="Arial" w:eastAsia="Arial" w:hAnsi="Arial"/>
                <w:sz w:val="18"/>
                <w:szCs w:val="18"/>
                <w:color w:val="auto"/>
              </w:rPr>
              <w:t>across the organization. Beginning with modules on neurodiversity, we are helping employees</w:t>
            </w:r>
          </w:p>
        </w:tc>
      </w:tr>
      <w:tr>
        <w:trPr>
          <w:trHeight w:val="175"/>
        </w:trPr>
        <w:tc>
          <w:tcPr>
            <w:tcW w:w="1800" w:type="dxa"/>
            <w:vAlign w:val="bottom"/>
          </w:tcPr>
          <w:p>
            <w:pPr>
              <w:ind w:left="100"/>
              <w:spacing w:after="0" w:line="176" w:lineRule="exact"/>
              <w:rPr>
                <w:sz w:val="20"/>
                <w:szCs w:val="20"/>
                <w:color w:val="auto"/>
              </w:rPr>
            </w:pPr>
            <w:r>
              <w:rPr>
                <w:rFonts w:ascii="Arial" w:cs="Arial" w:eastAsia="Arial" w:hAnsi="Arial"/>
                <w:sz w:val="18"/>
                <w:szCs w:val="18"/>
                <w:color w:val="auto"/>
              </w:rPr>
              <w:t>equity and inclusion</w:t>
            </w: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gain the knowledge needed to more effectively engage across their differences and unlock their</w:t>
            </w:r>
          </w:p>
        </w:tc>
      </w:tr>
      <w:tr>
        <w:trPr>
          <w:trHeight w:val="238"/>
        </w:trPr>
        <w:tc>
          <w:tcPr>
            <w:tcW w:w="1800" w:type="dxa"/>
            <w:vAlign w:val="bottom"/>
          </w:tcPr>
          <w:p>
            <w:pPr>
              <w:spacing w:after="0"/>
              <w:rPr>
                <w:sz w:val="20"/>
                <w:szCs w:val="20"/>
                <w:color w:val="auto"/>
              </w:rPr>
            </w:pPr>
          </w:p>
        </w:tc>
        <w:tc>
          <w:tcPr>
            <w:tcW w:w="7880" w:type="dxa"/>
            <w:vAlign w:val="bottom"/>
          </w:tcPr>
          <w:p>
            <w:pPr>
              <w:ind w:left="100"/>
              <w:spacing w:after="0"/>
              <w:rPr>
                <w:sz w:val="20"/>
                <w:szCs w:val="20"/>
                <w:color w:val="auto"/>
              </w:rPr>
            </w:pPr>
            <w:r>
              <w:rPr>
                <w:rFonts w:ascii="Arial" w:cs="Arial" w:eastAsia="Arial" w:hAnsi="Arial"/>
                <w:sz w:val="18"/>
                <w:szCs w:val="18"/>
                <w:color w:val="auto"/>
              </w:rPr>
              <w:t>collective potential.</w:t>
            </w:r>
          </w:p>
        </w:tc>
      </w:tr>
      <w:tr>
        <w:trPr>
          <w:trHeight w:val="181"/>
        </w:trPr>
        <w:tc>
          <w:tcPr>
            <w:tcW w:w="1800" w:type="dxa"/>
            <w:vAlign w:val="bottom"/>
          </w:tcPr>
          <w:p>
            <w:pPr>
              <w:spacing w:after="0"/>
              <w:rPr>
                <w:sz w:val="15"/>
                <w:szCs w:val="15"/>
                <w:color w:val="auto"/>
              </w:rPr>
            </w:pP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We also remain committed to building leadership teams that reflect the diversity of our</w:t>
            </w:r>
          </w:p>
        </w:tc>
      </w:tr>
      <w:tr>
        <w:trPr>
          <w:trHeight w:val="175"/>
        </w:trPr>
        <w:tc>
          <w:tcPr>
            <w:tcW w:w="1800" w:type="dxa"/>
            <w:vAlign w:val="bottom"/>
          </w:tcPr>
          <w:p>
            <w:pPr>
              <w:spacing w:after="0"/>
              <w:rPr>
                <w:sz w:val="15"/>
                <w:szCs w:val="15"/>
                <w:color w:val="auto"/>
              </w:rPr>
            </w:pP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employees and the communities we serve. To support this ambition, we tailor development</w:t>
            </w:r>
          </w:p>
        </w:tc>
      </w:tr>
      <w:tr>
        <w:trPr>
          <w:trHeight w:val="239"/>
        </w:trPr>
        <w:tc>
          <w:tcPr>
            <w:tcW w:w="1800" w:type="dxa"/>
            <w:vAlign w:val="bottom"/>
          </w:tcPr>
          <w:p>
            <w:pPr>
              <w:spacing w:after="0"/>
              <w:rPr>
                <w:sz w:val="20"/>
                <w:szCs w:val="20"/>
                <w:color w:val="auto"/>
              </w:rPr>
            </w:pPr>
          </w:p>
        </w:tc>
        <w:tc>
          <w:tcPr>
            <w:tcW w:w="7880" w:type="dxa"/>
            <w:vAlign w:val="bottom"/>
          </w:tcPr>
          <w:p>
            <w:pPr>
              <w:ind w:left="100"/>
              <w:spacing w:after="0"/>
              <w:rPr>
                <w:sz w:val="20"/>
                <w:szCs w:val="20"/>
                <w:color w:val="auto"/>
              </w:rPr>
            </w:pPr>
            <w:r>
              <w:rPr>
                <w:rFonts w:ascii="Arial" w:cs="Arial" w:eastAsia="Arial" w:hAnsi="Arial"/>
                <w:sz w:val="18"/>
                <w:szCs w:val="18"/>
                <w:color w:val="auto"/>
              </w:rPr>
              <w:t>programs to meet the needs of historically marginalized communities.</w:t>
            </w:r>
          </w:p>
        </w:tc>
      </w:tr>
      <w:tr>
        <w:trPr>
          <w:trHeight w:val="99"/>
        </w:trPr>
        <w:tc>
          <w:tcPr>
            <w:tcW w:w="1800" w:type="dxa"/>
            <w:vAlign w:val="bottom"/>
            <w:tcBorders>
              <w:bottom w:val="single" w:sz="8" w:color="939598"/>
            </w:tcBorders>
          </w:tcPr>
          <w:p>
            <w:pPr>
              <w:spacing w:after="0"/>
              <w:rPr>
                <w:sz w:val="8"/>
                <w:szCs w:val="8"/>
                <w:color w:val="auto"/>
              </w:rPr>
            </w:pPr>
          </w:p>
        </w:tc>
        <w:tc>
          <w:tcPr>
            <w:tcW w:w="7880" w:type="dxa"/>
            <w:vAlign w:val="bottom"/>
            <w:tcBorders>
              <w:bottom w:val="single" w:sz="8" w:color="939598"/>
            </w:tcBorders>
          </w:tcPr>
          <w:p>
            <w:pPr>
              <w:spacing w:after="0"/>
              <w:rPr>
                <w:sz w:val="8"/>
                <w:szCs w:val="8"/>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Evolving our</w:t>
            </w:r>
          </w:p>
        </w:tc>
        <w:tc>
          <w:tcPr>
            <w:tcW w:w="7880" w:type="dxa"/>
            <w:vAlign w:val="bottom"/>
          </w:tcPr>
          <w:p>
            <w:pPr>
              <w:ind w:left="100"/>
              <w:spacing w:after="0"/>
              <w:rPr>
                <w:sz w:val="20"/>
                <w:szCs w:val="20"/>
                <w:color w:val="auto"/>
              </w:rPr>
            </w:pPr>
            <w:r>
              <w:rPr>
                <w:rFonts w:ascii="Arial" w:cs="Arial" w:eastAsia="Arial" w:hAnsi="Arial"/>
                <w:sz w:val="18"/>
                <w:szCs w:val="18"/>
                <w:color w:val="auto"/>
              </w:rPr>
              <w:t>Our engineering team members continue to run a Software Engineering Reskilling Program,</w:t>
            </w:r>
          </w:p>
        </w:tc>
      </w:tr>
      <w:tr>
        <w:trPr>
          <w:trHeight w:val="181"/>
        </w:trPr>
        <w:tc>
          <w:tcPr>
            <w:tcW w:w="1800" w:type="dxa"/>
            <w:vAlign w:val="bottom"/>
          </w:tcPr>
          <w:p>
            <w:pPr>
              <w:ind w:left="100"/>
              <w:spacing w:after="0" w:line="181" w:lineRule="exact"/>
              <w:rPr>
                <w:sz w:val="20"/>
                <w:szCs w:val="20"/>
                <w:color w:val="auto"/>
              </w:rPr>
            </w:pPr>
            <w:r>
              <w:rPr>
                <w:rFonts w:ascii="Arial" w:cs="Arial" w:eastAsia="Arial" w:hAnsi="Arial"/>
                <w:sz w:val="18"/>
                <w:szCs w:val="18"/>
                <w:color w:val="auto"/>
              </w:rPr>
              <w:t>workforce skills to</w:t>
            </w:r>
          </w:p>
        </w:tc>
        <w:tc>
          <w:tcPr>
            <w:tcW w:w="7880" w:type="dxa"/>
            <w:vAlign w:val="bottom"/>
          </w:tcPr>
          <w:p>
            <w:pPr>
              <w:ind w:left="100"/>
              <w:spacing w:after="0" w:line="181" w:lineRule="exact"/>
              <w:rPr>
                <w:sz w:val="20"/>
                <w:szCs w:val="20"/>
                <w:color w:val="auto"/>
              </w:rPr>
            </w:pPr>
            <w:r>
              <w:rPr>
                <w:rFonts w:ascii="Arial" w:cs="Arial" w:eastAsia="Arial" w:hAnsi="Arial"/>
                <w:sz w:val="18"/>
                <w:szCs w:val="18"/>
                <w:color w:val="auto"/>
              </w:rPr>
              <w:t>specifically designed to address ADI’s evolving talent needs by expanding the skills of our</w:t>
            </w:r>
          </w:p>
        </w:tc>
      </w:tr>
      <w:tr>
        <w:trPr>
          <w:trHeight w:val="175"/>
        </w:trPr>
        <w:tc>
          <w:tcPr>
            <w:tcW w:w="1800" w:type="dxa"/>
            <w:vAlign w:val="bottom"/>
          </w:tcPr>
          <w:p>
            <w:pPr>
              <w:ind w:left="100"/>
              <w:spacing w:after="0" w:line="176" w:lineRule="exact"/>
              <w:rPr>
                <w:sz w:val="20"/>
                <w:szCs w:val="20"/>
                <w:color w:val="auto"/>
              </w:rPr>
            </w:pPr>
            <w:r>
              <w:rPr>
                <w:rFonts w:ascii="Arial" w:cs="Arial" w:eastAsia="Arial" w:hAnsi="Arial"/>
                <w:sz w:val="18"/>
                <w:szCs w:val="18"/>
                <w:color w:val="auto"/>
              </w:rPr>
              <w:t>drive innovation and</w:t>
            </w:r>
          </w:p>
        </w:tc>
        <w:tc>
          <w:tcPr>
            <w:tcW w:w="7880" w:type="dxa"/>
            <w:vAlign w:val="bottom"/>
          </w:tcPr>
          <w:p>
            <w:pPr>
              <w:ind w:left="100"/>
              <w:spacing w:after="0" w:line="176" w:lineRule="exact"/>
              <w:rPr>
                <w:sz w:val="20"/>
                <w:szCs w:val="20"/>
                <w:color w:val="auto"/>
              </w:rPr>
            </w:pPr>
            <w:r>
              <w:rPr>
                <w:rFonts w:ascii="Arial" w:cs="Arial" w:eastAsia="Arial" w:hAnsi="Arial"/>
                <w:sz w:val="18"/>
                <w:szCs w:val="18"/>
                <w:color w:val="auto"/>
              </w:rPr>
              <w:t>technical workforce in the software domain.</w:t>
            </w:r>
          </w:p>
        </w:tc>
      </w:tr>
      <w:tr>
        <w:trPr>
          <w:trHeight w:val="229"/>
        </w:trPr>
        <w:tc>
          <w:tcPr>
            <w:tcW w:w="1800" w:type="dxa"/>
            <w:vAlign w:val="bottom"/>
          </w:tcPr>
          <w:p>
            <w:pPr>
              <w:ind w:left="100"/>
              <w:spacing w:after="0"/>
              <w:rPr>
                <w:sz w:val="20"/>
                <w:szCs w:val="20"/>
                <w:color w:val="auto"/>
              </w:rPr>
            </w:pPr>
            <w:r>
              <w:rPr>
                <w:rFonts w:ascii="Arial" w:cs="Arial" w:eastAsia="Arial" w:hAnsi="Arial"/>
                <w:sz w:val="18"/>
                <w:szCs w:val="18"/>
                <w:color w:val="auto"/>
              </w:rPr>
              <w:t>sustain a</w:t>
            </w:r>
          </w:p>
        </w:tc>
        <w:tc>
          <w:tcPr>
            <w:tcW w:w="7880" w:type="dxa"/>
            <w:vAlign w:val="bottom"/>
          </w:tcPr>
          <w:p>
            <w:pPr>
              <w:ind w:left="100"/>
              <w:spacing w:after="0"/>
              <w:rPr>
                <w:sz w:val="20"/>
                <w:szCs w:val="20"/>
                <w:color w:val="auto"/>
              </w:rPr>
            </w:pPr>
            <w:r>
              <w:rPr>
                <w:rFonts w:ascii="Arial" w:cs="Arial" w:eastAsia="Arial" w:hAnsi="Arial"/>
                <w:sz w:val="18"/>
                <w:szCs w:val="18"/>
                <w:color w:val="auto"/>
              </w:rPr>
              <w:t>We hired new key leaders having software and other leading technology experience and skills.</w:t>
            </w: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competitive</w:t>
            </w:r>
          </w:p>
        </w:tc>
        <w:tc>
          <w:tcPr>
            <w:tcW w:w="7880" w:type="dxa"/>
            <w:vAlign w:val="bottom"/>
          </w:tcPr>
          <w:p>
            <w:pPr>
              <w:ind w:left="100"/>
              <w:spacing w:after="0" w:line="189" w:lineRule="exact"/>
              <w:rPr>
                <w:sz w:val="20"/>
                <w:szCs w:val="20"/>
                <w:color w:val="auto"/>
              </w:rPr>
            </w:pPr>
            <w:r>
              <w:rPr>
                <w:rFonts w:ascii="Arial" w:cs="Arial" w:eastAsia="Arial" w:hAnsi="Arial"/>
                <w:sz w:val="18"/>
                <w:szCs w:val="18"/>
                <w:color w:val="auto"/>
              </w:rPr>
              <w:t>Further, to enable ADI to become a system-level solutions provider, our learning and</w:t>
            </w:r>
          </w:p>
        </w:tc>
      </w:tr>
      <w:tr>
        <w:trPr>
          <w:trHeight w:val="188"/>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advantage</w:t>
            </w:r>
          </w:p>
        </w:tc>
        <w:tc>
          <w:tcPr>
            <w:tcW w:w="7880" w:type="dxa"/>
            <w:vAlign w:val="bottom"/>
          </w:tcPr>
          <w:p>
            <w:pPr>
              <w:ind w:left="100"/>
              <w:spacing w:after="0" w:line="189" w:lineRule="exact"/>
              <w:rPr>
                <w:sz w:val="20"/>
                <w:szCs w:val="20"/>
                <w:color w:val="auto"/>
              </w:rPr>
            </w:pPr>
            <w:r>
              <w:rPr>
                <w:rFonts w:ascii="Arial" w:cs="Arial" w:eastAsia="Arial" w:hAnsi="Arial"/>
                <w:sz w:val="18"/>
                <w:szCs w:val="18"/>
                <w:color w:val="auto"/>
              </w:rPr>
              <w:t>development team has created multiple training programs to expose our team members to new</w:t>
            </w:r>
          </w:p>
        </w:tc>
      </w:tr>
    </w:tbl>
    <w:p>
      <w:pPr>
        <w:ind w:left="1900"/>
        <w:spacing w:after="0" w:line="219" w:lineRule="auto"/>
        <w:rPr>
          <w:sz w:val="20"/>
          <w:szCs w:val="20"/>
          <w:color w:val="auto"/>
        </w:rPr>
      </w:pPr>
      <w:r>
        <w:rPr>
          <w:rFonts w:ascii="Arial" w:cs="Arial" w:eastAsia="Arial" w:hAnsi="Arial"/>
          <w:sz w:val="18"/>
          <w:szCs w:val="18"/>
          <w:color w:val="auto"/>
        </w:rPr>
        <w:t>system level development processes and information about industry best practices. For</w:t>
      </w:r>
    </w:p>
    <w:p>
      <w:pPr>
        <w:jc w:val="both"/>
        <w:ind w:left="1900" w:right="800"/>
        <w:spacing w:after="0" w:line="208" w:lineRule="auto"/>
        <w:rPr>
          <w:sz w:val="20"/>
          <w:szCs w:val="20"/>
          <w:color w:val="auto"/>
        </w:rPr>
      </w:pPr>
      <w:r>
        <w:rPr>
          <w:rFonts w:ascii="Arial" w:cs="Arial" w:eastAsia="Arial" w:hAnsi="Arial"/>
          <w:sz w:val="18"/>
          <w:szCs w:val="18"/>
          <w:color w:val="auto"/>
        </w:rPr>
        <w:t>example, our digital design verification program supports our initiative to develop digital components such as microprocessors and digital switches. In addition, we offer multiple software programs to enable team members to broaden their skill sets to address our</w:t>
      </w:r>
    </w:p>
    <w:p>
      <w:pPr>
        <w:spacing w:after="0" w:line="2" w:lineRule="exact"/>
        <w:rPr>
          <w:sz w:val="20"/>
          <w:szCs w:val="20"/>
          <w:color w:val="auto"/>
        </w:rPr>
      </w:pPr>
    </w:p>
    <w:p>
      <w:pPr>
        <w:jc w:val="both"/>
        <w:ind w:left="1900" w:right="520"/>
        <w:spacing w:after="0" w:line="221" w:lineRule="auto"/>
        <w:rPr>
          <w:sz w:val="20"/>
          <w:szCs w:val="20"/>
          <w:color w:val="auto"/>
        </w:rPr>
      </w:pPr>
      <w:r>
        <w:rPr>
          <w:rFonts w:ascii="Arial" w:cs="Arial" w:eastAsia="Arial" w:hAnsi="Arial"/>
          <w:sz w:val="18"/>
          <w:szCs w:val="18"/>
          <w:color w:val="auto"/>
        </w:rPr>
        <w:t>customers’ growing need for integrated software solutions, including a robust data science, engineering, and analytics program to advance our understanding of the complex problems faced by our customers.</w:t>
      </w:r>
    </w:p>
    <w:p>
      <w:pPr>
        <w:spacing w:after="0" w:line="4" w:lineRule="exact"/>
        <w:rPr>
          <w:sz w:val="20"/>
          <w:szCs w:val="20"/>
          <w:color w:val="auto"/>
        </w:rPr>
      </w:pPr>
    </w:p>
    <w:p>
      <w:pPr>
        <w:jc w:val="both"/>
        <w:ind w:left="1900" w:right="400"/>
        <w:spacing w:after="0" w:line="228" w:lineRule="auto"/>
        <w:rPr>
          <w:sz w:val="20"/>
          <w:szCs w:val="20"/>
          <w:color w:val="auto"/>
        </w:rPr>
      </w:pPr>
      <w:r>
        <w:rPr>
          <w:rFonts w:ascii="Arial" w:cs="Arial" w:eastAsia="Arial" w:hAnsi="Arial"/>
          <w:sz w:val="17"/>
          <w:szCs w:val="17"/>
          <w:color w:val="auto"/>
        </w:rPr>
        <w:t>We are committed to employee growth and development, as well as building high-performing teams. This means providing essential trainings that prepare employees to lead teams today and grow the business tomorrow. Programs such as our Leading ADI Forward program are</w:t>
      </w:r>
    </w:p>
    <w:p>
      <w:pPr>
        <w:spacing w:after="0" w:line="1" w:lineRule="exact"/>
        <w:rPr>
          <w:sz w:val="20"/>
          <w:szCs w:val="20"/>
          <w:color w:val="auto"/>
        </w:rPr>
      </w:pPr>
    </w:p>
    <w:p>
      <w:pPr>
        <w:ind w:left="1900" w:right="460"/>
        <w:spacing w:after="0" w:line="229" w:lineRule="auto"/>
        <w:rPr>
          <w:sz w:val="20"/>
          <w:szCs w:val="20"/>
          <w:color w:val="auto"/>
        </w:rPr>
      </w:pPr>
      <w:r>
        <w:rPr>
          <w:rFonts w:ascii="Arial" w:cs="Arial" w:eastAsia="Arial" w:hAnsi="Arial"/>
          <w:sz w:val="18"/>
          <w:szCs w:val="18"/>
          <w:color w:val="auto"/>
        </w:rPr>
        <w:t>designed to help our leaders build relationships and drive our strategic vision throughout the organization.</w:t>
      </w:r>
    </w:p>
    <w:p>
      <w:pPr>
        <w:spacing w:after="0" w:line="200" w:lineRule="exact"/>
        <w:rPr>
          <w:sz w:val="20"/>
          <w:szCs w:val="20"/>
          <w:color w:val="auto"/>
        </w:rPr>
      </w:pPr>
    </w:p>
    <w:p>
      <w:pPr>
        <w:sectPr>
          <w:pgSz w:w="11900" w:h="16838" w:orient="portrait"/>
          <w:cols w:equalWidth="0" w:num="2">
            <w:col w:w="1440" w:space="120"/>
            <w:col w:w="9680"/>
          </w:cols>
          <w:pgMar w:left="320" w:top="1356" w:right="339" w:bottom="692"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9"/>
          <w:szCs w:val="19"/>
          <w:b w:val="1"/>
          <w:bCs w:val="1"/>
          <w:color w:val="auto"/>
        </w:rPr>
      </w:pPr>
      <w:r>
        <w:rPr>
          <w:rFonts w:ascii="Arial" w:cs="Arial" w:eastAsia="Arial" w:hAnsi="Arial"/>
          <w:sz w:val="15"/>
          <w:szCs w:val="15"/>
          <w:color w:val="6D6E71"/>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692" w:gutter="0" w:footer="0" w:header="0"/>
          <w:type w:val="continuous"/>
        </w:sectPr>
      </w:pPr>
    </w:p>
    <w:bookmarkStart w:id="15" w:name="page16"/>
    <w:bookmarkEnd w:id="15"/>
    <w:p>
      <w:pPr>
        <w:spacing w:after="0"/>
        <w:rPr>
          <w:sz w:val="20"/>
          <w:szCs w:val="20"/>
          <w:color w:val="auto"/>
        </w:rPr>
      </w:pPr>
      <w:r>
        <w:rPr>
          <w:rFonts w:ascii="Arial" w:cs="Arial" w:eastAsia="Arial" w:hAnsi="Arial"/>
          <w:sz w:val="32"/>
          <w:szCs w:val="32"/>
          <w:b w:val="1"/>
          <w:bCs w:val="1"/>
          <w:color w:val="auto"/>
        </w:rPr>
        <w:t>Diversity, Equity, and Inclusion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cultivating an inclusive culture, implementing business practices that counteract systemic inequities, and engaging with the communities around us to create a better, more just world. Through structural and cultural change, we aim to ensure that employees of all identities and cultures have an equal opportunity to grow and succeed at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6163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61633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p>
      <w:pPr>
        <w:spacing w:after="0" w:line="211" w:lineRule="exact"/>
        <w:rPr>
          <w:sz w:val="20"/>
          <w:szCs w:val="20"/>
          <w:color w:val="auto"/>
        </w:rPr>
      </w:pPr>
    </w:p>
    <w:p>
      <w:pPr>
        <w:ind w:left="100"/>
        <w:spacing w:after="0" w:line="265" w:lineRule="auto"/>
        <w:rPr>
          <w:sz w:val="20"/>
          <w:szCs w:val="20"/>
          <w:color w:val="auto"/>
        </w:rPr>
      </w:pPr>
      <w:r>
        <w:rPr>
          <w:rFonts w:ascii="Arial" w:cs="Arial" w:eastAsia="Arial" w:hAnsi="Arial"/>
          <w:sz w:val="18"/>
          <w:szCs w:val="18"/>
          <w:b w:val="1"/>
          <w:bCs w:val="1"/>
          <w:color w:val="FFFFFF"/>
        </w:rPr>
        <w:t>Addressing Inequity Through a Holistic and Global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right="280"/>
        <w:spacing w:after="0" w:line="273" w:lineRule="auto"/>
        <w:rPr>
          <w:sz w:val="20"/>
          <w:szCs w:val="20"/>
          <w:color w:val="auto"/>
        </w:rPr>
      </w:pPr>
      <w:r>
        <w:rPr>
          <w:rFonts w:ascii="Arial" w:cs="Arial" w:eastAsia="Arial" w:hAnsi="Arial"/>
          <w:sz w:val="18"/>
          <w:szCs w:val="18"/>
          <w:b w:val="1"/>
          <w:bCs w:val="1"/>
          <w:color w:val="FFFFFF"/>
        </w:rPr>
        <w:t>Engaging and Empowering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right="80"/>
        <w:spacing w:after="0" w:line="265" w:lineRule="auto"/>
        <w:rPr>
          <w:sz w:val="20"/>
          <w:szCs w:val="20"/>
          <w:color w:val="auto"/>
        </w:rPr>
      </w:pPr>
      <w:r>
        <w:rPr>
          <w:rFonts w:ascii="Arial" w:cs="Arial" w:eastAsia="Arial" w:hAnsi="Arial"/>
          <w:sz w:val="18"/>
          <w:szCs w:val="18"/>
          <w:b w:val="1"/>
          <w:bCs w:val="1"/>
          <w:color w:val="FFFFFF"/>
        </w:rPr>
        <w:t>Building Educational and Professional Partnerships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right="180"/>
        <w:spacing w:after="0" w:line="273" w:lineRule="auto"/>
        <w:rPr>
          <w:sz w:val="20"/>
          <w:szCs w:val="20"/>
          <w:color w:val="auto"/>
        </w:rPr>
      </w:pPr>
      <w:r>
        <w:rPr>
          <w:rFonts w:ascii="Arial" w:cs="Arial" w:eastAsia="Arial" w:hAnsi="Arial"/>
          <w:sz w:val="18"/>
          <w:szCs w:val="18"/>
          <w:b w:val="1"/>
          <w:bCs w:val="1"/>
          <w:color w:val="FFFFFF"/>
        </w:rPr>
        <w:t>Enhancing and Supporting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right="260"/>
        <w:spacing w:after="0" w:line="273" w:lineRule="auto"/>
        <w:rPr>
          <w:sz w:val="20"/>
          <w:szCs w:val="20"/>
          <w:color w:val="auto"/>
        </w:rPr>
      </w:pPr>
      <w:r>
        <w:rPr>
          <w:rFonts w:ascii="Arial" w:cs="Arial" w:eastAsia="Arial" w:hAnsi="Arial"/>
          <w:sz w:val="18"/>
          <w:szCs w:val="18"/>
          <w:b w:val="1"/>
          <w:bCs w:val="1"/>
          <w:color w:val="FFFFFF"/>
        </w:rPr>
        <w:t>Ensuring Governance and Oversight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3" w:right="440" w:hanging="203"/>
        <w:spacing w:after="0" w:line="268"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We continue to transform the way we operate so inclusion and equity remain an integrated part of how we do business. This means redesigning our talent practices to address systemic barriers and building a culture that confronts bias.</w:t>
      </w:r>
    </w:p>
    <w:p>
      <w:pPr>
        <w:spacing w:after="0" w:line="22" w:lineRule="exact"/>
        <w:rPr>
          <w:rFonts w:ascii="Arial" w:cs="Arial" w:eastAsia="Arial" w:hAnsi="Arial"/>
          <w:sz w:val="13"/>
          <w:szCs w:val="13"/>
          <w:color w:val="0067B3"/>
        </w:rPr>
      </w:pPr>
    </w:p>
    <w:p>
      <w:pPr>
        <w:ind w:left="203" w:right="80" w:hanging="203"/>
        <w:spacing w:after="0" w:line="259"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At a high level, our focus is on programs that target societal and organizational practices. From a societal perspective, we are establishing new partnerships and launching programs that increase access to STEM education for communities that are historically denied access. From an organizational perspective, we are revising our processes to mitigate bias and customizing our training programs to accelerate the development of underrepresented communities.</w:t>
      </w:r>
    </w:p>
    <w:p>
      <w:pPr>
        <w:spacing w:after="0" w:line="206" w:lineRule="exact"/>
        <w:rPr>
          <w:rFonts w:ascii="Arial" w:cs="Arial" w:eastAsia="Arial" w:hAnsi="Arial"/>
          <w:sz w:val="13"/>
          <w:szCs w:val="13"/>
          <w:color w:val="0067B3"/>
        </w:rPr>
      </w:pPr>
    </w:p>
    <w:p>
      <w:pPr>
        <w:jc w:val="both"/>
        <w:ind w:left="203" w:right="320" w:hanging="203"/>
        <w:spacing w:after="0" w:line="262"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We have a growing list of Employee Networks that are a driving force behind our evolving culture. Comprised of over 3,200 members, our Networks foster community, build allyship, accelerate professional development, and impact organizational policy. Each has a formalized leadership team and structure, which includes an executive sponsor and annual goals.</w:t>
      </w:r>
    </w:p>
    <w:p>
      <w:pPr>
        <w:spacing w:after="0" w:line="27" w:lineRule="exact"/>
        <w:rPr>
          <w:rFonts w:ascii="Arial" w:cs="Arial" w:eastAsia="Arial" w:hAnsi="Arial"/>
          <w:sz w:val="13"/>
          <w:szCs w:val="13"/>
          <w:color w:val="0067B3"/>
        </w:rPr>
      </w:pPr>
    </w:p>
    <w:p>
      <w:pPr>
        <w:ind w:left="203" w:right="20" w:hanging="203"/>
        <w:spacing w:after="0" w:line="268"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Employee Network members are directly involved in the design of specialized hiring initiatives and the development of identity-based learning modules. This ensures that programs designed to address underrepresentation are co-created with individuals who represent those communities.</w:t>
      </w:r>
    </w:p>
    <w:p>
      <w:pPr>
        <w:spacing w:after="0" w:line="197" w:lineRule="exact"/>
        <w:rPr>
          <w:rFonts w:ascii="Arial" w:cs="Arial" w:eastAsia="Arial" w:hAnsi="Arial"/>
          <w:sz w:val="13"/>
          <w:szCs w:val="13"/>
          <w:color w:val="0067B3"/>
        </w:rPr>
      </w:pPr>
    </w:p>
    <w:p>
      <w:pPr>
        <w:ind w:left="203" w:right="80" w:hanging="203"/>
        <w:spacing w:after="0" w:line="268"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We continue to expand our outreach and support higher education, including engagement with one of the Historically Black Colleges and Universities (HBCU) that includes sponsoring a research project enabling students dedicated time to explore and innovate.</w:t>
      </w:r>
    </w:p>
    <w:p>
      <w:pPr>
        <w:spacing w:after="0" w:line="22" w:lineRule="exact"/>
        <w:rPr>
          <w:rFonts w:ascii="Arial" w:cs="Arial" w:eastAsia="Arial" w:hAnsi="Arial"/>
          <w:sz w:val="13"/>
          <w:szCs w:val="13"/>
          <w:color w:val="0067B3"/>
        </w:rPr>
      </w:pPr>
    </w:p>
    <w:p>
      <w:pPr>
        <w:ind w:left="203" w:right="240" w:hanging="203"/>
        <w:spacing w:after="0" w:line="268"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In addition, we continue our outreach to professional associations that serve underrepresented communities. We host educational talks and focus on skill building as a way to increase candidate capabilities and foster greater brand and STEM awareness.</w:t>
      </w:r>
    </w:p>
    <w:p>
      <w:pPr>
        <w:spacing w:after="0" w:line="197" w:lineRule="exact"/>
        <w:rPr>
          <w:rFonts w:ascii="Arial" w:cs="Arial" w:eastAsia="Arial" w:hAnsi="Arial"/>
          <w:sz w:val="13"/>
          <w:szCs w:val="13"/>
          <w:color w:val="0067B3"/>
        </w:rPr>
      </w:pPr>
    </w:p>
    <w:p>
      <w:pPr>
        <w:ind w:left="203" w:right="340" w:hanging="203"/>
        <w:spacing w:after="0" w:line="268"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We recognize that employees of different identities encounter different systemic and cultural challenges. Understanding these unique experiences allows us to create impactful learning programs that build community, drive performance, and advance gender and racial equity.</w:t>
      </w:r>
    </w:p>
    <w:p>
      <w:pPr>
        <w:spacing w:after="0" w:line="22" w:lineRule="exact"/>
        <w:rPr>
          <w:rFonts w:ascii="Arial" w:cs="Arial" w:eastAsia="Arial" w:hAnsi="Arial"/>
          <w:sz w:val="13"/>
          <w:szCs w:val="13"/>
          <w:color w:val="0067B3"/>
        </w:rPr>
      </w:pPr>
    </w:p>
    <w:p>
      <w:pPr>
        <w:ind w:left="203" w:right="40" w:hanging="203"/>
        <w:spacing w:after="0" w:line="257"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One example is Elevate, our flagship leadership development series for women. Employees in this program build new skills and expand their global networks through an exciting combination of action learning, mentorship, and sponsorship. The program places an emphasis on enhancing business insight, increasing customer focus, developing strategic mindsets, and improving situational adaptability. The program cohorts were thoughtfully assembled to include representation from technical, sales, and corporate functions across Asia, Europe, and North America.</w:t>
      </w:r>
    </w:p>
    <w:p>
      <w:pPr>
        <w:spacing w:after="0" w:line="209" w:lineRule="exact"/>
        <w:rPr>
          <w:rFonts w:ascii="Arial" w:cs="Arial" w:eastAsia="Arial" w:hAnsi="Arial"/>
          <w:sz w:val="13"/>
          <w:szCs w:val="13"/>
          <w:color w:val="0067B3"/>
        </w:rPr>
      </w:pPr>
    </w:p>
    <w:p>
      <w:pPr>
        <w:ind w:left="203" w:right="160" w:hanging="203"/>
        <w:spacing w:after="0" w:line="255" w:lineRule="auto"/>
        <w:tabs>
          <w:tab w:leader="none" w:pos="160"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The Nominating and Corporate Governance Committee oversees ADI’s ESG policies, goals, and programs and receives quarterly updates on our progress against stated targets, as well as updates on topics such as stakeholder value, risks and opportunities, regulatory preparedness, ESG ratings, and key ESG focus areas. In addition, management regularly reports to our full Board of Directors on ESG topics, providing an update on key metrics and progress. Our Leadership Team, which includes our executive officers and any Senior Vice President reporting to the CEO, is engaged collectively on a semi-annual basis, and individual leaders provide ongoing sponsorship of core DEI initiatives, such as our partnership with an HBCU and a secondary school outreach program.</w:t>
      </w:r>
    </w:p>
    <w:p>
      <w:pPr>
        <w:spacing w:after="0" w:line="200" w:lineRule="exact"/>
        <w:rPr>
          <w:sz w:val="20"/>
          <w:szCs w:val="20"/>
          <w:color w:val="auto"/>
        </w:rPr>
      </w:pPr>
    </w:p>
    <w:p>
      <w:pPr>
        <w:sectPr>
          <w:pgSz w:w="11900" w:h="16838" w:orient="portrait"/>
          <w:cols w:equalWidth="0" w:num="2">
            <w:col w:w="1580" w:space="317"/>
            <w:col w:w="9343"/>
          </w:cols>
          <w:pgMar w:left="320" w:top="1378"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940" w:type="dxa"/>
            <w:vAlign w:val="bottom"/>
          </w:tcPr>
          <w:p>
            <w:pPr>
              <w:ind w:left="9160"/>
              <w:spacing w:after="0"/>
              <w:rPr>
                <w:sz w:val="20"/>
                <w:szCs w:val="20"/>
                <w:color w:val="auto"/>
              </w:rPr>
            </w:pPr>
            <w:r>
              <w:rPr>
                <w:rFonts w:ascii="Arial" w:cs="Arial" w:eastAsia="Arial" w:hAnsi="Arial"/>
                <w:sz w:val="16"/>
                <w:szCs w:val="16"/>
                <w:color w:val="0067B3"/>
              </w:rPr>
              <w:t>2024 Proxy 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3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58"/>
          <w:szCs w:val="58"/>
          <w:color w:val="auto"/>
        </w:rPr>
        <w:t>Proxy Summary</w:t>
      </w:r>
    </w:p>
    <w:p>
      <w:pPr>
        <w:spacing w:after="0" w:line="200" w:lineRule="exact"/>
        <w:rPr>
          <w:sz w:val="20"/>
          <w:szCs w:val="20"/>
          <w:color w:val="auto"/>
        </w:rPr>
      </w:pPr>
    </w:p>
    <w:p>
      <w:pPr>
        <w:spacing w:after="0" w:line="30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This summary provides an overview of select information in this Proxy Statement. We encourage you to read the entire Proxy Statement before voting. Shareholders will be asked to vote on the following matters at the Annual Meeting: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60" w:type="dxa"/>
            <w:vAlign w:val="bottom"/>
            <w:shd w:val="clear" w:color="auto" w:fill="0066BA"/>
          </w:tcPr>
          <w:p>
            <w:pPr>
              <w:spacing w:after="0"/>
              <w:rPr>
                <w:sz w:val="23"/>
                <w:szCs w:val="23"/>
                <w:color w:val="auto"/>
              </w:rPr>
            </w:pPr>
          </w:p>
        </w:tc>
        <w:tc>
          <w:tcPr>
            <w:tcW w:w="6820" w:type="dxa"/>
            <w:vAlign w:val="bottom"/>
            <w:shd w:val="clear" w:color="auto" w:fill="0066BA"/>
          </w:tcPr>
          <w:p>
            <w:pPr>
              <w:spacing w:after="0"/>
              <w:rPr>
                <w:sz w:val="23"/>
                <w:szCs w:val="23"/>
                <w:color w:val="auto"/>
              </w:rPr>
            </w:pPr>
          </w:p>
        </w:tc>
        <w:tc>
          <w:tcPr>
            <w:tcW w:w="1820" w:type="dxa"/>
            <w:vAlign w:val="bottom"/>
            <w:shd w:val="clear" w:color="auto" w:fill="0066BA"/>
          </w:tcPr>
          <w:p>
            <w:pPr>
              <w:ind w:left="100"/>
              <w:spacing w:after="0"/>
              <w:rPr>
                <w:sz w:val="20"/>
                <w:szCs w:val="20"/>
                <w:color w:val="auto"/>
              </w:rPr>
            </w:pPr>
            <w:r>
              <w:rPr>
                <w:rFonts w:ascii="Arial" w:cs="Arial" w:eastAsia="Arial" w:hAnsi="Arial"/>
                <w:sz w:val="16"/>
                <w:szCs w:val="16"/>
                <w:b w:val="1"/>
                <w:bCs w:val="1"/>
                <w:color w:val="FFFFFF"/>
              </w:rPr>
              <w:t>Board</w:t>
            </w:r>
          </w:p>
        </w:tc>
        <w:tc>
          <w:tcPr>
            <w:tcW w:w="1640" w:type="dxa"/>
            <w:vAlign w:val="bottom"/>
            <w:shd w:val="clear" w:color="auto" w:fill="0066BA"/>
          </w:tcPr>
          <w:p>
            <w:pPr>
              <w:ind w:left="340"/>
              <w:spacing w:after="0"/>
              <w:rPr>
                <w:sz w:val="20"/>
                <w:szCs w:val="20"/>
                <w:color w:val="auto"/>
              </w:rPr>
            </w:pPr>
            <w:r>
              <w:rPr>
                <w:rFonts w:ascii="Arial" w:cs="Arial" w:eastAsia="Arial" w:hAnsi="Arial"/>
                <w:sz w:val="16"/>
                <w:szCs w:val="16"/>
                <w:b w:val="1"/>
                <w:bCs w:val="1"/>
                <w:color w:val="FFFFFF"/>
              </w:rPr>
              <w:t>Where to</w:t>
            </w:r>
          </w:p>
        </w:tc>
      </w:tr>
      <w:tr>
        <w:trPr>
          <w:trHeight w:val="223"/>
        </w:trPr>
        <w:tc>
          <w:tcPr>
            <w:tcW w:w="960" w:type="dxa"/>
            <w:vAlign w:val="bottom"/>
            <w:shd w:val="clear" w:color="auto" w:fill="0066BA"/>
          </w:tcPr>
          <w:p>
            <w:pPr>
              <w:ind w:left="120"/>
              <w:spacing w:after="0"/>
              <w:rPr>
                <w:sz w:val="20"/>
                <w:szCs w:val="20"/>
                <w:color w:val="auto"/>
              </w:rPr>
            </w:pPr>
            <w:r>
              <w:rPr>
                <w:rFonts w:ascii="Arial" w:cs="Arial" w:eastAsia="Arial" w:hAnsi="Arial"/>
                <w:sz w:val="16"/>
                <w:szCs w:val="16"/>
                <w:b w:val="1"/>
                <w:bCs w:val="1"/>
                <w:color w:val="FFFFFF"/>
              </w:rPr>
              <w:t>Proposal</w:t>
            </w:r>
          </w:p>
        </w:tc>
        <w:tc>
          <w:tcPr>
            <w:tcW w:w="6820" w:type="dxa"/>
            <w:vAlign w:val="bottom"/>
            <w:shd w:val="clear" w:color="auto" w:fill="0066BA"/>
          </w:tcPr>
          <w:p>
            <w:pPr>
              <w:ind w:left="100"/>
              <w:spacing w:after="0"/>
              <w:rPr>
                <w:sz w:val="20"/>
                <w:szCs w:val="20"/>
                <w:color w:val="auto"/>
              </w:rPr>
            </w:pPr>
            <w:r>
              <w:rPr>
                <w:rFonts w:ascii="Arial" w:cs="Arial" w:eastAsia="Arial" w:hAnsi="Arial"/>
                <w:sz w:val="16"/>
                <w:szCs w:val="16"/>
                <w:b w:val="1"/>
                <w:bCs w:val="1"/>
                <w:color w:val="FFFFFF"/>
              </w:rPr>
              <w:t>Items of Business</w:t>
            </w:r>
          </w:p>
        </w:tc>
        <w:tc>
          <w:tcPr>
            <w:tcW w:w="1820" w:type="dxa"/>
            <w:vAlign w:val="bottom"/>
            <w:shd w:val="clear" w:color="auto" w:fill="0066BA"/>
          </w:tcPr>
          <w:p>
            <w:pPr>
              <w:ind w:left="100"/>
              <w:spacing w:after="0"/>
              <w:rPr>
                <w:sz w:val="20"/>
                <w:szCs w:val="20"/>
                <w:color w:val="auto"/>
              </w:rPr>
            </w:pPr>
            <w:r>
              <w:rPr>
                <w:rFonts w:ascii="Arial" w:cs="Arial" w:eastAsia="Arial" w:hAnsi="Arial"/>
                <w:sz w:val="16"/>
                <w:szCs w:val="16"/>
                <w:b w:val="1"/>
                <w:bCs w:val="1"/>
                <w:color w:val="FFFFFF"/>
              </w:rPr>
              <w:t>Recommendation</w:t>
            </w:r>
          </w:p>
        </w:tc>
        <w:tc>
          <w:tcPr>
            <w:tcW w:w="1640" w:type="dxa"/>
            <w:vAlign w:val="bottom"/>
            <w:shd w:val="clear" w:color="auto" w:fill="0066BA"/>
          </w:tcPr>
          <w:p>
            <w:pPr>
              <w:ind w:left="340"/>
              <w:spacing w:after="0"/>
              <w:rPr>
                <w:sz w:val="20"/>
                <w:szCs w:val="20"/>
                <w:color w:val="auto"/>
              </w:rPr>
            </w:pPr>
            <w:r>
              <w:rPr>
                <w:rFonts w:ascii="Arial" w:cs="Arial" w:eastAsia="Arial" w:hAnsi="Arial"/>
                <w:sz w:val="16"/>
                <w:szCs w:val="16"/>
                <w:b w:val="1"/>
                <w:bCs w:val="1"/>
                <w:color w:val="FFFFFF"/>
              </w:rPr>
              <w:t>Find Details</w:t>
            </w:r>
          </w:p>
        </w:tc>
      </w:tr>
      <w:tr>
        <w:trPr>
          <w:trHeight w:val="96"/>
        </w:trPr>
        <w:tc>
          <w:tcPr>
            <w:tcW w:w="960" w:type="dxa"/>
            <w:vAlign w:val="bottom"/>
            <w:shd w:val="clear" w:color="auto" w:fill="0066BA"/>
          </w:tcPr>
          <w:p>
            <w:pPr>
              <w:spacing w:after="0"/>
              <w:rPr>
                <w:sz w:val="8"/>
                <w:szCs w:val="8"/>
                <w:color w:val="auto"/>
              </w:rPr>
            </w:pPr>
          </w:p>
        </w:tc>
        <w:tc>
          <w:tcPr>
            <w:tcW w:w="6820" w:type="dxa"/>
            <w:vAlign w:val="bottom"/>
            <w:tcBorders>
              <w:bottom w:val="single" w:sz="8" w:color="E2E6F4"/>
            </w:tcBorders>
            <w:shd w:val="clear" w:color="auto" w:fill="0066BA"/>
          </w:tcPr>
          <w:p>
            <w:pPr>
              <w:spacing w:after="0"/>
              <w:rPr>
                <w:sz w:val="8"/>
                <w:szCs w:val="8"/>
                <w:color w:val="auto"/>
              </w:rPr>
            </w:pPr>
          </w:p>
        </w:tc>
        <w:tc>
          <w:tcPr>
            <w:tcW w:w="1820" w:type="dxa"/>
            <w:vAlign w:val="bottom"/>
            <w:tcBorders>
              <w:bottom w:val="single" w:sz="8" w:color="E2E6F4"/>
            </w:tcBorders>
            <w:shd w:val="clear" w:color="auto" w:fill="0066BA"/>
          </w:tcPr>
          <w:p>
            <w:pPr>
              <w:spacing w:after="0"/>
              <w:rPr>
                <w:sz w:val="8"/>
                <w:szCs w:val="8"/>
                <w:color w:val="auto"/>
              </w:rPr>
            </w:pPr>
          </w:p>
        </w:tc>
        <w:tc>
          <w:tcPr>
            <w:tcW w:w="1640" w:type="dxa"/>
            <w:vAlign w:val="bottom"/>
            <w:tcBorders>
              <w:bottom w:val="single" w:sz="8" w:color="E2E6F4"/>
            </w:tcBorders>
            <w:shd w:val="clear" w:color="auto" w:fill="0066BA"/>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00075"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 cy="40259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58"/>
        </w:trPr>
        <w:tc>
          <w:tcPr>
            <w:tcW w:w="540" w:type="dxa"/>
            <w:vAlign w:val="bottom"/>
            <w:vMerge w:val="restart"/>
          </w:tcPr>
          <w:p>
            <w:pPr>
              <w:jc w:val="right"/>
              <w:ind w:right="312"/>
              <w:spacing w:after="0"/>
              <w:rPr>
                <w:sz w:val="20"/>
                <w:szCs w:val="20"/>
                <w:color w:val="auto"/>
              </w:rPr>
            </w:pPr>
            <w:r>
              <w:rPr>
                <w:rFonts w:ascii="Arial" w:cs="Arial" w:eastAsia="Arial" w:hAnsi="Arial"/>
                <w:sz w:val="22"/>
                <w:szCs w:val="22"/>
                <w:color w:val="auto"/>
                <w:w w:val="81"/>
              </w:rPr>
              <w:t>1</w:t>
            </w:r>
          </w:p>
        </w:tc>
        <w:tc>
          <w:tcPr>
            <w:tcW w:w="682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Election of 11 directors</w:t>
            </w:r>
          </w:p>
        </w:tc>
        <w:tc>
          <w:tcPr>
            <w:tcW w:w="2280" w:type="dxa"/>
            <w:vAlign w:val="bottom"/>
            <w:shd w:val="clear" w:color="auto" w:fill="E2E6F4"/>
          </w:tcPr>
          <w:p>
            <w:pPr>
              <w:jc w:val="center"/>
              <w:ind w:right="118"/>
              <w:spacing w:after="0"/>
              <w:rPr>
                <w:sz w:val="20"/>
                <w:szCs w:val="20"/>
                <w:color w:val="auto"/>
              </w:rPr>
            </w:pPr>
            <w:r>
              <w:rPr>
                <w:rFonts w:ascii="Arial" w:cs="Arial" w:eastAsia="Arial" w:hAnsi="Arial"/>
                <w:sz w:val="22"/>
                <w:szCs w:val="22"/>
                <w:color w:val="0067B3"/>
                <w:w w:val="98"/>
              </w:rPr>
              <w:t>FOR</w:t>
            </w:r>
          </w:p>
        </w:tc>
        <w:tc>
          <w:tcPr>
            <w:tcW w:w="1180" w:type="dxa"/>
            <w:vAlign w:val="bottom"/>
            <w:vMerge w:val="restart"/>
            <w:shd w:val="clear" w:color="auto" w:fill="E2E6F4"/>
          </w:tcPr>
          <w:p>
            <w:pPr>
              <w:jc w:val="right"/>
              <w:ind w:right="472"/>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127"/>
        </w:trPr>
        <w:tc>
          <w:tcPr>
            <w:tcW w:w="540" w:type="dxa"/>
            <w:vAlign w:val="bottom"/>
            <w:vMerge w:val="continue"/>
          </w:tcPr>
          <w:p>
            <w:pPr>
              <w:spacing w:after="0"/>
              <w:rPr>
                <w:sz w:val="11"/>
                <w:szCs w:val="11"/>
                <w:color w:val="auto"/>
              </w:rPr>
            </w:pPr>
          </w:p>
        </w:tc>
        <w:tc>
          <w:tcPr>
            <w:tcW w:w="6820" w:type="dxa"/>
            <w:vAlign w:val="bottom"/>
            <w:vMerge w:val="continue"/>
            <w:shd w:val="clear" w:color="auto" w:fill="E2E6F4"/>
          </w:tcPr>
          <w:p>
            <w:pPr>
              <w:spacing w:after="0"/>
              <w:rPr>
                <w:sz w:val="11"/>
                <w:szCs w:val="11"/>
                <w:color w:val="auto"/>
              </w:rPr>
            </w:pPr>
          </w:p>
        </w:tc>
        <w:tc>
          <w:tcPr>
            <w:tcW w:w="2280" w:type="dxa"/>
            <w:vAlign w:val="bottom"/>
            <w:vMerge w:val="restart"/>
            <w:shd w:val="clear" w:color="auto" w:fill="E2E6F4"/>
          </w:tcPr>
          <w:p>
            <w:pPr>
              <w:jc w:val="center"/>
              <w:ind w:right="118"/>
              <w:spacing w:after="0"/>
              <w:rPr>
                <w:sz w:val="20"/>
                <w:szCs w:val="20"/>
                <w:color w:val="auto"/>
              </w:rPr>
            </w:pPr>
            <w:r>
              <w:rPr>
                <w:rFonts w:ascii="Arial" w:cs="Arial" w:eastAsia="Arial" w:hAnsi="Arial"/>
                <w:sz w:val="18"/>
                <w:szCs w:val="18"/>
                <w:color w:val="0067B3"/>
                <w:w w:val="99"/>
              </w:rPr>
              <w:t>each director nominee</w:t>
            </w:r>
          </w:p>
        </w:tc>
        <w:tc>
          <w:tcPr>
            <w:tcW w:w="1180" w:type="dxa"/>
            <w:vAlign w:val="bottom"/>
            <w:vMerge w:val="continue"/>
            <w:shd w:val="clear" w:color="auto" w:fill="E2E6F4"/>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40" w:type="dxa"/>
            <w:vAlign w:val="bottom"/>
          </w:tcPr>
          <w:p>
            <w:pPr>
              <w:spacing w:after="0"/>
              <w:rPr>
                <w:sz w:val="9"/>
                <w:szCs w:val="9"/>
                <w:color w:val="auto"/>
              </w:rPr>
            </w:pPr>
          </w:p>
        </w:tc>
        <w:tc>
          <w:tcPr>
            <w:tcW w:w="6820" w:type="dxa"/>
            <w:vAlign w:val="bottom"/>
            <w:shd w:val="clear" w:color="auto" w:fill="E2E6F4"/>
          </w:tcPr>
          <w:p>
            <w:pPr>
              <w:spacing w:after="0"/>
              <w:rPr>
                <w:sz w:val="9"/>
                <w:szCs w:val="9"/>
                <w:color w:val="auto"/>
              </w:rPr>
            </w:pPr>
          </w:p>
        </w:tc>
        <w:tc>
          <w:tcPr>
            <w:tcW w:w="2280" w:type="dxa"/>
            <w:vAlign w:val="bottom"/>
            <w:vMerge w:val="continue"/>
            <w:shd w:val="clear" w:color="auto" w:fill="E2E6F4"/>
          </w:tcPr>
          <w:p>
            <w:pPr>
              <w:spacing w:after="0"/>
              <w:rPr>
                <w:sz w:val="9"/>
                <w:szCs w:val="9"/>
                <w:color w:val="auto"/>
              </w:rPr>
            </w:pPr>
          </w:p>
        </w:tc>
        <w:tc>
          <w:tcPr>
            <w:tcW w:w="1180" w:type="dxa"/>
            <w:vAlign w:val="bottom"/>
            <w:shd w:val="clear" w:color="auto" w:fill="E2E6F4"/>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540" w:type="dxa"/>
            <w:vAlign w:val="bottom"/>
          </w:tcPr>
          <w:p>
            <w:pPr>
              <w:spacing w:after="0"/>
              <w:rPr>
                <w:sz w:val="5"/>
                <w:szCs w:val="5"/>
                <w:color w:val="auto"/>
              </w:rPr>
            </w:pPr>
          </w:p>
        </w:tc>
        <w:tc>
          <w:tcPr>
            <w:tcW w:w="6820" w:type="dxa"/>
            <w:vAlign w:val="bottom"/>
            <w:shd w:val="clear" w:color="auto" w:fill="E2E6F4"/>
          </w:tcPr>
          <w:p>
            <w:pPr>
              <w:spacing w:after="0"/>
              <w:rPr>
                <w:sz w:val="5"/>
                <w:szCs w:val="5"/>
                <w:color w:val="auto"/>
              </w:rPr>
            </w:pPr>
          </w:p>
        </w:tc>
        <w:tc>
          <w:tcPr>
            <w:tcW w:w="2280" w:type="dxa"/>
            <w:vAlign w:val="bottom"/>
            <w:shd w:val="clear" w:color="auto" w:fill="E2E6F4"/>
          </w:tcPr>
          <w:p>
            <w:pPr>
              <w:spacing w:after="0"/>
              <w:rPr>
                <w:sz w:val="5"/>
                <w:szCs w:val="5"/>
                <w:color w:val="auto"/>
              </w:rPr>
            </w:pPr>
          </w:p>
        </w:tc>
        <w:tc>
          <w:tcPr>
            <w:tcW w:w="1180" w:type="dxa"/>
            <w:vAlign w:val="bottom"/>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60"/>
        </w:trPr>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2</w:t>
            </w:r>
          </w:p>
        </w:tc>
        <w:tc>
          <w:tcPr>
            <w:tcW w:w="6820" w:type="dxa"/>
            <w:vAlign w:val="bottom"/>
          </w:tcPr>
          <w:p>
            <w:pPr>
              <w:ind w:left="140"/>
              <w:spacing w:after="0"/>
              <w:rPr>
                <w:sz w:val="20"/>
                <w:szCs w:val="20"/>
                <w:color w:val="auto"/>
              </w:rPr>
            </w:pPr>
            <w:r>
              <w:rPr>
                <w:rFonts w:ascii="Arial" w:cs="Arial" w:eastAsia="Arial" w:hAnsi="Arial"/>
                <w:sz w:val="18"/>
                <w:szCs w:val="18"/>
                <w:color w:val="auto"/>
              </w:rPr>
              <w:t>Advisory approval of the compensation of our named executive officers</w:t>
            </w:r>
          </w:p>
        </w:tc>
        <w:tc>
          <w:tcPr>
            <w:tcW w:w="2280" w:type="dxa"/>
            <w:vAlign w:val="bottom"/>
          </w:tcPr>
          <w:p>
            <w:pPr>
              <w:jc w:val="center"/>
              <w:ind w:right="118"/>
              <w:spacing w:after="0"/>
              <w:rPr>
                <w:sz w:val="20"/>
                <w:szCs w:val="20"/>
                <w:color w:val="auto"/>
              </w:rPr>
            </w:pPr>
            <w:r>
              <w:rPr>
                <w:rFonts w:ascii="Arial" w:cs="Arial" w:eastAsia="Arial" w:hAnsi="Arial"/>
                <w:sz w:val="22"/>
                <w:szCs w:val="22"/>
                <w:color w:val="0067B3"/>
                <w:w w:val="98"/>
              </w:rPr>
              <w:t>FOR</w:t>
            </w:r>
          </w:p>
        </w:tc>
        <w:tc>
          <w:tcPr>
            <w:tcW w:w="1180" w:type="dxa"/>
            <w:vAlign w:val="bottom"/>
          </w:tcPr>
          <w:p>
            <w:pPr>
              <w:jc w:val="right"/>
              <w:ind w:right="472"/>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6" w:right="339" w:bottom="624" w:gutter="0" w:footer="0" w:header="0"/>
        </w:sectPr>
      </w:pPr>
    </w:p>
    <w:p>
      <w:pPr>
        <w:spacing w:after="0" w:line="132" w:lineRule="exact"/>
        <w:rPr>
          <w:sz w:val="20"/>
          <w:szCs w:val="20"/>
          <w:color w:val="auto"/>
        </w:rPr>
      </w:pPr>
    </w:p>
    <w:p>
      <w:pPr>
        <w:ind w:left="1100" w:right="460" w:hanging="680"/>
        <w:spacing w:after="0" w:line="180" w:lineRule="auto"/>
        <w:tabs>
          <w:tab w:leader="none" w:pos="1100" w:val="left"/>
        </w:tabs>
        <w:numPr>
          <w:ilvl w:val="0"/>
          <w:numId w:val="20"/>
        </w:numPr>
        <w:rPr>
          <w:rFonts w:ascii="Arial" w:cs="Arial" w:eastAsia="Arial" w:hAnsi="Arial"/>
          <w:sz w:val="35"/>
          <w:szCs w:val="35"/>
          <w:color w:val="auto"/>
          <w:vertAlign w:val="subscript"/>
        </w:rPr>
      </w:pPr>
      <w:r>
        <w:rPr>
          <w:rFonts w:ascii="Arial" w:cs="Arial" w:eastAsia="Arial" w:hAnsi="Arial"/>
          <w:sz w:val="16"/>
          <w:szCs w:val="16"/>
          <w:color w:val="auto"/>
        </w:rPr>
        <w:t>Ratification of the selection of Ernst &amp; Young LLP as independent registered public accounting firm for ADI’s fiscal year ending November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310" w:lineRule="exact"/>
        <w:rPr>
          <w:sz w:val="20"/>
          <w:szCs w:val="20"/>
          <w:color w:val="auto"/>
        </w:rPr>
      </w:pPr>
    </w:p>
    <w:p>
      <w:pPr>
        <w:ind w:left="1100" w:right="540" w:hanging="680"/>
        <w:spacing w:after="0" w:line="182" w:lineRule="auto"/>
        <w:tabs>
          <w:tab w:leader="none" w:pos="1100" w:val="left"/>
        </w:tabs>
        <w:numPr>
          <w:ilvl w:val="0"/>
          <w:numId w:val="21"/>
        </w:numPr>
        <w:rPr>
          <w:rFonts w:ascii="Arial" w:cs="Arial" w:eastAsia="Arial" w:hAnsi="Arial"/>
          <w:sz w:val="36"/>
          <w:szCs w:val="36"/>
          <w:color w:val="auto"/>
          <w:vertAlign w:val="subscript"/>
        </w:rPr>
      </w:pPr>
      <w:r>
        <w:rPr>
          <w:rFonts w:ascii="Arial" w:cs="Arial" w:eastAsia="Arial" w:hAnsi="Arial"/>
          <w:sz w:val="16"/>
          <w:szCs w:val="16"/>
          <w:color w:val="auto"/>
        </w:rPr>
        <w:t>Consider a shareholder proposal regarding simple majority vote, if properly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40575" cy="4191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4191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left="260"/>
        <w:spacing w:after="0"/>
        <w:tabs>
          <w:tab w:leader="none" w:pos="2080" w:val="left"/>
        </w:tabs>
        <w:rPr>
          <w:sz w:val="20"/>
          <w:szCs w:val="20"/>
          <w:color w:val="auto"/>
        </w:rPr>
      </w:pPr>
      <w:r>
        <w:rPr>
          <w:rFonts w:ascii="Arial" w:cs="Arial" w:eastAsia="Arial" w:hAnsi="Arial"/>
          <w:sz w:val="22"/>
          <w:szCs w:val="22"/>
          <w:color w:val="0067B3"/>
        </w:rPr>
        <w:t>FOR</w:t>
      </w:r>
      <w:r>
        <w:rPr>
          <w:sz w:val="20"/>
          <w:szCs w:val="20"/>
          <w:color w:val="auto"/>
        </w:rPr>
        <w:tab/>
      </w:r>
      <w:r>
        <w:rPr>
          <w:rFonts w:ascii="Arial" w:cs="Arial" w:eastAsia="Arial" w:hAnsi="Arial"/>
          <w:sz w:val="22"/>
          <w:szCs w:val="22"/>
          <w:color w:val="auto"/>
        </w:rPr>
        <w:t>83</w:t>
      </w:r>
    </w:p>
    <w:p>
      <w:pPr>
        <w:spacing w:after="0" w:line="200" w:lineRule="exact"/>
        <w:rPr>
          <w:sz w:val="20"/>
          <w:szCs w:val="20"/>
          <w:color w:val="auto"/>
        </w:rPr>
      </w:pPr>
    </w:p>
    <w:p>
      <w:pPr>
        <w:spacing w:after="0" w:line="303" w:lineRule="exact"/>
        <w:rPr>
          <w:sz w:val="20"/>
          <w:szCs w:val="20"/>
          <w:color w:val="auto"/>
        </w:rPr>
      </w:pPr>
    </w:p>
    <w:p>
      <w:pPr>
        <w:spacing w:after="0"/>
        <w:tabs>
          <w:tab w:leader="none" w:pos="2080" w:val="left"/>
        </w:tabs>
        <w:rPr>
          <w:sz w:val="20"/>
          <w:szCs w:val="20"/>
          <w:color w:val="auto"/>
        </w:rPr>
      </w:pPr>
      <w:r>
        <w:rPr>
          <w:rFonts w:ascii="Arial" w:cs="Arial" w:eastAsia="Arial" w:hAnsi="Arial"/>
          <w:sz w:val="21"/>
          <w:szCs w:val="21"/>
          <w:color w:val="0067B3"/>
        </w:rPr>
        <w:t>AGAINST</w:t>
      </w:r>
      <w:r>
        <w:rPr>
          <w:sz w:val="20"/>
          <w:szCs w:val="20"/>
          <w:color w:val="auto"/>
        </w:rPr>
        <w:tab/>
      </w:r>
      <w:r>
        <w:rPr>
          <w:rFonts w:ascii="Arial" w:cs="Arial" w:eastAsia="Arial" w:hAnsi="Arial"/>
          <w:sz w:val="21"/>
          <w:szCs w:val="21"/>
          <w:color w:val="auto"/>
        </w:rPr>
        <w:t>91</w:t>
      </w:r>
    </w:p>
    <w:p>
      <w:pPr>
        <w:spacing w:after="0" w:line="338" w:lineRule="exact"/>
        <w:rPr>
          <w:sz w:val="20"/>
          <w:szCs w:val="20"/>
          <w:color w:val="auto"/>
        </w:rPr>
      </w:pPr>
    </w:p>
    <w:p>
      <w:pPr>
        <w:sectPr>
          <w:pgSz w:w="11900" w:h="16838" w:orient="portrait"/>
          <w:cols w:equalWidth="0" w:num="2">
            <w:col w:w="7600" w:space="720"/>
            <w:col w:w="2920"/>
          </w:cols>
          <w:pgMar w:left="320" w:top="1126" w:right="339" w:bottom="624" w:gutter="0" w:footer="0" w:header="0"/>
          <w:type w:val="continuous"/>
        </w:sect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41"/>
          <w:szCs w:val="41"/>
          <w:b w:val="1"/>
          <w:bCs w:val="1"/>
          <w:color w:val="0067B3"/>
        </w:rPr>
        <w:t>What’s New</w:t>
      </w:r>
    </w:p>
    <w:p>
      <w:pPr>
        <w:spacing w:after="0" w:line="156" w:lineRule="exact"/>
        <w:rPr>
          <w:sz w:val="20"/>
          <w:szCs w:val="20"/>
          <w:color w:val="auto"/>
        </w:rPr>
      </w:pPr>
    </w:p>
    <w:p>
      <w:pPr>
        <w:jc w:val="both"/>
        <w:ind w:left="240" w:right="320"/>
        <w:spacing w:after="0" w:line="262" w:lineRule="auto"/>
        <w:rPr>
          <w:sz w:val="20"/>
          <w:szCs w:val="20"/>
          <w:color w:val="auto"/>
        </w:rPr>
      </w:pPr>
      <w:r>
        <w:rPr>
          <w:rFonts w:ascii="Arial" w:cs="Arial" w:eastAsia="Arial" w:hAnsi="Arial"/>
          <w:sz w:val="18"/>
          <w:szCs w:val="18"/>
          <w:color w:val="auto"/>
        </w:rPr>
        <w:t>We continually review our corporate strategy and governance practices to ensure that ADI is in a position to consistently deliver on our commitment to sustaining a culture of innovation, collaboration, solid performance, and fiduciary responsibility. We believe providing a broader understanding of our perspectives on these items will be beneficial to you as you consider this year’s voting matters. Updated items include:</w:t>
      </w:r>
    </w:p>
    <w:p>
      <w:pPr>
        <w:spacing w:after="0" w:line="68" w:lineRule="exact"/>
        <w:rPr>
          <w:sz w:val="20"/>
          <w:szCs w:val="20"/>
          <w:color w:val="auto"/>
        </w:rPr>
      </w:pPr>
    </w:p>
    <w:p>
      <w:pPr>
        <w:ind w:left="420" w:right="340" w:hanging="186"/>
        <w:spacing w:after="0" w:line="268"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Continued to expand the capabilities of the Board of Directors by adding Mr. Jennings, who brings deep corporate governance and strategic experience to our Board of Directors, and Dr. Henry, who brings foreign affairs, global economics, and international finance experience to our Board of Directors</w:t>
      </w:r>
    </w:p>
    <w:p>
      <w:pPr>
        <w:spacing w:after="0" w:line="35" w:lineRule="exact"/>
        <w:rPr>
          <w:rFonts w:ascii="Arial" w:cs="Arial" w:eastAsia="Arial" w:hAnsi="Arial"/>
          <w:sz w:val="13"/>
          <w:szCs w:val="13"/>
          <w:color w:val="0067B3"/>
        </w:rPr>
      </w:pPr>
    </w:p>
    <w:p>
      <w:pPr>
        <w:ind w:left="420" w:right="540" w:hanging="186"/>
        <w:spacing w:after="0" w:line="287"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Enhanced the evaluation process of our Board of Directors and its committees, including leveraging the assistance of a third-party facilitator, to align with best governance practices</w:t>
      </w:r>
    </w:p>
    <w:p>
      <w:pPr>
        <w:spacing w:after="0" w:line="4" w:lineRule="exact"/>
        <w:rPr>
          <w:rFonts w:ascii="Arial" w:cs="Arial" w:eastAsia="Arial" w:hAnsi="Arial"/>
          <w:sz w:val="13"/>
          <w:szCs w:val="13"/>
          <w:color w:val="0067B3"/>
        </w:rPr>
      </w:pPr>
    </w:p>
    <w:p>
      <w:pPr>
        <w:ind w:left="420" w:right="560" w:hanging="186"/>
        <w:spacing w:after="0" w:line="287"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Unanimously appointed Mr. Jennings as Lead Independent Director to continue the Board of Directors’ practice of having a strong and effective independent partner to our CEO and Chair</w:t>
      </w:r>
    </w:p>
    <w:p>
      <w:pPr>
        <w:spacing w:after="0" w:line="4" w:lineRule="exact"/>
        <w:rPr>
          <w:rFonts w:ascii="Arial" w:cs="Arial" w:eastAsia="Arial" w:hAnsi="Arial"/>
          <w:sz w:val="13"/>
          <w:szCs w:val="13"/>
          <w:color w:val="0067B3"/>
        </w:rPr>
      </w:pPr>
    </w:p>
    <w:p>
      <w:pPr>
        <w:ind w:left="420" w:right="320" w:hanging="186"/>
        <w:spacing w:after="0" w:line="287"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Engaged with shareholders representing approximately 33% of our total shares outstanding, with a focus on ESG and compensation practices</w:t>
      </w:r>
    </w:p>
    <w:p>
      <w:pPr>
        <w:spacing w:after="0" w:line="17" w:lineRule="exact"/>
        <w:rPr>
          <w:rFonts w:ascii="Arial" w:cs="Arial" w:eastAsia="Arial" w:hAnsi="Arial"/>
          <w:sz w:val="13"/>
          <w:szCs w:val="13"/>
          <w:color w:val="0067B3"/>
        </w:rPr>
      </w:pPr>
    </w:p>
    <w:p>
      <w:pPr>
        <w:ind w:left="420" w:right="260" w:hanging="186"/>
        <w:spacing w:after="0" w:line="268"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Refreshed the charter of our management-led cross-functional Cybersecurity Steering Committee to more clearly define its purpose and responsibilities, including overseeing security governance, promoting and supporting cybersecurity best practices, reviewing and prioritizing cyber risks, monitoring potential cyber incidents, and establishing key mitigation initiatives</w:t>
      </w:r>
    </w:p>
    <w:p>
      <w:pPr>
        <w:spacing w:after="0" w:line="22" w:lineRule="exact"/>
        <w:rPr>
          <w:rFonts w:ascii="Arial" w:cs="Arial" w:eastAsia="Arial" w:hAnsi="Arial"/>
          <w:sz w:val="13"/>
          <w:szCs w:val="13"/>
          <w:color w:val="0067B3"/>
        </w:rPr>
      </w:pPr>
    </w:p>
    <w:p>
      <w:pPr>
        <w:ind w:left="420" w:right="940" w:hanging="186"/>
        <w:spacing w:after="0" w:line="287"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Enhanced our product diversion compliance programs by expanding our proactive monitoring and review processes to inhibit prohibited resale of our products and formed a team focused on gray market mitigation efforts</w:t>
      </w:r>
    </w:p>
    <w:p>
      <w:pPr>
        <w:spacing w:after="0" w:line="4" w:lineRule="exact"/>
        <w:rPr>
          <w:rFonts w:ascii="Arial" w:cs="Arial" w:eastAsia="Arial" w:hAnsi="Arial"/>
          <w:sz w:val="13"/>
          <w:szCs w:val="13"/>
          <w:color w:val="0067B3"/>
        </w:rPr>
      </w:pPr>
    </w:p>
    <w:p>
      <w:pPr>
        <w:ind w:left="420" w:right="420" w:hanging="186"/>
        <w:spacing w:after="0" w:line="268" w:lineRule="auto"/>
        <w:tabs>
          <w:tab w:leader="none" w:pos="37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Enhanced our global data privacy and compliance programs by expanding global compliance trainings, further harmonizing policies and procedures, updating data protection notices to all global employees, implementing enhanced due diligence for third-party partners, and expanding our ethics hotline capabilities</w:t>
      </w:r>
    </w:p>
    <w:p>
      <w:pPr>
        <w:spacing w:after="0" w:line="35" w:lineRule="exact"/>
        <w:rPr>
          <w:rFonts w:ascii="Arial" w:cs="Arial" w:eastAsia="Arial" w:hAnsi="Arial"/>
          <w:sz w:val="13"/>
          <w:szCs w:val="13"/>
          <w:color w:val="0067B3"/>
        </w:rPr>
      </w:pPr>
    </w:p>
    <w:p>
      <w:pPr>
        <w:ind w:left="380" w:hanging="146"/>
        <w:spacing w:after="0"/>
        <w:tabs>
          <w:tab w:leader="none" w:pos="38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Specifically designated oversight of cybersecurity matters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028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Election of 11 Directors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each director nominee.</w:t>
            </w:r>
          </w:p>
        </w:tc>
        <w:tc>
          <w:tcPr>
            <w:tcW w:w="1680" w:type="dxa"/>
            <w:vAlign w:val="bottom"/>
          </w:tcPr>
          <w:p>
            <w:pPr>
              <w:ind w:left="1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See page 14</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40"/>
          </w:cols>
          <w:pgMar w:left="320" w:top="1126" w:right="339" w:bottom="624" w:gutter="0" w:footer="0" w:header="0"/>
          <w:type w:val="continuous"/>
        </w:sectPr>
      </w:pPr>
    </w:p>
    <w:p>
      <w:pPr>
        <w:spacing w:after="0" w:line="392"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624" w:gutter="0" w:footer="0" w:header="0"/>
          <w:type w:val="continuous"/>
        </w:sectPr>
      </w:pPr>
    </w:p>
    <w:bookmarkStart w:id="17" w:name="page18"/>
    <w:bookmarkEnd w:id="17"/>
    <w:p>
      <w:pPr>
        <w:spacing w:after="0"/>
        <w:rPr>
          <w:sz w:val="20"/>
          <w:szCs w:val="20"/>
          <w:color w:val="auto"/>
        </w:rPr>
      </w:pPr>
      <w:r>
        <w:rPr>
          <w:rFonts w:ascii="Arial" w:cs="Arial" w:eastAsia="Arial" w:hAnsi="Arial"/>
          <w:sz w:val="41"/>
          <w:szCs w:val="41"/>
          <w:b w:val="1"/>
          <w:bCs w:val="1"/>
          <w:color w:val="0067B3"/>
        </w:rPr>
        <w:t>Our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Nominees</w:t>
      </w:r>
    </w:p>
    <w:p>
      <w:pPr>
        <w:spacing w:after="0" w:line="15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ADI’s Board of Directors is composed of a diverse, experienced group of global thought, business, and academic leaders. On January 16, 2024, Dr. Anantha Chandrakasan and Mr. Kenton Sicchitano informed our Board of Directors that they had decided not to stand for re-election at the Annual Meeting. Consequently, each of Dr. Chandrakasan and Mr. Sicchitano’s term as a director will expire at the Annual Meeting on March 13, 2024. Our Nominating and Corporate Governance Committee has recommended, and our Board of Directors has determined, to nominate all other current members of our Board of Directors for re-election at the Annual Meeting. If the current nominees are elected, we will have eleven members serving on our Board of Directors and the size of our Board of Directors will decrease to eleven members at such time.</w:t>
      </w:r>
    </w:p>
    <w:p>
      <w:pPr>
        <w:sectPr>
          <w:pgSz w:w="11900" w:h="16838" w:orient="portrait"/>
          <w:cols w:equalWidth="0" w:num="1">
            <w:col w:w="11220"/>
          </w:cols>
          <w:pgMar w:left="320" w:top="1356" w:right="359" w:bottom="1440" w:gutter="0" w:footer="0" w:header="0"/>
        </w:sectPr>
      </w:pP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67B3"/>
        </w:rPr>
        <w:t>VINCENT ROCHE,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822960" cy="822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2013</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Chief Executive Officer and</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Chair of the Board of Directors of Analog</w:t>
      </w:r>
    </w:p>
    <w:p>
      <w:pPr>
        <w:ind w:left="1660"/>
        <w:spacing w:after="0"/>
        <w:rPr>
          <w:sz w:val="20"/>
          <w:szCs w:val="20"/>
          <w:color w:val="auto"/>
        </w:rPr>
      </w:pPr>
      <w:r>
        <w:rPr>
          <w:rFonts w:ascii="Arial" w:cs="Arial" w:eastAsia="Arial" w:hAnsi="Arial"/>
          <w:sz w:val="15"/>
          <w:szCs w:val="15"/>
          <w:color w:val="auto"/>
        </w:rPr>
        <w:t>Devices, Inc.</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67B3"/>
        </w:rPr>
        <w:t>STEPHEN M. JENNINGS,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822960" cy="822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5"/>
          <w:szCs w:val="15"/>
          <w:b w:val="1"/>
          <w:bCs w:val="1"/>
          <w:color w:val="0067B3"/>
        </w:rPr>
        <w:t>Lead Independent Director</w:t>
      </w:r>
    </w:p>
    <w:p>
      <w:pPr>
        <w:spacing w:after="0" w:line="4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p>
      <w:pPr>
        <w:spacing w:after="0" w:line="3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Former Principal of Deloitte LLP</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 NCGC (Chair)</w:t>
      </w:r>
    </w:p>
    <w:p>
      <w:pPr>
        <w:spacing w:after="0" w:line="200" w:lineRule="exact"/>
        <w:rPr>
          <w:sz w:val="20"/>
          <w:szCs w:val="20"/>
          <w:color w:val="auto"/>
        </w:rPr>
      </w:pPr>
    </w:p>
    <w:p>
      <w:pPr>
        <w:spacing w:after="0" w:line="34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67B3"/>
        </w:rPr>
        <w:t>ANDRÉ ANDONIAN,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-62230</wp:posOffset>
            </wp:positionV>
            <wp:extent cx="822960" cy="822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1660" w:right="2540"/>
        <w:spacing w:after="0" w:line="257" w:lineRule="auto"/>
        <w:rPr>
          <w:sz w:val="20"/>
          <w:szCs w:val="20"/>
          <w:color w:val="auto"/>
        </w:rPr>
      </w:pPr>
      <w:r>
        <w:rPr>
          <w:rFonts w:ascii="Arial" w:cs="Arial" w:eastAsia="Arial" w:hAnsi="Arial"/>
          <w:sz w:val="15"/>
          <w:szCs w:val="15"/>
          <w:color w:val="auto"/>
        </w:rPr>
        <w:t>Chief Executive Officer of Andonian Advisory Pte. Ltd.</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Other Public Company Board(s): 1</w:t>
      </w:r>
    </w:p>
    <w:p>
      <w:pPr>
        <w:spacing w:after="0" w:line="3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 CDC</w:t>
      </w:r>
    </w:p>
    <w:p>
      <w:pPr>
        <w:spacing w:after="0" w:line="33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67B3"/>
        </w:rPr>
        <w:t>JAMES A. CHAMPY,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822960" cy="822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2003</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Former Vice President of the Dell/</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Perot Systems business unit of Dell, Inc.</w:t>
      </w:r>
    </w:p>
    <w:p>
      <w:pPr>
        <w:spacing w:after="0" w:line="14"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w:t>
      </w:r>
    </w:p>
    <w:p>
      <w:pPr>
        <w:spacing w:after="0" w:line="200" w:lineRule="exact"/>
        <w:rPr>
          <w:sz w:val="20"/>
          <w:szCs w:val="20"/>
          <w:color w:val="auto"/>
        </w:rPr>
      </w:pPr>
    </w:p>
    <w:p>
      <w:pPr>
        <w:spacing w:after="0" w:line="30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67B3"/>
        </w:rPr>
        <w:t>EDWARD H. FRANK, Ph.D.,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822960" cy="8229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2014</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Executive Chair of Gradient Technologies</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Other Public Company Board(s): 2</w:t>
      </w:r>
    </w:p>
    <w:p>
      <w:pPr>
        <w:spacing w:after="0" w:line="38"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 (Chair), CDC (Chair)</w:t>
      </w:r>
    </w:p>
    <w:p>
      <w:pPr>
        <w:spacing w:after="0" w:line="200" w:lineRule="exact"/>
        <w:rPr>
          <w:sz w:val="20"/>
          <w:szCs w:val="20"/>
          <w:color w:val="auto"/>
        </w:rPr>
      </w:pPr>
    </w:p>
    <w:p>
      <w:pPr>
        <w:spacing w:after="0" w:line="389" w:lineRule="exact"/>
        <w:rPr>
          <w:sz w:val="20"/>
          <w:szCs w:val="20"/>
          <w:color w:val="auto"/>
        </w:rPr>
      </w:pPr>
    </w:p>
    <w:tbl>
      <w:tblPr>
        <w:tblLayout w:type="fixed"/>
        <w:tblInd w:w="70" w:type="dxa"/>
        <w:tblCellMar>
          <w:top w:w="0" w:type="dxa"/>
          <w:left w:w="0" w:type="dxa"/>
          <w:bottom w:w="0" w:type="dxa"/>
          <w:right w:w="0" w:type="dxa"/>
        </w:tblCellMar>
      </w:tblPr>
      <w:tr>
        <w:trPr>
          <w:trHeight w:val="373"/>
        </w:trPr>
        <w:tc>
          <w:tcPr>
            <w:tcW w:w="2060" w:type="dxa"/>
            <w:vAlign w:val="bottom"/>
            <w:tcBorders>
              <w:top w:val="single" w:sz="8" w:color="0067B3"/>
              <w:left w:val="single" w:sz="8" w:color="0067B3"/>
            </w:tcBorders>
          </w:tcPr>
          <w:p>
            <w:pPr>
              <w:ind w:left="180"/>
              <w:spacing w:after="0"/>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Audit Committee</w:t>
            </w:r>
          </w:p>
        </w:tc>
        <w:tc>
          <w:tcPr>
            <w:tcW w:w="3060" w:type="dxa"/>
            <w:vAlign w:val="bottom"/>
            <w:tcBorders>
              <w:top w:val="single" w:sz="8" w:color="0067B3"/>
              <w:right w:val="single" w:sz="8" w:color="0067B3"/>
            </w:tcBorders>
          </w:tcPr>
          <w:p>
            <w:pPr>
              <w:ind w:left="180"/>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Nominating and Corporate</w:t>
            </w:r>
          </w:p>
        </w:tc>
      </w:tr>
      <w:tr>
        <w:trPr>
          <w:trHeight w:val="239"/>
        </w:trPr>
        <w:tc>
          <w:tcPr>
            <w:tcW w:w="2060" w:type="dxa"/>
            <w:vAlign w:val="bottom"/>
            <w:tcBorders>
              <w:left w:val="single" w:sz="8" w:color="0067B3"/>
            </w:tcBorders>
          </w:tcPr>
          <w:p>
            <w:pPr>
              <w:spacing w:after="0"/>
              <w:rPr>
                <w:sz w:val="20"/>
                <w:szCs w:val="20"/>
                <w:color w:val="auto"/>
              </w:rPr>
            </w:pPr>
          </w:p>
        </w:tc>
        <w:tc>
          <w:tcPr>
            <w:tcW w:w="3060" w:type="dxa"/>
            <w:vAlign w:val="bottom"/>
            <w:tcBorders>
              <w:right w:val="single" w:sz="8" w:color="0067B3"/>
            </w:tcBorders>
          </w:tcPr>
          <w:p>
            <w:pPr>
              <w:ind w:left="180"/>
              <w:spacing w:after="0"/>
              <w:rPr>
                <w:sz w:val="20"/>
                <w:szCs w:val="20"/>
                <w:color w:val="auto"/>
              </w:rPr>
            </w:pPr>
            <w:r>
              <w:rPr>
                <w:rFonts w:ascii="Arial" w:cs="Arial" w:eastAsia="Arial" w:hAnsi="Arial"/>
                <w:sz w:val="18"/>
                <w:szCs w:val="18"/>
                <w:color w:val="auto"/>
              </w:rPr>
              <w:t>Governance Committee</w:t>
            </w:r>
          </w:p>
        </w:tc>
      </w:tr>
      <w:tr>
        <w:trPr>
          <w:trHeight w:val="288"/>
        </w:trPr>
        <w:tc>
          <w:tcPr>
            <w:tcW w:w="5120" w:type="dxa"/>
            <w:vAlign w:val="bottom"/>
            <w:tcBorders>
              <w:left w:val="single" w:sz="8" w:color="0067B3"/>
              <w:right w:val="single" w:sz="8" w:color="0067B3"/>
            </w:tcBorders>
            <w:gridSpan w:val="2"/>
          </w:tcPr>
          <w:p>
            <w:pPr>
              <w:ind w:left="180"/>
              <w:spacing w:after="0"/>
              <w:rPr>
                <w:sz w:val="20"/>
                <w:szCs w:val="20"/>
                <w:color w:val="auto"/>
              </w:rPr>
            </w:pPr>
            <w:r>
              <w:rPr>
                <w:rFonts w:ascii="Arial" w:cs="Arial" w:eastAsia="Arial" w:hAnsi="Arial"/>
                <w:sz w:val="18"/>
                <w:szCs w:val="18"/>
                <w:b w:val="1"/>
                <w:bCs w:val="1"/>
                <w:color w:val="auto"/>
              </w:rPr>
              <w:t xml:space="preserve">CTC </w:t>
            </w:r>
            <w:r>
              <w:rPr>
                <w:rFonts w:ascii="Arial" w:cs="Arial" w:eastAsia="Arial" w:hAnsi="Arial"/>
                <w:sz w:val="18"/>
                <w:szCs w:val="18"/>
                <w:color w:val="auto"/>
              </w:rPr>
              <w:t>Compensation and</w:t>
            </w:r>
            <w:r>
              <w:rPr>
                <w:rFonts w:ascii="Arial" w:cs="Arial" w:eastAsia="Arial" w:hAnsi="Arial"/>
                <w:sz w:val="18"/>
                <w:szCs w:val="18"/>
                <w:b w:val="1"/>
                <w:bCs w:val="1"/>
                <w:color w:val="auto"/>
              </w:rPr>
              <w:t xml:space="preserve"> CDC </w:t>
            </w:r>
            <w:r>
              <w:rPr>
                <w:rFonts w:ascii="Arial" w:cs="Arial" w:eastAsia="Arial" w:hAnsi="Arial"/>
                <w:sz w:val="18"/>
                <w:szCs w:val="18"/>
                <w:color w:val="auto"/>
              </w:rPr>
              <w:t>Corporate Development</w:t>
            </w:r>
          </w:p>
        </w:tc>
      </w:tr>
      <w:tr>
        <w:trPr>
          <w:trHeight w:val="252"/>
        </w:trPr>
        <w:tc>
          <w:tcPr>
            <w:tcW w:w="2060" w:type="dxa"/>
            <w:vAlign w:val="bottom"/>
            <w:tcBorders>
              <w:left w:val="single" w:sz="8" w:color="0067B3"/>
            </w:tcBorders>
          </w:tcPr>
          <w:p>
            <w:pPr>
              <w:ind w:left="180"/>
              <w:spacing w:after="0"/>
              <w:rPr>
                <w:sz w:val="20"/>
                <w:szCs w:val="20"/>
                <w:color w:val="auto"/>
              </w:rPr>
            </w:pPr>
            <w:r>
              <w:rPr>
                <w:rFonts w:ascii="Arial" w:cs="Arial" w:eastAsia="Arial" w:hAnsi="Arial"/>
                <w:sz w:val="18"/>
                <w:szCs w:val="18"/>
                <w:color w:val="auto"/>
              </w:rPr>
              <w:t>Talent Committee</w:t>
            </w:r>
          </w:p>
        </w:tc>
        <w:tc>
          <w:tcPr>
            <w:tcW w:w="3060" w:type="dxa"/>
            <w:vAlign w:val="bottom"/>
            <w:tcBorders>
              <w:right w:val="single" w:sz="8" w:color="0067B3"/>
            </w:tcBorders>
          </w:tcPr>
          <w:p>
            <w:pPr>
              <w:ind w:left="180"/>
              <w:spacing w:after="0"/>
              <w:rPr>
                <w:sz w:val="20"/>
                <w:szCs w:val="20"/>
                <w:color w:val="auto"/>
              </w:rPr>
            </w:pPr>
            <w:r>
              <w:rPr>
                <w:rFonts w:ascii="Arial" w:cs="Arial" w:eastAsia="Arial" w:hAnsi="Arial"/>
                <w:sz w:val="18"/>
                <w:szCs w:val="18"/>
                <w:color w:val="auto"/>
              </w:rPr>
              <w:t>Committee</w:t>
            </w:r>
          </w:p>
        </w:tc>
      </w:tr>
      <w:tr>
        <w:trPr>
          <w:trHeight w:val="172"/>
        </w:trPr>
        <w:tc>
          <w:tcPr>
            <w:tcW w:w="2060" w:type="dxa"/>
            <w:vAlign w:val="bottom"/>
            <w:tcBorders>
              <w:left w:val="single" w:sz="8" w:color="0067B3"/>
              <w:bottom w:val="single" w:sz="8" w:color="0067B3"/>
            </w:tcBorders>
          </w:tcPr>
          <w:p>
            <w:pPr>
              <w:spacing w:after="0"/>
              <w:rPr>
                <w:sz w:val="14"/>
                <w:szCs w:val="14"/>
                <w:color w:val="auto"/>
              </w:rPr>
            </w:pPr>
          </w:p>
        </w:tc>
        <w:tc>
          <w:tcPr>
            <w:tcW w:w="3060" w:type="dxa"/>
            <w:vAlign w:val="bottom"/>
            <w:tcBorders>
              <w:bottom w:val="single" w:sz="8" w:color="0067B3"/>
              <w:right w:val="single" w:sz="8" w:color="0067B3"/>
            </w:tcBorders>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67B3"/>
        </w:rPr>
        <w:t>LAURIE H. GLIMCHER, M.D.,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-71120</wp:posOffset>
            </wp:positionV>
            <wp:extent cx="822960" cy="822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2020</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Professor of Medicine at Harvard Medical School</w:t>
      </w:r>
    </w:p>
    <w:p>
      <w:pPr>
        <w:spacing w:after="0" w:line="11" w:lineRule="exact"/>
        <w:rPr>
          <w:sz w:val="20"/>
          <w:szCs w:val="20"/>
          <w:color w:val="auto"/>
        </w:rPr>
      </w:pPr>
    </w:p>
    <w:p>
      <w:pPr>
        <w:ind w:left="200" w:right="420"/>
        <w:spacing w:after="0" w:line="242" w:lineRule="auto"/>
        <w:rPr>
          <w:sz w:val="20"/>
          <w:szCs w:val="20"/>
          <w:color w:val="auto"/>
        </w:rPr>
      </w:pPr>
      <w:r>
        <w:rPr>
          <w:rFonts w:ascii="Arial" w:cs="Arial" w:eastAsia="Arial" w:hAnsi="Arial"/>
          <w:sz w:val="15"/>
          <w:szCs w:val="15"/>
          <w:color w:val="auto"/>
        </w:rPr>
        <w:t>and President and Chief Executive Officer of the Dana-Farber Cancer Institute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67B3"/>
        </w:rPr>
        <w:t>KAREN M. GOLZ,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-71120</wp:posOffset>
            </wp:positionV>
            <wp:extent cx="822960" cy="822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2018</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200" w:right="760"/>
        <w:spacing w:after="0" w:line="302" w:lineRule="auto"/>
        <w:rPr>
          <w:sz w:val="20"/>
          <w:szCs w:val="20"/>
          <w:color w:val="auto"/>
        </w:rPr>
      </w:pPr>
      <w:r>
        <w:rPr>
          <w:rFonts w:ascii="Arial" w:cs="Arial" w:eastAsia="Arial" w:hAnsi="Arial"/>
          <w:sz w:val="15"/>
          <w:szCs w:val="15"/>
          <w:color w:val="auto"/>
        </w:rPr>
        <w:t xml:space="preserve">Former Global Vice Chair of Ernst &amp; Young </w:t>
      </w:r>
      <w:r>
        <w:rPr>
          <w:rFonts w:ascii="Arial" w:cs="Arial" w:eastAsia="Arial" w:hAnsi="Arial"/>
          <w:sz w:val="15"/>
          <w:szCs w:val="15"/>
          <w:b w:val="1"/>
          <w:bCs w:val="1"/>
          <w:color w:val="auto"/>
        </w:rPr>
        <w:t xml:space="preserve">Other Public Company Board(s): 2 Committee Membership(s): </w:t>
      </w:r>
      <w:r>
        <w:rPr>
          <w:rFonts w:ascii="Arial" w:cs="Arial" w:eastAsia="Arial" w:hAnsi="Arial"/>
          <w:sz w:val="15"/>
          <w:szCs w:val="15"/>
          <w:color w:val="auto"/>
        </w:rPr>
        <w:t>AC (Chair)</w:t>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67B3"/>
        </w:rPr>
        <w:t>PETER B. HENRY, Ph.D.,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-62230</wp:posOffset>
            </wp:positionV>
            <wp:extent cx="822960" cy="822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Class of 1984 Senior Fellow at Stanford University’s</w:t>
      </w:r>
    </w:p>
    <w:p>
      <w:pPr>
        <w:spacing w:after="0" w:line="11" w:lineRule="exact"/>
        <w:rPr>
          <w:sz w:val="20"/>
          <w:szCs w:val="20"/>
          <w:color w:val="auto"/>
        </w:rPr>
      </w:pPr>
    </w:p>
    <w:p>
      <w:pPr>
        <w:ind w:left="200" w:right="280"/>
        <w:spacing w:after="0" w:line="242" w:lineRule="auto"/>
        <w:rPr>
          <w:sz w:val="20"/>
          <w:szCs w:val="20"/>
          <w:color w:val="auto"/>
        </w:rPr>
      </w:pPr>
      <w:r>
        <w:rPr>
          <w:rFonts w:ascii="Arial" w:cs="Arial" w:eastAsia="Arial" w:hAnsi="Arial"/>
          <w:sz w:val="15"/>
          <w:szCs w:val="15"/>
          <w:color w:val="auto"/>
        </w:rPr>
        <w:t>Hoover Institution; and Senior Fellow at Stanford’s Freeman Spogli Institute for International Studies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Public Company Board(s): 2</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AC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67B3"/>
        </w:rPr>
        <w:t>MERCEDES JOHNSON, 69</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Former Chief Financial Officer of Avago</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Technologies (now Broadcom Inc.)</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Public Company Board(s): 2</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AC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67B3"/>
        </w:rPr>
        <w:t>RAY STATA,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-71120</wp:posOffset>
            </wp:positionV>
            <wp:extent cx="822960" cy="822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1965</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left="200" w:right="580"/>
        <w:spacing w:after="0" w:line="274" w:lineRule="auto"/>
        <w:rPr>
          <w:sz w:val="20"/>
          <w:szCs w:val="20"/>
          <w:color w:val="auto"/>
        </w:rPr>
      </w:pPr>
      <w:r>
        <w:rPr>
          <w:rFonts w:ascii="Arial" w:cs="Arial" w:eastAsia="Arial" w:hAnsi="Arial"/>
          <w:sz w:val="15"/>
          <w:szCs w:val="15"/>
          <w:color w:val="auto"/>
        </w:rPr>
        <w:t>Co-Founder and Former Chair of the Board of Directors of Analog Devices, Inc.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SUSIE WEE, Ph.D.,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-62230</wp:posOffset>
            </wp:positionV>
            <wp:extent cx="822960" cy="822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2019</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w:t>
      </w:r>
    </w:p>
    <w:p>
      <w:pPr>
        <w:spacing w:after="0" w:line="30" w:lineRule="exact"/>
        <w:rPr>
          <w:sz w:val="20"/>
          <w:szCs w:val="20"/>
          <w:color w:val="auto"/>
        </w:rPr>
      </w:pPr>
    </w:p>
    <w:p>
      <w:pPr>
        <w:ind w:right="1540"/>
        <w:spacing w:after="0" w:line="323" w:lineRule="auto"/>
        <w:rPr>
          <w:sz w:val="20"/>
          <w:szCs w:val="20"/>
          <w:color w:val="auto"/>
        </w:rPr>
      </w:pPr>
      <w:r>
        <w:rPr>
          <w:rFonts w:ascii="Arial" w:cs="Arial" w:eastAsia="Arial" w:hAnsi="Arial"/>
          <w:sz w:val="15"/>
          <w:szCs w:val="15"/>
          <w:color w:val="auto"/>
        </w:rPr>
        <w:t xml:space="preserve">Former Vice President of Google </w:t>
      </w: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w:t>
      </w:r>
    </w:p>
    <w:p>
      <w:pPr>
        <w:spacing w:after="0" w:line="476" w:lineRule="exact"/>
        <w:rPr>
          <w:sz w:val="20"/>
          <w:szCs w:val="20"/>
          <w:color w:val="auto"/>
        </w:rPr>
      </w:pPr>
    </w:p>
    <w:p>
      <w:pPr>
        <w:sectPr>
          <w:pgSz w:w="11900" w:h="16838" w:orient="portrait"/>
          <w:cols w:equalWidth="0" w:num="2">
            <w:col w:w="6620" w:space="720"/>
            <w:col w:w="3880"/>
          </w:cols>
          <w:pgMar w:left="320" w:top="1356" w:right="359" w:bottom="1440" w:gutter="0" w:footer="0" w:header="0"/>
          <w:type w:val="continuous"/>
        </w:sectPr>
      </w:pPr>
    </w:p>
    <w:p>
      <w:pPr>
        <w:spacing w:after="0" w:line="343"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2"/>
          <w:szCs w:val="32"/>
          <w:b w:val="1"/>
          <w:bCs w:val="1"/>
          <w:color w:val="auto"/>
        </w:rPr>
        <w:t>Board Composition</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composed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interests of shareholders, drive shareholder value, exercise sound judgment and reflect our corporate values of integrity, honesty, and adherence to high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05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ectPr>
          <w:pgSz w:w="11900" w:h="16838" w:orient="portrait"/>
          <w:cols w:equalWidth="0" w:num="1">
            <w:col w:w="11260"/>
          </w:cols>
          <w:pgMar w:left="320" w:top="1149" w:right="319" w:bottom="1440" w:gutter="0" w:footer="0" w:header="0"/>
        </w:sect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41"/>
          <w:szCs w:val="41"/>
          <w:b w:val="1"/>
          <w:bCs w:val="1"/>
          <w:color w:val="0067B3"/>
        </w:rPr>
        <w:t>67%</w:t>
      </w:r>
    </w:p>
    <w:p>
      <w:pPr>
        <w:spacing w:after="0" w:line="196" w:lineRule="exact"/>
        <w:rPr>
          <w:sz w:val="20"/>
          <w:szCs w:val="20"/>
          <w:color w:val="auto"/>
        </w:rPr>
      </w:pPr>
    </w:p>
    <w:p>
      <w:pPr>
        <w:ind w:left="80"/>
        <w:spacing w:after="0" w:line="287" w:lineRule="auto"/>
        <w:rPr>
          <w:sz w:val="20"/>
          <w:szCs w:val="20"/>
          <w:color w:val="auto"/>
        </w:rPr>
      </w:pPr>
      <w:r>
        <w:rPr>
          <w:rFonts w:ascii="Arial" w:cs="Arial" w:eastAsia="Arial" w:hAnsi="Arial"/>
          <w:sz w:val="18"/>
          <w:szCs w:val="18"/>
          <w:color w:val="auto"/>
        </w:rPr>
        <w:t>of independent director nominees added in the last 5 years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78"/>
        </w:trPr>
        <w:tc>
          <w:tcPr>
            <w:tcW w:w="3660" w:type="dxa"/>
            <w:vAlign w:val="bottom"/>
            <w:tcBorders>
              <w:right w:val="single" w:sz="8" w:color="auto"/>
            </w:tcBorders>
          </w:tcPr>
          <w:p>
            <w:pPr>
              <w:spacing w:after="0"/>
              <w:rPr>
                <w:sz w:val="20"/>
                <w:szCs w:val="20"/>
                <w:color w:val="auto"/>
              </w:rPr>
            </w:pPr>
            <w:r>
              <w:rPr>
                <w:rFonts w:ascii="Arial" w:cs="Arial" w:eastAsia="Arial" w:hAnsi="Arial"/>
                <w:sz w:val="41"/>
                <w:szCs w:val="41"/>
                <w:b w:val="1"/>
                <w:bCs w:val="1"/>
                <w:color w:val="0067B3"/>
              </w:rPr>
              <w:t>39</w:t>
            </w:r>
          </w:p>
        </w:tc>
        <w:tc>
          <w:tcPr>
            <w:tcW w:w="2860" w:type="dxa"/>
            <w:vAlign w:val="bottom"/>
          </w:tcPr>
          <w:p>
            <w:pPr>
              <w:ind w:left="80"/>
              <w:spacing w:after="0"/>
              <w:rPr>
                <w:sz w:val="20"/>
                <w:szCs w:val="20"/>
                <w:color w:val="auto"/>
              </w:rPr>
            </w:pPr>
            <w:r>
              <w:rPr>
                <w:rFonts w:ascii="Arial" w:cs="Arial" w:eastAsia="Arial" w:hAnsi="Arial"/>
                <w:sz w:val="41"/>
                <w:szCs w:val="41"/>
                <w:b w:val="1"/>
                <w:bCs w:val="1"/>
                <w:color w:val="0067B3"/>
              </w:rPr>
              <w:t>9 of 11</w:t>
            </w:r>
          </w:p>
        </w:tc>
      </w:tr>
      <w:tr>
        <w:trPr>
          <w:trHeight w:val="216"/>
        </w:trPr>
        <w:tc>
          <w:tcPr>
            <w:tcW w:w="3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Board of Directors and Committee meetings</w:t>
            </w:r>
          </w:p>
        </w:tc>
        <w:tc>
          <w:tcPr>
            <w:tcW w:w="2860" w:type="dxa"/>
            <w:vAlign w:val="bottom"/>
          </w:tcPr>
          <w:p>
            <w:pPr>
              <w:ind w:left="80"/>
              <w:spacing w:after="0"/>
              <w:rPr>
                <w:sz w:val="20"/>
                <w:szCs w:val="20"/>
                <w:color w:val="auto"/>
              </w:rPr>
            </w:pPr>
            <w:r>
              <w:rPr>
                <w:rFonts w:ascii="Arial" w:cs="Arial" w:eastAsia="Arial" w:hAnsi="Arial"/>
                <w:sz w:val="18"/>
                <w:szCs w:val="18"/>
                <w:color w:val="auto"/>
                <w:w w:val="99"/>
              </w:rPr>
              <w:t>director nominees are independent</w:t>
            </w:r>
          </w:p>
        </w:tc>
      </w:tr>
      <w:tr>
        <w:trPr>
          <w:trHeight w:val="239"/>
        </w:trPr>
        <w:tc>
          <w:tcPr>
            <w:tcW w:w="3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held in fiscal year 2023</w:t>
            </w:r>
          </w:p>
        </w:tc>
        <w:tc>
          <w:tcPr>
            <w:tcW w:w="2860" w:type="dxa"/>
            <w:vAlign w:val="bottom"/>
          </w:tcPr>
          <w:p>
            <w:pPr>
              <w:spacing w:after="0"/>
              <w:rPr>
                <w:sz w:val="20"/>
                <w:szCs w:val="20"/>
                <w:color w:val="auto"/>
              </w:rPr>
            </w:pPr>
          </w:p>
        </w:tc>
      </w:tr>
      <w:tr>
        <w:trPr>
          <w:trHeight w:val="37"/>
        </w:trPr>
        <w:tc>
          <w:tcPr>
            <w:tcW w:w="3660" w:type="dxa"/>
            <w:vAlign w:val="bottom"/>
            <w:tcBorders>
              <w:right w:val="single" w:sz="8" w:color="auto"/>
            </w:tcBorders>
          </w:tcPr>
          <w:p>
            <w:pPr>
              <w:spacing w:after="0"/>
              <w:rPr>
                <w:sz w:val="3"/>
                <w:szCs w:val="3"/>
                <w:color w:val="auto"/>
              </w:rPr>
            </w:pPr>
          </w:p>
        </w:tc>
        <w:tc>
          <w:tcPr>
            <w:tcW w:w="2860" w:type="dxa"/>
            <w:vAlign w:val="bottom"/>
          </w:tcPr>
          <w:p>
            <w:pPr>
              <w:spacing w:after="0"/>
              <w:rPr>
                <w:sz w:val="3"/>
                <w:szCs w:val="3"/>
                <w:color w:val="auto"/>
              </w:rPr>
            </w:pPr>
          </w:p>
        </w:tc>
      </w:tr>
    </w:tbl>
    <w:p>
      <w:pPr>
        <w:spacing w:after="0" w:line="203" w:lineRule="exact"/>
        <w:rPr>
          <w:sz w:val="20"/>
          <w:szCs w:val="20"/>
          <w:color w:val="auto"/>
        </w:rPr>
      </w:pPr>
    </w:p>
    <w:p>
      <w:pPr>
        <w:sectPr>
          <w:pgSz w:w="11900" w:h="16838" w:orient="portrait"/>
          <w:cols w:equalWidth="0" w:num="2">
            <w:col w:w="3500" w:space="340"/>
            <w:col w:w="7420"/>
          </w:cols>
          <w:pgMar w:left="320" w:top="1149" w:right="31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Strong Board Diversity</w:t>
      </w:r>
    </w:p>
    <w:p>
      <w:pPr>
        <w:spacing w:after="0" w:line="15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Our Board of Directors also believes that having directors with a mix of tenure helps transition the institutional knowledge of the more experienced directors while providing a broad, fresh set of perspectives. Our Board of Directors has continued to make progress in broadening the experience, gender, and tenure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048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048510"/>
                    </a:xfrm>
                    <a:prstGeom prst="rect">
                      <a:avLst/>
                    </a:prstGeom>
                    <a:noFill/>
                  </pic:spPr>
                </pic:pic>
              </a:graphicData>
            </a:graphic>
          </wp:anchor>
        </w:drawing>
      </w:r>
    </w:p>
    <w:p>
      <w:pPr>
        <w:spacing w:after="0" w:line="20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0067B3"/>
              </w:rPr>
              <w:t>AGE</w:t>
            </w:r>
          </w:p>
        </w:tc>
        <w:tc>
          <w:tcPr>
            <w:tcW w:w="4400" w:type="dxa"/>
            <w:vAlign w:val="bottom"/>
          </w:tcPr>
          <w:p>
            <w:pPr>
              <w:jc w:val="center"/>
              <w:ind w:right="190"/>
              <w:spacing w:after="0"/>
              <w:rPr>
                <w:sz w:val="20"/>
                <w:szCs w:val="20"/>
                <w:color w:val="auto"/>
              </w:rPr>
            </w:pPr>
            <w:r>
              <w:rPr>
                <w:rFonts w:ascii="Arial" w:cs="Arial" w:eastAsia="Arial" w:hAnsi="Arial"/>
                <w:sz w:val="18"/>
                <w:szCs w:val="18"/>
                <w:b w:val="1"/>
                <w:bCs w:val="1"/>
                <w:color w:val="0067B3"/>
                <w:w w:val="99"/>
              </w:rPr>
              <w:t>INDEPENDENT DIRECTOR</w:t>
            </w:r>
          </w:p>
        </w:tc>
        <w:tc>
          <w:tcPr>
            <w:tcW w:w="2160" w:type="dxa"/>
            <w:vAlign w:val="bottom"/>
            <w:vMerge w:val="restart"/>
          </w:tcPr>
          <w:p>
            <w:pPr>
              <w:ind w:left="1200"/>
              <w:spacing w:after="0"/>
              <w:rPr>
                <w:sz w:val="20"/>
                <w:szCs w:val="20"/>
                <w:color w:val="auto"/>
              </w:rPr>
            </w:pPr>
            <w:r>
              <w:rPr>
                <w:rFonts w:ascii="Arial" w:cs="Arial" w:eastAsia="Arial" w:hAnsi="Arial"/>
                <w:sz w:val="18"/>
                <w:szCs w:val="18"/>
                <w:b w:val="1"/>
                <w:bCs w:val="1"/>
                <w:color w:val="0067B3"/>
                <w:w w:val="98"/>
              </w:rPr>
              <w:t>DIVERSITY</w:t>
            </w:r>
          </w:p>
        </w:tc>
        <w:tc>
          <w:tcPr>
            <w:tcW w:w="0" w:type="dxa"/>
            <w:vAlign w:val="bottom"/>
          </w:tcPr>
          <w:p>
            <w:pPr>
              <w:spacing w:after="0"/>
              <w:rPr>
                <w:sz w:val="1"/>
                <w:szCs w:val="1"/>
                <w:color w:val="auto"/>
              </w:rPr>
            </w:pPr>
          </w:p>
        </w:tc>
      </w:tr>
      <w:tr>
        <w:trPr>
          <w:trHeight w:val="139"/>
        </w:trPr>
        <w:tc>
          <w:tcPr>
            <w:tcW w:w="1320" w:type="dxa"/>
            <w:vAlign w:val="bottom"/>
            <w:vMerge w:val="continue"/>
          </w:tcPr>
          <w:p>
            <w:pPr>
              <w:spacing w:after="0"/>
              <w:rPr>
                <w:sz w:val="12"/>
                <w:szCs w:val="12"/>
                <w:color w:val="auto"/>
              </w:rPr>
            </w:pPr>
          </w:p>
        </w:tc>
        <w:tc>
          <w:tcPr>
            <w:tcW w:w="44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0067B3"/>
              </w:rPr>
              <w:t>NOMINEE TENURE</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520" w:type="dxa"/>
            <w:vAlign w:val="bottom"/>
            <w:vMerge w:val="restart"/>
          </w:tcPr>
          <w:p>
            <w:pPr>
              <w:spacing w:after="0"/>
              <w:rPr>
                <w:sz w:val="20"/>
                <w:szCs w:val="20"/>
                <w:color w:val="auto"/>
              </w:rPr>
            </w:pPr>
            <w:r>
              <w:rPr>
                <w:rFonts w:ascii="Arial" w:cs="Arial" w:eastAsia="Arial" w:hAnsi="Arial"/>
                <w:sz w:val="18"/>
                <w:szCs w:val="18"/>
                <w:color w:val="auto"/>
              </w:rPr>
              <w:t>Average Age: 67 years</w:t>
            </w:r>
          </w:p>
        </w:tc>
        <w:tc>
          <w:tcPr>
            <w:tcW w:w="3100" w:type="dxa"/>
            <w:vAlign w:val="bottom"/>
          </w:tcPr>
          <w:p>
            <w:pPr>
              <w:ind w:left="700"/>
              <w:spacing w:after="0"/>
              <w:rPr>
                <w:sz w:val="20"/>
                <w:szCs w:val="20"/>
                <w:color w:val="auto"/>
              </w:rPr>
            </w:pPr>
            <w:r>
              <w:rPr>
                <w:rFonts w:ascii="Arial" w:cs="Arial" w:eastAsia="Arial" w:hAnsi="Arial"/>
                <w:sz w:val="18"/>
                <w:szCs w:val="18"/>
                <w:color w:val="auto"/>
                <w:w w:val="99"/>
              </w:rPr>
              <w:t>Average Independent Director</w:t>
            </w: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3100" w:type="dxa"/>
            <w:vAlign w:val="bottom"/>
            <w:vMerge w:val="restart"/>
          </w:tcPr>
          <w:p>
            <w:pPr>
              <w:ind w:left="700"/>
              <w:spacing w:after="0"/>
              <w:rPr>
                <w:sz w:val="20"/>
                <w:szCs w:val="20"/>
                <w:color w:val="auto"/>
              </w:rPr>
            </w:pPr>
            <w:r>
              <w:rPr>
                <w:rFonts w:ascii="Arial" w:cs="Arial" w:eastAsia="Arial" w:hAnsi="Arial"/>
                <w:sz w:val="18"/>
                <w:szCs w:val="18"/>
                <w:color w:val="auto"/>
              </w:rPr>
              <w:t>Nominee Tenure: 4.9 years</w:t>
            </w: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8"/>
                <w:szCs w:val="18"/>
                <w:color w:val="auto"/>
              </w:rPr>
              <w:t>Median Age: 67 years</w:t>
            </w: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Refreshment</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Board of Directors has been focused on refreshment, regularly bringing in new viewpoints and skills. As a result of ongoing Board refreshment, we have added 7 new directors in the last five years:</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755"/>
        </w:trPr>
        <w:tc>
          <w:tcPr>
            <w:tcW w:w="1600" w:type="dxa"/>
            <w:vAlign w:val="bottom"/>
            <w:tcBorders>
              <w:left w:val="single" w:sz="8" w:color="E2E6F4"/>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58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68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0067B3"/>
            </w:tcBorders>
            <w:shd w:val="clear" w:color="auto" w:fill="E2E6F4"/>
          </w:tcPr>
          <w:p>
            <w:pPr>
              <w:spacing w:after="0"/>
              <w:rPr>
                <w:sz w:val="24"/>
                <w:szCs w:val="24"/>
                <w:color w:val="auto"/>
              </w:rPr>
            </w:pPr>
          </w:p>
        </w:tc>
      </w:tr>
      <w:tr>
        <w:trPr>
          <w:trHeight w:val="233"/>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20"/>
                <w:szCs w:val="20"/>
                <w:b w:val="1"/>
                <w:bCs w:val="1"/>
                <w:color w:val="0067B3"/>
              </w:rPr>
              <w:t>Anantha P.</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Susie Wee</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Laurie H.</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20"/>
                <w:szCs w:val="20"/>
                <w:b w:val="1"/>
                <w:bCs w:val="1"/>
                <w:color w:val="0067B3"/>
              </w:rPr>
              <w:t>Mercedes</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André</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Stephen M.</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Peter B. Henry</w:t>
            </w:r>
          </w:p>
        </w:tc>
      </w:tr>
      <w:tr>
        <w:trPr>
          <w:trHeight w:val="273"/>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20"/>
                <w:szCs w:val="20"/>
                <w:b w:val="1"/>
                <w:bCs w:val="1"/>
                <w:color w:val="0067B3"/>
              </w:rPr>
              <w:t>Chandrakasan</w:t>
            </w:r>
          </w:p>
        </w:tc>
        <w:tc>
          <w:tcPr>
            <w:tcW w:w="1600" w:type="dxa"/>
            <w:vAlign w:val="bottom"/>
            <w:tcBorders>
              <w:right w:val="single" w:sz="8" w:color="0067B3"/>
            </w:tcBorders>
          </w:tcPr>
          <w:p>
            <w:pPr>
              <w:spacing w:after="0"/>
              <w:rPr>
                <w:sz w:val="23"/>
                <w:szCs w:val="23"/>
                <w:color w:val="auto"/>
              </w:rPr>
            </w:pP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Glimcher</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20"/>
                <w:szCs w:val="20"/>
                <w:b w:val="1"/>
                <w:bCs w:val="1"/>
                <w:color w:val="0067B3"/>
              </w:rPr>
              <w:t>Johnson</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Andonian</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Jennings</w:t>
            </w:r>
          </w:p>
        </w:tc>
        <w:tc>
          <w:tcPr>
            <w:tcW w:w="1600" w:type="dxa"/>
            <w:vAlign w:val="bottom"/>
            <w:tcBorders>
              <w:right w:val="single" w:sz="8" w:color="0067B3"/>
            </w:tcBorders>
          </w:tcPr>
          <w:p>
            <w:pPr>
              <w:spacing w:after="0"/>
              <w:rPr>
                <w:sz w:val="23"/>
                <w:szCs w:val="23"/>
                <w:color w:val="auto"/>
              </w:rPr>
            </w:pPr>
          </w:p>
        </w:tc>
      </w:tr>
      <w:tr>
        <w:trPr>
          <w:trHeight w:val="260"/>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17"/>
                <w:szCs w:val="17"/>
                <w:b w:val="1"/>
                <w:bCs w:val="1"/>
                <w:color w:val="auto"/>
              </w:rPr>
              <w:t>2019</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2019</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2020</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17"/>
                <w:szCs w:val="17"/>
                <w:b w:val="1"/>
                <w:bCs w:val="1"/>
                <w:color w:val="auto"/>
              </w:rPr>
              <w:t>2021</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2022</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2023</w:t>
            </w:r>
          </w:p>
        </w:tc>
      </w:tr>
      <w:tr>
        <w:trPr>
          <w:trHeight w:val="125"/>
        </w:trPr>
        <w:tc>
          <w:tcPr>
            <w:tcW w:w="1600" w:type="dxa"/>
            <w:vAlign w:val="bottom"/>
            <w:tcBorders>
              <w:left w:val="single" w:sz="8" w:color="0067B3"/>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58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68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-1610995</wp:posOffset>
            </wp:positionV>
            <wp:extent cx="6951980" cy="908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1980" cy="908685"/>
                    </a:xfrm>
                    <a:prstGeom prst="rect">
                      <a:avLst/>
                    </a:prstGeom>
                    <a:noFill/>
                  </pic:spPr>
                </pic:pic>
              </a:graphicData>
            </a:graphic>
          </wp:anchor>
        </w:drawing>
      </w:r>
    </w:p>
    <w:p>
      <w:pPr>
        <w:sectPr>
          <w:pgSz w:w="11900" w:h="16838" w:orient="portrait"/>
          <w:cols w:equalWidth="0" w:num="1">
            <w:col w:w="11260"/>
          </w:cols>
          <w:pgMar w:left="320" w:top="1149" w:right="31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480" w:hanging="454"/>
        <w:spacing w:after="0"/>
        <w:tabs>
          <w:tab w:leader="none" w:pos="480" w:val="left"/>
        </w:tabs>
        <w:numPr>
          <w:ilvl w:val="0"/>
          <w:numId w:val="24"/>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9"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41"/>
          <w:szCs w:val="41"/>
          <w:b w:val="1"/>
          <w:bCs w:val="1"/>
          <w:color w:val="0067B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420110"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0110" cy="471805"/>
                    </a:xfrm>
                    <a:prstGeom prst="rect">
                      <a:avLst/>
                    </a:prstGeom>
                    <a:noFill/>
                  </pic:spPr>
                </pic:pic>
              </a:graphicData>
            </a:graphic>
          </wp:anchor>
        </w:drawing>
      </w:r>
    </w:p>
    <w:p>
      <w:pPr>
        <w:spacing w:after="0" w:line="352" w:lineRule="exact"/>
        <w:rPr>
          <w:sz w:val="20"/>
          <w:szCs w:val="20"/>
          <w:color w:val="auto"/>
        </w:rPr>
      </w:pPr>
    </w:p>
    <w:p>
      <w:pPr>
        <w:jc w:val="center"/>
        <w:ind w:left="140" w:right="120"/>
        <w:spacing w:after="0" w:line="278" w:lineRule="auto"/>
        <w:rPr>
          <w:sz w:val="20"/>
          <w:szCs w:val="20"/>
          <w:color w:val="auto"/>
        </w:rPr>
      </w:pPr>
      <w:r>
        <w:rPr>
          <w:rFonts w:ascii="Arial" w:cs="Arial" w:eastAsia="Arial" w:hAnsi="Arial"/>
          <w:sz w:val="17"/>
          <w:szCs w:val="17"/>
          <w:b w:val="1"/>
          <w:bCs w:val="1"/>
          <w:color w:val="FFFFFF"/>
        </w:rPr>
        <w:t>EFFECTIVE BOARD LEADERSHIP, INDEPENDENT OVERSIGHT, AND STRONG CORPORATE GOVERNANCE</w:t>
      </w:r>
    </w:p>
    <w:p>
      <w:pPr>
        <w:spacing w:after="0" w:line="222" w:lineRule="exact"/>
        <w:rPr>
          <w:sz w:val="20"/>
          <w:szCs w:val="20"/>
          <w:color w:val="auto"/>
        </w:rPr>
      </w:pPr>
    </w:p>
    <w:p>
      <w:pPr>
        <w:ind w:left="180" w:hanging="154"/>
        <w:spacing w:after="0"/>
        <w:tabs>
          <w:tab w:leader="none" w:pos="180"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Majority of directors are independent</w:t>
      </w:r>
    </w:p>
    <w:p>
      <w:pPr>
        <w:spacing w:after="0" w:line="49" w:lineRule="exact"/>
        <w:rPr>
          <w:rFonts w:ascii="Arial" w:cs="Arial" w:eastAsia="Arial" w:hAnsi="Arial"/>
          <w:sz w:val="13"/>
          <w:szCs w:val="13"/>
          <w:color w:val="0067B3"/>
        </w:rPr>
      </w:pPr>
    </w:p>
    <w:p>
      <w:pPr>
        <w:ind w:left="220" w:hanging="194"/>
        <w:spacing w:after="0" w:line="273" w:lineRule="auto"/>
        <w:tabs>
          <w:tab w:leader="none" w:pos="177"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Average tenure of independent directors standing for re-election is 4.9 years</w:t>
      </w:r>
    </w:p>
    <w:p>
      <w:pPr>
        <w:spacing w:after="0" w:line="1" w:lineRule="exact"/>
        <w:rPr>
          <w:rFonts w:ascii="Arial" w:cs="Arial" w:eastAsia="Arial" w:hAnsi="Arial"/>
          <w:sz w:val="13"/>
          <w:szCs w:val="13"/>
          <w:color w:val="0067B3"/>
        </w:rPr>
      </w:pPr>
    </w:p>
    <w:p>
      <w:pPr>
        <w:ind w:left="180" w:hanging="154"/>
        <w:spacing w:after="0"/>
        <w:tabs>
          <w:tab w:leader="none" w:pos="180"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Regular executive sessions of independent directors</w:t>
      </w:r>
    </w:p>
    <w:p>
      <w:pPr>
        <w:spacing w:after="0" w:line="36" w:lineRule="exact"/>
        <w:rPr>
          <w:rFonts w:ascii="Arial" w:cs="Arial" w:eastAsia="Arial" w:hAnsi="Arial"/>
          <w:sz w:val="13"/>
          <w:szCs w:val="13"/>
          <w:color w:val="0067B3"/>
        </w:rPr>
      </w:pPr>
    </w:p>
    <w:p>
      <w:pPr>
        <w:ind w:left="180" w:hanging="154"/>
        <w:spacing w:after="0"/>
        <w:tabs>
          <w:tab w:leader="none" w:pos="180"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Clawback policy for CEO and other officers</w:t>
      </w:r>
    </w:p>
    <w:p>
      <w:pPr>
        <w:spacing w:after="0" w:line="49" w:lineRule="exact"/>
        <w:rPr>
          <w:rFonts w:ascii="Arial" w:cs="Arial" w:eastAsia="Arial" w:hAnsi="Arial"/>
          <w:sz w:val="13"/>
          <w:szCs w:val="13"/>
          <w:color w:val="0067B3"/>
        </w:rPr>
      </w:pPr>
    </w:p>
    <w:p>
      <w:pPr>
        <w:ind w:left="220" w:right="380" w:hanging="194"/>
        <w:spacing w:after="0" w:line="318" w:lineRule="auto"/>
        <w:tabs>
          <w:tab w:leader="none" w:pos="177" w:val="left"/>
        </w:tabs>
        <w:numPr>
          <w:ilvl w:val="0"/>
          <w:numId w:val="25"/>
        </w:numPr>
        <w:rPr>
          <w:rFonts w:ascii="Arial" w:cs="Arial" w:eastAsia="Arial" w:hAnsi="Arial"/>
          <w:sz w:val="12"/>
          <w:szCs w:val="12"/>
          <w:color w:val="0067B3"/>
        </w:rPr>
      </w:pPr>
      <w:r>
        <w:rPr>
          <w:rFonts w:ascii="Arial" w:cs="Arial" w:eastAsia="Arial" w:hAnsi="Arial"/>
          <w:sz w:val="17"/>
          <w:szCs w:val="17"/>
          <w:color w:val="auto"/>
        </w:rPr>
        <w:t>Active engagement by our Board of Directors in overseeing talent and long-term succession planning for executives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2"/>
        <w:spacing w:after="0"/>
        <w:rPr>
          <w:sz w:val="20"/>
          <w:szCs w:val="20"/>
          <w:color w:val="auto"/>
        </w:rPr>
      </w:pPr>
      <w:r>
        <w:rPr>
          <w:rFonts w:ascii="Arial" w:cs="Arial" w:eastAsia="Arial" w:hAnsi="Arial"/>
          <w:sz w:val="18"/>
          <w:szCs w:val="18"/>
          <w:b w:val="1"/>
          <w:bCs w:val="1"/>
          <w:color w:val="FFFFFF"/>
        </w:rPr>
        <w:t>SHAREHOLDER RIGHTS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-290195</wp:posOffset>
            </wp:positionV>
            <wp:extent cx="3574415" cy="1637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74415" cy="1637030"/>
                    </a:xfrm>
                    <a:prstGeom prst="rect">
                      <a:avLst/>
                    </a:prstGeom>
                    <a:noFill/>
                  </pic:spPr>
                </pic:pic>
              </a:graphicData>
            </a:graphic>
          </wp:anchor>
        </w:drawing>
      </w:r>
    </w:p>
    <w:p>
      <w:pPr>
        <w:spacing w:after="0" w:line="354" w:lineRule="exact"/>
        <w:rPr>
          <w:sz w:val="20"/>
          <w:szCs w:val="20"/>
          <w:color w:val="auto"/>
        </w:rPr>
      </w:pPr>
    </w:p>
    <w:p>
      <w:pPr>
        <w:ind w:left="142" w:hanging="142"/>
        <w:spacing w:after="0"/>
        <w:tabs>
          <w:tab w:leader="none" w:pos="142" w:val="left"/>
        </w:tabs>
        <w:numPr>
          <w:ilvl w:val="0"/>
          <w:numId w:val="26"/>
        </w:numPr>
        <w:rPr>
          <w:rFonts w:ascii="Arial" w:cs="Arial" w:eastAsia="Arial" w:hAnsi="Arial"/>
          <w:sz w:val="13"/>
          <w:szCs w:val="13"/>
          <w:color w:val="0067B3"/>
        </w:rPr>
      </w:pPr>
      <w:r>
        <w:rPr>
          <w:rFonts w:ascii="Arial" w:cs="Arial" w:eastAsia="Arial" w:hAnsi="Arial"/>
          <w:sz w:val="18"/>
          <w:szCs w:val="18"/>
          <w:color w:val="auto"/>
        </w:rPr>
        <w:t>Annual election of directors</w:t>
      </w:r>
    </w:p>
    <w:p>
      <w:pPr>
        <w:spacing w:after="0" w:line="63" w:lineRule="exact"/>
        <w:rPr>
          <w:rFonts w:ascii="Arial" w:cs="Arial" w:eastAsia="Arial" w:hAnsi="Arial"/>
          <w:sz w:val="13"/>
          <w:szCs w:val="13"/>
          <w:color w:val="0067B3"/>
        </w:rPr>
      </w:pPr>
    </w:p>
    <w:p>
      <w:pPr>
        <w:ind w:left="142" w:hanging="142"/>
        <w:spacing w:after="0"/>
        <w:tabs>
          <w:tab w:leader="none" w:pos="142" w:val="left"/>
        </w:tabs>
        <w:numPr>
          <w:ilvl w:val="0"/>
          <w:numId w:val="26"/>
        </w:numPr>
        <w:rPr>
          <w:rFonts w:ascii="Arial" w:cs="Arial" w:eastAsia="Arial" w:hAnsi="Arial"/>
          <w:sz w:val="13"/>
          <w:szCs w:val="13"/>
          <w:color w:val="0067B3"/>
        </w:rPr>
      </w:pPr>
      <w:r>
        <w:rPr>
          <w:rFonts w:ascii="Arial" w:cs="Arial" w:eastAsia="Arial" w:hAnsi="Arial"/>
          <w:sz w:val="18"/>
          <w:szCs w:val="18"/>
          <w:color w:val="auto"/>
        </w:rPr>
        <w:t>Majority voting for directors in uncontested director elections</w:t>
      </w:r>
    </w:p>
    <w:p>
      <w:pPr>
        <w:spacing w:after="0" w:line="63" w:lineRule="exact"/>
        <w:rPr>
          <w:rFonts w:ascii="Arial" w:cs="Arial" w:eastAsia="Arial" w:hAnsi="Arial"/>
          <w:sz w:val="13"/>
          <w:szCs w:val="13"/>
          <w:color w:val="0067B3"/>
        </w:rPr>
      </w:pPr>
    </w:p>
    <w:p>
      <w:pPr>
        <w:ind w:left="142" w:hanging="142"/>
        <w:spacing w:after="0"/>
        <w:tabs>
          <w:tab w:leader="none" w:pos="142" w:val="left"/>
        </w:tabs>
        <w:numPr>
          <w:ilvl w:val="0"/>
          <w:numId w:val="26"/>
        </w:numPr>
        <w:rPr>
          <w:rFonts w:ascii="Arial" w:cs="Arial" w:eastAsia="Arial" w:hAnsi="Arial"/>
          <w:sz w:val="13"/>
          <w:szCs w:val="13"/>
          <w:color w:val="0067B3"/>
        </w:rPr>
      </w:pPr>
      <w:r>
        <w:rPr>
          <w:rFonts w:ascii="Arial" w:cs="Arial" w:eastAsia="Arial" w:hAnsi="Arial"/>
          <w:sz w:val="18"/>
          <w:szCs w:val="18"/>
          <w:color w:val="auto"/>
        </w:rPr>
        <w:t>Proxy access bylaw</w:t>
      </w:r>
    </w:p>
    <w:p>
      <w:pPr>
        <w:spacing w:after="0" w:line="63" w:lineRule="exact"/>
        <w:rPr>
          <w:rFonts w:ascii="Arial" w:cs="Arial" w:eastAsia="Arial" w:hAnsi="Arial"/>
          <w:sz w:val="13"/>
          <w:szCs w:val="13"/>
          <w:color w:val="0067B3"/>
        </w:rPr>
      </w:pPr>
    </w:p>
    <w:p>
      <w:pPr>
        <w:ind w:left="142" w:hanging="142"/>
        <w:spacing w:after="0"/>
        <w:tabs>
          <w:tab w:leader="none" w:pos="142" w:val="left"/>
        </w:tabs>
        <w:numPr>
          <w:ilvl w:val="0"/>
          <w:numId w:val="26"/>
        </w:numPr>
        <w:rPr>
          <w:rFonts w:ascii="Arial" w:cs="Arial" w:eastAsia="Arial" w:hAnsi="Arial"/>
          <w:sz w:val="13"/>
          <w:szCs w:val="13"/>
          <w:color w:val="0067B3"/>
        </w:rPr>
      </w:pPr>
      <w:r>
        <w:rPr>
          <w:rFonts w:ascii="Arial" w:cs="Arial" w:eastAsia="Arial" w:hAnsi="Arial"/>
          <w:sz w:val="18"/>
          <w:szCs w:val="18"/>
          <w:color w:val="auto"/>
        </w:rPr>
        <w:t>Annual Board of Directors and committee self-evaluations</w:t>
      </w:r>
    </w:p>
    <w:p>
      <w:pPr>
        <w:spacing w:after="0" w:line="63" w:lineRule="exact"/>
        <w:rPr>
          <w:rFonts w:ascii="Arial" w:cs="Arial" w:eastAsia="Arial" w:hAnsi="Arial"/>
          <w:sz w:val="13"/>
          <w:szCs w:val="13"/>
          <w:color w:val="0067B3"/>
        </w:rPr>
      </w:pPr>
    </w:p>
    <w:p>
      <w:pPr>
        <w:ind w:left="142" w:hanging="142"/>
        <w:spacing w:after="0"/>
        <w:tabs>
          <w:tab w:leader="none" w:pos="142" w:val="left"/>
        </w:tabs>
        <w:numPr>
          <w:ilvl w:val="0"/>
          <w:numId w:val="26"/>
        </w:numPr>
        <w:rPr>
          <w:rFonts w:ascii="Arial" w:cs="Arial" w:eastAsia="Arial" w:hAnsi="Arial"/>
          <w:sz w:val="13"/>
          <w:szCs w:val="13"/>
          <w:color w:val="0067B3"/>
        </w:rPr>
      </w:pPr>
      <w:r>
        <w:rPr>
          <w:rFonts w:ascii="Arial" w:cs="Arial" w:eastAsia="Arial" w:hAnsi="Arial"/>
          <w:sz w:val="18"/>
          <w:szCs w:val="18"/>
          <w:color w:val="auto"/>
        </w:rPr>
        <w:t>No dual class of stock or controlling shareholder</w:t>
      </w:r>
    </w:p>
    <w:p>
      <w:pPr>
        <w:spacing w:after="0" w:line="659" w:lineRule="exact"/>
        <w:rPr>
          <w:sz w:val="20"/>
          <w:szCs w:val="20"/>
          <w:color w:val="auto"/>
        </w:rPr>
      </w:pPr>
    </w:p>
    <w:p>
      <w:pPr>
        <w:sectPr>
          <w:pgSz w:w="11900" w:h="16838" w:orient="portrait"/>
          <w:cols w:equalWidth="0" w:num="2">
            <w:col w:w="5260" w:space="598"/>
            <w:col w:w="5362"/>
          </w:cols>
          <w:pgMar w:left="320" w:top="1356" w:right="3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Engagement Highlights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investor relations, legal and human resources departments. This helps management and our Board of Directors understand and focus on the issues that matter most to our shareholders, so ADI can address them effectively.</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ADI’s Year-Round Engagement Process</w:t>
      </w:r>
    </w:p>
    <w:p>
      <w:pPr>
        <w:spacing w:after="0" w:line="156"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137795</wp:posOffset>
            </wp:positionV>
            <wp:extent cx="6995160" cy="1945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945640"/>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60"/>
        <w:spacing w:after="0"/>
        <w:tabs>
          <w:tab w:leader="none" w:pos="3020"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387" w:lineRule="exact"/>
        <w:rPr>
          <w:sz w:val="20"/>
          <w:szCs w:val="20"/>
          <w:color w:val="auto"/>
        </w:rPr>
      </w:pPr>
    </w:p>
    <w:p>
      <w:pPr>
        <w:ind w:left="600" w:right="740" w:hanging="196"/>
        <w:spacing w:after="0" w:line="281" w:lineRule="auto"/>
        <w:tabs>
          <w:tab w:leader="none" w:pos="557" w:val="left"/>
        </w:tabs>
        <w:numPr>
          <w:ilvl w:val="0"/>
          <w:numId w:val="27"/>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1" w:lineRule="exact"/>
        <w:rPr>
          <w:rFonts w:ascii="Arial" w:cs="Arial" w:eastAsia="Arial" w:hAnsi="Arial"/>
          <w:sz w:val="13"/>
          <w:szCs w:val="13"/>
          <w:color w:val="0067B3"/>
        </w:rPr>
      </w:pPr>
    </w:p>
    <w:p>
      <w:pPr>
        <w:ind w:left="600" w:hanging="196"/>
        <w:spacing w:after="0" w:line="262" w:lineRule="auto"/>
        <w:tabs>
          <w:tab w:leader="none" w:pos="557" w:val="left"/>
        </w:tabs>
        <w:numPr>
          <w:ilvl w:val="0"/>
          <w:numId w:val="27"/>
        </w:numPr>
        <w:rPr>
          <w:rFonts w:ascii="Arial" w:cs="Arial" w:eastAsia="Arial" w:hAnsi="Arial"/>
          <w:sz w:val="13"/>
          <w:szCs w:val="13"/>
          <w:color w:val="0067B3"/>
        </w:rPr>
      </w:pPr>
      <w:r>
        <w:rPr>
          <w:rFonts w:ascii="Arial" w:cs="Arial" w:eastAsia="Arial" w:hAnsi="Arial"/>
          <w:sz w:val="18"/>
          <w:szCs w:val="18"/>
          <w:color w:val="auto"/>
        </w:rPr>
        <w:t>Conduct active outreach with top investors to discuss items to be considered at the annual meeting, if needed, given matters to be considered</w:t>
      </w:r>
    </w:p>
    <w:p>
      <w:pPr>
        <w:spacing w:after="0" w:line="14" w:lineRule="exact"/>
        <w:rPr>
          <w:rFonts w:ascii="Arial" w:cs="Arial" w:eastAsia="Arial" w:hAnsi="Arial"/>
          <w:sz w:val="13"/>
          <w:szCs w:val="13"/>
          <w:color w:val="0067B3"/>
        </w:rPr>
      </w:pPr>
    </w:p>
    <w:p>
      <w:pPr>
        <w:ind w:left="560" w:hanging="156"/>
        <w:spacing w:after="0"/>
        <w:tabs>
          <w:tab w:leader="none" w:pos="560" w:val="left"/>
        </w:tabs>
        <w:numPr>
          <w:ilvl w:val="0"/>
          <w:numId w:val="27"/>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7"/>
        <w:spacing w:after="0"/>
        <w:rPr>
          <w:sz w:val="20"/>
          <w:szCs w:val="20"/>
          <w:color w:val="auto"/>
        </w:rPr>
      </w:pPr>
      <w:r>
        <w:rPr>
          <w:rFonts w:ascii="Arial" w:cs="Arial" w:eastAsia="Arial" w:hAnsi="Arial"/>
          <w:sz w:val="18"/>
          <w:szCs w:val="18"/>
          <w:b w:val="1"/>
          <w:bCs w:val="1"/>
          <w:color w:val="auto"/>
        </w:rPr>
        <w:t>Summer</w:t>
      </w:r>
    </w:p>
    <w:p>
      <w:pPr>
        <w:spacing w:after="0" w:line="387" w:lineRule="exact"/>
        <w:rPr>
          <w:sz w:val="20"/>
          <w:szCs w:val="20"/>
          <w:color w:val="auto"/>
        </w:rPr>
      </w:pPr>
    </w:p>
    <w:p>
      <w:pPr>
        <w:ind w:left="187" w:right="140" w:hanging="187"/>
        <w:spacing w:after="0" w:line="257" w:lineRule="auto"/>
        <w:tabs>
          <w:tab w:leader="none" w:pos="144" w:val="left"/>
        </w:tabs>
        <w:numPr>
          <w:ilvl w:val="0"/>
          <w:numId w:val="28"/>
        </w:numPr>
        <w:rPr>
          <w:rFonts w:ascii="Arial" w:cs="Arial" w:eastAsia="Arial" w:hAnsi="Arial"/>
          <w:sz w:val="13"/>
          <w:szCs w:val="13"/>
          <w:color w:val="0067B3"/>
        </w:rPr>
      </w:pPr>
      <w:r>
        <w:rPr>
          <w:rFonts w:ascii="Arial" w:cs="Arial" w:eastAsia="Arial" w:hAnsi="Arial"/>
          <w:sz w:val="18"/>
          <w:szCs w:val="18"/>
          <w:color w:val="auto"/>
        </w:rPr>
        <w:t>Evaluate proxy season outcome and trends, corporate governance best practices, and</w:t>
      </w:r>
    </w:p>
    <w:p>
      <w:pPr>
        <w:spacing w:after="0" w:line="1" w:lineRule="exact"/>
        <w:rPr>
          <w:rFonts w:ascii="Arial" w:cs="Arial" w:eastAsia="Arial" w:hAnsi="Arial"/>
          <w:sz w:val="13"/>
          <w:szCs w:val="13"/>
          <w:color w:val="0067B3"/>
        </w:rPr>
      </w:pPr>
    </w:p>
    <w:p>
      <w:pPr>
        <w:ind w:left="187"/>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45" w:lineRule="exact"/>
        <w:rPr>
          <w:rFonts w:ascii="Arial" w:cs="Arial" w:eastAsia="Arial" w:hAnsi="Arial"/>
          <w:sz w:val="13"/>
          <w:szCs w:val="13"/>
          <w:color w:val="0067B3"/>
        </w:rPr>
      </w:pPr>
    </w:p>
    <w:p>
      <w:pPr>
        <w:ind w:left="187" w:hanging="187"/>
        <w:spacing w:after="0" w:line="262" w:lineRule="auto"/>
        <w:tabs>
          <w:tab w:leader="none" w:pos="144" w:val="left"/>
        </w:tabs>
        <w:numPr>
          <w:ilvl w:val="0"/>
          <w:numId w:val="28"/>
        </w:numPr>
        <w:rPr>
          <w:rFonts w:ascii="Arial" w:cs="Arial" w:eastAsia="Arial" w:hAnsi="Arial"/>
          <w:sz w:val="13"/>
          <w:szCs w:val="13"/>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72"/>
        <w:spacing w:after="0"/>
        <w:rPr>
          <w:sz w:val="20"/>
          <w:szCs w:val="20"/>
          <w:color w:val="auto"/>
        </w:rPr>
      </w:pPr>
      <w:r>
        <w:rPr>
          <w:rFonts w:ascii="Arial" w:cs="Arial" w:eastAsia="Arial" w:hAnsi="Arial"/>
          <w:sz w:val="18"/>
          <w:szCs w:val="18"/>
          <w:b w:val="1"/>
          <w:bCs w:val="1"/>
          <w:color w:val="auto"/>
        </w:rPr>
        <w:t>Fall</w:t>
      </w:r>
    </w:p>
    <w:p>
      <w:pPr>
        <w:spacing w:after="0" w:line="387" w:lineRule="exact"/>
        <w:rPr>
          <w:sz w:val="20"/>
          <w:szCs w:val="20"/>
          <w:color w:val="auto"/>
        </w:rPr>
      </w:pPr>
    </w:p>
    <w:p>
      <w:pPr>
        <w:ind w:left="192" w:right="480" w:hanging="192"/>
        <w:spacing w:after="0" w:line="259" w:lineRule="auto"/>
        <w:tabs>
          <w:tab w:leader="none" w:pos="149"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Conduct active outreach with top investors to understand their top priorities and solicit feedback on governance topics, including ESG and compensation</w:t>
      </w:r>
    </w:p>
    <w:p>
      <w:pPr>
        <w:spacing w:after="0" w:line="17" w:lineRule="exact"/>
        <w:rPr>
          <w:rFonts w:ascii="Arial" w:cs="Arial" w:eastAsia="Arial" w:hAnsi="Arial"/>
          <w:sz w:val="13"/>
          <w:szCs w:val="13"/>
          <w:color w:val="0067B3"/>
        </w:rPr>
      </w:pPr>
    </w:p>
    <w:p>
      <w:pPr>
        <w:ind w:left="192" w:right="600" w:hanging="192"/>
        <w:spacing w:after="0" w:line="287" w:lineRule="auto"/>
        <w:tabs>
          <w:tab w:leader="none" w:pos="149"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392" w:lineRule="exact"/>
        <w:rPr>
          <w:sz w:val="20"/>
          <w:szCs w:val="20"/>
          <w:color w:val="auto"/>
        </w:rPr>
      </w:pPr>
    </w:p>
    <w:p>
      <w:pPr>
        <w:sectPr>
          <w:pgSz w:w="11900" w:h="16838" w:orient="portrait"/>
          <w:cols w:equalWidth="0" w:num="3">
            <w:col w:w="3940" w:space="533"/>
            <w:col w:w="3027" w:space="348"/>
            <w:col w:w="3372"/>
          </w:cols>
          <w:pgMar w:left="320" w:top="1356" w:right="359" w:bottom="1440" w:gutter="0" w:footer="0" w:header="0"/>
          <w:type w:val="continuous"/>
        </w:sectPr>
      </w:pP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and following our 2023 annual meeting of shareholders, as part of our annual outreach program, we reached out to shareholders collectively representing approximately 48% of our total shares outstanding and proxy advisory firms, with an invitation to have discussions with their corporate governance teams. Shareholders representing approximately 33% of our total shares outstanding, as well as proxy advisory firms, accepted our engagement invitation. These meetings included members of our legal, ESG, compensation, diversity, equity, and inclusion, and investor relations organizations. In addition, the Chair of our Compensation and Talent Committee participated in meetings with shareholders representing approximately 22% of our total shares outstanding and in meetings with proxy advisory firms.</w:t>
      </w:r>
    </w:p>
    <w:p>
      <w:pPr>
        <w:spacing w:after="0" w:line="3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reviewed the key takeaways from these shareholder meetings with our Board of Directors, with the goal of continuing to evolve our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w:t>
      </w:r>
    </w:p>
    <w:p>
      <w:pPr>
        <w:sectPr>
          <w:pgSz w:w="11900" w:h="16838" w:orient="portrait"/>
          <w:cols w:equalWidth="0" w:num="1">
            <w:col w:w="11220"/>
          </w:cols>
          <w:pgMar w:left="320" w:top="1356" w:right="359" w:bottom="1440" w:gutter="0" w:footer="0" w:header="0"/>
          <w:type w:val="continuous"/>
        </w:sectPr>
      </w:pPr>
    </w:p>
    <w:p>
      <w:pPr>
        <w:spacing w:after="0" w:line="306"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20" w:name="page21"/>
    <w:bookmarkEnd w:id="2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27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2600"/>
        <w:spacing w:after="0" w:line="307" w:lineRule="auto"/>
        <w:rPr>
          <w:sz w:val="20"/>
          <w:szCs w:val="20"/>
          <w:color w:val="auto"/>
        </w:rPr>
      </w:pPr>
      <w:r>
        <w:rPr>
          <w:rFonts w:ascii="Arial" w:cs="Arial" w:eastAsia="Arial" w:hAnsi="Arial"/>
          <w:sz w:val="32"/>
          <w:szCs w:val="32"/>
          <w:b w:val="1"/>
          <w:bCs w:val="1"/>
          <w:color w:val="auto"/>
        </w:rPr>
        <w:t>Advisory Approval of the Compensation of Our Named Executive Officers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this proposal.</w:t>
            </w:r>
          </w:p>
        </w:tc>
        <w:tc>
          <w:tcPr>
            <w:tcW w:w="1680" w:type="dxa"/>
            <w:vAlign w:val="bottom"/>
          </w:tcPr>
          <w:p>
            <w:pPr>
              <w:ind w:left="1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See page 47</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 of Compensation</w:t>
      </w:r>
    </w:p>
    <w:p>
      <w:pPr>
        <w:spacing w:after="0" w:line="15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executive compensation program is designed to attract, retain, and motivate top executive talent and align the interests of our executive officers and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of Direct Compensation Elements</w:t>
      </w:r>
    </w:p>
    <w:p>
      <w:pPr>
        <w:spacing w:after="0" w:line="1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 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Pay Element</w:t>
            </w:r>
          </w:p>
        </w:tc>
        <w:tc>
          <w:tcPr>
            <w:tcW w:w="2660" w:type="dxa"/>
            <w:vAlign w:val="bottom"/>
            <w:gridSpan w:val="2"/>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1960" w:type="dxa"/>
            <w:vAlign w:val="bottom"/>
            <w:gridSpan w:val="2"/>
            <w:shd w:val="clear" w:color="auto" w:fill="0067B3"/>
          </w:tcPr>
          <w:p>
            <w:pPr>
              <w:ind w:left="160"/>
              <w:spacing w:after="0"/>
              <w:rPr>
                <w:sz w:val="20"/>
                <w:szCs w:val="20"/>
                <w:color w:val="auto"/>
              </w:rPr>
            </w:pPr>
            <w:r>
              <w:rPr>
                <w:rFonts w:ascii="Arial" w:cs="Arial" w:eastAsia="Arial" w:hAnsi="Arial"/>
                <w:sz w:val="16"/>
                <w:szCs w:val="16"/>
                <w:b w:val="1"/>
                <w:bCs w:val="1"/>
                <w:color w:val="FFFFFF"/>
              </w:rPr>
              <w:t>Time Period</w:t>
            </w:r>
          </w:p>
        </w:tc>
        <w:tc>
          <w:tcPr>
            <w:tcW w:w="3420" w:type="dxa"/>
            <w:vAlign w:val="bottom"/>
            <w:gridSpan w:val="2"/>
            <w:shd w:val="clear" w:color="auto" w:fill="0067B3"/>
          </w:tcPr>
          <w:p>
            <w:pPr>
              <w:ind w:left="880"/>
              <w:spacing w:after="0"/>
              <w:rPr>
                <w:sz w:val="20"/>
                <w:szCs w:val="20"/>
                <w:color w:val="auto"/>
              </w:rPr>
            </w:pPr>
            <w:r>
              <w:rPr>
                <w:rFonts w:ascii="Arial" w:cs="Arial" w:eastAsia="Arial" w:hAnsi="Arial"/>
                <w:sz w:val="16"/>
                <w:szCs w:val="16"/>
                <w:b w:val="1"/>
                <w:bCs w:val="1"/>
                <w:color w:val="FFFFFF"/>
              </w:rPr>
              <w:t>Performance Measures</w:t>
            </w:r>
          </w:p>
        </w:tc>
        <w:tc>
          <w:tcPr>
            <w:tcW w:w="0" w:type="dxa"/>
            <w:vAlign w:val="bottom"/>
          </w:tcPr>
          <w:p>
            <w:pPr>
              <w:spacing w:after="0"/>
              <w:rPr>
                <w:sz w:val="1"/>
                <w:szCs w:val="1"/>
                <w:color w:val="auto"/>
              </w:rPr>
            </w:pPr>
          </w:p>
        </w:tc>
      </w:tr>
      <w:tr>
        <w:trPr>
          <w:trHeight w:val="278"/>
        </w:trPr>
        <w:tc>
          <w:tcPr>
            <w:tcW w:w="3200" w:type="dxa"/>
            <w:vAlign w:val="bottom"/>
          </w:tcPr>
          <w:p>
            <w:pPr>
              <w:ind w:left="80"/>
              <w:spacing w:after="0"/>
              <w:rPr>
                <w:sz w:val="20"/>
                <w:szCs w:val="20"/>
                <w:color w:val="auto"/>
              </w:rPr>
            </w:pPr>
            <w:r>
              <w:rPr>
                <w:rFonts w:ascii="Arial" w:cs="Arial" w:eastAsia="Arial" w:hAnsi="Arial"/>
                <w:sz w:val="18"/>
                <w:szCs w:val="18"/>
                <w:color w:val="auto"/>
              </w:rPr>
              <w:t>Base Salary</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Attract and retain</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executive talent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3200" w:type="dxa"/>
            <w:vAlign w:val="bottom"/>
          </w:tcPr>
          <w:p>
            <w:pPr>
              <w:spacing w:after="0"/>
              <w:rPr>
                <w:sz w:val="9"/>
                <w:szCs w:val="9"/>
                <w:color w:val="auto"/>
              </w:rPr>
            </w:pPr>
          </w:p>
        </w:tc>
        <w:tc>
          <w:tcPr>
            <w:tcW w:w="260" w:type="dxa"/>
            <w:vAlign w:val="bottom"/>
            <w:tcBorders>
              <w:bottom w:val="single" w:sz="8" w:color="E2E6F4"/>
            </w:tcBorders>
          </w:tcPr>
          <w:p>
            <w:pPr>
              <w:spacing w:after="0"/>
              <w:rPr>
                <w:sz w:val="9"/>
                <w:szCs w:val="9"/>
                <w:color w:val="auto"/>
              </w:rPr>
            </w:pPr>
          </w:p>
        </w:tc>
        <w:tc>
          <w:tcPr>
            <w:tcW w:w="2400" w:type="dxa"/>
            <w:vAlign w:val="bottom"/>
            <w:tcBorders>
              <w:bottom w:val="single" w:sz="8" w:color="E2E6F4"/>
            </w:tcBorders>
          </w:tcPr>
          <w:p>
            <w:pPr>
              <w:spacing w:after="0"/>
              <w:rPr>
                <w:sz w:val="9"/>
                <w:szCs w:val="9"/>
                <w:color w:val="auto"/>
              </w:rPr>
            </w:pPr>
          </w:p>
        </w:tc>
        <w:tc>
          <w:tcPr>
            <w:tcW w:w="280" w:type="dxa"/>
            <w:vAlign w:val="bottom"/>
            <w:tcBorders>
              <w:bottom w:val="single" w:sz="8" w:color="E2E6F4"/>
            </w:tcBorders>
          </w:tcPr>
          <w:p>
            <w:pPr>
              <w:spacing w:after="0"/>
              <w:rPr>
                <w:sz w:val="9"/>
                <w:szCs w:val="9"/>
                <w:color w:val="auto"/>
              </w:rPr>
            </w:pPr>
          </w:p>
        </w:tc>
        <w:tc>
          <w:tcPr>
            <w:tcW w:w="1680" w:type="dxa"/>
            <w:vAlign w:val="bottom"/>
            <w:tcBorders>
              <w:bottom w:val="single" w:sz="8" w:color="E2E6F4"/>
            </w:tcBorders>
          </w:tcPr>
          <w:p>
            <w:pPr>
              <w:spacing w:after="0"/>
              <w:rPr>
                <w:sz w:val="9"/>
                <w:szCs w:val="9"/>
                <w:color w:val="auto"/>
              </w:rPr>
            </w:pPr>
          </w:p>
        </w:tc>
        <w:tc>
          <w:tcPr>
            <w:tcW w:w="1000" w:type="dxa"/>
            <w:vAlign w:val="bottom"/>
            <w:tcBorders>
              <w:bottom w:val="single" w:sz="8" w:color="E2E6F4"/>
            </w:tcBorders>
          </w:tcPr>
          <w:p>
            <w:pPr>
              <w:spacing w:after="0"/>
              <w:rPr>
                <w:sz w:val="9"/>
                <w:szCs w:val="9"/>
                <w:color w:val="auto"/>
              </w:rPr>
            </w:pPr>
          </w:p>
        </w:tc>
        <w:tc>
          <w:tcPr>
            <w:tcW w:w="2420" w:type="dxa"/>
            <w:vAlign w:val="bottom"/>
            <w:tcBorders>
              <w:bottom w:val="single" w:sz="8" w:color="E2E6F4"/>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Short-Term Variable Cash Incentive</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Reward our executive</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50%: year-over-year</w:t>
            </w:r>
          </w:p>
        </w:tc>
        <w:tc>
          <w:tcPr>
            <w:tcW w:w="0" w:type="dxa"/>
            <w:vAlign w:val="bottom"/>
          </w:tcPr>
          <w:p>
            <w:pPr>
              <w:spacing w:after="0"/>
              <w:rPr>
                <w:sz w:val="1"/>
                <w:szCs w:val="1"/>
                <w:color w:val="auto"/>
              </w:rPr>
            </w:pPr>
          </w:p>
        </w:tc>
      </w:tr>
      <w:tr>
        <w:trPr>
          <w:trHeight w:val="139"/>
        </w:trPr>
        <w:tc>
          <w:tcPr>
            <w:tcW w:w="3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officers for achieving short-</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vMerge w:val="restart"/>
          </w:tcPr>
          <w:p>
            <w:pPr>
              <w:ind w:left="80"/>
              <w:spacing w:after="0"/>
              <w:rPr>
                <w:sz w:val="20"/>
                <w:szCs w:val="20"/>
                <w:color w:val="auto"/>
              </w:rPr>
            </w:pPr>
            <w:r>
              <w:rPr>
                <w:rFonts w:ascii="Arial" w:cs="Arial" w:eastAsia="Arial" w:hAnsi="Arial"/>
                <w:sz w:val="18"/>
                <w:szCs w:val="18"/>
                <w:color w:val="auto"/>
              </w:rPr>
              <w:t>revenue growth</w:t>
            </w: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term company financial</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(measured quarterly)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objectives aligned with</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 quarterly OPBT margin</w:t>
            </w: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shareholder value creation</w:t>
            </w: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Minimum OPBT margin</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020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ind w:left="8900"/>
        <w:spacing w:after="0"/>
        <w:rPr>
          <w:sz w:val="20"/>
          <w:szCs w:val="20"/>
          <w:color w:val="auto"/>
        </w:rPr>
      </w:pPr>
      <w:r>
        <w:rPr>
          <w:rFonts w:ascii="Arial" w:cs="Arial" w:eastAsia="Arial" w:hAnsi="Arial"/>
          <w:sz w:val="18"/>
          <w:szCs w:val="18"/>
          <w:color w:val="auto"/>
        </w:rPr>
        <w:t>required for payout</w:t>
      </w:r>
    </w:p>
    <w:p>
      <w:pPr>
        <w:sectPr>
          <w:pgSz w:w="11900" w:h="16838" w:orient="portrait"/>
          <w:cols w:equalWidth="0" w:num="1">
            <w:col w:w="11240"/>
          </w:cols>
          <w:pgMar w:left="320" w:top="1440" w:right="339" w:bottom="1440" w:gutter="0" w:footer="0" w:header="0"/>
        </w:sectPr>
      </w:pP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Long-</w:t>
            </w: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CEO</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w w:val="97"/>
              </w:rPr>
              <w:t>Other NEOs</w:t>
            </w:r>
          </w:p>
        </w:tc>
        <w:tc>
          <w:tcPr>
            <w:tcW w:w="0" w:type="dxa"/>
            <w:vAlign w:val="bottom"/>
          </w:tcPr>
          <w:p>
            <w:pPr>
              <w:spacing w:after="0"/>
              <w:rPr>
                <w:sz w:val="1"/>
                <w:szCs w:val="1"/>
                <w:color w:val="auto"/>
              </w:rPr>
            </w:pPr>
          </w:p>
        </w:tc>
      </w:tr>
      <w:tr>
        <w:trPr>
          <w:trHeight w:val="131"/>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Term</w:t>
            </w: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rPr>
              <w:t>Relative TSR PRSUs</w:t>
            </w: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0"/>
                <w:szCs w:val="20"/>
                <w:color w:val="auto"/>
              </w:rPr>
            </w:pPr>
            <w:r>
              <w:rPr>
                <w:rFonts w:ascii="Arial" w:cs="Arial" w:eastAsia="Arial" w:hAnsi="Arial"/>
                <w:sz w:val="18"/>
                <w:szCs w:val="18"/>
                <w:b w:val="1"/>
                <w:bCs w:val="1"/>
                <w:color w:val="auto"/>
              </w:rPr>
              <w:t>Incentives</w:t>
            </w: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14605</wp:posOffset>
            </wp:positionV>
            <wp:extent cx="394335"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-10160</wp:posOffset>
            </wp:positionV>
            <wp:extent cx="394335"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Metric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146050</wp:posOffset>
            </wp:positionV>
            <wp:extent cx="394335"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120650</wp:posOffset>
            </wp:positionV>
            <wp:extent cx="394335"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85" w:hanging="185"/>
        <w:spacing w:after="0" w:line="268" w:lineRule="auto"/>
        <w:tabs>
          <w:tab w:leader="none" w:pos="142" w:val="left"/>
        </w:tabs>
        <w:numPr>
          <w:ilvl w:val="0"/>
          <w:numId w:val="30"/>
        </w:numPr>
        <w:rPr>
          <w:rFonts w:ascii="Arial" w:cs="Arial" w:eastAsia="Arial" w:hAnsi="Arial"/>
          <w:sz w:val="13"/>
          <w:szCs w:val="13"/>
          <w:color w:val="0067B3"/>
        </w:rPr>
      </w:pPr>
      <w:r>
        <w:rPr>
          <w:rFonts w:ascii="Arial" w:cs="Arial" w:eastAsia="Arial" w:hAnsi="Arial"/>
          <w:sz w:val="18"/>
          <w:szCs w:val="18"/>
          <w:color w:val="auto"/>
        </w:rPr>
        <w:t>Align executive officer and shareholder interest to drive superior relative TSR results</w:t>
      </w: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88" w:lineRule="exact"/>
        <w:rPr>
          <w:rFonts w:ascii="Arial" w:cs="Arial" w:eastAsia="Arial" w:hAnsi="Arial"/>
          <w:sz w:val="13"/>
          <w:szCs w:val="13"/>
          <w:color w:val="0067B3"/>
        </w:rPr>
      </w:pPr>
    </w:p>
    <w:p>
      <w:pPr>
        <w:jc w:val="both"/>
        <w:ind w:left="185" w:right="220" w:hanging="185"/>
        <w:spacing w:after="0" w:line="268" w:lineRule="auto"/>
        <w:tabs>
          <w:tab w:leader="none" w:pos="142" w:val="left"/>
        </w:tabs>
        <w:numPr>
          <w:ilvl w:val="0"/>
          <w:numId w:val="30"/>
        </w:numPr>
        <w:rPr>
          <w:rFonts w:ascii="Arial" w:cs="Arial" w:eastAsia="Arial" w:hAnsi="Arial"/>
          <w:sz w:val="13"/>
          <w:szCs w:val="13"/>
          <w:color w:val="0067B3"/>
        </w:rPr>
      </w:pPr>
      <w:r>
        <w:rPr>
          <w:rFonts w:ascii="Arial" w:cs="Arial" w:eastAsia="Arial" w:hAnsi="Arial"/>
          <w:sz w:val="18"/>
          <w:szCs w:val="18"/>
          <w:color w:val="auto"/>
        </w:rPr>
        <w:t>Align executive officer and shareholder interests with long-term profitability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2" w:right="420" w:hanging="192"/>
        <w:spacing w:after="0" w:line="318" w:lineRule="auto"/>
        <w:tabs>
          <w:tab w:leader="none" w:pos="149" w:val="left"/>
        </w:tabs>
        <w:numPr>
          <w:ilvl w:val="0"/>
          <w:numId w:val="31"/>
        </w:numPr>
        <w:rPr>
          <w:rFonts w:ascii="Arial" w:cs="Arial" w:eastAsia="Arial" w:hAnsi="Arial"/>
          <w:sz w:val="12"/>
          <w:szCs w:val="12"/>
          <w:color w:val="0067B3"/>
        </w:rPr>
      </w:pPr>
      <w:r>
        <w:rPr>
          <w:rFonts w:ascii="Arial" w:cs="Arial" w:eastAsia="Arial" w:hAnsi="Arial"/>
          <w:sz w:val="17"/>
          <w:szCs w:val="17"/>
          <w:color w:val="auto"/>
        </w:rPr>
        <w:t>Cumulative three-year performance period</w:t>
      </w:r>
    </w:p>
    <w:p>
      <w:pPr>
        <w:spacing w:after="0" w:line="200" w:lineRule="exact"/>
        <w:rPr>
          <w:rFonts w:ascii="Arial" w:cs="Arial" w:eastAsia="Arial" w:hAnsi="Arial"/>
          <w:sz w:val="12"/>
          <w:szCs w:val="12"/>
          <w:color w:val="0067B3"/>
        </w:rPr>
      </w:pPr>
    </w:p>
    <w:p>
      <w:pPr>
        <w:spacing w:after="0" w:line="200" w:lineRule="exact"/>
        <w:rPr>
          <w:rFonts w:ascii="Arial" w:cs="Arial" w:eastAsia="Arial" w:hAnsi="Arial"/>
          <w:sz w:val="12"/>
          <w:szCs w:val="12"/>
          <w:color w:val="0067B3"/>
        </w:rPr>
      </w:pPr>
    </w:p>
    <w:p>
      <w:pPr>
        <w:spacing w:after="0" w:line="200" w:lineRule="exact"/>
        <w:rPr>
          <w:rFonts w:ascii="Arial" w:cs="Arial" w:eastAsia="Arial" w:hAnsi="Arial"/>
          <w:sz w:val="12"/>
          <w:szCs w:val="12"/>
          <w:color w:val="0067B3"/>
        </w:rPr>
      </w:pPr>
    </w:p>
    <w:p>
      <w:pPr>
        <w:spacing w:after="0" w:line="200" w:lineRule="exact"/>
        <w:rPr>
          <w:rFonts w:ascii="Arial" w:cs="Arial" w:eastAsia="Arial" w:hAnsi="Arial"/>
          <w:sz w:val="12"/>
          <w:szCs w:val="12"/>
          <w:color w:val="0067B3"/>
        </w:rPr>
      </w:pPr>
    </w:p>
    <w:p>
      <w:pPr>
        <w:spacing w:after="0" w:line="200" w:lineRule="exact"/>
        <w:rPr>
          <w:rFonts w:ascii="Arial" w:cs="Arial" w:eastAsia="Arial" w:hAnsi="Arial"/>
          <w:sz w:val="12"/>
          <w:szCs w:val="12"/>
          <w:color w:val="0067B3"/>
        </w:rPr>
      </w:pPr>
    </w:p>
    <w:p>
      <w:pPr>
        <w:spacing w:after="0" w:line="263" w:lineRule="exact"/>
        <w:rPr>
          <w:rFonts w:ascii="Arial" w:cs="Arial" w:eastAsia="Arial" w:hAnsi="Arial"/>
          <w:sz w:val="12"/>
          <w:szCs w:val="12"/>
          <w:color w:val="0067B3"/>
        </w:rPr>
      </w:pPr>
    </w:p>
    <w:p>
      <w:pPr>
        <w:ind w:left="192" w:hanging="192"/>
        <w:spacing w:after="0" w:line="262" w:lineRule="auto"/>
        <w:tabs>
          <w:tab w:leader="none" w:pos="149"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One-year, two-year cumulative, and three-year cumulative performance periods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9" w:right="120" w:hanging="199"/>
        <w:spacing w:after="0" w:line="291" w:lineRule="auto"/>
        <w:tabs>
          <w:tab w:leader="none" w:pos="156" w:val="left"/>
        </w:tabs>
        <w:numPr>
          <w:ilvl w:val="0"/>
          <w:numId w:val="32"/>
        </w:numPr>
        <w:rPr>
          <w:rFonts w:ascii="Arial" w:cs="Arial" w:eastAsia="Arial" w:hAnsi="Arial"/>
          <w:sz w:val="12"/>
          <w:szCs w:val="12"/>
          <w:color w:val="0067B3"/>
        </w:rPr>
      </w:pPr>
      <w:r>
        <w:rPr>
          <w:rFonts w:ascii="Arial" w:cs="Arial" w:eastAsia="Arial" w:hAnsi="Arial"/>
          <w:sz w:val="17"/>
          <w:szCs w:val="17"/>
          <w:color w:val="auto"/>
        </w:rPr>
        <w:t>Relative TSR compared to comparator group, targeting above-median performance</w:t>
      </w:r>
    </w:p>
    <w:p>
      <w:pPr>
        <w:spacing w:after="0" w:line="17" w:lineRule="exact"/>
        <w:rPr>
          <w:rFonts w:ascii="Arial" w:cs="Arial" w:eastAsia="Arial" w:hAnsi="Arial"/>
          <w:sz w:val="12"/>
          <w:szCs w:val="12"/>
          <w:color w:val="0067B3"/>
        </w:rPr>
      </w:pPr>
    </w:p>
    <w:p>
      <w:pPr>
        <w:ind w:left="199" w:right="240" w:hanging="199"/>
        <w:spacing w:after="0" w:line="287" w:lineRule="auto"/>
        <w:tabs>
          <w:tab w:leader="none" w:pos="156"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Payouts capped at target if absolute TSR is negative</w:t>
      </w:r>
    </w:p>
    <w:p>
      <w:pPr>
        <w:spacing w:after="0" w:line="200" w:lineRule="exact"/>
        <w:rPr>
          <w:rFonts w:ascii="Arial" w:cs="Arial" w:eastAsia="Arial" w:hAnsi="Arial"/>
          <w:sz w:val="13"/>
          <w:szCs w:val="13"/>
          <w:color w:val="0067B3"/>
        </w:rPr>
      </w:pPr>
    </w:p>
    <w:p>
      <w:pPr>
        <w:spacing w:after="0" w:line="357" w:lineRule="exact"/>
        <w:rPr>
          <w:rFonts w:ascii="Arial" w:cs="Arial" w:eastAsia="Arial" w:hAnsi="Arial"/>
          <w:sz w:val="13"/>
          <w:szCs w:val="13"/>
          <w:color w:val="0067B3"/>
        </w:rPr>
      </w:pPr>
    </w:p>
    <w:p>
      <w:pPr>
        <w:ind w:left="159" w:hanging="159"/>
        <w:spacing w:after="0"/>
        <w:tabs>
          <w:tab w:leader="none" w:pos="159"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Non-GAAP operating profit</w:t>
      </w:r>
    </w:p>
    <w:p>
      <w:pPr>
        <w:spacing w:after="0" w:line="896" w:lineRule="exact"/>
        <w:rPr>
          <w:sz w:val="20"/>
          <w:szCs w:val="20"/>
          <w:color w:val="auto"/>
        </w:rPr>
      </w:pPr>
    </w:p>
    <w:p>
      <w:pPr>
        <w:sectPr>
          <w:pgSz w:w="11900" w:h="16838" w:orient="portrait"/>
          <w:cols w:equalWidth="0" w:num="4">
            <w:col w:w="3140" w:space="215"/>
            <w:col w:w="2465" w:space="208"/>
            <w:col w:w="2332" w:space="341"/>
            <w:col w:w="2539"/>
          </w:cols>
          <w:pgMar w:left="320" w:top="1440" w:right="339" w:bottom="1440" w:gutter="0" w:footer="0" w:header="0"/>
          <w:type w:val="continuous"/>
        </w:sectPr>
      </w:pPr>
    </w:p>
    <w:p>
      <w:pPr>
        <w:spacing w:after="0" w:line="165" w:lineRule="exact"/>
        <w:rPr>
          <w:sz w:val="20"/>
          <w:szCs w:val="20"/>
          <w:color w:val="auto"/>
        </w:rPr>
      </w:pPr>
    </w:p>
    <w:p>
      <w:pPr>
        <w:jc w:val="both"/>
        <w:ind w:left="1860"/>
        <w:spacing w:after="0"/>
        <w:tabs>
          <w:tab w:leader="none" w:pos="3340" w:val="left"/>
          <w:tab w:leader="none" w:pos="6000" w:val="left"/>
          <w:tab w:leader="none" w:pos="868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Attract and retain</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Four-year graded vesting</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None</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-1905</wp:posOffset>
            </wp:positionV>
            <wp:extent cx="394335" cy="394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-27305</wp:posOffset>
            </wp:positionV>
            <wp:extent cx="394335" cy="394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OPBT = Operating Profit Before Taxes</w:t>
      </w:r>
      <w:r>
        <w:rPr>
          <w:sz w:val="20"/>
          <w:szCs w:val="20"/>
          <w:color w:val="auto"/>
        </w:rPr>
        <w:tab/>
      </w:r>
      <w:r>
        <w:rPr>
          <w:rFonts w:ascii="Arial" w:cs="Arial" w:eastAsia="Arial" w:hAnsi="Arial"/>
          <w:sz w:val="16"/>
          <w:szCs w:val="16"/>
          <w:color w:val="auto"/>
        </w:rPr>
        <w:t>TSR = Total Shareholder Return</w:t>
      </w:r>
    </w:p>
    <w:p>
      <w:pPr>
        <w:spacing w:after="0" w:line="200" w:lineRule="exact"/>
        <w:rPr>
          <w:sz w:val="20"/>
          <w:szCs w:val="20"/>
          <w:color w:val="auto"/>
        </w:rPr>
      </w:pPr>
    </w:p>
    <w:p>
      <w:pPr>
        <w:spacing w:after="0" w:line="303"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32"/>
          <w:szCs w:val="32"/>
          <w:b w:val="1"/>
          <w:bCs w:val="1"/>
          <w:color w:val="auto"/>
        </w:rPr>
        <w:t>Overview of CEO and Named Executive Officer Pay</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Executive pay at ADI is strongly aligned with long-term company performance, with a significant portion of compensation delivered in long-term equity-based awards. The target compensation mix shown below is based on target compensation consisting of the annual rate of base salary for fiscal year 2023 and short-term and long-term incentive targets approved by the Compensation and Talent Committee in fiscal year 2023.</w:t>
      </w:r>
    </w:p>
    <w:p>
      <w:pPr>
        <w:spacing w:after="0" w:line="2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0067B3"/>
        </w:rPr>
        <w:t>Target Comp for CEO</w:t>
      </w:r>
      <w:r>
        <w:rPr>
          <w:sz w:val="20"/>
          <w:szCs w:val="20"/>
          <w:color w:val="auto"/>
        </w:rPr>
        <w:tab/>
      </w:r>
      <w:r>
        <w:rPr>
          <w:rFonts w:ascii="Arial" w:cs="Arial" w:eastAsia="Arial" w:hAnsi="Arial"/>
          <w:sz w:val="17"/>
          <w:szCs w:val="17"/>
          <w:b w:val="1"/>
          <w:bCs w:val="1"/>
          <w:color w:val="0067B3"/>
        </w:rPr>
        <w:t>Target Comp for Other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591935" cy="1577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19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Performance Graph</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Fiscal year 2023 compensation actions for our executive officers, including our NEOs, are supported by solid corporate performance and strong shareholder returns. The following graph compares cumulative total shareholder return on our common stock since November 3, 2018 with the cumulative total return of the Standard &amp; Poor’s (S&amp;P) 500 Index and the Nasdaq Composite Index.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2023 Share Price Appreciation</w:t>
      </w:r>
      <w:r>
        <w:rPr>
          <w:rFonts w:ascii="Arial" w:cs="Arial" w:eastAsia="Arial" w:hAnsi="Arial"/>
          <w:sz w:val="23"/>
          <w:szCs w:val="23"/>
          <w:b w:val="1"/>
          <w:bCs w:val="1"/>
          <w:color w:val="0067B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155575</wp:posOffset>
            </wp:positionV>
            <wp:extent cx="4526280" cy="2211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62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right="460" w:hanging="192"/>
        <w:spacing w:after="0" w:line="235" w:lineRule="auto"/>
        <w:tabs>
          <w:tab w:leader="none" w:pos="215"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This graph assumes the investment of $100 on November 3, 2018 in our common stock, the S&amp;P 500 Index, and the Nasdaq Composite Index and assumes all dividends are reinvested. Measurement points are the last trading day for each respective fiscal year.</w:t>
      </w:r>
    </w:p>
    <w:p>
      <w:pPr>
        <w:spacing w:after="0" w:line="3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22" w:name="page23"/>
    <w:bookmarkEnd w:id="22"/>
    <w:p>
      <w:pPr>
        <w:spacing w:after="0"/>
        <w:rPr>
          <w:sz w:val="20"/>
          <w:szCs w:val="20"/>
          <w:color w:val="auto"/>
        </w:rPr>
      </w:pPr>
      <w:r>
        <w:rPr>
          <w:rFonts w:ascii="Arial" w:cs="Arial" w:eastAsia="Arial" w:hAnsi="Arial"/>
          <w:sz w:val="41"/>
          <w:szCs w:val="41"/>
          <w:b w:val="1"/>
          <w:bCs w:val="1"/>
          <w:color w:val="0067B3"/>
        </w:rPr>
        <w:t>Historical Say-on-Pay Votes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At our 2023 annual meeting of shareholders, our say-on-pay support was 80.7%, representing a slight increase from the prior year, but lower than our historical support levels. Our Compensation and Talent Committee carefully considers the results of our “say-on-pay” votes.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and following our 2023 annual meeting of shareholders, as part of our annual outreach program, we reached out to shareholders collectively representing approximately 48% of our total shares outstanding and proxy advisory firms, with an invitation to have discussions with their corporate governance teams. Shareholders representing approximately 33% of our total shares outstanding, as well as proxy advisory firms, accepted our engagement invitation. These meetings included members of our legal, ESG, compensation, diversity, equity, and inclusion, and investor relations organizations. In addition, the Chair of our Compensation and Talent Committee participated in meetings with shareholders representing approximately 22% of our total shares outstanding and in meetings with proxy advisory firms.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these engagement meetings, we heard from some shareholders that opposed our 2022 say-on-pay advisory vote primarily due to legacy concerns around historical compensation determinations and the new hire award that we granted to Gregory Bryant, our Executive Vice President and President of Business Units, when recruiting him from Intel Corporation during the fiscal year ended October 29, 2022 (fiscal year 2022). Most shareholders indicated that they understood the rationale behind the new hire award given that Mr. Bryant joined us from Intel Corporation and were generally pleased with the overall design and framework of our executive compensation program. Given the varied feedback we heard and in light of our say-on-pay vote receiving the support from holders of a significant majority of our outstanding shares, the Compensation and Talent Committee determined not to make significant changes to the overall design and framework of our executive compensation program in fiscal year 2023.</w:t>
      </w:r>
    </w:p>
    <w:p>
      <w:pPr>
        <w:spacing w:after="0" w:line="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However, in response to shareholder feedback the Compensation and Talent Committee determined that for future new hire awards for incoming executives the company would work to provide enhanced disclosure. Additionally, in response to feedback from shareholders, the Compensation and Talent Committee acted to make the target performance of our Relative TSR performance-based restricted stock units (PRSUs) more challenging. As a result, we increased target performance of our Relative TSR PRSUs from the 50th to the 55th percentile, beginning with the Relative TSR PRSUs granted in fiscal year 2023, such that target payout of our Relative TSR PRSUs is achieved when ADI’s TSR is at the 55th percentile of the TSRs of the companies in the S&amp;P 500 Index.</w:t>
      </w:r>
    </w:p>
    <w:p>
      <w:pPr>
        <w:spacing w:after="0" w:line="74"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 xml:space="preserve">For additional information about the feedback we received from shareholders and the actions we took in response, please see the </w:t>
      </w:r>
      <w:r>
        <w:rPr>
          <w:rFonts w:ascii="Arial" w:cs="Arial" w:eastAsia="Arial" w:hAnsi="Arial"/>
          <w:sz w:val="18"/>
          <w:szCs w:val="18"/>
          <w:i w:val="1"/>
          <w:iCs w:val="1"/>
          <w:color w:val="auto"/>
        </w:rPr>
        <w:t xml:space="preserve">Shareholder Engagement </w:t>
      </w:r>
      <w:r>
        <w:rPr>
          <w:rFonts w:ascii="Arial" w:cs="Arial" w:eastAsia="Arial" w:hAnsi="Arial"/>
          <w:sz w:val="18"/>
          <w:szCs w:val="18"/>
          <w:color w:val="auto"/>
        </w:rPr>
        <w:t>section beginning on page 37 of this Proxy Statement.</w:t>
      </w:r>
    </w:p>
    <w:p>
      <w:pPr>
        <w:spacing w:after="0" w:line="4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 xml:space="preserve">Please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beginning on page 48 of this Proxy Statement for a more detailed description of our executive compensation program, philosophy,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280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2280285"/>
                    </a:xfrm>
                    <a:prstGeom prst="rect">
                      <a:avLst/>
                    </a:prstGeom>
                    <a:noFill/>
                  </pic:spPr>
                </pic:pic>
              </a:graphicData>
            </a:graphic>
          </wp:anchor>
        </w:drawing>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Best Practices</w:t>
      </w:r>
    </w:p>
    <w:p>
      <w:pPr>
        <w:spacing w:after="0" w:line="156"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Our annual cash incentives are based solely on our financial performance</w:t>
      </w:r>
    </w:p>
    <w:p>
      <w:pPr>
        <w:spacing w:after="0" w:line="77"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 majority of equity awards for named executive officers are contingent upon long-term performance achievement</w:t>
      </w:r>
    </w:p>
    <w:p>
      <w:pPr>
        <w:spacing w:after="0" w:line="77"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Incentive awards are tied to challenging performance targets aligned with our corporate strategy</w:t>
      </w:r>
    </w:p>
    <w:p>
      <w:pPr>
        <w:spacing w:after="0" w:line="90" w:lineRule="exact"/>
        <w:rPr>
          <w:sz w:val="20"/>
          <w:szCs w:val="20"/>
          <w:color w:val="auto"/>
        </w:rPr>
      </w:pPr>
    </w:p>
    <w:p>
      <w:pPr>
        <w:ind w:left="480" w:right="360" w:hanging="214"/>
        <w:spacing w:after="0"/>
        <w:rPr>
          <w:sz w:val="20"/>
          <w:szCs w:val="20"/>
          <w:color w:val="auto"/>
        </w:rPr>
      </w:pPr>
      <w:r>
        <w:rPr>
          <w:sz w:val="1"/>
          <w:szCs w:val="1"/>
          <w:color w:val="auto"/>
        </w:rPr>
        <w:drawing>
          <wp:inline distT="0" distB="0" distL="0" distR="0">
            <wp:extent cx="85725" cy="685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Payout for relative TSR-based awards capped at target for instances of negative absolute TSR and provide for target payout above median of the comparator group</w:t>
      </w:r>
    </w:p>
    <w:p>
      <w:pPr>
        <w:spacing w:after="0" w:line="45"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Clawback policy for CEO and other officers</w:t>
      </w:r>
    </w:p>
    <w:p>
      <w:pPr>
        <w:spacing w:after="0" w:line="77"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Specific policy regarding the grant dates of equity awards for our directors, executive officers, and employees</w:t>
      </w:r>
    </w:p>
    <w:p>
      <w:pPr>
        <w:spacing w:after="0" w:line="90"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Stock ownership guidelines for our Leadership Team and directors</w:t>
      </w:r>
    </w:p>
    <w:p>
      <w:pPr>
        <w:spacing w:after="0" w:line="77"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Prohibit hedging and pledging of ADI securities</w:t>
      </w:r>
    </w:p>
    <w:p>
      <w:pPr>
        <w:spacing w:after="0" w:line="77" w:lineRule="exact"/>
        <w:rPr>
          <w:sz w:val="20"/>
          <w:szCs w:val="20"/>
          <w:color w:val="auto"/>
        </w:rPr>
      </w:pPr>
    </w:p>
    <w:p>
      <w:pPr>
        <w:ind w:left="260"/>
        <w:spacing w:after="0"/>
        <w:rPr>
          <w:sz w:val="20"/>
          <w:szCs w:val="20"/>
          <w:color w:val="auto"/>
        </w:rPr>
      </w:pPr>
      <w:r>
        <w:rPr>
          <w:sz w:val="1"/>
          <w:szCs w:val="1"/>
          <w:color w:val="auto"/>
        </w:rPr>
        <w:drawing>
          <wp:inline distT="0" distB="0" distL="0" distR="0">
            <wp:extent cx="85725" cy="6858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Annual “say-on-pay” vote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sectPr>
      </w:pPr>
    </w:p>
    <w:bookmarkStart w:id="23" w:name="page24"/>
    <w:bookmarkEnd w:id="2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517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17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ind w:left="220" w:right="88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Fiscal Year Ending November 2,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96"/>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this proposal</w:t>
            </w:r>
          </w:p>
        </w:tc>
        <w:tc>
          <w:tcPr>
            <w:tcW w:w="1680" w:type="dxa"/>
            <w:vAlign w:val="bottom"/>
          </w:tcPr>
          <w:p>
            <w:pPr>
              <w:ind w:left="1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See page 83</w:t>
            </w:r>
          </w:p>
        </w:tc>
      </w:tr>
      <w:tr>
        <w:trPr>
          <w:trHeight w:val="90"/>
        </w:trPr>
        <w:tc>
          <w:tcPr>
            <w:tcW w:w="9560" w:type="dxa"/>
            <w:vAlign w:val="bottom"/>
            <w:shd w:val="clear" w:color="auto" w:fill="E2E6F4"/>
          </w:tcPr>
          <w:p>
            <w:pPr>
              <w:spacing w:after="0"/>
              <w:rPr>
                <w:sz w:val="7"/>
                <w:szCs w:val="7"/>
                <w:color w:val="auto"/>
              </w:rPr>
            </w:pPr>
          </w:p>
        </w:tc>
        <w:tc>
          <w:tcPr>
            <w:tcW w:w="1680" w:type="dxa"/>
            <w:vAlign w:val="bottom"/>
          </w:tcPr>
          <w:p>
            <w:pPr>
              <w:spacing w:after="0"/>
              <w:rPr>
                <w:sz w:val="7"/>
                <w:szCs w:val="7"/>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028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PROPOSAL 4</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Shareholder Proposal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7380" w:type="dxa"/>
            <w:vAlign w:val="bottom"/>
            <w:shd w:val="clear" w:color="auto" w:fill="D1D3D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tc>
        <w:tc>
          <w:tcPr>
            <w:tcW w:w="2180" w:type="dxa"/>
            <w:vAlign w:val="bottom"/>
            <w:shd w:val="clear" w:color="auto" w:fill="D1D3D4"/>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3"/>
                <w:szCs w:val="13"/>
                <w:color w:val="6D6E71"/>
              </w:rPr>
              <w:t xml:space="preserve">u </w:t>
            </w:r>
            <w:r>
              <w:rPr>
                <w:rFonts w:ascii="Arial" w:cs="Arial" w:eastAsia="Arial" w:hAnsi="Arial"/>
                <w:sz w:val="17"/>
                <w:szCs w:val="17"/>
                <w:color w:val="000000"/>
              </w:rPr>
              <w:t>See page 91</w:t>
            </w:r>
          </w:p>
        </w:tc>
      </w:tr>
      <w:tr>
        <w:trPr>
          <w:trHeight w:val="104"/>
        </w:trPr>
        <w:tc>
          <w:tcPr>
            <w:tcW w:w="7380" w:type="dxa"/>
            <w:vAlign w:val="bottom"/>
            <w:shd w:val="clear" w:color="auto" w:fill="D1D3D4"/>
          </w:tcPr>
          <w:p>
            <w:pPr>
              <w:spacing w:after="0"/>
              <w:rPr>
                <w:sz w:val="9"/>
                <w:szCs w:val="9"/>
                <w:color w:val="auto"/>
              </w:rPr>
            </w:pPr>
          </w:p>
        </w:tc>
        <w:tc>
          <w:tcPr>
            <w:tcW w:w="2180" w:type="dxa"/>
            <w:vAlign w:val="bottom"/>
            <w:shd w:val="clear" w:color="auto" w:fill="D1D3D4"/>
          </w:tcPr>
          <w:p>
            <w:pPr>
              <w:spacing w:after="0"/>
              <w:rPr>
                <w:sz w:val="9"/>
                <w:szCs w:val="9"/>
                <w:color w:val="auto"/>
              </w:rPr>
            </w:pPr>
          </w:p>
        </w:tc>
        <w:tc>
          <w:tcPr>
            <w:tcW w:w="1680" w:type="dxa"/>
            <w:vAlign w:val="bottom"/>
          </w:tcPr>
          <w:p>
            <w:pPr>
              <w:spacing w:after="0"/>
              <w:rPr>
                <w:sz w:val="9"/>
                <w:szCs w:val="9"/>
                <w:color w:val="auto"/>
              </w:rPr>
            </w:pPr>
          </w:p>
        </w:tc>
      </w:tr>
      <w:tr>
        <w:trPr>
          <w:trHeight w:val="148"/>
        </w:trPr>
        <w:tc>
          <w:tcPr>
            <w:tcW w:w="7380" w:type="dxa"/>
            <w:vAlign w:val="bottom"/>
            <w:shd w:val="clear" w:color="auto" w:fill="D1D3D4"/>
          </w:tcPr>
          <w:p>
            <w:pPr>
              <w:spacing w:after="0"/>
              <w:rPr>
                <w:sz w:val="12"/>
                <w:szCs w:val="12"/>
                <w:color w:val="auto"/>
              </w:rPr>
            </w:pPr>
          </w:p>
        </w:tc>
        <w:tc>
          <w:tcPr>
            <w:tcW w:w="2180" w:type="dxa"/>
            <w:vAlign w:val="bottom"/>
            <w:shd w:val="clear" w:color="auto" w:fill="D1D3D4"/>
          </w:tcPr>
          <w:p>
            <w:pPr>
              <w:spacing w:after="0"/>
              <w:rPr>
                <w:sz w:val="12"/>
                <w:szCs w:val="12"/>
                <w:color w:val="auto"/>
              </w:rPr>
            </w:pPr>
          </w:p>
        </w:tc>
        <w:tc>
          <w:tcPr>
            <w:tcW w:w="1680" w:type="dxa"/>
            <w:vAlign w:val="bottom"/>
            <w:shd w:val="clear" w:color="auto" w:fill="D1D3D4"/>
          </w:tcPr>
          <w:p>
            <w:pPr>
              <w:spacing w:after="0"/>
              <w:rPr>
                <w:sz w:val="12"/>
                <w:szCs w:val="12"/>
                <w:color w:val="auto"/>
              </w:rPr>
            </w:pPr>
          </w:p>
        </w:tc>
      </w:tr>
      <w:tr>
        <w:trPr>
          <w:trHeight w:val="709"/>
        </w:trPr>
        <w:tc>
          <w:tcPr>
            <w:tcW w:w="7380" w:type="dxa"/>
            <w:vAlign w:val="bottom"/>
          </w:tcPr>
          <w:p>
            <w:pPr>
              <w:spacing w:after="0"/>
              <w:rPr>
                <w:sz w:val="24"/>
                <w:szCs w:val="24"/>
                <w:color w:val="auto"/>
              </w:rPr>
            </w:pPr>
          </w:p>
        </w:tc>
        <w:tc>
          <w:tcPr>
            <w:tcW w:w="3860" w:type="dxa"/>
            <w:vAlign w:val="bottom"/>
            <w:gridSpan w:val="2"/>
          </w:tcPr>
          <w:p>
            <w:pPr>
              <w:ind w:left="1780"/>
              <w:spacing w:after="0"/>
              <w:rPr>
                <w:sz w:val="20"/>
                <w:szCs w:val="20"/>
                <w:color w:val="auto"/>
              </w:rPr>
            </w:pPr>
            <w:r>
              <w:rPr>
                <w:rFonts w:ascii="Arial" w:cs="Arial" w:eastAsia="Arial" w:hAnsi="Arial"/>
                <w:sz w:val="16"/>
                <w:szCs w:val="16"/>
                <w:color w:val="0067B3"/>
              </w:rPr>
              <w:t xml:space="preserve">2024 Proxy Statement   </w:t>
            </w:r>
            <w:r>
              <w:rPr>
                <w:rFonts w:ascii="Arial" w:cs="Arial" w:eastAsia="Arial" w:hAnsi="Arial"/>
                <w:sz w:val="19"/>
                <w:szCs w:val="19"/>
                <w:b w:val="1"/>
                <w:bCs w:val="1"/>
                <w:color w:val="000000"/>
              </w:rPr>
              <w:t>13</w:t>
            </w:r>
          </w:p>
        </w:tc>
      </w:tr>
      <w:tr>
        <w:trPr>
          <w:trHeight w:val="446"/>
        </w:trPr>
        <w:tc>
          <w:tcPr>
            <w:tcW w:w="73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58"/>
          <w:szCs w:val="5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449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Election of Directors</w:t>
      </w:r>
    </w:p>
    <w:p>
      <w:pPr>
        <w:spacing w:after="0" w:line="362" w:lineRule="exact"/>
        <w:rPr>
          <w:sz w:val="20"/>
          <w:szCs w:val="20"/>
          <w:color w:val="auto"/>
        </w:rPr>
      </w:pPr>
    </w:p>
    <w:p>
      <w:pPr>
        <w:ind w:left="220" w:right="300"/>
        <w:spacing w:after="0" w:line="298" w:lineRule="auto"/>
        <w:rPr>
          <w:sz w:val="20"/>
          <w:szCs w:val="20"/>
          <w:color w:val="auto"/>
        </w:rPr>
      </w:pPr>
      <w:r>
        <w:rPr>
          <w:rFonts w:ascii="Arial" w:cs="Arial" w:eastAsia="Arial" w:hAnsi="Arial"/>
          <w:sz w:val="27"/>
          <w:szCs w:val="27"/>
          <w:b w:val="1"/>
          <w:bCs w:val="1"/>
          <w:color w:val="0067B3"/>
        </w:rPr>
        <w:t>Our Board of Directors unanimously recommends that you vote FOR the election of each of the below director nominees.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director nominees: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0067B3"/>
          </w:tcPr>
          <w:p>
            <w:pPr>
              <w:ind w:left="20"/>
              <w:spacing w:after="0"/>
              <w:rPr>
                <w:sz w:val="20"/>
                <w:szCs w:val="20"/>
                <w:color w:val="auto"/>
              </w:rPr>
            </w:pPr>
            <w:r>
              <w:rPr>
                <w:rFonts w:ascii="Arial" w:cs="Arial" w:eastAsia="Arial" w:hAnsi="Arial"/>
                <w:sz w:val="16"/>
                <w:szCs w:val="16"/>
                <w:color w:val="FFFFFF"/>
              </w:rPr>
              <w:t>Name</w:t>
            </w:r>
          </w:p>
        </w:tc>
        <w:tc>
          <w:tcPr>
            <w:tcW w:w="8460" w:type="dxa"/>
            <w:vAlign w:val="bottom"/>
            <w:shd w:val="clear" w:color="auto" w:fill="0067B3"/>
          </w:tcPr>
          <w:p>
            <w:pPr>
              <w:ind w:left="980"/>
              <w:spacing w:after="0"/>
              <w:rPr>
                <w:sz w:val="20"/>
                <w:szCs w:val="20"/>
                <w:color w:val="auto"/>
              </w:rPr>
            </w:pPr>
            <w:r>
              <w:rPr>
                <w:rFonts w:ascii="Arial" w:cs="Arial" w:eastAsia="Arial" w:hAnsi="Arial"/>
                <w:sz w:val="16"/>
                <w:szCs w:val="16"/>
                <w:color w:val="FFFFFF"/>
              </w:rPr>
              <w:t>Position(s) with ADI</w:t>
            </w:r>
          </w:p>
        </w:tc>
      </w:tr>
      <w:tr>
        <w:trPr>
          <w:trHeight w:val="270"/>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8460" w:type="dxa"/>
            <w:vAlign w:val="bottom"/>
          </w:tcPr>
          <w:p>
            <w:pPr>
              <w:ind w:left="980"/>
              <w:spacing w:after="0"/>
              <w:rPr>
                <w:sz w:val="20"/>
                <w:szCs w:val="20"/>
                <w:color w:val="auto"/>
              </w:rPr>
            </w:pPr>
            <w:r>
              <w:rPr>
                <w:rFonts w:ascii="Arial" w:cs="Arial" w:eastAsia="Arial" w:hAnsi="Arial"/>
                <w:sz w:val="18"/>
                <w:szCs w:val="18"/>
                <w:color w:val="auto"/>
              </w:rPr>
              <w:t>Lead Independent 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James A. Champy</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Peter B. Henry</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Ray Stata</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1"/>
        </w:trPr>
        <w:tc>
          <w:tcPr>
            <w:tcW w:w="27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8460" w:type="dxa"/>
            <w:vAlign w:val="bottom"/>
            <w:tcBorders>
              <w:bottom w:val="single" w:sz="8" w:color="0067B3"/>
            </w:tcBorders>
            <w:shd w:val="clear" w:color="auto" w:fill="E2E6F4"/>
          </w:tcPr>
          <w:p>
            <w:pPr>
              <w:ind w:left="980"/>
              <w:spacing w:after="0"/>
              <w:rPr>
                <w:sz w:val="20"/>
                <w:szCs w:val="20"/>
                <w:color w:val="auto"/>
              </w:rPr>
            </w:pPr>
            <w:r>
              <w:rPr>
                <w:rFonts w:ascii="Arial" w:cs="Arial" w:eastAsia="Arial" w:hAnsi="Arial"/>
                <w:sz w:val="18"/>
                <w:szCs w:val="18"/>
                <w:color w:val="auto"/>
              </w:rPr>
              <w:t>Director</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Election Process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All members of our Board of Directors are elected annually by our shareholders. Our Board of Directors currently consists of thirteen directors, of whom eleven are deemed to be “independent directors” as defined and in accordance with the Nasdaq Stock Market, Inc. Marketplace Rules (Nasdaq Rules). On January 16, 2024, each of Dr. Chandrakasan and Mr. Sicchitano informed our Board of Directors that they had decided not to stand for re-election at the Annual Meeting. Consequently, each of Dr. Chandrakasan and Mr. Sicchitano’s term as a director will expire at the Annual Meeting on March 13, 2024. Our Nominating and Corporate Governance Committee recommended, and our Board of Directors has determined, to nominate all other current directors for reelection in 2024. As such, at the Annual Meeting, our shareholders will have an opportunity to vote for each of the eleven nominees listed above. If a director nominee does not receive more “for” votes than “against” votes, our bylaws provide that such director must offer his or her resignation, which our Board of Directors must determine whether to accept and publicly disclose that information. If the current nominees are elected, we will have eleven members serving on our Board of Directors, of whom nine are deemed to be “independent directors” in accordance with Nasdaq Rules. The persons named in the proxy card, upon receipt of a properly executed proxy, will vote for each of these nominees, unless you instruct them to vote otherwise on the proxy card (whether executed by you or through Internet or telephonic voting). Each of the director nominees has indicated his or her willingness to serve, if elected. However, if any or all of the director nominees should be unable or unwilling to serve, the proxies may be voted for a substitute nominee designated by our Board of Directors or our Board of Directors may reduce the number of directors.</w:t>
      </w:r>
    </w:p>
    <w:p>
      <w:pPr>
        <w:spacing w:after="0" w:line="200" w:lineRule="exact"/>
        <w:rPr>
          <w:sz w:val="20"/>
          <w:szCs w:val="20"/>
          <w:color w:val="auto"/>
        </w:rPr>
      </w:pPr>
    </w:p>
    <w:p>
      <w:pPr>
        <w:spacing w:after="0" w:line="299" w:lineRule="exact"/>
        <w:rPr>
          <w:sz w:val="20"/>
          <w:szCs w:val="20"/>
          <w:color w:val="auto"/>
        </w:rPr>
      </w:pPr>
    </w:p>
    <w:p>
      <w:pPr>
        <w:ind w:left="480" w:hanging="454"/>
        <w:spacing w:after="0"/>
        <w:tabs>
          <w:tab w:leader="none" w:pos="480" w:val="left"/>
        </w:tabs>
        <w:numPr>
          <w:ilvl w:val="0"/>
          <w:numId w:val="36"/>
        </w:numPr>
        <w:rPr>
          <w:rFonts w:ascii="Arial" w:cs="Arial" w:eastAsia="Arial" w:hAnsi="Arial"/>
          <w:sz w:val="20"/>
          <w:szCs w:val="20"/>
          <w:b w:val="1"/>
          <w:bCs w:val="1"/>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Board Refreshment</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Board of Directors has been focused on refreshment, regularly bringing in new viewpoints and skills. As a result of ongoing Board refreshment, we have added seven new directors in the last five years.</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755"/>
        </w:trPr>
        <w:tc>
          <w:tcPr>
            <w:tcW w:w="1600" w:type="dxa"/>
            <w:vAlign w:val="bottom"/>
            <w:tcBorders>
              <w:left w:val="single" w:sz="8" w:color="E2E6F4"/>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58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680" w:type="dxa"/>
            <w:vAlign w:val="bottom"/>
            <w:tcBorders>
              <w:right w:val="single" w:sz="8" w:color="E2E6F4"/>
            </w:tcBorders>
            <w:shd w:val="clear" w:color="auto" w:fill="E2E6F4"/>
          </w:tcPr>
          <w:p>
            <w:pPr>
              <w:spacing w:after="0"/>
              <w:rPr>
                <w:sz w:val="24"/>
                <w:szCs w:val="24"/>
                <w:color w:val="auto"/>
              </w:rPr>
            </w:pPr>
          </w:p>
        </w:tc>
        <w:tc>
          <w:tcPr>
            <w:tcW w:w="1600" w:type="dxa"/>
            <w:vAlign w:val="bottom"/>
            <w:tcBorders>
              <w:right w:val="single" w:sz="8" w:color="0067B3"/>
            </w:tcBorders>
            <w:shd w:val="clear" w:color="auto" w:fill="E2E6F4"/>
          </w:tcPr>
          <w:p>
            <w:pPr>
              <w:spacing w:after="0"/>
              <w:rPr>
                <w:sz w:val="24"/>
                <w:szCs w:val="24"/>
                <w:color w:val="auto"/>
              </w:rPr>
            </w:pPr>
          </w:p>
        </w:tc>
      </w:tr>
      <w:tr>
        <w:trPr>
          <w:trHeight w:val="246"/>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20"/>
                <w:szCs w:val="20"/>
                <w:b w:val="1"/>
                <w:bCs w:val="1"/>
                <w:color w:val="0067B3"/>
              </w:rPr>
              <w:t>Anantha P.</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Susie Wee</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Laurie H.</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20"/>
                <w:szCs w:val="20"/>
                <w:b w:val="1"/>
                <w:bCs w:val="1"/>
                <w:color w:val="0067B3"/>
              </w:rPr>
              <w:t>Mercedes</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André</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Stephen M.</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Peter B. Henry</w:t>
            </w:r>
          </w:p>
        </w:tc>
      </w:tr>
      <w:tr>
        <w:trPr>
          <w:trHeight w:val="273"/>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20"/>
                <w:szCs w:val="20"/>
                <w:b w:val="1"/>
                <w:bCs w:val="1"/>
                <w:color w:val="0067B3"/>
              </w:rPr>
              <w:t>Chandrakasan</w:t>
            </w:r>
          </w:p>
        </w:tc>
        <w:tc>
          <w:tcPr>
            <w:tcW w:w="1600" w:type="dxa"/>
            <w:vAlign w:val="bottom"/>
            <w:tcBorders>
              <w:right w:val="single" w:sz="8" w:color="0067B3"/>
            </w:tcBorders>
          </w:tcPr>
          <w:p>
            <w:pPr>
              <w:spacing w:after="0"/>
              <w:rPr>
                <w:sz w:val="23"/>
                <w:szCs w:val="23"/>
                <w:color w:val="auto"/>
              </w:rPr>
            </w:pP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Glimcher</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20"/>
                <w:szCs w:val="20"/>
                <w:b w:val="1"/>
                <w:bCs w:val="1"/>
                <w:color w:val="0067B3"/>
              </w:rPr>
              <w:t>Johnson</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Andonian</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20"/>
                <w:szCs w:val="20"/>
                <w:b w:val="1"/>
                <w:bCs w:val="1"/>
                <w:color w:val="0067B3"/>
              </w:rPr>
              <w:t>Jennings</w:t>
            </w:r>
          </w:p>
        </w:tc>
        <w:tc>
          <w:tcPr>
            <w:tcW w:w="1600" w:type="dxa"/>
            <w:vAlign w:val="bottom"/>
            <w:tcBorders>
              <w:right w:val="single" w:sz="8" w:color="0067B3"/>
            </w:tcBorders>
          </w:tcPr>
          <w:p>
            <w:pPr>
              <w:spacing w:after="0"/>
              <w:rPr>
                <w:sz w:val="23"/>
                <w:szCs w:val="23"/>
                <w:color w:val="auto"/>
              </w:rPr>
            </w:pPr>
          </w:p>
        </w:tc>
      </w:tr>
      <w:tr>
        <w:trPr>
          <w:trHeight w:val="247"/>
        </w:trPr>
        <w:tc>
          <w:tcPr>
            <w:tcW w:w="1600" w:type="dxa"/>
            <w:vAlign w:val="bottom"/>
            <w:tcBorders>
              <w:left w:val="single" w:sz="8" w:color="0067B3"/>
              <w:right w:val="single" w:sz="8" w:color="0067B3"/>
            </w:tcBorders>
          </w:tcPr>
          <w:p>
            <w:pPr>
              <w:ind w:left="100"/>
              <w:spacing w:after="0"/>
              <w:rPr>
                <w:sz w:val="20"/>
                <w:szCs w:val="20"/>
                <w:color w:val="auto"/>
              </w:rPr>
            </w:pPr>
            <w:r>
              <w:rPr>
                <w:rFonts w:ascii="Arial" w:cs="Arial" w:eastAsia="Arial" w:hAnsi="Arial"/>
                <w:sz w:val="17"/>
                <w:szCs w:val="17"/>
                <w:b w:val="1"/>
                <w:bCs w:val="1"/>
                <w:color w:val="auto"/>
              </w:rPr>
              <w:t>2019</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2019</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2020</w:t>
            </w:r>
          </w:p>
        </w:tc>
        <w:tc>
          <w:tcPr>
            <w:tcW w:w="1580" w:type="dxa"/>
            <w:vAlign w:val="bottom"/>
            <w:tcBorders>
              <w:right w:val="single" w:sz="8" w:color="0067B3"/>
            </w:tcBorders>
          </w:tcPr>
          <w:p>
            <w:pPr>
              <w:ind w:left="60"/>
              <w:spacing w:after="0"/>
              <w:rPr>
                <w:sz w:val="20"/>
                <w:szCs w:val="20"/>
                <w:color w:val="auto"/>
              </w:rPr>
            </w:pPr>
            <w:r>
              <w:rPr>
                <w:rFonts w:ascii="Arial" w:cs="Arial" w:eastAsia="Arial" w:hAnsi="Arial"/>
                <w:sz w:val="17"/>
                <w:szCs w:val="17"/>
                <w:b w:val="1"/>
                <w:bCs w:val="1"/>
                <w:color w:val="auto"/>
              </w:rPr>
              <w:t>2021</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2022</w:t>
            </w:r>
          </w:p>
        </w:tc>
        <w:tc>
          <w:tcPr>
            <w:tcW w:w="168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right w:val="single" w:sz="8" w:color="0067B3"/>
            </w:tcBorders>
          </w:tcPr>
          <w:p>
            <w:pPr>
              <w:ind w:left="80"/>
              <w:spacing w:after="0"/>
              <w:rPr>
                <w:sz w:val="20"/>
                <w:szCs w:val="20"/>
                <w:color w:val="auto"/>
              </w:rPr>
            </w:pPr>
            <w:r>
              <w:rPr>
                <w:rFonts w:ascii="Arial" w:cs="Arial" w:eastAsia="Arial" w:hAnsi="Arial"/>
                <w:sz w:val="17"/>
                <w:szCs w:val="17"/>
                <w:b w:val="1"/>
                <w:bCs w:val="1"/>
                <w:color w:val="auto"/>
              </w:rPr>
              <w:t>2023</w:t>
            </w:r>
          </w:p>
        </w:tc>
      </w:tr>
      <w:tr>
        <w:trPr>
          <w:trHeight w:val="125"/>
        </w:trPr>
        <w:tc>
          <w:tcPr>
            <w:tcW w:w="1600" w:type="dxa"/>
            <w:vAlign w:val="bottom"/>
            <w:tcBorders>
              <w:left w:val="single" w:sz="8" w:color="0067B3"/>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58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c>
          <w:tcPr>
            <w:tcW w:w="1680" w:type="dxa"/>
            <w:vAlign w:val="bottom"/>
            <w:tcBorders>
              <w:bottom w:val="single" w:sz="8" w:color="0067B3"/>
              <w:right w:val="single" w:sz="8" w:color="0067B3"/>
            </w:tcBorders>
          </w:tcPr>
          <w:p>
            <w:pPr>
              <w:spacing w:after="0"/>
              <w:rPr>
                <w:sz w:val="10"/>
                <w:szCs w:val="10"/>
                <w:color w:val="auto"/>
              </w:rPr>
            </w:pPr>
          </w:p>
        </w:tc>
        <w:tc>
          <w:tcPr>
            <w:tcW w:w="1600" w:type="dxa"/>
            <w:vAlign w:val="bottom"/>
            <w:tcBorders>
              <w:bottom w:val="single" w:sz="8" w:color="0067B3"/>
              <w:right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-1610995</wp:posOffset>
            </wp:positionV>
            <wp:extent cx="6951980" cy="908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51980" cy="9086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Criteria, Qualifications, and Experience</w:t>
      </w:r>
    </w:p>
    <w:p>
      <w:pPr>
        <w:spacing w:after="0" w:line="1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composed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interests of shareholders, drive shareholder value, exercise sound judgment, and reflect our corporate values of integrity, honesty, and adherence to high ethical standards. Our Board of Directors and Nominating and Corporate Governance Committee consider the following factors, among others, when selecting director nominees: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860" w:type="dxa"/>
            <w:vAlign w:val="bottom"/>
            <w:tcBorders>
              <w:top w:val="single" w:sz="8" w:color="0067B3"/>
              <w:left w:val="single" w:sz="8" w:color="0067B3"/>
            </w:tcBorders>
          </w:tcPr>
          <w:p>
            <w:pPr>
              <w:ind w:left="160"/>
              <w:spacing w:after="0"/>
              <w:rPr>
                <w:sz w:val="20"/>
                <w:szCs w:val="20"/>
                <w:color w:val="auto"/>
              </w:rPr>
            </w:pPr>
            <w:r>
              <w:rPr>
                <w:rFonts w:ascii="Arial" w:cs="Arial" w:eastAsia="Arial" w:hAnsi="Arial"/>
                <w:sz w:val="18"/>
                <w:szCs w:val="18"/>
                <w:b w:val="1"/>
                <w:bCs w:val="1"/>
                <w:color w:val="0067B3"/>
              </w:rPr>
              <w:t>Diversity of Director Nominees</w:t>
            </w:r>
          </w:p>
        </w:tc>
        <w:tc>
          <w:tcPr>
            <w:tcW w:w="2780" w:type="dxa"/>
            <w:vAlign w:val="bottom"/>
            <w:tcBorders>
              <w:top w:val="single" w:sz="8" w:color="0067B3"/>
              <w:right w:val="single" w:sz="8" w:color="auto"/>
            </w:tcBorders>
          </w:tcPr>
          <w:p>
            <w:pPr>
              <w:spacing w:after="0"/>
              <w:rPr>
                <w:sz w:val="24"/>
                <w:szCs w:val="24"/>
                <w:color w:val="auto"/>
              </w:rPr>
            </w:pPr>
          </w:p>
        </w:tc>
        <w:tc>
          <w:tcPr>
            <w:tcW w:w="5620" w:type="dxa"/>
            <w:vAlign w:val="bottom"/>
            <w:tcBorders>
              <w:top w:val="single" w:sz="8" w:color="0067B3"/>
              <w:right w:val="single" w:sz="8" w:color="0067B3"/>
            </w:tcBorders>
            <w:gridSpan w:val="2"/>
          </w:tcPr>
          <w:p>
            <w:pPr>
              <w:ind w:left="180"/>
              <w:spacing w:after="0"/>
              <w:rPr>
                <w:sz w:val="20"/>
                <w:szCs w:val="20"/>
                <w:color w:val="auto"/>
              </w:rPr>
            </w:pPr>
            <w:r>
              <w:rPr>
                <w:rFonts w:ascii="Arial" w:cs="Arial" w:eastAsia="Arial" w:hAnsi="Arial"/>
                <w:sz w:val="18"/>
                <w:szCs w:val="18"/>
                <w:b w:val="1"/>
                <w:bCs w:val="1"/>
                <w:color w:val="0067B3"/>
              </w:rPr>
              <w:t>Independence of Director Nominees</w:t>
            </w:r>
          </w:p>
        </w:tc>
        <w:tc>
          <w:tcPr>
            <w:tcW w:w="0" w:type="dxa"/>
            <w:vAlign w:val="bottom"/>
          </w:tcPr>
          <w:p>
            <w:pPr>
              <w:spacing w:after="0"/>
              <w:rPr>
                <w:sz w:val="1"/>
                <w:szCs w:val="1"/>
                <w:color w:val="auto"/>
              </w:rPr>
            </w:pPr>
          </w:p>
        </w:tc>
      </w:tr>
      <w:tr>
        <w:trPr>
          <w:trHeight w:val="496"/>
        </w:trPr>
        <w:tc>
          <w:tcPr>
            <w:tcW w:w="2860" w:type="dxa"/>
            <w:vAlign w:val="bottom"/>
            <w:tcBorders>
              <w:left w:val="single" w:sz="8" w:color="0067B3"/>
            </w:tcBorders>
            <w:vMerge w:val="restart"/>
          </w:tcPr>
          <w:p>
            <w:pPr>
              <w:ind w:left="160"/>
              <w:spacing w:after="0"/>
              <w:rPr>
                <w:sz w:val="20"/>
                <w:szCs w:val="20"/>
                <w:color w:val="auto"/>
              </w:rPr>
            </w:pPr>
            <w:r>
              <w:rPr>
                <w:rFonts w:ascii="Arial" w:cs="Arial" w:eastAsia="Arial" w:hAnsi="Arial"/>
                <w:sz w:val="41"/>
                <w:szCs w:val="41"/>
                <w:color w:val="0067B3"/>
              </w:rPr>
              <w:t>4 of 11</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While our Board of Directors</w:t>
            </w:r>
          </w:p>
        </w:tc>
        <w:tc>
          <w:tcPr>
            <w:tcW w:w="2700" w:type="dxa"/>
            <w:vAlign w:val="bottom"/>
            <w:vMerge w:val="restart"/>
          </w:tcPr>
          <w:p>
            <w:pPr>
              <w:ind w:left="120"/>
              <w:spacing w:after="0"/>
              <w:rPr>
                <w:sz w:val="20"/>
                <w:szCs w:val="20"/>
                <w:color w:val="auto"/>
              </w:rPr>
            </w:pPr>
            <w:r>
              <w:rPr>
                <w:rFonts w:ascii="Arial" w:cs="Arial" w:eastAsia="Arial" w:hAnsi="Arial"/>
                <w:sz w:val="41"/>
                <w:szCs w:val="41"/>
                <w:b w:val="1"/>
                <w:bCs w:val="1"/>
                <w:color w:val="0067B3"/>
              </w:rPr>
              <w:t>9 of 11</w:t>
            </w: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Under Nasdaq Rules, a</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vMerge w:val="continue"/>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does not have a specific</w:t>
            </w:r>
          </w:p>
        </w:tc>
        <w:tc>
          <w:tcPr>
            <w:tcW w:w="2700" w:type="dxa"/>
            <w:vAlign w:val="bottom"/>
            <w:vMerge w:val="continue"/>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majority of the members of our</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vMerge w:val="continue"/>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diversity policy, our Corporate</w:t>
            </w:r>
          </w:p>
        </w:tc>
        <w:tc>
          <w:tcPr>
            <w:tcW w:w="2700" w:type="dxa"/>
            <w:vAlign w:val="bottom"/>
            <w:vMerge w:val="continue"/>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Board of Directors must be</w:t>
            </w:r>
          </w:p>
        </w:tc>
        <w:tc>
          <w:tcPr>
            <w:tcW w:w="0" w:type="dxa"/>
            <w:vAlign w:val="bottom"/>
          </w:tcPr>
          <w:p>
            <w:pPr>
              <w:spacing w:after="0"/>
              <w:rPr>
                <w:sz w:val="1"/>
                <w:szCs w:val="1"/>
                <w:color w:val="auto"/>
              </w:rPr>
            </w:pPr>
          </w:p>
        </w:tc>
      </w:tr>
      <w:tr>
        <w:trPr>
          <w:trHeight w:val="235"/>
        </w:trPr>
        <w:tc>
          <w:tcPr>
            <w:tcW w:w="2860" w:type="dxa"/>
            <w:vAlign w:val="bottom"/>
            <w:tcBorders>
              <w:left w:val="single" w:sz="8" w:color="0067B3"/>
            </w:tcBorders>
          </w:tcPr>
          <w:p>
            <w:pPr>
              <w:ind w:left="160"/>
              <w:spacing w:after="0"/>
              <w:rPr>
                <w:sz w:val="20"/>
                <w:szCs w:val="20"/>
                <w:color w:val="auto"/>
              </w:rPr>
            </w:pPr>
            <w:r>
              <w:rPr>
                <w:rFonts w:ascii="Arial" w:cs="Arial" w:eastAsia="Arial" w:hAnsi="Arial"/>
                <w:sz w:val="18"/>
                <w:szCs w:val="18"/>
                <w:color w:val="auto"/>
              </w:rPr>
              <w:t>Directors identify as female,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Governance Guidelines and</w:t>
            </w:r>
          </w:p>
        </w:tc>
        <w:tc>
          <w:tcPr>
            <w:tcW w:w="2700" w:type="dxa"/>
            <w:vAlign w:val="bottom"/>
          </w:tcPr>
          <w:p>
            <w:pPr>
              <w:ind w:left="120"/>
              <w:spacing w:after="0"/>
              <w:rPr>
                <w:sz w:val="20"/>
                <w:szCs w:val="20"/>
                <w:color w:val="auto"/>
              </w:rPr>
            </w:pPr>
            <w:r>
              <w:rPr>
                <w:rFonts w:ascii="Arial" w:cs="Arial" w:eastAsia="Arial" w:hAnsi="Arial"/>
                <w:sz w:val="18"/>
                <w:szCs w:val="18"/>
                <w:color w:val="auto"/>
              </w:rPr>
              <w:t>Directors are Independent, or</w:t>
            </w: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independent directors. To be</w:t>
            </w:r>
          </w:p>
        </w:tc>
        <w:tc>
          <w:tcPr>
            <w:tcW w:w="0" w:type="dxa"/>
            <w:vAlign w:val="bottom"/>
          </w:tcPr>
          <w:p>
            <w:pPr>
              <w:spacing w:after="0"/>
              <w:rPr>
                <w:sz w:val="1"/>
                <w:szCs w:val="1"/>
                <w:color w:val="auto"/>
              </w:rPr>
            </w:pPr>
          </w:p>
        </w:tc>
      </w:tr>
      <w:tr>
        <w:trPr>
          <w:trHeight w:val="215"/>
        </w:trPr>
        <w:tc>
          <w:tcPr>
            <w:tcW w:w="2860" w:type="dxa"/>
            <w:vAlign w:val="bottom"/>
            <w:tcBorders>
              <w:left w:val="single" w:sz="8" w:color="0067B3"/>
            </w:tcBorders>
          </w:tcPr>
          <w:p>
            <w:pPr>
              <w:ind w:left="160"/>
              <w:spacing w:after="0"/>
              <w:rPr>
                <w:sz w:val="20"/>
                <w:szCs w:val="20"/>
                <w:color w:val="auto"/>
              </w:rPr>
            </w:pPr>
            <w:r>
              <w:rPr>
                <w:rFonts w:ascii="Arial" w:cs="Arial" w:eastAsia="Arial" w:hAnsi="Arial"/>
                <w:sz w:val="18"/>
                <w:szCs w:val="18"/>
                <w:color w:val="auto"/>
              </w:rPr>
              <w:t>or 36%</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Nominating and Corporate</w:t>
            </w:r>
          </w:p>
        </w:tc>
        <w:tc>
          <w:tcPr>
            <w:tcW w:w="2700" w:type="dxa"/>
            <w:vAlign w:val="bottom"/>
          </w:tcPr>
          <w:p>
            <w:pPr>
              <w:ind w:left="120"/>
              <w:spacing w:after="0"/>
              <w:rPr>
                <w:sz w:val="20"/>
                <w:szCs w:val="20"/>
                <w:color w:val="auto"/>
              </w:rPr>
            </w:pPr>
            <w:r>
              <w:rPr>
                <w:rFonts w:ascii="Arial" w:cs="Arial" w:eastAsia="Arial" w:hAnsi="Arial"/>
                <w:sz w:val="18"/>
                <w:szCs w:val="18"/>
                <w:color w:val="auto"/>
              </w:rPr>
              <w:t>82%</w:t>
            </w: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considered independent, a</w:t>
            </w:r>
          </w:p>
        </w:tc>
        <w:tc>
          <w:tcPr>
            <w:tcW w:w="0" w:type="dxa"/>
            <w:vAlign w:val="bottom"/>
          </w:tcPr>
          <w:p>
            <w:pPr>
              <w:spacing w:after="0"/>
              <w:rPr>
                <w:sz w:val="1"/>
                <w:szCs w:val="1"/>
                <w:color w:val="auto"/>
              </w:rPr>
            </w:pPr>
          </w:p>
        </w:tc>
      </w:tr>
      <w:tr>
        <w:trPr>
          <w:trHeight w:val="198"/>
        </w:trPr>
        <w:tc>
          <w:tcPr>
            <w:tcW w:w="2860" w:type="dxa"/>
            <w:vAlign w:val="bottom"/>
            <w:tcBorders>
              <w:left w:val="single" w:sz="8" w:color="0067B3"/>
            </w:tcBorders>
          </w:tcPr>
          <w:p>
            <w:pPr>
              <w:spacing w:after="0"/>
              <w:rPr>
                <w:sz w:val="17"/>
                <w:szCs w:val="17"/>
                <w:color w:val="auto"/>
              </w:rPr>
            </w:pPr>
          </w:p>
        </w:tc>
        <w:tc>
          <w:tcPr>
            <w:tcW w:w="27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Governance Committee</w:t>
            </w:r>
          </w:p>
        </w:tc>
        <w:tc>
          <w:tcPr>
            <w:tcW w:w="2700" w:type="dxa"/>
            <w:vAlign w:val="bottom"/>
          </w:tcPr>
          <w:p>
            <w:pPr>
              <w:spacing w:after="0"/>
              <w:rPr>
                <w:sz w:val="17"/>
                <w:szCs w:val="17"/>
                <w:color w:val="auto"/>
              </w:rPr>
            </w:pPr>
          </w:p>
        </w:tc>
        <w:tc>
          <w:tcPr>
            <w:tcW w:w="2920" w:type="dxa"/>
            <w:vAlign w:val="bottom"/>
            <w:tcBorders>
              <w:right w:val="single" w:sz="8" w:color="0067B3"/>
            </w:tcBorders>
          </w:tcPr>
          <w:p>
            <w:pPr>
              <w:ind w:left="220"/>
              <w:spacing w:after="0" w:line="198" w:lineRule="exact"/>
              <w:rPr>
                <w:sz w:val="20"/>
                <w:szCs w:val="20"/>
                <w:color w:val="auto"/>
              </w:rPr>
            </w:pPr>
            <w:r>
              <w:rPr>
                <w:rFonts w:ascii="Arial" w:cs="Arial" w:eastAsia="Arial" w:hAnsi="Arial"/>
                <w:sz w:val="18"/>
                <w:szCs w:val="18"/>
                <w:color w:val="auto"/>
              </w:rPr>
              <w:t>director must be independent</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Charter provide that gender,</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as determined under</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racial, ethnic, and sexual</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applicable Nasdaq Rules, and</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orientation diversity,</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in our Board of Directors’</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vMerge w:val="restart"/>
          </w:tcPr>
          <w:p>
            <w:pPr>
              <w:ind w:left="160"/>
              <w:spacing w:after="0" w:line="437" w:lineRule="exact"/>
              <w:rPr>
                <w:sz w:val="20"/>
                <w:szCs w:val="20"/>
                <w:color w:val="auto"/>
              </w:rPr>
            </w:pPr>
            <w:r>
              <w:rPr>
                <w:rFonts w:ascii="Arial" w:cs="Arial" w:eastAsia="Arial" w:hAnsi="Arial"/>
                <w:sz w:val="41"/>
                <w:szCs w:val="41"/>
                <w:color w:val="0067B3"/>
              </w:rPr>
              <w:t>3 of 11</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consistent with the</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judgment, the director must</w:t>
            </w:r>
          </w:p>
        </w:tc>
        <w:tc>
          <w:tcPr>
            <w:tcW w:w="0" w:type="dxa"/>
            <w:vAlign w:val="bottom"/>
          </w:tcPr>
          <w:p>
            <w:pPr>
              <w:spacing w:after="0"/>
              <w:rPr>
                <w:sz w:val="1"/>
                <w:szCs w:val="1"/>
                <w:color w:val="auto"/>
              </w:rPr>
            </w:pPr>
          </w:p>
        </w:tc>
      </w:tr>
      <w:tr>
        <w:trPr>
          <w:trHeight w:val="221"/>
        </w:trPr>
        <w:tc>
          <w:tcPr>
            <w:tcW w:w="2860" w:type="dxa"/>
            <w:vAlign w:val="bottom"/>
            <w:tcBorders>
              <w:left w:val="single" w:sz="8" w:color="0067B3"/>
            </w:tcBorders>
            <w:vMerge w:val="continue"/>
          </w:tcPr>
          <w:p>
            <w:pPr>
              <w:spacing w:after="0"/>
              <w:rPr>
                <w:sz w:val="19"/>
                <w:szCs w:val="19"/>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requirement for relevant and</w:t>
            </w:r>
          </w:p>
        </w:tc>
        <w:tc>
          <w:tcPr>
            <w:tcW w:w="2700" w:type="dxa"/>
            <w:vAlign w:val="bottom"/>
          </w:tcPr>
          <w:p>
            <w:pPr>
              <w:spacing w:after="0"/>
              <w:rPr>
                <w:sz w:val="19"/>
                <w:szCs w:val="19"/>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not have a relationship with</w:t>
            </w:r>
          </w:p>
        </w:tc>
        <w:tc>
          <w:tcPr>
            <w:tcW w:w="0" w:type="dxa"/>
            <w:vAlign w:val="bottom"/>
          </w:tcPr>
          <w:p>
            <w:pPr>
              <w:spacing w:after="0"/>
              <w:rPr>
                <w:sz w:val="1"/>
                <w:szCs w:val="1"/>
                <w:color w:val="auto"/>
              </w:rPr>
            </w:pPr>
          </w:p>
        </w:tc>
      </w:tr>
      <w:tr>
        <w:trPr>
          <w:trHeight w:val="211"/>
        </w:trPr>
        <w:tc>
          <w:tcPr>
            <w:tcW w:w="2860" w:type="dxa"/>
            <w:vAlign w:val="bottom"/>
            <w:tcBorders>
              <w:left w:val="single" w:sz="8" w:color="0067B3"/>
            </w:tcBorders>
            <w:vMerge w:val="restart"/>
          </w:tcPr>
          <w:p>
            <w:pPr>
              <w:ind w:left="160"/>
              <w:spacing w:after="0"/>
              <w:rPr>
                <w:sz w:val="20"/>
                <w:szCs w:val="20"/>
                <w:color w:val="auto"/>
              </w:rPr>
            </w:pPr>
            <w:r>
              <w:rPr>
                <w:rFonts w:ascii="Arial" w:cs="Arial" w:eastAsia="Arial" w:hAnsi="Arial"/>
                <w:sz w:val="18"/>
                <w:szCs w:val="18"/>
                <w:color w:val="auto"/>
              </w:rPr>
              <w:t>Directors identify as ethnically</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diverse experience, skills, and</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ADI that would interfere with</w:t>
            </w:r>
          </w:p>
        </w:tc>
        <w:tc>
          <w:tcPr>
            <w:tcW w:w="0" w:type="dxa"/>
            <w:vAlign w:val="bottom"/>
          </w:tcPr>
          <w:p>
            <w:pPr>
              <w:spacing w:after="0"/>
              <w:rPr>
                <w:sz w:val="1"/>
                <w:szCs w:val="1"/>
                <w:color w:val="auto"/>
              </w:rPr>
            </w:pPr>
          </w:p>
        </w:tc>
      </w:tr>
      <w:tr>
        <w:trPr>
          <w:trHeight w:val="203"/>
        </w:trPr>
        <w:tc>
          <w:tcPr>
            <w:tcW w:w="2860" w:type="dxa"/>
            <w:vAlign w:val="bottom"/>
            <w:tcBorders>
              <w:left w:val="single" w:sz="8" w:color="0067B3"/>
            </w:tcBorders>
            <w:vMerge w:val="continue"/>
          </w:tcPr>
          <w:p>
            <w:pPr>
              <w:spacing w:after="0"/>
              <w:rPr>
                <w:sz w:val="17"/>
                <w:szCs w:val="17"/>
                <w:color w:val="auto"/>
              </w:rPr>
            </w:pPr>
          </w:p>
        </w:tc>
        <w:tc>
          <w:tcPr>
            <w:tcW w:w="2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industry familiarity, are</w:t>
            </w:r>
          </w:p>
        </w:tc>
        <w:tc>
          <w:tcPr>
            <w:tcW w:w="2700" w:type="dxa"/>
            <w:vAlign w:val="bottom"/>
          </w:tcPr>
          <w:p>
            <w:pPr>
              <w:spacing w:after="0"/>
              <w:rPr>
                <w:sz w:val="17"/>
                <w:szCs w:val="17"/>
                <w:color w:val="auto"/>
              </w:rPr>
            </w:pPr>
          </w:p>
        </w:tc>
        <w:tc>
          <w:tcPr>
            <w:tcW w:w="2920" w:type="dxa"/>
            <w:vAlign w:val="bottom"/>
            <w:tcBorders>
              <w:right w:val="single" w:sz="8" w:color="0067B3"/>
            </w:tcBorders>
          </w:tcPr>
          <w:p>
            <w:pPr>
              <w:ind w:left="220"/>
              <w:spacing w:after="0" w:line="202" w:lineRule="exact"/>
              <w:rPr>
                <w:sz w:val="20"/>
                <w:szCs w:val="20"/>
                <w:color w:val="auto"/>
              </w:rPr>
            </w:pPr>
            <w:r>
              <w:rPr>
                <w:rFonts w:ascii="Arial" w:cs="Arial" w:eastAsia="Arial" w:hAnsi="Arial"/>
                <w:sz w:val="18"/>
                <w:szCs w:val="18"/>
                <w:color w:val="auto"/>
              </w:rPr>
              <w:t>the exercise of independent</w:t>
            </w:r>
          </w:p>
        </w:tc>
        <w:tc>
          <w:tcPr>
            <w:tcW w:w="0" w:type="dxa"/>
            <w:vAlign w:val="bottom"/>
          </w:tcPr>
          <w:p>
            <w:pPr>
              <w:spacing w:after="0"/>
              <w:rPr>
                <w:sz w:val="1"/>
                <w:szCs w:val="1"/>
                <w:color w:val="auto"/>
              </w:rPr>
            </w:pPr>
          </w:p>
        </w:tc>
      </w:tr>
      <w:tr>
        <w:trPr>
          <w:trHeight w:val="229"/>
        </w:trPr>
        <w:tc>
          <w:tcPr>
            <w:tcW w:w="2860" w:type="dxa"/>
            <w:vAlign w:val="bottom"/>
            <w:tcBorders>
              <w:left w:val="single" w:sz="8" w:color="0067B3"/>
            </w:tcBorders>
          </w:tcPr>
          <w:p>
            <w:pPr>
              <w:ind w:left="160"/>
              <w:spacing w:after="0"/>
              <w:rPr>
                <w:sz w:val="20"/>
                <w:szCs w:val="20"/>
                <w:color w:val="auto"/>
              </w:rPr>
            </w:pPr>
            <w:r>
              <w:rPr>
                <w:rFonts w:ascii="Arial" w:cs="Arial" w:eastAsia="Arial" w:hAnsi="Arial"/>
                <w:sz w:val="18"/>
                <w:szCs w:val="18"/>
                <w:color w:val="auto"/>
              </w:rPr>
              <w:t>diverse, or 27%</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important search criteria.</w:t>
            </w:r>
          </w:p>
        </w:tc>
        <w:tc>
          <w:tcPr>
            <w:tcW w:w="2700" w:type="dxa"/>
            <w:vAlign w:val="bottom"/>
          </w:tcPr>
          <w:p>
            <w:pPr>
              <w:spacing w:after="0"/>
              <w:rPr>
                <w:sz w:val="19"/>
                <w:szCs w:val="19"/>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judgment in carrying out the</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Effective application of these</w:t>
            </w:r>
          </w:p>
        </w:tc>
        <w:tc>
          <w:tcPr>
            <w:tcW w:w="2700" w:type="dxa"/>
            <w:vAlign w:val="bottom"/>
          </w:tcPr>
          <w:p>
            <w:pPr>
              <w:spacing w:after="0"/>
              <w:rPr>
                <w:sz w:val="18"/>
                <w:szCs w:val="18"/>
                <w:color w:val="auto"/>
              </w:rPr>
            </w:pPr>
          </w:p>
        </w:tc>
        <w:tc>
          <w:tcPr>
            <w:tcW w:w="2920" w:type="dxa"/>
            <w:vAlign w:val="bottom"/>
            <w:tcBorders>
              <w:right w:val="single" w:sz="8" w:color="0067B3"/>
            </w:tcBorders>
          </w:tcPr>
          <w:p>
            <w:pPr>
              <w:ind w:left="220"/>
              <w:spacing w:after="0"/>
              <w:rPr>
                <w:sz w:val="20"/>
                <w:szCs w:val="20"/>
                <w:color w:val="auto"/>
              </w:rPr>
            </w:pPr>
            <w:r>
              <w:rPr>
                <w:rFonts w:ascii="Arial" w:cs="Arial" w:eastAsia="Arial" w:hAnsi="Arial"/>
                <w:sz w:val="18"/>
                <w:szCs w:val="18"/>
                <w:color w:val="auto"/>
              </w:rPr>
              <w:t>responsibilities of a director.</w:t>
            </w: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criteria is reflected in the</w:t>
            </w:r>
          </w:p>
        </w:tc>
        <w:tc>
          <w:tcPr>
            <w:tcW w:w="2700" w:type="dxa"/>
            <w:vAlign w:val="bottom"/>
          </w:tcPr>
          <w:p>
            <w:pPr>
              <w:spacing w:after="0"/>
              <w:rPr>
                <w:sz w:val="18"/>
                <w:szCs w:val="18"/>
                <w:color w:val="auto"/>
              </w:rPr>
            </w:pPr>
          </w:p>
        </w:tc>
        <w:tc>
          <w:tcPr>
            <w:tcW w:w="292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left w:val="single" w:sz="8" w:color="0067B3"/>
            </w:tcBorders>
          </w:tcPr>
          <w:p>
            <w:pPr>
              <w:spacing w:after="0"/>
              <w:rPr>
                <w:sz w:val="18"/>
                <w:szCs w:val="18"/>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diverse composition of our</w:t>
            </w:r>
          </w:p>
        </w:tc>
        <w:tc>
          <w:tcPr>
            <w:tcW w:w="2700" w:type="dxa"/>
            <w:vAlign w:val="bottom"/>
          </w:tcPr>
          <w:p>
            <w:pPr>
              <w:spacing w:after="0"/>
              <w:rPr>
                <w:sz w:val="18"/>
                <w:szCs w:val="18"/>
                <w:color w:val="auto"/>
              </w:rPr>
            </w:pPr>
          </w:p>
        </w:tc>
        <w:tc>
          <w:tcPr>
            <w:tcW w:w="292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tcBorders>
              <w:left w:val="single" w:sz="8" w:color="0067B3"/>
            </w:tcBorders>
          </w:tcPr>
          <w:p>
            <w:pPr>
              <w:spacing w:after="0"/>
              <w:rPr>
                <w:sz w:val="20"/>
                <w:szCs w:val="20"/>
                <w:color w:val="auto"/>
              </w:rPr>
            </w:pP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 of Directors.</w:t>
            </w:r>
          </w:p>
        </w:tc>
        <w:tc>
          <w:tcPr>
            <w:tcW w:w="2700" w:type="dxa"/>
            <w:vAlign w:val="bottom"/>
          </w:tcPr>
          <w:p>
            <w:pPr>
              <w:spacing w:after="0"/>
              <w:rPr>
                <w:sz w:val="20"/>
                <w:szCs w:val="20"/>
                <w:color w:val="auto"/>
              </w:rPr>
            </w:pPr>
          </w:p>
        </w:tc>
        <w:tc>
          <w:tcPr>
            <w:tcW w:w="292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860" w:type="dxa"/>
            <w:vAlign w:val="bottom"/>
            <w:tcBorders>
              <w:left w:val="single" w:sz="8" w:color="0067B3"/>
              <w:bottom w:val="single" w:sz="8" w:color="0067B3"/>
            </w:tcBorders>
          </w:tcPr>
          <w:p>
            <w:pPr>
              <w:spacing w:after="0"/>
              <w:rPr>
                <w:sz w:val="24"/>
                <w:szCs w:val="24"/>
                <w:color w:val="auto"/>
              </w:rPr>
            </w:pPr>
          </w:p>
        </w:tc>
        <w:tc>
          <w:tcPr>
            <w:tcW w:w="2780" w:type="dxa"/>
            <w:vAlign w:val="bottom"/>
            <w:tcBorders>
              <w:bottom w:val="single" w:sz="8" w:color="0067B3"/>
              <w:right w:val="single" w:sz="8" w:color="auto"/>
            </w:tcBorders>
          </w:tcPr>
          <w:p>
            <w:pPr>
              <w:spacing w:after="0"/>
              <w:rPr>
                <w:sz w:val="24"/>
                <w:szCs w:val="24"/>
                <w:color w:val="auto"/>
              </w:rPr>
            </w:pPr>
          </w:p>
        </w:tc>
        <w:tc>
          <w:tcPr>
            <w:tcW w:w="2700" w:type="dxa"/>
            <w:vAlign w:val="bottom"/>
            <w:tcBorders>
              <w:bottom w:val="single" w:sz="8" w:color="0067B3"/>
            </w:tcBorders>
          </w:tcPr>
          <w:p>
            <w:pPr>
              <w:spacing w:after="0"/>
              <w:rPr>
                <w:sz w:val="24"/>
                <w:szCs w:val="24"/>
                <w:color w:val="auto"/>
              </w:rPr>
            </w:pPr>
          </w:p>
        </w:tc>
        <w:tc>
          <w:tcPr>
            <w:tcW w:w="2920" w:type="dxa"/>
            <w:vAlign w:val="bottom"/>
            <w:tcBorders>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-2725420</wp:posOffset>
            </wp:positionV>
            <wp:extent cx="142303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23035" cy="1200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-2725420</wp:posOffset>
            </wp:positionV>
            <wp:extent cx="1423035"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23035" cy="10287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-1585595</wp:posOffset>
            </wp:positionV>
            <wp:extent cx="1423035"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2303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Board Profile</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below matrix provides a high-level summary of the experience and qualifications of our director nominees: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8280" w:type="dxa"/>
            <w:vAlign w:val="bottom"/>
            <w:tcBorders>
              <w:top w:val="single" w:sz="8" w:color="0067B3"/>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Executive Leadership:</w:t>
            </w:r>
          </w:p>
        </w:tc>
        <w:tc>
          <w:tcPr>
            <w:tcW w:w="2960" w:type="dxa"/>
            <w:vAlign w:val="bottom"/>
            <w:tcBorders>
              <w:top w:val="single" w:sz="8" w:color="0067B3"/>
            </w:tcBorders>
            <w:vMerge w:val="restart"/>
          </w:tcPr>
          <w:p>
            <w:pPr>
              <w:jc w:val="center"/>
              <w:ind w:right="2330"/>
              <w:spacing w:after="0"/>
              <w:rPr>
                <w:sz w:val="20"/>
                <w:szCs w:val="20"/>
                <w:color w:val="auto"/>
              </w:rPr>
            </w:pPr>
            <w:r>
              <w:rPr>
                <w:rFonts w:ascii="Arial" w:cs="Arial" w:eastAsia="Arial" w:hAnsi="Arial"/>
                <w:sz w:val="18"/>
                <w:szCs w:val="18"/>
                <w:color w:val="auto"/>
                <w:w w:val="96"/>
              </w:rPr>
              <w:t>5/11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Experienced executive-level leadership of complex global businesses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Industry: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9/11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key issues affecting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Innovation and Emerging Technologies:</w:t>
            </w:r>
          </w:p>
        </w:tc>
        <w:tc>
          <w:tcPr>
            <w:tcW w:w="2960" w:type="dxa"/>
            <w:vAlign w:val="bottom"/>
            <w:vMerge w:val="restart"/>
          </w:tcPr>
          <w:p>
            <w:pPr>
              <w:jc w:val="center"/>
              <w:ind w:right="2310"/>
              <w:spacing w:after="0"/>
              <w:rPr>
                <w:sz w:val="20"/>
                <w:szCs w:val="20"/>
                <w:color w:val="auto"/>
              </w:rPr>
            </w:pPr>
            <w:r>
              <w:rPr>
                <w:rFonts w:ascii="Arial" w:cs="Arial" w:eastAsia="Arial" w:hAnsi="Arial"/>
                <w:sz w:val="18"/>
                <w:szCs w:val="18"/>
                <w:color w:val="auto"/>
                <w:w w:val="97"/>
              </w:rPr>
              <w:t>10/11</w:t>
            </w:r>
          </w:p>
        </w:tc>
        <w:tc>
          <w:tcPr>
            <w:tcW w:w="0" w:type="dxa"/>
            <w:vAlign w:val="bottom"/>
          </w:tcPr>
          <w:p>
            <w:pPr>
              <w:spacing w:after="0"/>
              <w:rPr>
                <w:sz w:val="1"/>
                <w:szCs w:val="1"/>
                <w:color w:val="auto"/>
              </w:rPr>
            </w:pPr>
          </w:p>
        </w:tc>
      </w:tr>
      <w:tr>
        <w:trPr>
          <w:trHeight w:val="25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Expertise and thought leadership relating to technological innovation in our industry and our</w:t>
            </w: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end markets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Corporate Governance/Public Company Board:</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8/11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public company governance issues and policies to enhance Board practices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80" w:type="dxa"/>
            <w:vAlign w:val="bottom"/>
            <w:tcBorders>
              <w:bottom w:val="single" w:sz="8" w:color="939598"/>
              <w:right w:val="single" w:sz="8" w:color="939598"/>
            </w:tcBorders>
          </w:tcPr>
          <w:p>
            <w:pPr>
              <w:spacing w:after="0"/>
              <w:rPr>
                <w:sz w:val="9"/>
                <w:szCs w:val="9"/>
                <w:color w:val="auto"/>
              </w:rPr>
            </w:pPr>
          </w:p>
        </w:tc>
        <w:tc>
          <w:tcPr>
            <w:tcW w:w="296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Financial, Accounting, Auditing:</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preparing financial statements and capital market expertise</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80" w:type="dxa"/>
            <w:vAlign w:val="bottom"/>
            <w:tcBorders>
              <w:bottom w:val="single" w:sz="8" w:color="939598"/>
              <w:right w:val="single" w:sz="8" w:color="939598"/>
            </w:tcBorders>
          </w:tcPr>
          <w:p>
            <w:pPr>
              <w:spacing w:after="0"/>
              <w:rPr>
                <w:sz w:val="9"/>
                <w:szCs w:val="9"/>
                <w:color w:val="auto"/>
              </w:rPr>
            </w:pPr>
          </w:p>
        </w:tc>
        <w:tc>
          <w:tcPr>
            <w:tcW w:w="296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0067B3"/>
              </w:rPr>
              <w:t>International, Large Scale Global Operations, Manufacturing:</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8/11</w:t>
            </w:r>
          </w:p>
        </w:tc>
        <w:tc>
          <w:tcPr>
            <w:tcW w:w="0" w:type="dxa"/>
            <w:vAlign w:val="bottom"/>
          </w:tcPr>
          <w:p>
            <w:pPr>
              <w:spacing w:after="0"/>
              <w:rPr>
                <w:sz w:val="1"/>
                <w:szCs w:val="1"/>
                <w:color w:val="auto"/>
              </w:rPr>
            </w:pPr>
          </w:p>
        </w:tc>
      </w:tr>
      <w:tr>
        <w:trPr>
          <w:trHeight w:val="135"/>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the many factors involved in overseeing management of ADI’s global footprint</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80" w:type="dxa"/>
            <w:vAlign w:val="bottom"/>
            <w:tcBorders>
              <w:bottom w:val="single" w:sz="8" w:color="939598"/>
              <w:right w:val="single" w:sz="8" w:color="939598"/>
            </w:tcBorders>
          </w:tcPr>
          <w:p>
            <w:pPr>
              <w:spacing w:after="0"/>
              <w:rPr>
                <w:sz w:val="9"/>
                <w:szCs w:val="9"/>
                <w:color w:val="auto"/>
              </w:rPr>
            </w:pPr>
          </w:p>
        </w:tc>
        <w:tc>
          <w:tcPr>
            <w:tcW w:w="296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0067B3"/>
              </w:rPr>
              <w:t>Government Affairs, Public Policy: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35"/>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Expertise handling government affairs and public policy matters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80" w:type="dxa"/>
            <w:vAlign w:val="bottom"/>
            <w:tcBorders>
              <w:bottom w:val="single" w:sz="8" w:color="939598"/>
              <w:right w:val="single" w:sz="8" w:color="939598"/>
            </w:tcBorders>
          </w:tcPr>
          <w:p>
            <w:pPr>
              <w:spacing w:after="0"/>
              <w:rPr>
                <w:sz w:val="13"/>
                <w:szCs w:val="13"/>
                <w:color w:val="auto"/>
              </w:rPr>
            </w:pPr>
          </w:p>
        </w:tc>
        <w:tc>
          <w:tcPr>
            <w:tcW w:w="296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Strategy: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3"/>
              </w:rPr>
              <w:t>11/11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in the development and implementation of strategic priorities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Risk Management, Regulatory, Compliance:</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2/11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risks facing ADI and a comprehensive approach to risk management</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Cybersecurity, Information Systems:</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25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Experience overseeing cybersecurity programs or possessing a deep understanding of cyber</w:t>
            </w: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threats to organizations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Mergers and Acquisitions:</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5/11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evaluating strategic transactions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80" w:type="dxa"/>
            <w:vAlign w:val="bottom"/>
            <w:tcBorders>
              <w:bottom w:val="single" w:sz="8" w:color="939598"/>
              <w:right w:val="single" w:sz="8" w:color="939598"/>
            </w:tcBorders>
          </w:tcPr>
          <w:p>
            <w:pPr>
              <w:spacing w:after="0"/>
              <w:rPr>
                <w:sz w:val="12"/>
                <w:szCs w:val="12"/>
                <w:color w:val="auto"/>
              </w:rPr>
            </w:pPr>
          </w:p>
        </w:tc>
        <w:tc>
          <w:tcPr>
            <w:tcW w:w="296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ESG (Including Sustainability, Human Capital, Human Rights, and Diversity):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4/11</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ESG topics impacting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0067B3"/>
              <w:right w:val="single" w:sz="8" w:color="939598"/>
            </w:tcBorders>
          </w:tcPr>
          <w:p>
            <w:pPr>
              <w:spacing w:after="0"/>
              <w:rPr>
                <w:sz w:val="7"/>
                <w:szCs w:val="7"/>
                <w:color w:val="auto"/>
              </w:rPr>
            </w:pPr>
          </w:p>
        </w:tc>
        <w:tc>
          <w:tcPr>
            <w:tcW w:w="2960" w:type="dxa"/>
            <w:vAlign w:val="bottom"/>
            <w:tcBorders>
              <w:bottom w:val="single" w:sz="8" w:color="0067B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-5828665</wp:posOffset>
            </wp:positionV>
            <wp:extent cx="257175"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-5751830</wp:posOffset>
            </wp:positionV>
            <wp:extent cx="1183005"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-5374640</wp:posOffset>
            </wp:positionV>
            <wp:extent cx="257175" cy="248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-5297170</wp:posOffset>
            </wp:positionV>
            <wp:extent cx="1183005"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-4860290</wp:posOffset>
            </wp:positionV>
            <wp:extent cx="257175"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-4774565</wp:posOffset>
            </wp:positionV>
            <wp:extent cx="1183005"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-4328795</wp:posOffset>
            </wp:positionV>
            <wp:extent cx="257175"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-4251325</wp:posOffset>
            </wp:positionV>
            <wp:extent cx="1183005" cy="93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-3865880</wp:posOffset>
            </wp:positionV>
            <wp:extent cx="257175"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-3780155</wp:posOffset>
            </wp:positionV>
            <wp:extent cx="1183005"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-3402965</wp:posOffset>
            </wp:positionV>
            <wp:extent cx="257175"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-3317240</wp:posOffset>
            </wp:positionV>
            <wp:extent cx="1183005"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-2828290</wp:posOffset>
            </wp:positionV>
            <wp:extent cx="1183005"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-2408555</wp:posOffset>
            </wp:positionV>
            <wp:extent cx="18859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-2331085</wp:posOffset>
            </wp:positionV>
            <wp:extent cx="1183005"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-1953895</wp:posOffset>
            </wp:positionV>
            <wp:extent cx="25717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-1877060</wp:posOffset>
            </wp:positionV>
            <wp:extent cx="1183005"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-1465580</wp:posOffset>
            </wp:positionV>
            <wp:extent cx="20574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30861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-1353820</wp:posOffset>
            </wp:positionV>
            <wp:extent cx="1183005"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-908050</wp:posOffset>
            </wp:positionV>
            <wp:extent cx="257175" cy="317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175" cy="3175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-796925</wp:posOffset>
            </wp:positionV>
            <wp:extent cx="1183005"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-359410</wp:posOffset>
            </wp:positionV>
            <wp:extent cx="30861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861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-307975</wp:posOffset>
            </wp:positionV>
            <wp:extent cx="1183005"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83005" cy="93980"/>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16</w:t>
      </w:r>
    </w:p>
    <w:p>
      <w:pPr>
        <w:ind w:left="48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auto"/>
        </w:rPr>
        <w:t>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291465</wp:posOffset>
            </wp:positionV>
            <wp:extent cx="21463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3257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240030</wp:posOffset>
            </wp:positionV>
            <wp:extent cx="3608705" cy="428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08705" cy="42862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916940</wp:posOffset>
            </wp:positionV>
            <wp:extent cx="257175" cy="248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Executive Leadership</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60" w:type="dxa"/>
            <w:vAlign w:val="bottom"/>
            <w:tcBorders>
              <w:bottom w:val="single" w:sz="8" w:color="939598"/>
            </w:tcBorders>
          </w:tcPr>
          <w:p>
            <w:pPr>
              <w:spacing w:after="0"/>
              <w:rPr>
                <w:sz w:val="20"/>
                <w:szCs w:val="20"/>
                <w:color w:val="auto"/>
              </w:rPr>
            </w:pPr>
          </w:p>
        </w:tc>
        <w:tc>
          <w:tcPr>
            <w:tcW w:w="4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Industry</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20" w:type="dxa"/>
            <w:vAlign w:val="bottom"/>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60" w:type="dxa"/>
            <w:vAlign w:val="bottom"/>
            <w:tcBorders>
              <w:bottom w:val="single" w:sz="8" w:color="939598"/>
            </w:tcBorders>
          </w:tcPr>
          <w:p>
            <w:pPr>
              <w:spacing w:after="0"/>
              <w:rPr>
                <w:sz w:val="20"/>
                <w:szCs w:val="20"/>
                <w:color w:val="auto"/>
              </w:rPr>
            </w:pPr>
          </w:p>
        </w:tc>
        <w:tc>
          <w:tcPr>
            <w:tcW w:w="4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Innovation and Emerging Technologies</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20" w:type="dxa"/>
            <w:vAlign w:val="bottom"/>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1"/>
        </w:trPr>
        <w:tc>
          <w:tcPr>
            <w:tcW w:w="46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60" w:type="dxa"/>
            <w:vAlign w:val="bottom"/>
            <w:tcBorders>
              <w:bottom w:val="single" w:sz="8" w:color="939598"/>
            </w:tcBorders>
          </w:tcPr>
          <w:p>
            <w:pPr>
              <w:spacing w:after="0"/>
              <w:rPr>
                <w:sz w:val="21"/>
                <w:szCs w:val="21"/>
                <w:color w:val="auto"/>
              </w:rPr>
            </w:pPr>
          </w:p>
        </w:tc>
        <w:tc>
          <w:tcPr>
            <w:tcW w:w="42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Corporate Governance/Public Company Board</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60" w:type="dxa"/>
            <w:vAlign w:val="bottom"/>
            <w:tcBorders>
              <w:bottom w:val="single" w:sz="8" w:color="939598"/>
            </w:tcBorders>
          </w:tcPr>
          <w:p>
            <w:pPr>
              <w:spacing w:after="0"/>
              <w:rPr>
                <w:sz w:val="21"/>
                <w:szCs w:val="21"/>
                <w:color w:val="auto"/>
              </w:rPr>
            </w:pPr>
          </w:p>
        </w:tc>
        <w:tc>
          <w:tcPr>
            <w:tcW w:w="42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Financial, Accounting, Auditing</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60" w:type="dxa"/>
            <w:vAlign w:val="bottom"/>
            <w:tcBorders>
              <w:bottom w:val="single" w:sz="8" w:color="939598"/>
            </w:tcBorders>
          </w:tcPr>
          <w:p>
            <w:pPr>
              <w:spacing w:after="0"/>
              <w:rPr>
                <w:sz w:val="21"/>
                <w:szCs w:val="21"/>
                <w:color w:val="auto"/>
              </w:rPr>
            </w:pPr>
          </w:p>
        </w:tc>
        <w:tc>
          <w:tcPr>
            <w:tcW w:w="42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International, Large Scale Global</w:t>
            </w:r>
          </w:p>
        </w:tc>
        <w:tc>
          <w:tcPr>
            <w:tcW w:w="660" w:type="dxa"/>
            <w:vAlign w:val="bottom"/>
            <w:vMerge w:val="restart"/>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20" w:type="dxa"/>
            <w:vAlign w:val="bottom"/>
            <w:vMerge w:val="restart"/>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89"/>
        </w:trPr>
        <w:tc>
          <w:tcPr>
            <w:tcW w:w="46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Operations, Manufacturing</w:t>
            </w: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40" w:type="dxa"/>
            <w:vAlign w:val="bottom"/>
            <w:tcBorders>
              <w:bottom w:val="single" w:sz="8" w:color="939598"/>
            </w:tcBorders>
          </w:tcPr>
          <w:p>
            <w:pPr>
              <w:spacing w:after="0"/>
              <w:rPr>
                <w:sz w:val="12"/>
                <w:szCs w:val="12"/>
                <w:color w:val="auto"/>
              </w:rPr>
            </w:pPr>
          </w:p>
        </w:tc>
        <w:tc>
          <w:tcPr>
            <w:tcW w:w="66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5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5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42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Government Affairs, Public Policy</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60" w:type="dxa"/>
            <w:vAlign w:val="bottom"/>
            <w:tcBorders>
              <w:bottom w:val="single" w:sz="8" w:color="939598"/>
            </w:tcBorders>
          </w:tcPr>
          <w:p>
            <w:pPr>
              <w:spacing w:after="0"/>
              <w:rPr>
                <w:sz w:val="24"/>
                <w:szCs w:val="24"/>
                <w:color w:val="auto"/>
              </w:rPr>
            </w:pPr>
          </w:p>
        </w:tc>
        <w:tc>
          <w:tcPr>
            <w:tcW w:w="4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Strategy</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20" w:type="dxa"/>
            <w:vAlign w:val="bottom"/>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60" w:type="dxa"/>
            <w:vAlign w:val="bottom"/>
            <w:tcBorders>
              <w:bottom w:val="single" w:sz="8" w:color="939598"/>
            </w:tcBorders>
          </w:tcPr>
          <w:p>
            <w:pPr>
              <w:spacing w:after="0"/>
              <w:rPr>
                <w:sz w:val="20"/>
                <w:szCs w:val="20"/>
                <w:color w:val="auto"/>
              </w:rPr>
            </w:pPr>
          </w:p>
        </w:tc>
        <w:tc>
          <w:tcPr>
            <w:tcW w:w="4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Risk Management, Regulatory, Compliance</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60" w:type="dxa"/>
            <w:vAlign w:val="bottom"/>
            <w:tcBorders>
              <w:bottom w:val="single" w:sz="8" w:color="939598"/>
            </w:tcBorders>
          </w:tcPr>
          <w:p>
            <w:pPr>
              <w:spacing w:after="0"/>
              <w:rPr>
                <w:sz w:val="20"/>
                <w:szCs w:val="20"/>
                <w:color w:val="auto"/>
              </w:rPr>
            </w:pPr>
          </w:p>
        </w:tc>
        <w:tc>
          <w:tcPr>
            <w:tcW w:w="4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Cybersecurity, Information Systems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91"/>
        </w:trPr>
        <w:tc>
          <w:tcPr>
            <w:tcW w:w="46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60" w:type="dxa"/>
            <w:vAlign w:val="bottom"/>
            <w:tcBorders>
              <w:bottom w:val="single" w:sz="8" w:color="939598"/>
            </w:tcBorders>
          </w:tcPr>
          <w:p>
            <w:pPr>
              <w:spacing w:after="0"/>
              <w:rPr>
                <w:sz w:val="24"/>
                <w:szCs w:val="24"/>
                <w:color w:val="auto"/>
              </w:rPr>
            </w:pPr>
          </w:p>
        </w:tc>
        <w:tc>
          <w:tcPr>
            <w:tcW w:w="4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Mergers and Acquisitions</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60" w:type="dxa"/>
            <w:vAlign w:val="bottom"/>
            <w:tcBorders>
              <w:bottom w:val="single" w:sz="8" w:color="939598"/>
            </w:tcBorders>
          </w:tcPr>
          <w:p>
            <w:pPr>
              <w:spacing w:after="0"/>
              <w:rPr>
                <w:sz w:val="24"/>
                <w:szCs w:val="24"/>
                <w:color w:val="auto"/>
              </w:rPr>
            </w:pPr>
          </w:p>
        </w:tc>
        <w:tc>
          <w:tcPr>
            <w:tcW w:w="4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640" w:type="dxa"/>
            <w:vAlign w:val="bottom"/>
          </w:tcPr>
          <w:p>
            <w:pPr>
              <w:ind w:left="760"/>
              <w:spacing w:after="0"/>
              <w:rPr>
                <w:sz w:val="20"/>
                <w:szCs w:val="20"/>
                <w:color w:val="auto"/>
              </w:rPr>
            </w:pPr>
            <w:r>
              <w:rPr>
                <w:rFonts w:ascii="Arial" w:cs="Arial" w:eastAsia="Arial" w:hAnsi="Arial"/>
                <w:sz w:val="16"/>
                <w:szCs w:val="16"/>
                <w:b w:val="1"/>
                <w:bCs w:val="1"/>
                <w:color w:val="auto"/>
              </w:rPr>
              <w:t>ESG (including Sustainability, Human Capital,</w:t>
            </w:r>
          </w:p>
        </w:tc>
        <w:tc>
          <w:tcPr>
            <w:tcW w:w="66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6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Human Rights, and Diversity)</w:t>
            </w:r>
          </w:p>
        </w:tc>
        <w:tc>
          <w:tcPr>
            <w:tcW w:w="6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006DB3"/>
            </w:tcBorders>
          </w:tcPr>
          <w:p>
            <w:pPr>
              <w:spacing w:after="0"/>
              <w:rPr>
                <w:sz w:val="10"/>
                <w:szCs w:val="10"/>
                <w:color w:val="auto"/>
              </w:rPr>
            </w:pPr>
          </w:p>
        </w:tc>
        <w:tc>
          <w:tcPr>
            <w:tcW w:w="660" w:type="dxa"/>
            <w:vAlign w:val="bottom"/>
            <w:tcBorders>
              <w:bottom w:val="single" w:sz="8" w:color="006DB3"/>
            </w:tcBorders>
          </w:tcPr>
          <w:p>
            <w:pPr>
              <w:spacing w:after="0"/>
              <w:rPr>
                <w:sz w:val="10"/>
                <w:szCs w:val="10"/>
                <w:color w:val="auto"/>
              </w:rPr>
            </w:pPr>
          </w:p>
        </w:tc>
        <w:tc>
          <w:tcPr>
            <w:tcW w:w="600" w:type="dxa"/>
            <w:vAlign w:val="bottom"/>
            <w:tcBorders>
              <w:bottom w:val="single" w:sz="8" w:color="006DB3"/>
            </w:tcBorders>
          </w:tcPr>
          <w:p>
            <w:pPr>
              <w:spacing w:after="0"/>
              <w:rPr>
                <w:sz w:val="10"/>
                <w:szCs w:val="10"/>
                <w:color w:val="auto"/>
              </w:rPr>
            </w:pPr>
          </w:p>
        </w:tc>
        <w:tc>
          <w:tcPr>
            <w:tcW w:w="580" w:type="dxa"/>
            <w:vAlign w:val="bottom"/>
            <w:tcBorders>
              <w:bottom w:val="single" w:sz="8" w:color="006DB3"/>
            </w:tcBorders>
          </w:tcPr>
          <w:p>
            <w:pPr>
              <w:spacing w:after="0"/>
              <w:rPr>
                <w:sz w:val="10"/>
                <w:szCs w:val="10"/>
                <w:color w:val="auto"/>
              </w:rPr>
            </w:pPr>
          </w:p>
        </w:tc>
        <w:tc>
          <w:tcPr>
            <w:tcW w:w="600" w:type="dxa"/>
            <w:vAlign w:val="bottom"/>
            <w:tcBorders>
              <w:bottom w:val="single" w:sz="8" w:color="006DB3"/>
            </w:tcBorders>
          </w:tcPr>
          <w:p>
            <w:pPr>
              <w:spacing w:after="0"/>
              <w:rPr>
                <w:sz w:val="10"/>
                <w:szCs w:val="10"/>
                <w:color w:val="auto"/>
              </w:rPr>
            </w:pPr>
          </w:p>
        </w:tc>
        <w:tc>
          <w:tcPr>
            <w:tcW w:w="600" w:type="dxa"/>
            <w:vAlign w:val="bottom"/>
            <w:tcBorders>
              <w:bottom w:val="single" w:sz="8" w:color="006DB3"/>
            </w:tcBorders>
          </w:tcPr>
          <w:p>
            <w:pPr>
              <w:spacing w:after="0"/>
              <w:rPr>
                <w:sz w:val="10"/>
                <w:szCs w:val="10"/>
                <w:color w:val="auto"/>
              </w:rPr>
            </w:pPr>
          </w:p>
        </w:tc>
        <w:tc>
          <w:tcPr>
            <w:tcW w:w="580" w:type="dxa"/>
            <w:vAlign w:val="bottom"/>
            <w:tcBorders>
              <w:bottom w:val="single" w:sz="8" w:color="006DB3"/>
            </w:tcBorders>
          </w:tcPr>
          <w:p>
            <w:pPr>
              <w:spacing w:after="0"/>
              <w:rPr>
                <w:sz w:val="10"/>
                <w:szCs w:val="10"/>
                <w:color w:val="auto"/>
              </w:rPr>
            </w:pPr>
          </w:p>
        </w:tc>
        <w:tc>
          <w:tcPr>
            <w:tcW w:w="600" w:type="dxa"/>
            <w:vAlign w:val="bottom"/>
            <w:tcBorders>
              <w:bottom w:val="single" w:sz="8" w:color="006DB3"/>
            </w:tcBorders>
          </w:tcPr>
          <w:p>
            <w:pPr>
              <w:spacing w:after="0"/>
              <w:rPr>
                <w:sz w:val="10"/>
                <w:szCs w:val="10"/>
                <w:color w:val="auto"/>
              </w:rPr>
            </w:pPr>
          </w:p>
        </w:tc>
        <w:tc>
          <w:tcPr>
            <w:tcW w:w="1960" w:type="dxa"/>
            <w:vAlign w:val="bottom"/>
            <w:tcBorders>
              <w:bottom w:val="single" w:sz="8" w:color="006DB3"/>
            </w:tcBorders>
            <w:gridSpan w:val="3"/>
          </w:tcPr>
          <w:p>
            <w:pPr>
              <w:spacing w:after="0"/>
              <w:rPr>
                <w:sz w:val="10"/>
                <w:szCs w:val="10"/>
                <w:color w:val="auto"/>
              </w:rPr>
            </w:pPr>
          </w:p>
        </w:tc>
        <w:tc>
          <w:tcPr>
            <w:tcW w:w="420" w:type="dxa"/>
            <w:vAlign w:val="bottom"/>
            <w:tcBorders>
              <w:bottom w:val="single" w:sz="8" w:color="006DB3"/>
            </w:tcBorders>
          </w:tcPr>
          <w:p>
            <w:pPr>
              <w:spacing w:after="0"/>
              <w:rPr>
                <w:sz w:val="10"/>
                <w:szCs w:val="10"/>
                <w:color w:val="auto"/>
              </w:rPr>
            </w:pPr>
          </w:p>
        </w:tc>
        <w:tc>
          <w:tcPr>
            <w:tcW w:w="0" w:type="dxa"/>
            <w:vAlign w:val="bottom"/>
          </w:tcPr>
          <w:p>
            <w:pPr>
              <w:spacing w:after="0"/>
              <w:rPr>
                <w:sz w:val="1"/>
                <w:szCs w:val="1"/>
                <w:color w:val="auto"/>
              </w:rPr>
            </w:pPr>
          </w:p>
        </w:tc>
      </w:tr>
      <w:tr>
        <w:trPr>
          <w:trHeight w:val="715"/>
        </w:trPr>
        <w:tc>
          <w:tcPr>
            <w:tcW w:w="4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3"/>
          </w:tcPr>
          <w:p>
            <w:pPr>
              <w:ind w:left="300"/>
              <w:spacing w:after="0"/>
              <w:rPr>
                <w:sz w:val="20"/>
                <w:szCs w:val="20"/>
                <w:color w:val="auto"/>
              </w:rPr>
            </w:pPr>
            <w:r>
              <w:rPr>
                <w:rFonts w:ascii="Arial" w:cs="Arial" w:eastAsia="Arial" w:hAnsi="Arial"/>
                <w:sz w:val="16"/>
                <w:szCs w:val="16"/>
                <w:color w:val="0067B3"/>
              </w:rPr>
              <w:t>2024 Proxy Statement</w:t>
            </w:r>
          </w:p>
        </w:tc>
        <w:tc>
          <w:tcPr>
            <w:tcW w:w="420" w:type="dxa"/>
            <w:vAlign w:val="bottom"/>
          </w:tcPr>
          <w:p>
            <w:pPr>
              <w:ind w:left="180"/>
              <w:spacing w:after="0"/>
              <w:rPr>
                <w:sz w:val="20"/>
                <w:szCs w:val="20"/>
                <w:color w:val="auto"/>
              </w:rPr>
            </w:pPr>
            <w:r>
              <w:rPr>
                <w:rFonts w:ascii="Arial" w:cs="Arial" w:eastAsia="Arial" w:hAnsi="Arial"/>
                <w:sz w:val="20"/>
                <w:szCs w:val="20"/>
                <w:b w:val="1"/>
                <w:bCs w:val="1"/>
                <w:color w:val="auto"/>
                <w:w w:val="98"/>
              </w:rPr>
              <w:t>17</w:t>
            </w:r>
          </w:p>
        </w:tc>
        <w:tc>
          <w:tcPr>
            <w:tcW w:w="0" w:type="dxa"/>
            <w:vAlign w:val="bottom"/>
          </w:tcPr>
          <w:p>
            <w:pPr>
              <w:spacing w:after="0"/>
              <w:rPr>
                <w:sz w:val="1"/>
                <w:szCs w:val="1"/>
                <w:color w:val="auto"/>
              </w:rPr>
            </w:pPr>
          </w:p>
        </w:tc>
      </w:tr>
      <w:tr>
        <w:trPr>
          <w:trHeight w:val="433"/>
        </w:trPr>
        <w:tc>
          <w:tcPr>
            <w:tcW w:w="4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-5871845</wp:posOffset>
            </wp:positionV>
            <wp:extent cx="257175" cy="248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-5417185</wp:posOffset>
            </wp:positionV>
            <wp:extent cx="25717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-4954270</wp:posOffset>
            </wp:positionV>
            <wp:extent cx="25717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-4491355</wp:posOffset>
            </wp:positionV>
            <wp:extent cx="25717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-4028440</wp:posOffset>
            </wp:positionV>
            <wp:extent cx="25717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-3034030</wp:posOffset>
            </wp:positionV>
            <wp:extent cx="18859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-2588260</wp:posOffset>
            </wp:positionV>
            <wp:extent cx="25717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-2142490</wp:posOffset>
            </wp:positionV>
            <wp:extent cx="205740"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3086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-1628140</wp:posOffset>
            </wp:positionV>
            <wp:extent cx="257175" cy="31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 cy="31750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-1088390</wp:posOffset>
            </wp:positionV>
            <wp:extent cx="30861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8610" cy="18859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auto"/>
        </w:rPr>
        <w:t>Board Diversity Matrix (as of January 19,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TOTAL NUMBER OF DIRECTORS: 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0" w:type="dxa"/>
            <w:vAlign w:val="bottom"/>
            <w:tcBorders>
              <w:right w:val="single" w:sz="8" w:color="0067B3"/>
            </w:tcBorders>
            <w:shd w:val="clear" w:color="auto" w:fill="0067B3"/>
          </w:tcPr>
          <w:p>
            <w:pPr>
              <w:spacing w:after="0"/>
              <w:rPr>
                <w:sz w:val="17"/>
                <w:szCs w:val="17"/>
                <w:color w:val="auto"/>
              </w:rPr>
            </w:pPr>
          </w:p>
        </w:tc>
        <w:tc>
          <w:tcPr>
            <w:tcW w:w="1420" w:type="dxa"/>
            <w:vAlign w:val="bottom"/>
            <w:tcBorders>
              <w:right w:val="single" w:sz="8" w:color="0067B3"/>
            </w:tcBorders>
            <w:shd w:val="clear" w:color="auto" w:fill="0067B3"/>
          </w:tcPr>
          <w:p>
            <w:pPr>
              <w:spacing w:after="0"/>
              <w:rPr>
                <w:sz w:val="17"/>
                <w:szCs w:val="17"/>
                <w:color w:val="auto"/>
              </w:rPr>
            </w:pPr>
          </w:p>
        </w:tc>
        <w:tc>
          <w:tcPr>
            <w:tcW w:w="1300" w:type="dxa"/>
            <w:vAlign w:val="bottom"/>
            <w:tcBorders>
              <w:right w:val="single" w:sz="8" w:color="0067B3"/>
            </w:tcBorders>
            <w:shd w:val="clear" w:color="auto" w:fill="0067B3"/>
          </w:tcPr>
          <w:p>
            <w:pPr>
              <w:spacing w:after="0"/>
              <w:rPr>
                <w:sz w:val="17"/>
                <w:szCs w:val="17"/>
                <w:color w:val="auto"/>
              </w:rPr>
            </w:pPr>
          </w:p>
        </w:tc>
        <w:tc>
          <w:tcPr>
            <w:tcW w:w="1320" w:type="dxa"/>
            <w:vAlign w:val="bottom"/>
            <w:tcBorders>
              <w:right w:val="single" w:sz="8" w:color="0067B3"/>
            </w:tcBorders>
            <w:shd w:val="clear" w:color="auto" w:fill="0067B3"/>
          </w:tcPr>
          <w:p>
            <w:pPr>
              <w:spacing w:after="0"/>
              <w:rPr>
                <w:sz w:val="17"/>
                <w:szCs w:val="17"/>
                <w:color w:val="auto"/>
              </w:rPr>
            </w:pP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Did Not</w:t>
            </w:r>
          </w:p>
        </w:tc>
      </w:tr>
      <w:tr>
        <w:trPr>
          <w:trHeight w:val="203"/>
        </w:trPr>
        <w:tc>
          <w:tcPr>
            <w:tcW w:w="6000" w:type="dxa"/>
            <w:vAlign w:val="bottom"/>
            <w:tcBorders>
              <w:right w:val="single" w:sz="8" w:color="0067B3"/>
            </w:tcBorders>
            <w:shd w:val="clear" w:color="auto" w:fill="0067B3"/>
          </w:tcPr>
          <w:p>
            <w:pPr>
              <w:spacing w:after="0"/>
              <w:rPr>
                <w:sz w:val="17"/>
                <w:szCs w:val="17"/>
                <w:color w:val="auto"/>
              </w:rPr>
            </w:pPr>
          </w:p>
        </w:tc>
        <w:tc>
          <w:tcPr>
            <w:tcW w:w="1420" w:type="dxa"/>
            <w:vAlign w:val="bottom"/>
            <w:tcBorders>
              <w:right w:val="single" w:sz="8" w:color="0067B3"/>
            </w:tcBorders>
            <w:shd w:val="clear" w:color="auto" w:fill="0067B3"/>
          </w:tcPr>
          <w:p>
            <w:pPr>
              <w:spacing w:after="0"/>
              <w:rPr>
                <w:sz w:val="17"/>
                <w:szCs w:val="17"/>
                <w:color w:val="auto"/>
              </w:rPr>
            </w:pPr>
          </w:p>
        </w:tc>
        <w:tc>
          <w:tcPr>
            <w:tcW w:w="1300" w:type="dxa"/>
            <w:vAlign w:val="bottom"/>
            <w:tcBorders>
              <w:right w:val="single" w:sz="8" w:color="0067B3"/>
            </w:tcBorders>
            <w:shd w:val="clear" w:color="auto" w:fill="0067B3"/>
          </w:tcPr>
          <w:p>
            <w:pPr>
              <w:spacing w:after="0"/>
              <w:rPr>
                <w:sz w:val="17"/>
                <w:szCs w:val="17"/>
                <w:color w:val="auto"/>
              </w:rPr>
            </w:pPr>
          </w:p>
        </w:tc>
        <w:tc>
          <w:tcPr>
            <w:tcW w:w="1320" w:type="dxa"/>
            <w:vAlign w:val="bottom"/>
            <w:tcBorders>
              <w:right w:val="single" w:sz="8" w:color="0067B3"/>
            </w:tcBorders>
            <w:shd w:val="clear" w:color="auto" w:fill="0067B3"/>
          </w:tcPr>
          <w:p>
            <w:pPr>
              <w:spacing w:after="0"/>
              <w:rPr>
                <w:sz w:val="17"/>
                <w:szCs w:val="17"/>
                <w:color w:val="auto"/>
              </w:rPr>
            </w:pP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Disclose</w:t>
            </w:r>
          </w:p>
        </w:tc>
      </w:tr>
      <w:tr>
        <w:trPr>
          <w:trHeight w:val="224"/>
        </w:trPr>
        <w:tc>
          <w:tcPr>
            <w:tcW w:w="6000" w:type="dxa"/>
            <w:vAlign w:val="bottom"/>
            <w:tcBorders>
              <w:bottom w:val="single" w:sz="8" w:color="0067B3"/>
              <w:right w:val="single" w:sz="8" w:color="0067B3"/>
            </w:tcBorders>
            <w:shd w:val="clear" w:color="auto" w:fill="0067B3"/>
          </w:tcPr>
          <w:p>
            <w:pPr>
              <w:spacing w:after="0"/>
              <w:rPr>
                <w:sz w:val="19"/>
                <w:szCs w:val="19"/>
                <w:color w:val="auto"/>
              </w:rPr>
            </w:pPr>
          </w:p>
        </w:tc>
        <w:tc>
          <w:tcPr>
            <w:tcW w:w="1420" w:type="dxa"/>
            <w:vAlign w:val="bottom"/>
            <w:tcBorders>
              <w:bottom w:val="single" w:sz="8" w:color="0067B3"/>
              <w:right w:val="single" w:sz="8" w:color="0067B3"/>
            </w:tcBorders>
            <w:shd w:val="clear" w:color="auto" w:fill="0067B3"/>
          </w:tcPr>
          <w:p>
            <w:pPr>
              <w:ind w:left="420"/>
              <w:spacing w:after="0"/>
              <w:rPr>
                <w:sz w:val="20"/>
                <w:szCs w:val="20"/>
                <w:color w:val="auto"/>
              </w:rPr>
            </w:pPr>
            <w:r>
              <w:rPr>
                <w:rFonts w:ascii="Arial" w:cs="Arial" w:eastAsia="Arial" w:hAnsi="Arial"/>
                <w:sz w:val="16"/>
                <w:szCs w:val="16"/>
                <w:b w:val="1"/>
                <w:bCs w:val="1"/>
                <w:color w:val="FFFFFF"/>
              </w:rPr>
              <w:t>Female</w:t>
            </w:r>
          </w:p>
        </w:tc>
        <w:tc>
          <w:tcPr>
            <w:tcW w:w="1300" w:type="dxa"/>
            <w:vAlign w:val="bottom"/>
            <w:tcBorders>
              <w:bottom w:val="single" w:sz="8" w:color="0067B3"/>
              <w:right w:val="single" w:sz="8" w:color="0067B3"/>
            </w:tcBorders>
            <w:shd w:val="clear" w:color="auto" w:fill="0067B3"/>
          </w:tcPr>
          <w:p>
            <w:pPr>
              <w:ind w:left="440"/>
              <w:spacing w:after="0"/>
              <w:rPr>
                <w:sz w:val="20"/>
                <w:szCs w:val="20"/>
                <w:color w:val="auto"/>
              </w:rPr>
            </w:pPr>
            <w:r>
              <w:rPr>
                <w:rFonts w:ascii="Arial" w:cs="Arial" w:eastAsia="Arial" w:hAnsi="Arial"/>
                <w:sz w:val="16"/>
                <w:szCs w:val="16"/>
                <w:b w:val="1"/>
                <w:bCs w:val="1"/>
                <w:color w:val="FFFFFF"/>
              </w:rPr>
              <w:t>Male</w:t>
            </w:r>
          </w:p>
        </w:tc>
        <w:tc>
          <w:tcPr>
            <w:tcW w:w="1320" w:type="dxa"/>
            <w:vAlign w:val="bottom"/>
            <w:tcBorders>
              <w:bottom w:val="single" w:sz="8" w:color="0067B3"/>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Non-Binary</w:t>
            </w:r>
          </w:p>
        </w:tc>
        <w:tc>
          <w:tcPr>
            <w:tcW w:w="1200" w:type="dxa"/>
            <w:vAlign w:val="bottom"/>
            <w:tcBorders>
              <w:bottom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Gender</w:t>
            </w:r>
          </w:p>
        </w:tc>
      </w:tr>
      <w:tr>
        <w:trPr>
          <w:trHeight w:val="263"/>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 Gender Identity</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00" w:type="dxa"/>
            <w:vAlign w:val="bottom"/>
            <w:tcBorders>
              <w:bottom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Directors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4</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9</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57"/>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II: Demographic Background</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00" w:type="dxa"/>
            <w:vAlign w:val="bottom"/>
            <w:tcBorders>
              <w:bottom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African American or Black</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Alaskan Native or Native American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Asian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Hispanic or Latinx</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Native Hawaiian or Pacific Islander</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White</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2</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7</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Two or More Races or Ethnicities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LGBTQ+</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0067B3"/>
              <w:right w:val="single" w:sz="8" w:color="939598"/>
            </w:tcBorders>
          </w:tcPr>
          <w:p>
            <w:pPr>
              <w:spacing w:after="0"/>
              <w:rPr>
                <w:sz w:val="2"/>
                <w:szCs w:val="2"/>
                <w:color w:val="auto"/>
              </w:rPr>
            </w:pPr>
          </w:p>
        </w:tc>
        <w:tc>
          <w:tcPr>
            <w:tcW w:w="1420" w:type="dxa"/>
            <w:vAlign w:val="bottom"/>
            <w:tcBorders>
              <w:bottom w:val="single" w:sz="8" w:color="0067B3"/>
              <w:right w:val="single" w:sz="8" w:color="939598"/>
            </w:tcBorders>
          </w:tcPr>
          <w:p>
            <w:pPr>
              <w:spacing w:after="0"/>
              <w:rPr>
                <w:sz w:val="2"/>
                <w:szCs w:val="2"/>
                <w:color w:val="auto"/>
              </w:rPr>
            </w:pPr>
          </w:p>
        </w:tc>
        <w:tc>
          <w:tcPr>
            <w:tcW w:w="1300" w:type="dxa"/>
            <w:vAlign w:val="bottom"/>
            <w:tcBorders>
              <w:bottom w:val="single" w:sz="8" w:color="0067B3"/>
              <w:right w:val="single" w:sz="8" w:color="939598"/>
            </w:tcBorders>
          </w:tcPr>
          <w:p>
            <w:pPr>
              <w:spacing w:after="0"/>
              <w:rPr>
                <w:sz w:val="2"/>
                <w:szCs w:val="2"/>
                <w:color w:val="auto"/>
              </w:rPr>
            </w:pPr>
          </w:p>
        </w:tc>
        <w:tc>
          <w:tcPr>
            <w:tcW w:w="1320" w:type="dxa"/>
            <w:vAlign w:val="bottom"/>
            <w:tcBorders>
              <w:bottom w:val="single" w:sz="8" w:color="0067B3"/>
              <w:right w:val="single" w:sz="8" w:color="939598"/>
            </w:tcBorders>
          </w:tcPr>
          <w:p>
            <w:pPr>
              <w:spacing w:after="0"/>
              <w:rPr>
                <w:sz w:val="2"/>
                <w:szCs w:val="2"/>
                <w:color w:val="auto"/>
              </w:rPr>
            </w:pPr>
          </w:p>
        </w:tc>
        <w:tc>
          <w:tcPr>
            <w:tcW w:w="120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Board Diversity Matrix as of January 20, 2023 can be found in the proxy statement for our 2023 Annual Meeting of Shareholders, filed with the SEC on January 20, 2023 (2023 Proxy Statement).</w:t>
      </w:r>
    </w:p>
    <w:p>
      <w:pPr>
        <w:spacing w:after="0" w:line="22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Biographies</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director nominee. The information presented includes information each director nominee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director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Further, they each have demonstrated business acumen and an ability to exercise sound judgment, as well as a commitment of service to ADI and our Board of Directors. Finally, we value their significant experience on other public company boards of directors and board committees for providing our Board of Directors a range of views and a variety of best practices to consider.</w:t>
      </w:r>
    </w:p>
    <w:p>
      <w:pPr>
        <w:spacing w:after="0" w:line="7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Information about the number of shares of common stock beneficially owned by each director nominee appears below under the heading </w:t>
      </w:r>
      <w:r>
        <w:rPr>
          <w:rFonts w:ascii="Arial" w:cs="Arial" w:eastAsia="Arial" w:hAnsi="Arial"/>
          <w:sz w:val="18"/>
          <w:szCs w:val="18"/>
          <w:i w:val="1"/>
          <w:iCs w:val="1"/>
          <w:color w:val="auto"/>
        </w:rPr>
        <w:t>Security Ownership of Directors and Executive Officers</w:t>
      </w:r>
      <w:r>
        <w:rPr>
          <w:rFonts w:ascii="Arial" w:cs="Arial" w:eastAsia="Arial" w:hAnsi="Arial"/>
          <w:sz w:val="18"/>
          <w:szCs w:val="18"/>
          <w:color w:val="auto"/>
        </w:rPr>
        <w:t>. There are no family relationships among any of the directors and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40575" cy="29317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2931795"/>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67B3"/>
        </w:rPr>
        <w:t>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820" w:type="dxa"/>
            <w:vAlign w:val="bottom"/>
            <w:vMerge w:val="restart"/>
          </w:tcPr>
          <w:p>
            <w:pPr>
              <w:spacing w:after="0"/>
              <w:rPr>
                <w:sz w:val="20"/>
                <w:szCs w:val="20"/>
                <w:color w:val="auto"/>
              </w:rPr>
            </w:pPr>
            <w:r>
              <w:rPr>
                <w:rFonts w:ascii="Arial" w:cs="Arial" w:eastAsia="Arial" w:hAnsi="Arial"/>
                <w:sz w:val="14"/>
                <w:szCs w:val="14"/>
                <w:color w:val="auto"/>
              </w:rPr>
              <w:t>Executive Leadership</w:t>
            </w:r>
          </w:p>
        </w:tc>
        <w:tc>
          <w:tcPr>
            <w:tcW w:w="1960" w:type="dxa"/>
            <w:vAlign w:val="bottom"/>
            <w:vMerge w:val="restart"/>
          </w:tcPr>
          <w:p>
            <w:pPr>
              <w:ind w:left="200"/>
              <w:spacing w:after="0"/>
              <w:rPr>
                <w:sz w:val="20"/>
                <w:szCs w:val="20"/>
                <w:color w:val="auto"/>
              </w:rPr>
            </w:pPr>
            <w:r>
              <w:rPr>
                <w:rFonts w:ascii="Arial" w:cs="Arial" w:eastAsia="Arial" w:hAnsi="Arial"/>
                <w:sz w:val="14"/>
                <w:szCs w:val="14"/>
                <w:color w:val="auto"/>
              </w:rPr>
              <w:t>Industry</w:t>
            </w:r>
          </w:p>
        </w:tc>
        <w:tc>
          <w:tcPr>
            <w:tcW w:w="2340" w:type="dxa"/>
            <w:vAlign w:val="bottom"/>
            <w:vMerge w:val="restart"/>
          </w:tcPr>
          <w:p>
            <w:pPr>
              <w:ind w:left="480"/>
              <w:spacing w:after="0"/>
              <w:rPr>
                <w:sz w:val="20"/>
                <w:szCs w:val="20"/>
                <w:color w:val="auto"/>
              </w:rPr>
            </w:pPr>
            <w:r>
              <w:rPr>
                <w:rFonts w:ascii="Arial" w:cs="Arial" w:eastAsia="Arial" w:hAnsi="Arial"/>
                <w:sz w:val="14"/>
                <w:szCs w:val="14"/>
                <w:color w:val="auto"/>
              </w:rPr>
              <w:t>Innovation and</w:t>
            </w:r>
          </w:p>
        </w:tc>
        <w:tc>
          <w:tcPr>
            <w:tcW w:w="2460" w:type="dxa"/>
            <w:vAlign w:val="bottom"/>
          </w:tcPr>
          <w:p>
            <w:pPr>
              <w:ind w:left="380"/>
              <w:spacing w:after="0"/>
              <w:rPr>
                <w:sz w:val="20"/>
                <w:szCs w:val="20"/>
                <w:color w:val="auto"/>
              </w:rPr>
            </w:pPr>
            <w:r>
              <w:rPr>
                <w:rFonts w:ascii="Arial" w:cs="Arial" w:eastAsia="Arial" w:hAnsi="Arial"/>
                <w:sz w:val="14"/>
                <w:szCs w:val="14"/>
                <w:color w:val="auto"/>
              </w:rPr>
              <w:t>Corporate</w:t>
            </w:r>
          </w:p>
        </w:tc>
        <w:tc>
          <w:tcPr>
            <w:tcW w:w="2160" w:type="dxa"/>
            <w:vAlign w:val="bottom"/>
            <w:vMerge w:val="restart"/>
          </w:tcPr>
          <w:p>
            <w:pPr>
              <w:ind w:left="180"/>
              <w:spacing w:after="0"/>
              <w:rPr>
                <w:sz w:val="20"/>
                <w:szCs w:val="20"/>
                <w:color w:val="auto"/>
              </w:rPr>
            </w:pPr>
            <w:r>
              <w:rPr>
                <w:rFonts w:ascii="Arial" w:cs="Arial" w:eastAsia="Arial" w:hAnsi="Arial"/>
                <w:sz w:val="14"/>
                <w:szCs w:val="14"/>
                <w:color w:val="auto"/>
              </w:rPr>
              <w:t>Financial, Accounting, Auditing</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2460" w:type="dxa"/>
            <w:vAlign w:val="bottom"/>
            <w:vMerge w:val="restart"/>
          </w:tcPr>
          <w:p>
            <w:pPr>
              <w:ind w:left="380"/>
              <w:spacing w:after="0"/>
              <w:rPr>
                <w:sz w:val="20"/>
                <w:szCs w:val="20"/>
                <w:color w:val="auto"/>
              </w:rPr>
            </w:pPr>
            <w:r>
              <w:rPr>
                <w:rFonts w:ascii="Arial" w:cs="Arial" w:eastAsia="Arial" w:hAnsi="Arial"/>
                <w:sz w:val="14"/>
                <w:szCs w:val="14"/>
                <w:color w:val="auto"/>
              </w:rPr>
              <w:t>Governance/Public Company</w:t>
            </w: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340" w:type="dxa"/>
            <w:vAlign w:val="bottom"/>
            <w:vMerge w:val="restart"/>
          </w:tcPr>
          <w:p>
            <w:pPr>
              <w:ind w:left="480"/>
              <w:spacing w:after="0"/>
              <w:rPr>
                <w:sz w:val="20"/>
                <w:szCs w:val="20"/>
                <w:color w:val="auto"/>
              </w:rPr>
            </w:pPr>
            <w:r>
              <w:rPr>
                <w:rFonts w:ascii="Arial" w:cs="Arial" w:eastAsia="Arial" w:hAnsi="Arial"/>
                <w:sz w:val="14"/>
                <w:szCs w:val="14"/>
                <w:color w:val="auto"/>
              </w:rPr>
              <w:t>Emerging Technologies</w:t>
            </w:r>
          </w:p>
        </w:tc>
        <w:tc>
          <w:tcPr>
            <w:tcW w:w="2460" w:type="dxa"/>
            <w:vAlign w:val="bottom"/>
            <w:vMerge w:val="continue"/>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460" w:type="dxa"/>
            <w:vAlign w:val="bottom"/>
            <w:vMerge w:val="restart"/>
          </w:tcPr>
          <w:p>
            <w:pPr>
              <w:ind w:left="380"/>
              <w:spacing w:after="0"/>
              <w:rPr>
                <w:sz w:val="20"/>
                <w:szCs w:val="20"/>
                <w:color w:val="auto"/>
              </w:rPr>
            </w:pPr>
            <w:r>
              <w:rPr>
                <w:rFonts w:ascii="Arial" w:cs="Arial" w:eastAsia="Arial" w:hAnsi="Arial"/>
                <w:sz w:val="14"/>
                <w:szCs w:val="14"/>
                <w:color w:val="auto"/>
              </w:rPr>
              <w:t>Board</w:t>
            </w: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2"/>
        </w:trPr>
        <w:tc>
          <w:tcPr>
            <w:tcW w:w="1820" w:type="dxa"/>
            <w:vAlign w:val="bottom"/>
          </w:tcPr>
          <w:p>
            <w:pPr>
              <w:spacing w:after="0"/>
              <w:rPr>
                <w:sz w:val="20"/>
                <w:szCs w:val="20"/>
                <w:color w:val="auto"/>
              </w:rPr>
            </w:pPr>
            <w:r>
              <w:rPr>
                <w:rFonts w:ascii="Arial" w:cs="Arial" w:eastAsia="Arial" w:hAnsi="Arial"/>
                <w:sz w:val="14"/>
                <w:szCs w:val="14"/>
                <w:color w:val="auto"/>
              </w:rPr>
              <w:t>International, Large Scale</w:t>
            </w:r>
          </w:p>
        </w:tc>
        <w:tc>
          <w:tcPr>
            <w:tcW w:w="1960" w:type="dxa"/>
            <w:vAlign w:val="bottom"/>
          </w:tcPr>
          <w:p>
            <w:pPr>
              <w:ind w:left="200"/>
              <w:spacing w:after="0"/>
              <w:rPr>
                <w:sz w:val="20"/>
                <w:szCs w:val="20"/>
                <w:color w:val="auto"/>
              </w:rPr>
            </w:pPr>
            <w:r>
              <w:rPr>
                <w:rFonts w:ascii="Arial" w:cs="Arial" w:eastAsia="Arial" w:hAnsi="Arial"/>
                <w:sz w:val="14"/>
                <w:szCs w:val="14"/>
                <w:color w:val="auto"/>
              </w:rPr>
              <w:t>Government Affairs,</w:t>
            </w:r>
          </w:p>
        </w:tc>
        <w:tc>
          <w:tcPr>
            <w:tcW w:w="2340" w:type="dxa"/>
            <w:vAlign w:val="bottom"/>
          </w:tcPr>
          <w:p>
            <w:pPr>
              <w:ind w:left="480"/>
              <w:spacing w:after="0"/>
              <w:rPr>
                <w:sz w:val="20"/>
                <w:szCs w:val="20"/>
                <w:color w:val="auto"/>
              </w:rPr>
            </w:pPr>
            <w:r>
              <w:rPr>
                <w:rFonts w:ascii="Arial" w:cs="Arial" w:eastAsia="Arial" w:hAnsi="Arial"/>
                <w:sz w:val="14"/>
                <w:szCs w:val="14"/>
                <w:color w:val="auto"/>
              </w:rPr>
              <w:t>Strategy</w:t>
            </w:r>
          </w:p>
        </w:tc>
        <w:tc>
          <w:tcPr>
            <w:tcW w:w="2460" w:type="dxa"/>
            <w:vAlign w:val="bottom"/>
          </w:tcPr>
          <w:p>
            <w:pPr>
              <w:ind w:left="380"/>
              <w:spacing w:after="0"/>
              <w:rPr>
                <w:sz w:val="20"/>
                <w:szCs w:val="20"/>
                <w:color w:val="auto"/>
              </w:rPr>
            </w:pPr>
            <w:r>
              <w:rPr>
                <w:rFonts w:ascii="Arial" w:cs="Arial" w:eastAsia="Arial" w:hAnsi="Arial"/>
                <w:sz w:val="14"/>
                <w:szCs w:val="14"/>
                <w:color w:val="auto"/>
              </w:rPr>
              <w:t>Risk Management,</w:t>
            </w:r>
          </w:p>
        </w:tc>
        <w:tc>
          <w:tcPr>
            <w:tcW w:w="2160" w:type="dxa"/>
            <w:vAlign w:val="bottom"/>
          </w:tcPr>
          <w:p>
            <w:pPr>
              <w:ind w:left="180"/>
              <w:spacing w:after="0"/>
              <w:rPr>
                <w:sz w:val="20"/>
                <w:szCs w:val="20"/>
                <w:color w:val="auto"/>
              </w:rPr>
            </w:pPr>
            <w:r>
              <w:rPr>
                <w:rFonts w:ascii="Arial" w:cs="Arial" w:eastAsia="Arial" w:hAnsi="Arial"/>
                <w:sz w:val="14"/>
                <w:szCs w:val="14"/>
                <w:color w:val="auto"/>
              </w:rPr>
              <w:t>Cybersecurity,</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Global Operations,</w:t>
            </w:r>
          </w:p>
        </w:tc>
        <w:tc>
          <w:tcPr>
            <w:tcW w:w="1960" w:type="dxa"/>
            <w:vAlign w:val="bottom"/>
          </w:tcPr>
          <w:p>
            <w:pPr>
              <w:ind w:left="200"/>
              <w:spacing w:after="0"/>
              <w:rPr>
                <w:sz w:val="20"/>
                <w:szCs w:val="20"/>
                <w:color w:val="auto"/>
              </w:rPr>
            </w:pPr>
            <w:r>
              <w:rPr>
                <w:rFonts w:ascii="Arial" w:cs="Arial" w:eastAsia="Arial" w:hAnsi="Arial"/>
                <w:sz w:val="14"/>
                <w:szCs w:val="14"/>
                <w:color w:val="auto"/>
              </w:rPr>
              <w:t>Public Policy</w:t>
            </w:r>
          </w:p>
        </w:tc>
        <w:tc>
          <w:tcPr>
            <w:tcW w:w="2340" w:type="dxa"/>
            <w:vAlign w:val="bottom"/>
          </w:tcPr>
          <w:p>
            <w:pPr>
              <w:spacing w:after="0"/>
              <w:rPr>
                <w:sz w:val="14"/>
                <w:szCs w:val="14"/>
                <w:color w:val="auto"/>
              </w:rPr>
            </w:pPr>
          </w:p>
        </w:tc>
        <w:tc>
          <w:tcPr>
            <w:tcW w:w="2460" w:type="dxa"/>
            <w:vAlign w:val="bottom"/>
          </w:tcPr>
          <w:p>
            <w:pPr>
              <w:ind w:left="380"/>
              <w:spacing w:after="0"/>
              <w:rPr>
                <w:sz w:val="20"/>
                <w:szCs w:val="20"/>
                <w:color w:val="auto"/>
              </w:rPr>
            </w:pPr>
            <w:r>
              <w:rPr>
                <w:rFonts w:ascii="Arial" w:cs="Arial" w:eastAsia="Arial" w:hAnsi="Arial"/>
                <w:sz w:val="14"/>
                <w:szCs w:val="14"/>
                <w:color w:val="auto"/>
              </w:rPr>
              <w:t>Regulatory, Compliance</w:t>
            </w:r>
          </w:p>
        </w:tc>
        <w:tc>
          <w:tcPr>
            <w:tcW w:w="2160" w:type="dxa"/>
            <w:vAlign w:val="bottom"/>
          </w:tcPr>
          <w:p>
            <w:pPr>
              <w:ind w:left="180"/>
              <w:spacing w:after="0"/>
              <w:rPr>
                <w:sz w:val="20"/>
                <w:szCs w:val="20"/>
                <w:color w:val="auto"/>
              </w:rPr>
            </w:pPr>
            <w:r>
              <w:rPr>
                <w:rFonts w:ascii="Arial" w:cs="Arial" w:eastAsia="Arial" w:hAnsi="Arial"/>
                <w:sz w:val="14"/>
                <w:szCs w:val="14"/>
                <w:color w:val="auto"/>
              </w:rPr>
              <w:t>Information Systems</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Manufacturing</w:t>
            </w:r>
          </w:p>
        </w:tc>
        <w:tc>
          <w:tcPr>
            <w:tcW w:w="19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1"/>
        </w:trPr>
        <w:tc>
          <w:tcPr>
            <w:tcW w:w="1820" w:type="dxa"/>
            <w:vAlign w:val="bottom"/>
          </w:tcPr>
          <w:p>
            <w:pPr>
              <w:spacing w:after="0"/>
              <w:rPr>
                <w:sz w:val="20"/>
                <w:szCs w:val="20"/>
                <w:color w:val="auto"/>
              </w:rPr>
            </w:pPr>
            <w:r>
              <w:rPr>
                <w:rFonts w:ascii="Arial" w:cs="Arial" w:eastAsia="Arial" w:hAnsi="Arial"/>
                <w:sz w:val="14"/>
                <w:szCs w:val="14"/>
                <w:color w:val="auto"/>
              </w:rPr>
              <w:t>Mergers and Acquisitions</w:t>
            </w:r>
          </w:p>
        </w:tc>
        <w:tc>
          <w:tcPr>
            <w:tcW w:w="1960" w:type="dxa"/>
            <w:vAlign w:val="bottom"/>
          </w:tcPr>
          <w:p>
            <w:pPr>
              <w:ind w:left="200"/>
              <w:spacing w:after="0"/>
              <w:rPr>
                <w:sz w:val="20"/>
                <w:szCs w:val="20"/>
                <w:color w:val="auto"/>
              </w:rPr>
            </w:pPr>
            <w:r>
              <w:rPr>
                <w:rFonts w:ascii="Arial" w:cs="Arial" w:eastAsia="Arial" w:hAnsi="Arial"/>
                <w:sz w:val="14"/>
                <w:szCs w:val="14"/>
                <w:color w:val="auto"/>
              </w:rPr>
              <w:t>ESG</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1" w:right="339" w:bottom="234" w:gutter="0" w:footer="0" w:header="0"/>
        </w:sect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18</w:t>
      </w:r>
    </w:p>
    <w:p>
      <w:pPr>
        <w:jc w:val="right"/>
        <w:ind w:right="946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234"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2597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60195" cy="259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Vincent Roche</w:t>
      </w:r>
    </w:p>
    <w:p>
      <w:pPr>
        <w:spacing w:after="0" w:line="142" w:lineRule="exact"/>
        <w:rPr>
          <w:sz w:val="20"/>
          <w:szCs w:val="20"/>
          <w:color w:val="auto"/>
        </w:rPr>
      </w:pPr>
    </w:p>
    <w:p>
      <w:pPr>
        <w:ind w:left="20"/>
        <w:spacing w:after="0" w:line="317" w:lineRule="auto"/>
        <w:rPr>
          <w:sz w:val="20"/>
          <w:szCs w:val="20"/>
          <w:color w:val="auto"/>
        </w:rPr>
      </w:pPr>
      <w:r>
        <w:rPr>
          <w:rFonts w:ascii="Arial" w:cs="Arial" w:eastAsia="Arial" w:hAnsi="Arial"/>
          <w:sz w:val="17"/>
          <w:szCs w:val="17"/>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659765" cy="4711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976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35-year tenure. Mr. Roche was recognized by Forbes in 2019 as one of America’s Most Innovative Leaders while also being a recipient of the 2021 SFI St. Patrick’s Day Science Medal for his contributions in support of the ecosystems in Ireland.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Mr. Roche brings to our Board of Directors insights based on his leadership roles and his deep knowledge of our products, markets, customers, culture, and organization.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Acacia Communications,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1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71920"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20"/>
            <w:col w:w="8380"/>
          </w:cols>
          <w:pgMar w:left="320" w:top="1440" w:right="339" w:bottom="1440" w:gutter="0" w:footer="0" w:header="0"/>
        </w:sectPr>
      </w:pPr>
    </w:p>
    <w:p>
      <w:pPr>
        <w:spacing w:after="0" w:line="331"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2013</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27514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7514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Stephen M.</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Jennings</w:t>
      </w:r>
    </w:p>
    <w:p>
      <w:pPr>
        <w:spacing w:after="0" w:line="121" w:lineRule="exact"/>
        <w:rPr>
          <w:sz w:val="20"/>
          <w:szCs w:val="20"/>
          <w:color w:val="auto"/>
        </w:rPr>
      </w:pPr>
    </w:p>
    <w:p>
      <w:pPr>
        <w:ind w:left="20" w:right="100"/>
        <w:spacing w:after="0" w:line="301" w:lineRule="auto"/>
        <w:rPr>
          <w:sz w:val="20"/>
          <w:szCs w:val="20"/>
          <w:color w:val="auto"/>
        </w:rPr>
      </w:pPr>
      <w:r>
        <w:rPr>
          <w:rFonts w:ascii="Arial" w:cs="Arial" w:eastAsia="Arial" w:hAnsi="Arial"/>
          <w:sz w:val="17"/>
          <w:szCs w:val="17"/>
          <w:color w:val="auto"/>
        </w:rPr>
        <w:t>Lead Independent Director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Jennings is a retired senior Strategy Principal of Deloitte LLP (Deloitte), a professional services firm, a role that he served in from 2013 to his retirement in June 2023. During that time, Mr. Jennings also served as a member of the Deloitte U.S. Board of Directors and Deloitte Touche Tohmatsu’s global Board of Directors, each from 2019 to 2023. Before that, Mr. Jennings worked at Monitor Group, LLC, a global professional services firm that provided consulting services to corporations and governmental agencies, most recently serving as managing partner until the firm was acquired by Deloitte in 2013. Mr. Jennings is a certified member of the National Association of Corporate Directors (NACD).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Mr. Jennings brings to our Board of Directors extensive experience in corporate governance, enterprise growth, innovation, mergers and acquisitions, organization transformation, and strategy across a diverse set of industries.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0" w:lineRule="exact"/>
        <w:rPr>
          <w:sz w:val="20"/>
          <w:szCs w:val="20"/>
          <w:color w:val="auto"/>
        </w:rPr>
      </w:pPr>
    </w:p>
    <w:p>
      <w:pPr>
        <w:sectPr>
          <w:pgSz w:w="11900" w:h="16838" w:orient="portrait"/>
          <w:cols w:equalWidth="0" w:num="2">
            <w:col w:w="2140" w:space="720"/>
            <w:col w:w="8380"/>
          </w:cols>
          <w:pgMar w:left="320" w:top="1440"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184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2023</w:t>
            </w:r>
          </w:p>
        </w:tc>
        <w:tc>
          <w:tcPr>
            <w:tcW w:w="83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Talent; Nominating</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840" w:type="dxa"/>
            <w:vAlign w:val="bottom"/>
            <w:vMerge w:val="continue"/>
            <w:shd w:val="clear" w:color="auto" w:fill="E2E6F4"/>
          </w:tcPr>
          <w:p>
            <w:pPr>
              <w:spacing w:after="0"/>
              <w:rPr>
                <w:sz w:val="12"/>
                <w:szCs w:val="12"/>
                <w:color w:val="auto"/>
              </w:rPr>
            </w:pPr>
          </w:p>
        </w:tc>
        <w:tc>
          <w:tcPr>
            <w:tcW w:w="8360" w:type="dxa"/>
            <w:vAlign w:val="bottom"/>
            <w:vMerge w:val="restart"/>
            <w:shd w:val="clear" w:color="auto" w:fill="E2E6F4"/>
          </w:tcPr>
          <w:p>
            <w:pPr>
              <w:ind w:left="100"/>
              <w:spacing w:after="0"/>
              <w:rPr>
                <w:sz w:val="20"/>
                <w:szCs w:val="20"/>
                <w:color w:val="auto"/>
              </w:rPr>
            </w:pPr>
            <w:r>
              <w:rPr>
                <w:rFonts w:ascii="Arial" w:cs="Arial" w:eastAsia="Arial" w:hAnsi="Arial"/>
                <w:sz w:val="18"/>
                <w:szCs w:val="18"/>
                <w:color w:val="auto"/>
              </w:rPr>
              <w:t>and Corporate Governance</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840" w:type="dxa"/>
            <w:vAlign w:val="bottom"/>
            <w:shd w:val="clear" w:color="auto" w:fill="E2E6F4"/>
          </w:tcPr>
          <w:p>
            <w:pPr>
              <w:spacing w:after="0"/>
              <w:rPr>
                <w:sz w:val="8"/>
                <w:szCs w:val="8"/>
                <w:color w:val="auto"/>
              </w:rPr>
            </w:pPr>
          </w:p>
        </w:tc>
        <w:tc>
          <w:tcPr>
            <w:tcW w:w="836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840" w:type="dxa"/>
            <w:vAlign w:val="bottom"/>
            <w:shd w:val="clear" w:color="auto" w:fill="E2E6F4"/>
          </w:tcPr>
          <w:p>
            <w:pPr>
              <w:spacing w:after="0"/>
              <w:rPr>
                <w:sz w:val="16"/>
                <w:szCs w:val="16"/>
                <w:color w:val="auto"/>
              </w:rPr>
            </w:pPr>
          </w:p>
        </w:tc>
        <w:tc>
          <w:tcPr>
            <w:tcW w:w="836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-393700</wp:posOffset>
            </wp:positionV>
            <wp:extent cx="1397000"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555"/>
        </w:trPr>
        <w:tc>
          <w:tcPr>
            <w:tcW w:w="1040" w:type="dxa"/>
            <w:vAlign w:val="bottom"/>
            <w:tcBorders>
              <w:top w:val="single" w:sz="8" w:color="0067B3"/>
            </w:tcBorders>
          </w:tcPr>
          <w:p>
            <w:pPr>
              <w:spacing w:after="0"/>
              <w:rPr>
                <w:sz w:val="24"/>
                <w:szCs w:val="24"/>
                <w:color w:val="auto"/>
              </w:rPr>
            </w:pPr>
          </w:p>
        </w:tc>
        <w:tc>
          <w:tcPr>
            <w:tcW w:w="1600" w:type="dxa"/>
            <w:vAlign w:val="bottom"/>
            <w:tcBorders>
              <w:top w:val="single" w:sz="8" w:color="0067B3"/>
              <w:right w:val="single" w:sz="8" w:color="auto"/>
            </w:tcBorders>
          </w:tcPr>
          <w:p>
            <w:pPr>
              <w:spacing w:after="0"/>
              <w:rPr>
                <w:sz w:val="24"/>
                <w:szCs w:val="24"/>
                <w:color w:val="auto"/>
              </w:rPr>
            </w:pPr>
          </w:p>
        </w:tc>
        <w:tc>
          <w:tcPr>
            <w:tcW w:w="180" w:type="dxa"/>
            <w:vAlign w:val="bottom"/>
            <w:tcBorders>
              <w:top w:val="single" w:sz="8" w:color="0067B3"/>
            </w:tcBorders>
          </w:tcPr>
          <w:p>
            <w:pPr>
              <w:spacing w:after="0"/>
              <w:rPr>
                <w:sz w:val="24"/>
                <w:szCs w:val="24"/>
                <w:color w:val="auto"/>
              </w:rPr>
            </w:pPr>
          </w:p>
        </w:tc>
        <w:tc>
          <w:tcPr>
            <w:tcW w:w="8420" w:type="dxa"/>
            <w:vAlign w:val="bottom"/>
            <w:tcBorders>
              <w:top w:val="single" w:sz="8" w:color="0067B3"/>
            </w:tcBorders>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is Chief Executive Officer of Andonian Advisory Pte. Ltd., a consulting firm that he founded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 March 2022. In addition, since September 2023, Mr. Andonian has served as Chair of Asia Pacific and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Strategic Advisor at Flagship Pioneering, a biotechnology company. Mr. Andonian has served as Special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Advisor - Senior Partner Emeritus at McKinsey &amp; Company, a global management consulting company,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since June 2022. Mr. Andonian was previously a Senior Partner at McKinsey &amp; Company, most recently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as managing partner of McKinsey Korea, advising clients across the firm’s Semiconductors, Advanced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Electronics, Automotive &amp; Assembly, Biotechnology, and Aerospace &amp; Defense Practices from January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2021 until June 2022. He was previously managing partner of McKinsey Japan from January 2016 to</w:t>
            </w:r>
          </w:p>
        </w:tc>
        <w:tc>
          <w:tcPr>
            <w:tcW w:w="0" w:type="dxa"/>
            <w:vAlign w:val="bottom"/>
          </w:tcPr>
          <w:p>
            <w:pPr>
              <w:spacing w:after="0"/>
              <w:rPr>
                <w:sz w:val="1"/>
                <w:szCs w:val="1"/>
                <w:color w:val="auto"/>
              </w:rPr>
            </w:pPr>
          </w:p>
        </w:tc>
      </w:tr>
      <w:tr>
        <w:trPr>
          <w:trHeight w:val="239"/>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7"/>
                <w:szCs w:val="27"/>
                <w:b w:val="1"/>
                <w:bCs w:val="1"/>
                <w:color w:val="0067B3"/>
              </w:rPr>
              <w:t>André Andonian</w:t>
            </w: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December 2020.</w:t>
            </w:r>
          </w:p>
        </w:tc>
        <w:tc>
          <w:tcPr>
            <w:tcW w:w="0" w:type="dxa"/>
            <w:vAlign w:val="bottom"/>
          </w:tcPr>
          <w:p>
            <w:pPr>
              <w:spacing w:after="0"/>
              <w:rPr>
                <w:sz w:val="1"/>
                <w:szCs w:val="1"/>
                <w:color w:val="auto"/>
              </w:rPr>
            </w:pPr>
          </w:p>
        </w:tc>
      </w:tr>
      <w:tr>
        <w:trPr>
          <w:trHeight w:val="295"/>
        </w:trPr>
        <w:tc>
          <w:tcPr>
            <w:tcW w:w="2640" w:type="dxa"/>
            <w:vAlign w:val="bottom"/>
            <w:tcBorders>
              <w:right w:val="single" w:sz="8" w:color="auto"/>
            </w:tcBorders>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303"/>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brings to our Board of Directors extensive experience in transforming companies into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global leaders in the high-tech, advanced industries, aerospace, biotech, and basic materials sectors,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and in the assessment and development of talent. Mr. Andonian also has deep global executive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leadership experience, previously holding executive leadership roles at McKinsey across Europe,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United States, and Asia over a 30-year career. Further, Mr. Andonian brings significant experience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working with senior leaders of companies around the world and across a multitude of industries on a</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broad range of strategic and operational issues, including driving board effectiveness.</w:t>
            </w: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AEM Holdings Ltd. (SGX:AWK)</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Corporate</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Governance; Corporate Development</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0067B3"/>
            </w:tcBorders>
          </w:tcPr>
          <w:p>
            <w:pPr>
              <w:spacing w:after="0"/>
              <w:rPr>
                <w:sz w:val="20"/>
                <w:szCs w:val="20"/>
                <w:color w:val="auto"/>
              </w:rPr>
            </w:pPr>
          </w:p>
        </w:tc>
        <w:tc>
          <w:tcPr>
            <w:tcW w:w="1600" w:type="dxa"/>
            <w:vAlign w:val="bottom"/>
            <w:tcBorders>
              <w:bottom w:val="single" w:sz="8" w:color="0067B3"/>
            </w:tcBorders>
          </w:tcPr>
          <w:p>
            <w:pPr>
              <w:spacing w:after="0"/>
              <w:rPr>
                <w:sz w:val="20"/>
                <w:szCs w:val="20"/>
                <w:color w:val="auto"/>
              </w:rPr>
            </w:pPr>
          </w:p>
        </w:tc>
        <w:tc>
          <w:tcPr>
            <w:tcW w:w="180" w:type="dxa"/>
            <w:vAlign w:val="bottom"/>
            <w:tcBorders>
              <w:bottom w:val="single" w:sz="8" w:color="0067B3"/>
            </w:tcBorders>
          </w:tcPr>
          <w:p>
            <w:pPr>
              <w:spacing w:after="0"/>
              <w:rPr>
                <w:sz w:val="20"/>
                <w:szCs w:val="20"/>
                <w:color w:val="auto"/>
              </w:rPr>
            </w:pPr>
          </w:p>
        </w:tc>
        <w:tc>
          <w:tcPr>
            <w:tcW w:w="8420" w:type="dxa"/>
            <w:vAlign w:val="bottom"/>
            <w:tcBorders>
              <w:bottom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Champy retired in 2010 as Vice President of the Dell/Perot Systems business unit of Dell, Inc., a</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computer and technology services company. Mr. Champy was previously a Vice President and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Chairman of Consulting at Perot Systems Corporation, an informational technology services company,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from September 1996 to November 2009. He served as a member of the board of directors of Perot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Systems Corporation from September 1996 to February 2004. Mr. Champy is a Life Member of the MIT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Corporation, the governing body of the Massachusetts Institute of Technology (MIT), and he also chairs</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the Dean’s Advisory Council for the MIT School of Engineering.</w:t>
            </w: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29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25"/>
                <w:szCs w:val="25"/>
                <w:b w:val="1"/>
                <w:bCs w:val="1"/>
                <w:color w:val="0067B3"/>
              </w:rPr>
              <w:t>James A. Champy</w:t>
            </w: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Champy brings to our Board of Directors deep experience in the computer and technology services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sectors and provides our Board of Directors with expertise in corporate strategy development and</w:t>
            </w:r>
          </w:p>
        </w:tc>
        <w:tc>
          <w:tcPr>
            <w:tcW w:w="0" w:type="dxa"/>
            <w:vAlign w:val="bottom"/>
          </w:tcPr>
          <w:p>
            <w:pPr>
              <w:spacing w:after="0"/>
              <w:rPr>
                <w:sz w:val="1"/>
                <w:szCs w:val="1"/>
                <w:color w:val="auto"/>
              </w:rPr>
            </w:pPr>
          </w:p>
        </w:tc>
      </w:tr>
      <w:tr>
        <w:trPr>
          <w:trHeight w:val="239"/>
        </w:trPr>
        <w:tc>
          <w:tcPr>
            <w:tcW w:w="2640" w:type="dxa"/>
            <w:vAlign w:val="bottom"/>
            <w:tcBorders>
              <w:right w:val="single" w:sz="8" w:color="auto"/>
            </w:tcBorders>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organizational acumen.</w:t>
            </w: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8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81</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2003</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Corporate</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-7466330</wp:posOffset>
            </wp:positionV>
            <wp:extent cx="1440180" cy="1440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-3805555</wp:posOffset>
            </wp:positionV>
            <wp:extent cx="1645920" cy="213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45920" cy="21399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-3231515</wp:posOffset>
            </wp:positionV>
            <wp:extent cx="1440180" cy="1440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-393700</wp:posOffset>
            </wp:positionV>
            <wp:extent cx="135445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54455" cy="20574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w:t>
      </w:r>
    </w:p>
    <w:p>
      <w:pPr>
        <w:jc w:val="right"/>
        <w:ind w:right="946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310" w:lineRule="auto"/>
        <w:rPr>
          <w:sz w:val="20"/>
          <w:szCs w:val="20"/>
          <w:color w:val="auto"/>
        </w:rPr>
      </w:pPr>
      <w:r>
        <w:rPr>
          <w:rFonts w:ascii="Arial" w:cs="Arial" w:eastAsia="Arial" w:hAnsi="Arial"/>
          <w:sz w:val="27"/>
          <w:szCs w:val="27"/>
          <w:b w:val="1"/>
          <w:bCs w:val="1"/>
          <w:color w:val="0067B3"/>
        </w:rPr>
        <w:t>Edward H. Frank, Ph.D.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1612900</wp:posOffset>
            </wp:positionV>
            <wp:extent cx="659765" cy="445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976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384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848735"/>
                    </a:xfrm>
                    <a:prstGeom prst="rect">
                      <a:avLst/>
                    </a:prstGeom>
                    <a:noFill/>
                  </pic:spPr>
                </pic:pic>
              </a:graphicData>
            </a:graphic>
          </wp:anchor>
        </w:drawing>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September 2022, Dr. Frank has been the Executive Chair of Gradient Technologies, Inc., a security technologies startup, focused on identity and access management, and was co-founder and CEO of Cloud Parity Inc.,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Since 2000, Dr. Frank has been a Trustee of Carnegie Mellon University and served as vice-chair from 2015 through 2021. Dr. Frank has served on the board of directors of Metallica’s All Within My Hands Foundation since July 2017, where he also served as Executive Director (pro bono) from July 2017 through December 2021. He is a member of the National Academy of Engineering and a Fellow of the IEEE.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Dr. Frank brings to our Board of Directors substantial experience in the design, manufacture, sale, and marketing of semiconductors for a broad set of markets, including many of the markets we service and brings extensive executive leadership experience. Dr. Frank also brings significant cybersecurity experience to our Board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SiTime Corp.; Rocket Lab USA, Inc.</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Cavium, Inc. (until 2018); Amesite, Inc. (until 2020); Quantenna Communications, Inc.</w:t>
      </w:r>
      <w:r>
        <w:rPr>
          <w:rFonts w:ascii="Arial" w:cs="Arial" w:eastAsia="Arial" w:hAnsi="Arial"/>
          <w:sz w:val="18"/>
          <w:szCs w:val="18"/>
          <w:color w:val="0067B3"/>
        </w:rPr>
        <w:t xml:space="preserve"> </w:t>
      </w:r>
      <w:r>
        <w:rPr>
          <w:rFonts w:ascii="Arial" w:cs="Arial" w:eastAsia="Arial" w:hAnsi="Arial"/>
          <w:sz w:val="18"/>
          <w:szCs w:val="18"/>
          <w:color w:val="000000"/>
        </w:rPr>
        <w:t>(until 2018); Marvell Technology, Inc.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163830</wp:posOffset>
            </wp:positionV>
            <wp:extent cx="6471920"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192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20"/>
            <w:col w:w="8360"/>
          </w:cols>
          <w:pgMar w:left="340" w:top="1440" w:right="359" w:bottom="1440" w:gutter="0" w:footer="0" w:header="0"/>
        </w:sectPr>
      </w:pPr>
    </w:p>
    <w:p>
      <w:pPr>
        <w:spacing w:after="0" w:line="282"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2014</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32320" cy="3437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37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310" w:lineRule="auto"/>
        <w:rPr>
          <w:sz w:val="20"/>
          <w:szCs w:val="20"/>
          <w:color w:val="auto"/>
        </w:rPr>
      </w:pPr>
      <w:r>
        <w:rPr>
          <w:rFonts w:ascii="Arial" w:cs="Arial" w:eastAsia="Arial" w:hAnsi="Arial"/>
          <w:sz w:val="27"/>
          <w:szCs w:val="27"/>
          <w:b w:val="1"/>
          <w:bCs w:val="1"/>
          <w:color w:val="0067B3"/>
        </w:rPr>
        <w:t>Laurie H. Glimcher, M.D.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1201420</wp:posOffset>
            </wp:positionV>
            <wp:extent cx="659765" cy="4711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76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Dr. Glimcher has served as a Professor of Microbiology and Immunology at Harvard Medical School since May 2017, the Richard and Susan Smith Professor of Medicine at Harvard Medical School and Dana-Farber Cancer Institute since October 2016, an Attending Physician, Department of Cancer Immunology and Virology at Dana-Farber Cancer Institute since October 2016, and the President and Chief Executive Officer of the Dana-Farber Cancer Institute since September 2016. In addition to a number of senior leadership roles held at both Harvard Medical School and Harvard School of Public Health from 1984 to 2011 and from October 2016 to present, she also served as the Stephen and Suzanne Weiss Dean and Professor of Medicine of Weill Cornell Medicine and Provost for Medical Affairs of Cornell University from January 2012 to August 2016. She is a member of the board of trustees at the Dana-Farber Cancer Institute and a member of the U.S. National Academy of Sciences, the National Academy of Medicine, the American Academy of Arts and Sciences, and the American Philosophical Society.</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Dr. Glimcher brings to our Board of Directors scientific and public health expertise, as well as diversity of technical skills and experience managing large, complex organizations, and as a physician, scientist, and professor.</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Waters Corporation (until 2020); GlaxoSmithKline plc (until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71920"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80"/>
            <w:col w:w="8360"/>
          </w:cols>
          <w:pgMar w:left="340" w:top="1440" w:right="359" w:bottom="1440" w:gutter="0" w:footer="0" w:header="0"/>
          <w:type w:val="continuous"/>
        </w:sectPr>
      </w:pPr>
    </w:p>
    <w:p>
      <w:pPr>
        <w:spacing w:after="0" w:line="331"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2020</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140"/>
        <w:spacing w:after="0"/>
        <w:tabs>
          <w:tab w:leader="none" w:pos="1096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300990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Karen M. Golz</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659765" cy="4718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2682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682875"/>
                    </a:xfrm>
                    <a:prstGeom prst="rect">
                      <a:avLst/>
                    </a:prstGeom>
                    <a:noFill/>
                  </pic:spPr>
                </pic:pic>
              </a:graphicData>
            </a:graphic>
          </wp:anchor>
        </w:drawing>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Ms. Golz is a retired Partner of Ernst &amp; Young LLP (EY), a public accounting firm, where she was Global Vice Chair, Japan from 2016 to 2017 and previously Global Vice Chair, Professional Practice from 2010 to 2016.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Ms. Golz also sits on the board of trustees of the University of Illinois Foundation. Ms. Golz is a NACD Board Leadership Fellow.</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Ms. Golz brings to our Board of Directors accounting and audit expertise, deep enterprise risk management experience, and extensive experience helping large organizations successfully navigate the complexities of international trade and regulation.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Aspen Technology, Inc.; iRobot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8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sectPr>
      </w:pPr>
    </w:p>
    <w:p>
      <w:pPr>
        <w:spacing w:after="0" w:line="331"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2018</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32320" cy="33686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36867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310" w:lineRule="auto"/>
        <w:rPr>
          <w:sz w:val="20"/>
          <w:szCs w:val="20"/>
          <w:color w:val="auto"/>
        </w:rPr>
      </w:pPr>
      <w:r>
        <w:rPr>
          <w:rFonts w:ascii="Arial" w:cs="Arial" w:eastAsia="Arial" w:hAnsi="Arial"/>
          <w:sz w:val="27"/>
          <w:szCs w:val="27"/>
          <w:b w:val="1"/>
          <w:bCs w:val="1"/>
          <w:color w:val="0067B3"/>
        </w:rPr>
        <w:t>Peter B. Henry, Ph.D.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1132840</wp:posOffset>
            </wp:positionV>
            <wp:extent cx="659765"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76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Dr. Henry has served as the Class of 1984 Senior Fellow at Stanford University’s Hoover Institution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Fellow at Stanford’s Freeman Spogli Institute for International Studies since September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Dr. Henry served at New York University’s Leonard N. Stern School of Business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 R. Berkley Professor of Economics and Finance from January 2018 through August 2022 and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Dean from January 2010 through December 2017. Before that, Dr. Henry was the Konosuke Matsushita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Professor of International Economics at the Stanford University Graduate School of Business. Dr. Henry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currently serves as Chair of the Board of the National Bureau of Economic Research and is a member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Council on Foreign Relations. He previously served on the Boards of Directors of General Electric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Kraft Foods Inc., and Kraft Foods Group, Inc. as well as the Economic Club of New York.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Dr. Henry leads the Ph.D. Excellence Initiative (PhDEI), a post-baccalaureate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designed to address underrepresentation in economics by mentoring exceptional students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underrepresented backgrounds interested in pursuing doctoral studies in the field. For his founding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leadership of the PhDEI, Dr. Henry received the 2022 Impactful Mentoring Award from the American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Economic Association.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Dr. Henry brings to our Board of Directors extensive foreign affairs, global economics, and international finance experience.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Citigroup, Inc.; Nike,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719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type w:val="continuous"/>
        </w:sectPr>
      </w:pPr>
    </w:p>
    <w:p>
      <w:pPr>
        <w:spacing w:after="0" w:line="304"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2023</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w:t>
      </w:r>
    </w:p>
    <w:p>
      <w:pPr>
        <w:ind w:left="46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Mercedes</w:t>
      </w:r>
    </w:p>
    <w:p>
      <w:pPr>
        <w:spacing w:after="0" w:line="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Johnson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659765" cy="4711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76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30943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094355"/>
                    </a:xfrm>
                    <a:prstGeom prst="rect">
                      <a:avLst/>
                    </a:prstGeom>
                    <a:noFill/>
                  </pic:spPr>
                </pic:pic>
              </a:graphicData>
            </a:graphic>
          </wp:anchor>
        </w:drawing>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Ms. Johnson served as interim Chief Financial Officer of Intersil Corporation, a semiconductor company, from April 2013 to September 2013, as Vice President and Chief Financial Officer at Tri Alpha Energy, Inc. (now TAE Technologies, Inc.), a fusion power company, from 2010 to 2011, and as Senior Vice President and Chief Financial Officer of Avago Technologies Limited (now Broadcom Inc.), a semiconductor manufacturing company from December 2005 to August 2008. Prior to joining Avago, Ms. Johnson was Senior Vice President, Finance, of Lam Research Corporation, a supplier of wafer fabrication equipment and related services to the semiconductor industry, from June 2004 to January 2005 and Chief Financial Officer of Lam from May 1997 to May 2004.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Ms. Johnson brings to our Board of Directors extensive executive experience in finance, accounting, corporate development, corporate governance, management, and operations. Ms. Johnson provides our Board of Directors with valuable industry experience as a former senior financial executive at semiconductor and semiconductor equipment companies as well as numerous directorships at public global technology companies.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Teradyne, Inc.; Synopsys, Inc.</w:t>
      </w:r>
    </w:p>
    <w:p>
      <w:pPr>
        <w:spacing w:after="0" w:line="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Juniper Networks, Inc. (until 2019); Micron Technology, Inc. (until 2019); Maxim Integrated</w:t>
      </w:r>
      <w:r>
        <w:rPr>
          <w:rFonts w:ascii="Arial" w:cs="Arial" w:eastAsia="Arial" w:hAnsi="Arial"/>
          <w:sz w:val="18"/>
          <w:szCs w:val="18"/>
          <w:color w:val="0067B3"/>
        </w:rPr>
        <w:t xml:space="preserve"> </w:t>
      </w:r>
      <w:r>
        <w:rPr>
          <w:rFonts w:ascii="Arial" w:cs="Arial" w:eastAsia="Arial" w:hAnsi="Arial"/>
          <w:sz w:val="18"/>
          <w:szCs w:val="18"/>
          <w:color w:val="000000"/>
        </w:rPr>
        <w:t>Products, Inc. (until 2021); Millicom International Cellular SA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163830</wp:posOffset>
            </wp:positionV>
            <wp:extent cx="6471920" cy="4711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71920"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sectPr>
      </w:pPr>
    </w:p>
    <w:p>
      <w:pPr>
        <w:spacing w:after="0" w:line="295"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2021</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32320" cy="20059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659765" cy="471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Mr. Stata is our co-founder and served as an executive officer from our inception in 1965 until April 2012, including as our CEO from 1973 to November 1996 and as our President from 1971 to November 1991. Mr. Stata also served as the Chair of our Board of Directors from 1973 until March 2022.</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Mr. Stata brings to our Board of Directors nearly 60 years of experience and leadership in the semiconductor industry, including as our founder, our former Chair of the Board of Directors for 48 years, and our former President for 20 years.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194945</wp:posOffset>
            </wp:positionV>
            <wp:extent cx="6471920" cy="4718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type w:val="continuous"/>
        </w:sectPr>
      </w:pPr>
    </w:p>
    <w:p>
      <w:pPr>
        <w:spacing w:after="0" w:line="345"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89</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1965</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300990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Susie Wee, Ph.D.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1492885</wp:posOffset>
            </wp:positionV>
            <wp:extent cx="659765" cy="4883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976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35058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505835"/>
                    </a:xfrm>
                    <a:prstGeom prst="rect">
                      <a:avLst/>
                    </a:prstGeom>
                    <a:noFill/>
                  </pic:spPr>
                </pic:pic>
              </a:graphicData>
            </a:graphic>
          </wp:anchor>
        </w:drawing>
      </w:r>
    </w:p>
    <w:p>
      <w:pPr>
        <w:spacing w:after="0" w:line="1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Dr. Wee served as a Vice President at Google, a multinational technology company, from April 2022 to March 2023. From November 2019 to August 2021, Dr. Wee served as Senior Vice President and General Manager of DevNet and CX Ecosystem Success at Cisco Systems Inc., a technology company. Dr. Wee founded and led DevNet, Cisco’s developer program, beginning in October 2013. Dr. Wee began working at Cisco in April 2011, and held leadership roles including Senior Vice President &amp; Chief Technology Officer of DevNet from October 2018 to November 2019, Vice President &amp; Chief Technology Officer of DevNet from October 2013 to October 2018, Vice President &amp; Chief Technology Officer of Networked Experiences from October 2012 to October 2013, and Vice President &amp; Chief Technology and Experience Officer of Cisco’s Collaboration Technology Group from April 2011 to October 2012. Previously, Dr. Wee had a 15-year career at Hewlett Packard Enterprise Company, a technology company, where she held a number of technical and leadership roles, including Vice President and General Manager of the HP Experience Software Business and Lab Director at HP Labs. Dr. Wee is an IEEE fellow and serves on the visiting committee of the MIT Electrical Engineering and Computer Science department.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Dr. Wee brings to our Board of Directors extensive experience in information technology and application development, and an established track record of driving software innovation at global technology companies.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883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71920" cy="488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40"/>
            <w:col w:w="8380"/>
          </w:cols>
          <w:pgMar w:left="320" w:top="1440" w:right="339" w:bottom="1440" w:gutter="0" w:footer="0" w:header="0"/>
        </w:sectPr>
      </w:pPr>
    </w:p>
    <w:p>
      <w:pPr>
        <w:spacing w:after="0" w:line="345"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2019</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Determination of Independence</w:t>
      </w:r>
    </w:p>
    <w:p>
      <w:pPr>
        <w:spacing w:after="0" w:line="200" w:lineRule="exact"/>
        <w:rPr>
          <w:sz w:val="20"/>
          <w:szCs w:val="20"/>
          <w:color w:val="auto"/>
        </w:rPr>
      </w:pP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Under applicable Nasdaq Rules, a director of ADI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ADI that would interfere with the exercise of independent judgment in carrying out the responsibilities of a director. These guidelines are posted on our website under https://investor.analog.com/governance/governance-documents. For relationships not covered by the guidelines, the determination of whether such a relationship exists is made by the members of our Board of Directors who are independent directors (as defined above). Our Board of Directors has determined that none of Messrs. Andonian, Champy, Jennings, and Sicchitano,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Mses. Golz and Johnson, and Drs. Chandrakasan,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Frank, Glimcher, Henry, and Wee has a relationship which would interfere with the exercise of independent judgment in carrying out the responsibilities of a director and that each of these directors is an “independent director” as defined under Rule 5605(a)(2) of the Nasdaq Rules. Our Board of Directors has determined that Mr. Roche, our CEO and Chair, and Mr. Stata, our co-founder and former Chair, are not “independent” under the Nasdaq Rules because Mr. Roche is a current employee and Mr. Stata is our founder. Prior to each of their retirements from the Board of Directors in March 2023, our Board of Directors also determined that Mr. Bruce Evans was an “independent director” and that Mr. Tunç Doluca was not “independent” under the Nasdaq Rules given his prior role with Maxim and the status of ongoing integration efforts between Maxim and ADI during his tenure as director. Our Board of Directors considered our annual laboratory membership and sponsorship of university research projects with MIT, of which Dr. Chandrakasan is the Dean of the School of Engineering and Mr. Champy is a board member. Even though Dr. Chandrakasan is a senior leader at MIT, our Board of Directors determined that this donation does not impair his independence due to the lack of any benefit to him from the donation other than general benefits pertaining to any other academics of the school. Our Board of Directors also considered Ms. Golz’s former affiliation with Ernst &amp; Young, Mr. Andonian’s former and current affiliation with McKinsey &amp; Company, and Mr. Jennings’ former affiliation with Deloitte and determined that those relationships would not interfere with the exercise of independent judgment in carrying out the responsibilities of a director given that such firms are service providers to ADI but there is no ongoing involvement between any of Ms. Golz and Messrs. Andonian and Jennings and Ernst &amp; Young, McKinsey &amp; Company, or Deloitte, respectively, other than Mr. Andonian’s ongoing advisory role with McKinsey &amp; Company, which is unrelated to ADI.</w:t>
      </w:r>
    </w:p>
    <w:p>
      <w:pPr>
        <w:spacing w:after="0" w:line="102" w:lineRule="exact"/>
        <w:rPr>
          <w:sz w:val="20"/>
          <w:szCs w:val="20"/>
          <w:color w:val="auto"/>
        </w:rPr>
      </w:pPr>
    </w:p>
    <w:p>
      <w:pPr>
        <w:ind w:left="200" w:right="200" w:hanging="192"/>
        <w:spacing w:after="0" w:line="235" w:lineRule="auto"/>
        <w:tabs>
          <w:tab w:leader="none" w:pos="215"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Dr. Chandrakasan and Mr. Sicchitano are not standing for re-election and their terms on the Board of Directors will end at the Annual Meeting on March 13, 2024.</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24</w:t>
      </w:r>
    </w:p>
    <w:p>
      <w:pPr>
        <w:ind w:left="48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41"/>
          <w:szCs w:val="41"/>
          <w:b w:val="1"/>
          <w:bCs w:val="1"/>
          <w:color w:val="0067B3"/>
        </w:rPr>
        <w:t>Director Candidates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80" w:type="dxa"/>
            <w:vAlign w:val="bottom"/>
            <w:tcBorders>
              <w:top w:val="single" w:sz="8" w:color="0067B3"/>
            </w:tcBorders>
            <w:shd w:val="clear" w:color="auto" w:fill="0067B3"/>
          </w:tcPr>
          <w:p>
            <w:pPr>
              <w:ind w:left="160"/>
              <w:spacing w:after="0"/>
              <w:rPr>
                <w:sz w:val="20"/>
                <w:szCs w:val="20"/>
                <w:color w:val="auto"/>
              </w:rPr>
            </w:pPr>
            <w:r>
              <w:rPr>
                <w:rFonts w:ascii="Arial" w:cs="Arial" w:eastAsia="Arial" w:hAnsi="Arial"/>
                <w:sz w:val="18"/>
                <w:szCs w:val="18"/>
                <w:b w:val="1"/>
                <w:bCs w:val="1"/>
                <w:color w:val="FFFFFF"/>
              </w:rPr>
              <w:t>Recommendation</w:t>
            </w:r>
          </w:p>
        </w:tc>
        <w:tc>
          <w:tcPr>
            <w:tcW w:w="9160" w:type="dxa"/>
            <w:vAlign w:val="bottom"/>
            <w:tcBorders>
              <w:top w:val="single" w:sz="8" w:color="0067B3"/>
            </w:tcBorders>
          </w:tcPr>
          <w:p>
            <w:pPr>
              <w:ind w:left="140"/>
              <w:spacing w:after="0"/>
              <w:rPr>
                <w:sz w:val="20"/>
                <w:szCs w:val="20"/>
                <w:color w:val="auto"/>
              </w:rPr>
            </w:pPr>
            <w:r>
              <w:rPr>
                <w:rFonts w:ascii="Arial" w:cs="Arial" w:eastAsia="Arial" w:hAnsi="Arial"/>
                <w:sz w:val="18"/>
                <w:szCs w:val="18"/>
                <w:color w:val="auto"/>
              </w:rPr>
              <w:t>In considering whether to recommend any candidate for inclusion in the Board of Directors’ slate of</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recommended director nominees, including candidates recommended by shareholders, the Nominating and</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w w:val="99"/>
              </w:rPr>
              <w:t>Corporate Governance Committee will apply the criteria set forth in our Corporate Governance Guidelines. These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criteria include the candidate’s integrity, business acumen, experience, commitment, and diligence; the presence</w:t>
            </w:r>
          </w:p>
        </w:tc>
      </w:tr>
      <w:tr>
        <w:trPr>
          <w:trHeight w:val="239"/>
        </w:trPr>
        <w:tc>
          <w:tcPr>
            <w:tcW w:w="2080" w:type="dxa"/>
            <w:vAlign w:val="bottom"/>
            <w:shd w:val="clear" w:color="auto" w:fill="0067B3"/>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of any conflicts of interest; and the ability of the candidate to act in the interests of all shareholders.</w:t>
            </w:r>
          </w:p>
        </w:tc>
      </w:tr>
      <w:tr>
        <w:trPr>
          <w:trHeight w:val="118"/>
        </w:trPr>
        <w:tc>
          <w:tcPr>
            <w:tcW w:w="2080" w:type="dxa"/>
            <w:vAlign w:val="bottom"/>
            <w:tcBorders>
              <w:bottom w:val="single" w:sz="8" w:color="0067B3"/>
            </w:tcBorders>
            <w:shd w:val="clear" w:color="auto" w:fill="0067B3"/>
          </w:tcPr>
          <w:p>
            <w:pPr>
              <w:spacing w:after="0"/>
              <w:rPr>
                <w:sz w:val="10"/>
                <w:szCs w:val="10"/>
                <w:color w:val="auto"/>
              </w:rPr>
            </w:pPr>
          </w:p>
        </w:tc>
        <w:tc>
          <w:tcPr>
            <w:tcW w:w="9160" w:type="dxa"/>
            <w:vAlign w:val="bottom"/>
            <w:tcBorders>
              <w:bottom w:val="single" w:sz="8" w:color="939598"/>
            </w:tcBorders>
          </w:tcPr>
          <w:p>
            <w:pPr>
              <w:spacing w:after="0"/>
              <w:rPr>
                <w:sz w:val="10"/>
                <w:szCs w:val="10"/>
                <w:color w:val="auto"/>
              </w:rPr>
            </w:pPr>
          </w:p>
        </w:tc>
      </w:tr>
      <w:tr>
        <w:trPr>
          <w:trHeight w:val="299"/>
        </w:trPr>
        <w:tc>
          <w:tcPr>
            <w:tcW w:w="2080" w:type="dxa"/>
            <w:vAlign w:val="bottom"/>
            <w:shd w:val="clear" w:color="auto" w:fill="0067B3"/>
          </w:tcPr>
          <w:p>
            <w:pPr>
              <w:ind w:left="160"/>
              <w:spacing w:after="0"/>
              <w:rPr>
                <w:sz w:val="20"/>
                <w:szCs w:val="20"/>
                <w:color w:val="auto"/>
              </w:rPr>
            </w:pPr>
            <w:r>
              <w:rPr>
                <w:rFonts w:ascii="Arial" w:cs="Arial" w:eastAsia="Arial" w:hAnsi="Arial"/>
                <w:sz w:val="18"/>
                <w:szCs w:val="18"/>
                <w:b w:val="1"/>
                <w:bCs w:val="1"/>
                <w:color w:val="FFFFFF"/>
              </w:rPr>
              <w:t>Diversity</w:t>
            </w:r>
          </w:p>
        </w:tc>
        <w:tc>
          <w:tcPr>
            <w:tcW w:w="9160" w:type="dxa"/>
            <w:vAlign w:val="bottom"/>
          </w:tcPr>
          <w:p>
            <w:pPr>
              <w:ind w:left="140"/>
              <w:spacing w:after="0"/>
              <w:rPr>
                <w:sz w:val="20"/>
                <w:szCs w:val="20"/>
                <w:color w:val="auto"/>
              </w:rPr>
            </w:pPr>
            <w:r>
              <w:rPr>
                <w:rFonts w:ascii="Arial" w:cs="Arial" w:eastAsia="Arial" w:hAnsi="Arial"/>
                <w:sz w:val="18"/>
                <w:szCs w:val="18"/>
                <w:color w:val="auto"/>
              </w:rPr>
              <w:t>The Nominating and Corporate Governance Committee seeks nominees with a broad diversity of experience,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professions, skills, geographic representation, and backgrounds. The Nominating and Corporate Governance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Committee does not assign specific weights to particular criteria and no particular criterion is necessarily</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applicable to all prospective nominees. ADI believes that the backgrounds and qualifications of the directors,</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considered as a group, should provide a significant composite mix of experience, knowledge, and abilities that</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will allow our Board of Directors to fulfill its responsibilities. While we do not have a policy regarding diversity of</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our Board members, the Nominating and Corporate Governance Committee Charter provides that gender, racial,</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ethnic, and sexual orientation diversity are important search criteria, in addition to relevant experience, skills, and</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industry familiarity. Effective application of these criteria is reflected in the diverse composition of our Board of</w:t>
            </w:r>
          </w:p>
        </w:tc>
      </w:tr>
      <w:tr>
        <w:trPr>
          <w:trHeight w:val="239"/>
        </w:trPr>
        <w:tc>
          <w:tcPr>
            <w:tcW w:w="2080" w:type="dxa"/>
            <w:vAlign w:val="bottom"/>
            <w:shd w:val="clear" w:color="auto" w:fill="0067B3"/>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Directors.</w:t>
            </w:r>
          </w:p>
        </w:tc>
      </w:tr>
      <w:tr>
        <w:trPr>
          <w:trHeight w:val="117"/>
        </w:trPr>
        <w:tc>
          <w:tcPr>
            <w:tcW w:w="2080" w:type="dxa"/>
            <w:vAlign w:val="bottom"/>
            <w:tcBorders>
              <w:bottom w:val="single" w:sz="8" w:color="0067B3"/>
            </w:tcBorders>
            <w:shd w:val="clear" w:color="auto" w:fill="0067B3"/>
          </w:tcPr>
          <w:p>
            <w:pPr>
              <w:spacing w:after="0"/>
              <w:rPr>
                <w:sz w:val="10"/>
                <w:szCs w:val="10"/>
                <w:color w:val="auto"/>
              </w:rPr>
            </w:pPr>
          </w:p>
        </w:tc>
        <w:tc>
          <w:tcPr>
            <w:tcW w:w="9160" w:type="dxa"/>
            <w:vAlign w:val="bottom"/>
            <w:tcBorders>
              <w:bottom w:val="single" w:sz="8" w:color="939598"/>
            </w:tcBorders>
          </w:tcPr>
          <w:p>
            <w:pPr>
              <w:spacing w:after="0"/>
              <w:rPr>
                <w:sz w:val="10"/>
                <w:szCs w:val="10"/>
                <w:color w:val="auto"/>
              </w:rPr>
            </w:pPr>
          </w:p>
        </w:tc>
      </w:tr>
      <w:tr>
        <w:trPr>
          <w:trHeight w:val="299"/>
        </w:trPr>
        <w:tc>
          <w:tcPr>
            <w:tcW w:w="2080" w:type="dxa"/>
            <w:vAlign w:val="bottom"/>
            <w:shd w:val="clear" w:color="auto" w:fill="0067B3"/>
          </w:tcPr>
          <w:p>
            <w:pPr>
              <w:ind w:left="160"/>
              <w:spacing w:after="0"/>
              <w:rPr>
                <w:sz w:val="20"/>
                <w:szCs w:val="20"/>
                <w:color w:val="auto"/>
              </w:rPr>
            </w:pPr>
            <w:r>
              <w:rPr>
                <w:rFonts w:ascii="Arial" w:cs="Arial" w:eastAsia="Arial" w:hAnsi="Arial"/>
                <w:sz w:val="18"/>
                <w:szCs w:val="18"/>
                <w:b w:val="1"/>
                <w:bCs w:val="1"/>
                <w:color w:val="FFFFFF"/>
              </w:rPr>
              <w:t>Evaluation</w:t>
            </w:r>
          </w:p>
        </w:tc>
        <w:tc>
          <w:tcPr>
            <w:tcW w:w="9160" w:type="dxa"/>
            <w:vAlign w:val="bottom"/>
          </w:tcPr>
          <w:p>
            <w:pPr>
              <w:ind w:left="140"/>
              <w:spacing w:after="0"/>
              <w:rPr>
                <w:sz w:val="20"/>
                <w:szCs w:val="20"/>
                <w:color w:val="auto"/>
              </w:rPr>
            </w:pPr>
            <w:r>
              <w:rPr>
                <w:rFonts w:ascii="Arial" w:cs="Arial" w:eastAsia="Arial" w:hAnsi="Arial"/>
                <w:sz w:val="18"/>
                <w:szCs w:val="18"/>
                <w:color w:val="auto"/>
              </w:rPr>
              <w:t>The process followed by the Nominating and Corporate Governance Committee to identify and evaluate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candidates includes requests to members of our Board of Directors and others for recommendations, meetings</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from time to time to evaluate biographical information and background material relating to potential candidates</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and interviews of selected candidates by members of the Nominating and Corporate Governance Committee and</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the Board of Directors. From time to time, the Nominating and Corporate Governance Committee may also seek</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input from director search firms for identification and evaluation of candidates. Assuming that appropriate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biographical and background material is provided for candidates recommended by shareholders on a timely</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basis, the Nominating and Corporate Governance Committee will evaluate director candidates recommended by</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shareholders by following substantially the same process, and applying substantially the same criteria, as it</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follows for director candidates submitted by members of our Board of Directors. Each of Mr. Jennings and Dr.</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Henry was introduced by a director and, with the recommendation of the Nominating and Corporate Governance</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Committee, was appointed to our Board of Directors effective June 4, 2023 and December 5, 2023, respectively,</w:t>
            </w:r>
          </w:p>
        </w:tc>
      </w:tr>
      <w:tr>
        <w:trPr>
          <w:trHeight w:val="216"/>
        </w:trPr>
        <w:tc>
          <w:tcPr>
            <w:tcW w:w="2080" w:type="dxa"/>
            <w:vAlign w:val="bottom"/>
            <w:shd w:val="clear" w:color="auto" w:fill="0067B3"/>
          </w:tcPr>
          <w:p>
            <w:pPr>
              <w:spacing w:after="0"/>
              <w:rPr>
                <w:sz w:val="18"/>
                <w:szCs w:val="18"/>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and is included in the slate of director nominees nominated by the Board of Directors for election as a director at</w:t>
            </w:r>
          </w:p>
        </w:tc>
      </w:tr>
      <w:tr>
        <w:trPr>
          <w:trHeight w:val="239"/>
        </w:trPr>
        <w:tc>
          <w:tcPr>
            <w:tcW w:w="2080" w:type="dxa"/>
            <w:vAlign w:val="bottom"/>
            <w:shd w:val="clear" w:color="auto" w:fill="0067B3"/>
          </w:tcPr>
          <w:p>
            <w:pPr>
              <w:spacing w:after="0"/>
              <w:rPr>
                <w:sz w:val="20"/>
                <w:szCs w:val="20"/>
                <w:color w:val="auto"/>
              </w:rPr>
            </w:pPr>
          </w:p>
        </w:tc>
        <w:tc>
          <w:tcPr>
            <w:tcW w:w="9160" w:type="dxa"/>
            <w:vAlign w:val="bottom"/>
          </w:tcPr>
          <w:p>
            <w:pPr>
              <w:ind w:left="140"/>
              <w:spacing w:after="0"/>
              <w:rPr>
                <w:sz w:val="20"/>
                <w:szCs w:val="20"/>
                <w:color w:val="auto"/>
              </w:rPr>
            </w:pPr>
            <w:r>
              <w:rPr>
                <w:rFonts w:ascii="Arial" w:cs="Arial" w:eastAsia="Arial" w:hAnsi="Arial"/>
                <w:sz w:val="18"/>
                <w:szCs w:val="18"/>
                <w:color w:val="auto"/>
              </w:rPr>
              <w:t>the Annual Meeting.</w:t>
            </w:r>
          </w:p>
        </w:tc>
      </w:tr>
      <w:tr>
        <w:trPr>
          <w:trHeight w:val="118"/>
        </w:trPr>
        <w:tc>
          <w:tcPr>
            <w:tcW w:w="2080" w:type="dxa"/>
            <w:vAlign w:val="bottom"/>
            <w:tcBorders>
              <w:bottom w:val="single" w:sz="8" w:color="0067B3"/>
            </w:tcBorders>
            <w:shd w:val="clear" w:color="auto" w:fill="0067B3"/>
          </w:tcPr>
          <w:p>
            <w:pPr>
              <w:spacing w:after="0"/>
              <w:rPr>
                <w:sz w:val="10"/>
                <w:szCs w:val="10"/>
                <w:color w:val="auto"/>
              </w:rPr>
            </w:pPr>
          </w:p>
        </w:tc>
        <w:tc>
          <w:tcPr>
            <w:tcW w:w="9160" w:type="dxa"/>
            <w:vAlign w:val="bottom"/>
            <w:tcBorders>
              <w:bottom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-2082165</wp:posOffset>
            </wp:positionV>
            <wp:extent cx="13112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13112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Recommendations and Nominations of Director Candidates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Shareholders of record of ADI may recommend director candidates for inclusion by our Board of Directors in the slate of nominees that the Board of Directors recommends to our shareholders for election. The qualifications of recommended candidates will be reviewed by the Nominating and Corporate Governance Committee. If our Board of Directors determines to nominate a shareholder-recommended candidate and recommends his or her election as a director by the shareholders, the name will be included in ADI’s proxy card for the shareholders’ meeting at which his or her election is recommended.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 and background and a statement as to whether the shareholder or group of shareholders making the recommendation has beneficially owned more than 5% of ADI’s common stock for at least one year as of the date the recommendation is made, to the Nominating and Corporate Governance Committee, c/o Janene Asgeirsson, Secretary, Analog Devices, Inc., One Analog Way, Wilmington, Massachusetts 01887. Our Nominating and Corporate Governance Committee will consider a recommendation only if appropriate biographical information and background material is provided on a timely basis.</w:t>
      </w:r>
    </w:p>
    <w:p>
      <w:pPr>
        <w:spacing w:after="0" w:line="7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amended and restated bylaws and described in the sections titled </w:t>
      </w:r>
      <w:r>
        <w:rPr>
          <w:rFonts w:ascii="Arial" w:cs="Arial" w:eastAsia="Arial" w:hAnsi="Arial"/>
          <w:sz w:val="18"/>
          <w:szCs w:val="18"/>
          <w:i w:val="1"/>
          <w:iCs w:val="1"/>
          <w:color w:val="auto"/>
        </w:rPr>
        <w:t>Shareholder Director Nominations for Inclusion in Proxy Statement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Shareholder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Proposals and Director Nominations Not Included in Proxy Statement </w:t>
      </w:r>
      <w:r>
        <w:rPr>
          <w:rFonts w:ascii="Arial" w:cs="Arial" w:eastAsia="Arial" w:hAnsi="Arial"/>
          <w:sz w:val="18"/>
          <w:szCs w:val="18"/>
          <w:color w:val="auto"/>
        </w:rPr>
        <w:t>below.</w:t>
      </w:r>
    </w:p>
    <w:p>
      <w:pPr>
        <w:sectPr>
          <w:pgSz w:w="11900" w:h="16838" w:orient="portrait"/>
          <w:cols w:equalWidth="0" w:num="1">
            <w:col w:w="11240"/>
          </w:cols>
          <w:pgMar w:left="320" w:top="1356" w:right="339" w:bottom="1440" w:gutter="0" w:footer="0" w:header="0"/>
        </w:sectPr>
      </w:pPr>
    </w:p>
    <w:p>
      <w:pPr>
        <w:spacing w:after="0" w:line="33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58"/>
          <w:szCs w:val="5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389890</wp:posOffset>
            </wp:positionV>
            <wp:extent cx="11112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0067B3"/>
        </w:rPr>
        <w:t>At ADI, we’re committed to governance best practices and robust risk oversight. We</w:t>
      </w:r>
    </w:p>
    <w:p>
      <w:pPr>
        <w:spacing w:after="0" w:line="14" w:lineRule="exact"/>
        <w:rPr>
          <w:sz w:val="20"/>
          <w:szCs w:val="20"/>
          <w:color w:val="auto"/>
        </w:rPr>
      </w:pPr>
    </w:p>
    <w:p>
      <w:pPr>
        <w:ind w:left="20" w:right="1040"/>
        <w:spacing w:after="0" w:line="226" w:lineRule="auto"/>
        <w:rPr>
          <w:sz w:val="20"/>
          <w:szCs w:val="20"/>
          <w:color w:val="auto"/>
        </w:rPr>
      </w:pPr>
      <w:r>
        <w:rPr>
          <w:rFonts w:ascii="Arial" w:cs="Arial" w:eastAsia="Arial" w:hAnsi="Arial"/>
          <w:sz w:val="18"/>
          <w:szCs w:val="18"/>
          <w:color w:val="0067B3"/>
        </w:rPr>
        <w:t>create value in line with our strategy to lead the Intelligent Edge with an ethical culture at our core. Identification and mitigation of key risks is a focus for both our Leadership</w:t>
      </w:r>
    </w:p>
    <w:p>
      <w:pPr>
        <w:spacing w:after="0" w:line="2" w:lineRule="exact"/>
        <w:rPr>
          <w:sz w:val="20"/>
          <w:szCs w:val="20"/>
          <w:color w:val="auto"/>
        </w:rPr>
      </w:pPr>
    </w:p>
    <w:p>
      <w:pPr>
        <w:ind w:left="20" w:right="1040"/>
        <w:spacing w:after="0" w:line="237" w:lineRule="auto"/>
        <w:rPr>
          <w:sz w:val="20"/>
          <w:szCs w:val="20"/>
          <w:color w:val="auto"/>
        </w:rPr>
      </w:pPr>
      <w:r>
        <w:rPr>
          <w:rFonts w:ascii="Arial" w:cs="Arial" w:eastAsia="Arial" w:hAnsi="Arial"/>
          <w:sz w:val="18"/>
          <w:szCs w:val="18"/>
          <w:color w:val="0067B3"/>
        </w:rPr>
        <w:t>Team and our Board of Directors, who receive regular updates on key risks across the company. This is simply how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6985</wp:posOffset>
            </wp:positionV>
            <wp:extent cx="11112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JANENE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-581660</wp:posOffset>
            </wp:positionV>
            <wp:extent cx="779780" cy="779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Chief Legal Officer, Chief Risk Officer, and Secretary</w:t>
      </w:r>
    </w:p>
    <w:p>
      <w:pPr>
        <w:spacing w:after="0" w:line="200" w:lineRule="exact"/>
        <w:rPr>
          <w:sz w:val="20"/>
          <w:szCs w:val="20"/>
          <w:color w:val="auto"/>
        </w:rPr>
      </w:pPr>
    </w:p>
    <w:p>
      <w:pPr>
        <w:sectPr>
          <w:pgSz w:w="11900" w:h="16838" w:orient="portrait"/>
          <w:cols w:equalWidth="0" w:num="2">
            <w:col w:w="7900" w:space="720"/>
            <w:col w:w="2560"/>
          </w:cols>
          <w:pgMar w:left="320" w:top="1126" w:right="3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Board Policies and Practices</w:t>
      </w:r>
    </w:p>
    <w:p>
      <w:pPr>
        <w:spacing w:after="0" w:line="15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periodically review our corporate governance policies and practices and compare them to those suggested by various authorities in corporate governance and the practices of other public companies.</w:t>
      </w:r>
    </w:p>
    <w:p>
      <w:pPr>
        <w:spacing w:after="0" w:line="4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have long believed that good corporate governance is important to ensure that ADI is managed for the long-term benefit of our shareholders. As a result, we have adopted the following policies and procedures that we believe are in the best interests of ADI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46545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ectPr>
          <w:pgSz w:w="11900" w:h="16838" w:orient="portrait"/>
          <w:cols w:equalWidth="0" w:num="1">
            <w:col w:w="11180"/>
          </w:cols>
          <w:pgMar w:left="320" w:top="1126" w:right="399" w:bottom="1440" w:gutter="0" w:footer="0" w:header="0"/>
          <w:type w:val="continuous"/>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Corporate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Governance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Guidelines</w:t>
      </w:r>
    </w:p>
    <w:p>
      <w:pPr>
        <w:spacing w:after="0" w:line="200" w:lineRule="exact"/>
        <w:rPr>
          <w:sz w:val="20"/>
          <w:szCs w:val="20"/>
          <w:color w:val="auto"/>
        </w:rPr>
      </w:pPr>
    </w:p>
    <w:p>
      <w:pPr>
        <w:spacing w:after="0" w:line="318" w:lineRule="exact"/>
        <w:rPr>
          <w:sz w:val="20"/>
          <w:szCs w:val="20"/>
          <w:color w:val="auto"/>
        </w:rPr>
      </w:pPr>
    </w:p>
    <w:p>
      <w:pPr>
        <w:ind w:left="160"/>
        <w:spacing w:after="0" w:line="296" w:lineRule="auto"/>
        <w:rPr>
          <w:sz w:val="20"/>
          <w:szCs w:val="20"/>
          <w:color w:val="auto"/>
        </w:rPr>
      </w:pPr>
      <w:r>
        <w:rPr>
          <w:rFonts w:ascii="Arial" w:cs="Arial" w:eastAsia="Arial" w:hAnsi="Arial"/>
          <w:sz w:val="18"/>
          <w:szCs w:val="18"/>
          <w:b w:val="1"/>
          <w:bCs w:val="1"/>
          <w:color w:val="FFFFFF"/>
        </w:rPr>
        <w:t>Declassified Board of Directors</w:t>
      </w:r>
    </w:p>
    <w:p>
      <w:pPr>
        <w:spacing w:after="0" w:line="205" w:lineRule="exact"/>
        <w:rPr>
          <w:sz w:val="20"/>
          <w:szCs w:val="20"/>
          <w:color w:val="auto"/>
        </w:rPr>
      </w:pPr>
    </w:p>
    <w:p>
      <w:pPr>
        <w:ind w:left="160" w:right="40"/>
        <w:spacing w:after="0" w:line="273" w:lineRule="auto"/>
        <w:rPr>
          <w:sz w:val="20"/>
          <w:szCs w:val="20"/>
          <w:color w:val="auto"/>
        </w:rPr>
      </w:pPr>
      <w:r>
        <w:rPr>
          <w:rFonts w:ascii="Arial" w:cs="Arial" w:eastAsia="Arial" w:hAnsi="Arial"/>
          <w:sz w:val="18"/>
          <w:szCs w:val="18"/>
          <w:b w:val="1"/>
          <w:bCs w:val="1"/>
          <w:color w:val="FFFFFF"/>
        </w:rPr>
        <w:t>Majority Voting for Election of Directors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Executive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Sessions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right="240"/>
        <w:spacing w:after="0" w:line="273" w:lineRule="auto"/>
        <w:rPr>
          <w:sz w:val="20"/>
          <w:szCs w:val="20"/>
          <w:color w:val="auto"/>
        </w:rPr>
      </w:pPr>
      <w:r>
        <w:rPr>
          <w:rFonts w:ascii="Arial" w:cs="Arial" w:eastAsia="Arial" w:hAnsi="Arial"/>
          <w:sz w:val="18"/>
          <w:szCs w:val="18"/>
          <w:b w:val="1"/>
          <w:bCs w:val="1"/>
          <w:color w:val="FFFFFF"/>
        </w:rPr>
        <w:t>No Hedging and No Pledging Policy</w:t>
      </w:r>
    </w:p>
    <w:p>
      <w:pPr>
        <w:spacing w:after="0" w:line="200" w:lineRule="exact"/>
        <w:rPr>
          <w:sz w:val="20"/>
          <w:szCs w:val="20"/>
          <w:color w:val="auto"/>
        </w:rPr>
      </w:pPr>
    </w:p>
    <w:p>
      <w:pPr>
        <w:spacing w:after="0" w:line="268" w:lineRule="exact"/>
        <w:rPr>
          <w:sz w:val="20"/>
          <w:szCs w:val="20"/>
          <w:color w:val="auto"/>
        </w:rPr>
      </w:pPr>
    </w:p>
    <w:p>
      <w:pPr>
        <w:ind w:left="160" w:right="120"/>
        <w:spacing w:after="0" w:line="328" w:lineRule="auto"/>
        <w:rPr>
          <w:sz w:val="20"/>
          <w:szCs w:val="20"/>
          <w:color w:val="auto"/>
        </w:rPr>
      </w:pPr>
      <w:r>
        <w:rPr>
          <w:rFonts w:ascii="Arial" w:cs="Arial" w:eastAsia="Arial" w:hAnsi="Arial"/>
          <w:sz w:val="17"/>
          <w:szCs w:val="17"/>
          <w:b w:val="1"/>
          <w:bCs w:val="1"/>
          <w:color w:val="FFFFFF"/>
        </w:rPr>
        <w:t>Equity Award Grant Date Policy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Summary</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Board of Directors has adopted Corporate Governance Guidelines for ADI that establish a common set of expectations to assist our Board of Directors and its committees in performing their duties. Our Board of Directors reviews these guidelines at least annually and updates them as necessary to reflect changing regulatory requirements and evolving practices.</w:t>
      </w:r>
    </w:p>
    <w:p>
      <w:pPr>
        <w:spacing w:after="0" w:line="198"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Our bylaws provide that each director will serve for a term ending on the date of the annual meeting following the one at which such director was elected.</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bylaws provide for a majority voting standard in uncontested director elections, so a director nominee is elected to our Board of Directors if the votes “for” that director exceed the votes “against” (with abstentions and broker non-votes not counted as for or against the election). If a director nominee does not receive more for votes than against votes, the director must offer his or her resignation, which our Board of Directors must determine whether to accept and publicly disclose that determination.</w:t>
      </w:r>
    </w:p>
    <w:p>
      <w:pPr>
        <w:spacing w:after="0" w:line="197"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At least twice per year, our Board of Directors holds executive sessions with our independent, non-employee directors, as defined under the Nasdaq Rules. Our Lead Independent Director, Mr. Jennings and prior to that Mr. Champy, presides at these independent director executive sessions. In addition, the committees of our Board of Directors also regularly hold executive sessions without management present and with their advisors.</w:t>
      </w:r>
    </w:p>
    <w:p>
      <w:pPr>
        <w:spacing w:after="0" w:line="19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We prohibit all hedging transactions or short sales involving ADI securities by our directors and employees, including our executive officers. Since January 2013, we have prohibited our directors and executive officers from holding any ADI securities in a margin account, and from any future pledging of their ADI securities as collateral for a loan.</w:t>
      </w:r>
    </w:p>
    <w:p>
      <w:pPr>
        <w:spacing w:after="0" w:line="19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 xml:space="preserve">We do not time or select the grant dates of any stock options or stock-based awards in coordination with our release of material non-public information, nor do we have any program, plan or practice to do so. In addition, our Compensation and Talent Committee has adopted specific written policies regarding the grant dates of equity awards made to our directors, executive officers and employees. See </w:t>
      </w:r>
      <w:r>
        <w:rPr>
          <w:rFonts w:ascii="Arial" w:cs="Arial" w:eastAsia="Arial" w:hAnsi="Arial"/>
          <w:sz w:val="18"/>
          <w:szCs w:val="18"/>
          <w:i w:val="1"/>
          <w:iCs w:val="1"/>
          <w:color w:val="auto"/>
        </w:rPr>
        <w:t>Director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 Award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Grant Date Policy </w:t>
      </w:r>
      <w:r>
        <w:rPr>
          <w:rFonts w:ascii="Arial" w:cs="Arial" w:eastAsia="Arial" w:hAnsi="Arial"/>
          <w:sz w:val="18"/>
          <w:szCs w:val="18"/>
          <w:color w:val="auto"/>
        </w:rPr>
        <w:t>below for more information.</w:t>
      </w:r>
    </w:p>
    <w:p>
      <w:pPr>
        <w:spacing w:after="0" w:line="200" w:lineRule="exact"/>
        <w:rPr>
          <w:sz w:val="20"/>
          <w:szCs w:val="20"/>
          <w:color w:val="auto"/>
        </w:rPr>
      </w:pPr>
    </w:p>
    <w:p>
      <w:pPr>
        <w:sectPr>
          <w:pgSz w:w="11900" w:h="16838" w:orient="portrait"/>
          <w:cols w:equalWidth="0" w:num="2">
            <w:col w:w="1780" w:space="380"/>
            <w:col w:w="9020"/>
          </w:cols>
          <w:pgMar w:left="320" w:top="1126" w:right="399" w:bottom="1440" w:gutter="0" w:footer="0" w:header="0"/>
          <w:type w:val="continuous"/>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26</w:t>
      </w:r>
    </w:p>
    <w:p>
      <w:pPr>
        <w:jc w:val="right"/>
        <w:ind w:right="906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6" w:right="399" w:bottom="1440" w:gutter="0" w:footer="0" w:header="0"/>
          <w:type w:val="continuous"/>
        </w:sectPr>
      </w:pPr>
    </w:p>
    <w:bookmarkStart w:id="37" w:name="page38"/>
    <w:bookmarkEnd w:id="37"/>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9" w:lineRule="exact"/>
        <w:rPr>
          <w:sz w:val="20"/>
          <w:szCs w:val="20"/>
          <w:color w:val="auto"/>
        </w:rPr>
      </w:pPr>
    </w:p>
    <w:p>
      <w:pPr>
        <w:ind w:left="160" w:right="220"/>
        <w:spacing w:after="0" w:line="296" w:lineRule="auto"/>
        <w:rPr>
          <w:sz w:val="20"/>
          <w:szCs w:val="20"/>
          <w:color w:val="auto"/>
        </w:rPr>
      </w:pPr>
      <w:r>
        <w:rPr>
          <w:rFonts w:ascii="Arial" w:cs="Arial" w:eastAsia="Arial" w:hAnsi="Arial"/>
          <w:sz w:val="17"/>
          <w:szCs w:val="17"/>
          <w:b w:val="1"/>
          <w:bCs w:val="1"/>
          <w:color w:val="FFFFFF"/>
        </w:rPr>
        <w:t>Executive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right="220"/>
        <w:spacing w:after="0" w:line="328" w:lineRule="auto"/>
        <w:rPr>
          <w:sz w:val="20"/>
          <w:szCs w:val="20"/>
          <w:color w:val="auto"/>
        </w:rPr>
      </w:pPr>
      <w:r>
        <w:rPr>
          <w:rFonts w:ascii="Arial" w:cs="Arial" w:eastAsia="Arial" w:hAnsi="Arial"/>
          <w:sz w:val="17"/>
          <w:szCs w:val="17"/>
          <w:b w:val="1"/>
          <w:bCs w:val="1"/>
          <w:color w:val="FFFFFF"/>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right="440"/>
        <w:spacing w:after="0" w:line="296" w:lineRule="auto"/>
        <w:rPr>
          <w:sz w:val="20"/>
          <w:szCs w:val="20"/>
          <w:color w:val="auto"/>
        </w:rPr>
      </w:pPr>
      <w:r>
        <w:rPr>
          <w:rFonts w:ascii="Arial" w:cs="Arial" w:eastAsia="Arial" w:hAnsi="Arial"/>
          <w:sz w:val="18"/>
          <w:szCs w:val="18"/>
          <w:b w:val="1"/>
          <w:bCs w:val="1"/>
          <w:color w:val="FFFFFF"/>
        </w:rPr>
        <w:t>Proxy Access Right</w:t>
      </w:r>
    </w:p>
    <w:p>
      <w:pPr>
        <w:spacing w:after="0" w:line="164" w:lineRule="exact"/>
        <w:rPr>
          <w:sz w:val="20"/>
          <w:szCs w:val="20"/>
          <w:color w:val="auto"/>
        </w:rPr>
      </w:pPr>
    </w:p>
    <w:p>
      <w:pPr>
        <w:ind w:left="160" w:right="80"/>
        <w:spacing w:after="0" w:line="296" w:lineRule="auto"/>
        <w:rPr>
          <w:sz w:val="20"/>
          <w:szCs w:val="20"/>
          <w:color w:val="auto"/>
        </w:rPr>
      </w:pPr>
      <w:r>
        <w:rPr>
          <w:rFonts w:ascii="Arial" w:cs="Arial" w:eastAsia="Arial" w:hAnsi="Arial"/>
          <w:sz w:val="17"/>
          <w:szCs w:val="17"/>
          <w:b w:val="1"/>
          <w:bCs w:val="1"/>
          <w:color w:val="FFFFFF"/>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Code of</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Corporate Social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Responsibility</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Director 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-124460</wp:posOffset>
            </wp:positionV>
            <wp:extent cx="7132320" cy="63004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6300470"/>
                    </a:xfrm>
                    <a:prstGeom prst="rect">
                      <a:avLst/>
                    </a:prstGeom>
                    <a:noFill/>
                  </pic:spPr>
                </pic:pic>
              </a:graphicData>
            </a:graphic>
          </wp:anchor>
        </w:drawing>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guidelines, the target stock ownership levels are five times annual base salary for the CEO and three times annual base salary for other executive officers and any Senior Vice President reporting to the CEO, which we collectively refer to as, the Leadership Team. The CEO has four years from the date of his appointment as CEO to achieve his targeted level. Members of the Leadership Team other than the CEO have five years from the date he or she becomes part of the Leadership Team to achieve their targeted level. Shares subject to unexercised options, whether or not vested, and unvested PRSUs whose performance have not yet been certified by the Compensation and Talent Committee will not be counted for purposes of satisfying these guidelines. Restricted stock units (RSUs), restricted stock (whether or not vested), and unvested PRSUs whose performance has been certified by the Compensation and Talent Committee are counted for purposes of satisfying these guidelines. All members of the Leadership Team, other than Mr. Lee, who first joined ADI in fiscal year 2023, are in compliance with our stock ownership guidelines. Mr. Lee is expected to be in compliance with our stock ownership guidelines within the first five years of his appointment to the Leadership Team.</w:t>
      </w:r>
    </w:p>
    <w:p>
      <w:pPr>
        <w:spacing w:after="0" w:line="3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compensation recovery policy provides that in the event of an accounting restatement due to the material noncompliance of ADI with any financial reporting requirement under the U.S. federal securities laws, the company will attempt to recover from our CEO and other officers (as defined in Rule 16a-1(f) under the Securities and Exchange Act of 1934, as amended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pacing w:after="0" w:line="31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bylaws allow shareholders that meet standard eligibility requirements to nominate and include in our proxy statement director candidates for election.</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 Code of Business Conduct and Ethics, which details our commitment to conducting business ethically, in compliance with the law, and in a way that reflects our deeper values. Our Code of Business Conduct and Ethics details our commitment to safeguarding personal data, explains our whistleblower reporting process, and is designed to be consistent with best practices. Our Code of Business Conduct and Ethics provides transparency on our enhanced whistleblower process. Specifically, we affirm our commitment to a consistent and transparent review process, prompt and thorough investigations, assignment of neutral investigators, communication about investigation outcomes, and implementation of appropriate corrective actions.</w:t>
      </w:r>
    </w:p>
    <w:p>
      <w:pPr>
        <w:spacing w:after="0" w:line="21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Code of Corporate Social Responsibility details ADI’s policies for itself and its suppliers in the areas of labor and human rights, health and safety, environment, ethics, management systems and data privacy.</w:t>
      </w:r>
    </w:p>
    <w:p>
      <w:pPr>
        <w:spacing w:after="0" w:line="3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encourage our directors to attend director education programs and provide educational opportunities to our directors through a variety of platforms. We reimburse the costs of attending such programs. We also provide members of our Board of Directors a membership to the National Association of Corporate Directors.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200" w:lineRule="exact"/>
        <w:rPr>
          <w:sz w:val="20"/>
          <w:szCs w:val="20"/>
          <w:color w:val="auto"/>
        </w:rPr>
      </w:pPr>
    </w:p>
    <w:p>
      <w:pPr>
        <w:sectPr>
          <w:pgSz w:w="11900" w:h="16838" w:orient="portrait"/>
          <w:cols w:equalWidth="0" w:num="2">
            <w:col w:w="1760" w:space="400"/>
            <w:col w:w="9060"/>
          </w:cols>
          <w:pgMar w:left="320" w:top="1232" w:right="359" w:bottom="1440" w:gutter="0" w:footer="0" w:header="0"/>
        </w:sectPr>
      </w:pP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You can access our bylaws, the current charters for our Audit Committee, Compensation and Talent Committee, Nominating and Corporate Governance Committee, and Corporate Development Committee, our Corporate Governance Guidelines, our Code of Business Conduct and Ethics, and other governance documents and corporate policies at https://investor.analog.com/governance/governance-documents and https://www.analog.com/en/about-adi/legal-and-risk-oversight.html or by writing to: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ectPr>
          <w:pgSz w:w="11900" w:h="16838" w:orient="portrait"/>
          <w:cols w:equalWidth="0" w:num="1">
            <w:col w:w="11220"/>
          </w:cols>
          <w:pgMar w:left="320" w:top="1232" w:right="359" w:bottom="1440" w:gutter="0" w:footer="0" w:header="0"/>
          <w:type w:val="continuous"/>
        </w:sectPr>
      </w:pPr>
    </w:p>
    <w:p>
      <w:pPr>
        <w:spacing w:after="0" w:line="32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41"/>
          <w:szCs w:val="41"/>
          <w:b w:val="1"/>
          <w:bCs w:val="1"/>
          <w:color w:val="0067B3"/>
        </w:rPr>
        <w:t>Board and Committee Structure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of Directors is responsible for creating a leadership structure that provides independent oversight of management and regularly reviews its leadership structure. When evaluating the optimal structure, the Board of Directors reviews a variety of criteria, including shareholder feedback, feedback received during the Board of Directors evaluation process, our strategic goals, the current operating and governance environment, the skill set of the independent directors, and the dynamics of the Board of Directors at any given point in time. The Board of Directors does not believe that there is one leadership structure that is preferred and regularly discusses what the optimal structure is for ADI at that time.</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provide that the roles of Chair of the Board of Directors and CEO may be filled by the same individual. The Corporate Governance Guidelines further provide that if the Chair is not an independent director, then a Lead Independent Director may be designated by the Board of Directors. This approach provides the Board of Directors with flexibility to determine whether the two roles should be separate or combined based upon ADI’s needs in light of the dynamic environment in which we operate and the Board of Directors’ assessment of ADI’s leadership needs at that time.</w:t>
      </w:r>
    </w:p>
    <w:p>
      <w:pPr>
        <w:spacing w:after="0" w:line="7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Since March 2022, Mr. Roche has been serving as the CEO and Chair. The Board of Directors believes that this leadership structure, coupled with a strong emphasis on Board of Directors’ independence, provides effective independent oversight of management while allowing both the Board of Directors and management to benefit from Mr. Roche’s leadership and years of experience driving ADI’s strategy. As CEO, Mr. Roche has been instrumental in identifying and driving ADI’s strategic priorities. Mr. Roche has deep experience expanding ADI’s global scale, pioneering innovations, and transforming the Board of Directors and Leadership Team to position ADI for continued long-term strategic growth. Further, the Board of Directors believes that having Mr. Roche serve in this combined role benefits shareholders and strengthens his ability to provide leadership as ADI continues to transition in response to customer demand for more complete solutions.</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Mr. Champy served as our Lead Independent Director from March 2010 until January 2023 at which time the Board of Directors appointed Mr. Jennings as Lead Independent Director, continuing the Board of Directors’ practice of having a strong and effective independent partner to our CEO and Chair. The Board of Directors would like to thank Mr. Champy for his leadership and his dedication serving in this role for the last 13 years.</w:t>
      </w:r>
    </w:p>
    <w:p>
      <w:pPr>
        <w:spacing w:after="0" w:line="6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Mr. Jennings brings deep corporate governance expertise to carry on the role of the Lead Independent Director. As Lead Independent Director, Mr. Jennings carries out the important responsibilities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7432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0575" cy="2743200"/>
                    </a:xfrm>
                    <a:prstGeom prst="rect">
                      <a:avLst/>
                    </a:prstGeom>
                    <a:noFill/>
                  </pic:spPr>
                </pic:pic>
              </a:graphicData>
            </a:graphic>
          </wp:anchor>
        </w:drawing>
      </w:r>
    </w:p>
    <w:p>
      <w:pPr>
        <w:spacing w:after="0" w:line="335" w:lineRule="exact"/>
        <w:rPr>
          <w:sz w:val="20"/>
          <w:szCs w:val="20"/>
          <w:color w:val="auto"/>
        </w:rPr>
      </w:pPr>
    </w:p>
    <w:p>
      <w:pPr>
        <w:ind w:left="240" w:right="600"/>
        <w:spacing w:after="0" w:line="287" w:lineRule="auto"/>
        <w:rPr>
          <w:sz w:val="20"/>
          <w:szCs w:val="20"/>
          <w:color w:val="auto"/>
        </w:rPr>
      </w:pPr>
      <w:r>
        <w:rPr>
          <w:rFonts w:ascii="Arial" w:cs="Arial" w:eastAsia="Arial" w:hAnsi="Arial"/>
          <w:sz w:val="18"/>
          <w:szCs w:val="18"/>
          <w:color w:val="auto"/>
        </w:rPr>
        <w:t>In accordance with best practices to ensure independent leadership, the Lead Independent Director has significant responsibilities, including:</w:t>
      </w:r>
    </w:p>
    <w:p>
      <w:pPr>
        <w:spacing w:after="0" w:line="4" w:lineRule="exact"/>
        <w:rPr>
          <w:sz w:val="20"/>
          <w:szCs w:val="20"/>
          <w:color w:val="auto"/>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Leadership of executive sessions of the independent directors or other meetings at which the Chair is not present;</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Authority to call meetings of the independent directors;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Coordinating with the Chair to call Board of Directors’ meetings;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Overseeing the annual Board of Directors’ evaluation process;</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Serving as a liaison between the Chair and the independent directors, as required;</w:t>
      </w:r>
    </w:p>
    <w:p>
      <w:pPr>
        <w:spacing w:after="0" w:line="76" w:lineRule="exact"/>
        <w:rPr>
          <w:rFonts w:ascii="Arial" w:cs="Arial" w:eastAsia="Arial" w:hAnsi="Arial"/>
          <w:sz w:val="13"/>
          <w:szCs w:val="13"/>
          <w:color w:val="0067B3"/>
        </w:rPr>
      </w:pPr>
    </w:p>
    <w:p>
      <w:pPr>
        <w:ind w:left="420" w:right="620" w:hanging="186"/>
        <w:spacing w:after="0" w:line="287" w:lineRule="auto"/>
        <w:tabs>
          <w:tab w:leader="none" w:pos="377"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Coordinating with the Chair to set and approve the Board of Directors’ meeting schedule and agenda to assure sufficient time for discussion of all agenda items;</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Determining the appropriate materials to be provided to the Board of Directors;</w:t>
      </w:r>
    </w:p>
    <w:p>
      <w:pPr>
        <w:spacing w:after="0" w:line="90" w:lineRule="exact"/>
        <w:rPr>
          <w:rFonts w:ascii="Arial" w:cs="Arial" w:eastAsia="Arial" w:hAnsi="Arial"/>
          <w:sz w:val="13"/>
          <w:szCs w:val="13"/>
          <w:color w:val="0067B3"/>
        </w:rPr>
      </w:pPr>
    </w:p>
    <w:p>
      <w:pPr>
        <w:ind w:left="420" w:right="300" w:hanging="186"/>
        <w:spacing w:after="0" w:line="287" w:lineRule="auto"/>
        <w:tabs>
          <w:tab w:leader="none" w:pos="377"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Serving as the focal point for shareholder communications with the independent directors and requests for consultation addressed to independent members of the Board of Directors;</w:t>
      </w:r>
    </w:p>
    <w:p>
      <w:pPr>
        <w:spacing w:after="0" w:line="4" w:lineRule="exact"/>
        <w:rPr>
          <w:rFonts w:ascii="Arial" w:cs="Arial" w:eastAsia="Arial" w:hAnsi="Arial"/>
          <w:sz w:val="13"/>
          <w:szCs w:val="13"/>
          <w:color w:val="0067B3"/>
        </w:rPr>
      </w:pPr>
    </w:p>
    <w:p>
      <w:pPr>
        <w:ind w:left="420" w:right="220" w:hanging="186"/>
        <w:spacing w:after="0" w:line="287" w:lineRule="auto"/>
        <w:tabs>
          <w:tab w:leader="none" w:pos="377"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The ability to retain outside professionals on behalf of our Board of Directors as our Board of Directors may determine is necessary or appropriate; and</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Such other functions as our Board of Directors may direct from time to time.</w:t>
      </w:r>
    </w:p>
    <w:p>
      <w:pPr>
        <w:spacing w:after="0" w:line="200" w:lineRule="exact"/>
        <w:rPr>
          <w:sz w:val="20"/>
          <w:szCs w:val="20"/>
          <w:color w:val="auto"/>
        </w:rPr>
      </w:pPr>
    </w:p>
    <w:p>
      <w:pPr>
        <w:spacing w:after="0" w:line="30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Board of Directors continues to review its leadership structure on a regular basis to evaluate whether the current structure remains appropriate for ADI.</w:t>
      </w:r>
    </w:p>
    <w:p>
      <w:pPr>
        <w:sectPr>
          <w:pgSz w:w="11900" w:h="16838" w:orient="portrait"/>
          <w:cols w:equalWidth="0" w:num="1">
            <w:col w:w="11220"/>
          </w:cols>
          <w:pgMar w:left="320" w:top="1356" w:right="359" w:bottom="1440" w:gutter="0" w:footer="0" w:header="0"/>
        </w:sect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28</w:t>
      </w:r>
    </w:p>
    <w:p>
      <w:pPr>
        <w:jc w:val="right"/>
        <w:ind w:right="910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32"/>
          <w:szCs w:val="32"/>
          <w:b w:val="1"/>
          <w:bCs w:val="1"/>
          <w:color w:val="auto"/>
        </w:rPr>
        <w:t>Board Committees</w:t>
      </w:r>
    </w:p>
    <w:p>
      <w:pPr>
        <w:spacing w:after="0" w:line="1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Board of Directors has standing Audit, Compensation and Talent, Nominating and Corporate Governance, and Corporate Development Committees. With the exception of our Corporate Development Committee, of which Mr. Roche served as a member until January 2024, the members the three other committees are comprised of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Mr. Roche is the only current director who is, or has been in the past three years, an employee of ADI. Mr. Stata does not serve on any standing committee and Messrs. Roche and Stata do not participate in the portion of any Board or committee meeting during which their compensation is evaluated or in sessions comprised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45262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Audit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Committee</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23"/>
          <w:szCs w:val="23"/>
          <w:b w:val="1"/>
          <w:bCs w:val="1"/>
          <w:color w:val="auto"/>
          <w:vertAlign w:val="superscript"/>
        </w:rPr>
        <w:t>(1)</w:t>
      </w:r>
    </w:p>
    <w:p>
      <w:pPr>
        <w:ind w:left="220"/>
        <w:spacing w:after="0" w:line="238" w:lineRule="auto"/>
        <w:rPr>
          <w:sz w:val="20"/>
          <w:szCs w:val="20"/>
          <w:color w:val="auto"/>
        </w:rPr>
      </w:pPr>
      <w:r>
        <w:rPr>
          <w:rFonts w:ascii="Arial" w:cs="Arial" w:eastAsia="Arial" w:hAnsi="Arial"/>
          <w:sz w:val="18"/>
          <w:szCs w:val="18"/>
          <w:color w:val="0067B3"/>
        </w:rPr>
        <w:t>Karen M. Golz (Chair)</w:t>
      </w:r>
    </w:p>
    <w:p>
      <w:pPr>
        <w:ind w:left="220"/>
        <w:spacing w:after="0" w:line="226" w:lineRule="auto"/>
        <w:rPr>
          <w:sz w:val="20"/>
          <w:szCs w:val="20"/>
          <w:color w:val="auto"/>
        </w:rPr>
      </w:pPr>
      <w:r>
        <w:rPr>
          <w:rFonts w:ascii="Arial" w:cs="Arial" w:eastAsia="Arial" w:hAnsi="Arial"/>
          <w:sz w:val="17"/>
          <w:szCs w:val="17"/>
          <w:color w:val="auto"/>
        </w:rPr>
        <w:t>Anantha Chandrakasan</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Peter B. Henry</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Mercedes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2023: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PRINCIPAL RESPONSIBILITIES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the Audit Committee is to assist our Board of Directors’ oversight of:</w:t>
      </w:r>
    </w:p>
    <w:p>
      <w:pPr>
        <w:spacing w:after="0" w:line="117" w:lineRule="exact"/>
        <w:rPr>
          <w:sz w:val="20"/>
          <w:szCs w:val="20"/>
          <w:color w:val="auto"/>
        </w:rPr>
      </w:pPr>
    </w:p>
    <w:p>
      <w:pPr>
        <w:ind w:left="200" w:right="180" w:hanging="195"/>
        <w:spacing w:after="0" w:line="281" w:lineRule="auto"/>
        <w:tabs>
          <w:tab w:leader="none" w:pos="157"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The integrity of our financial statements, including regulatory requirements to the extent they pertain to financial matters;</w:t>
      </w:r>
    </w:p>
    <w:p>
      <w:pPr>
        <w:spacing w:after="0" w:line="1" w:lineRule="exact"/>
        <w:rPr>
          <w:rFonts w:ascii="Arial" w:cs="Arial" w:eastAsia="Arial" w:hAnsi="Arial"/>
          <w:sz w:val="13"/>
          <w:szCs w:val="13"/>
          <w:color w:val="0067B3"/>
        </w:rPr>
      </w:pPr>
    </w:p>
    <w:p>
      <w:pPr>
        <w:ind w:left="160" w:hanging="155"/>
        <w:spacing w:after="0"/>
        <w:tabs>
          <w:tab w:leader="none" w:pos="16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The qualifications and independence of our independent registered public accounting firm;</w:t>
      </w:r>
    </w:p>
    <w:p>
      <w:pPr>
        <w:spacing w:after="0" w:line="63" w:lineRule="exact"/>
        <w:rPr>
          <w:rFonts w:ascii="Arial" w:cs="Arial" w:eastAsia="Arial" w:hAnsi="Arial"/>
          <w:sz w:val="13"/>
          <w:szCs w:val="13"/>
          <w:color w:val="0067B3"/>
        </w:rPr>
      </w:pPr>
    </w:p>
    <w:p>
      <w:pPr>
        <w:ind w:left="160" w:hanging="155"/>
        <w:spacing w:after="0"/>
        <w:tabs>
          <w:tab w:leader="none" w:pos="16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The performance of our internal audit function and independent registered public accounting firm;</w:t>
      </w:r>
    </w:p>
    <w:p>
      <w:pPr>
        <w:spacing w:after="0" w:line="63" w:lineRule="exact"/>
        <w:rPr>
          <w:rFonts w:ascii="Arial" w:cs="Arial" w:eastAsia="Arial" w:hAnsi="Arial"/>
          <w:sz w:val="13"/>
          <w:szCs w:val="13"/>
          <w:color w:val="0067B3"/>
        </w:rPr>
      </w:pPr>
    </w:p>
    <w:p>
      <w:pPr>
        <w:ind w:left="200" w:right="440" w:hanging="195"/>
        <w:spacing w:after="0" w:line="281" w:lineRule="auto"/>
        <w:tabs>
          <w:tab w:leader="none" w:pos="157"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The process relating to internal enterprise risk management, control systems, and review of related person transactions;</w:t>
      </w:r>
    </w:p>
    <w:p>
      <w:pPr>
        <w:spacing w:after="0" w:line="1" w:lineRule="exact"/>
        <w:rPr>
          <w:rFonts w:ascii="Arial" w:cs="Arial" w:eastAsia="Arial" w:hAnsi="Arial"/>
          <w:sz w:val="13"/>
          <w:szCs w:val="13"/>
          <w:color w:val="0067B3"/>
        </w:rPr>
      </w:pPr>
    </w:p>
    <w:p>
      <w:pPr>
        <w:ind w:left="200" w:right="160" w:hanging="195"/>
        <w:spacing w:after="0" w:line="268" w:lineRule="auto"/>
        <w:tabs>
          <w:tab w:leader="none" w:pos="157"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Our capital allocation and structure, including potential issuance of debt and equity securities, credit agreements, letters of credit, guarantees and other financial instruments, investment policy, dividends, stock splits, and stock repurchases;</w:t>
      </w:r>
    </w:p>
    <w:p>
      <w:pPr>
        <w:spacing w:after="0" w:line="8" w:lineRule="exact"/>
        <w:rPr>
          <w:rFonts w:ascii="Arial" w:cs="Arial" w:eastAsia="Arial" w:hAnsi="Arial"/>
          <w:sz w:val="13"/>
          <w:szCs w:val="13"/>
          <w:color w:val="0067B3"/>
        </w:rPr>
      </w:pPr>
    </w:p>
    <w:p>
      <w:pPr>
        <w:ind w:left="160" w:hanging="155"/>
        <w:spacing w:after="0"/>
        <w:tabs>
          <w:tab w:leader="none" w:pos="16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Our significant risks or exposures;</w:t>
      </w:r>
    </w:p>
    <w:p>
      <w:pPr>
        <w:spacing w:after="0" w:line="63" w:lineRule="exact"/>
        <w:rPr>
          <w:rFonts w:ascii="Arial" w:cs="Arial" w:eastAsia="Arial" w:hAnsi="Arial"/>
          <w:sz w:val="13"/>
          <w:szCs w:val="13"/>
          <w:color w:val="0067B3"/>
        </w:rPr>
      </w:pPr>
    </w:p>
    <w:p>
      <w:pPr>
        <w:ind w:left="160" w:hanging="155"/>
        <w:spacing w:after="0"/>
        <w:tabs>
          <w:tab w:leader="none" w:pos="16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Our cybersecurity and information security programs, practices, and risk mitigation efforts;</w:t>
      </w:r>
    </w:p>
    <w:p>
      <w:pPr>
        <w:spacing w:after="0" w:line="63" w:lineRule="exact"/>
        <w:rPr>
          <w:rFonts w:ascii="Arial" w:cs="Arial" w:eastAsia="Arial" w:hAnsi="Arial"/>
          <w:sz w:val="13"/>
          <w:szCs w:val="13"/>
          <w:color w:val="0067B3"/>
        </w:rPr>
      </w:pPr>
    </w:p>
    <w:p>
      <w:pPr>
        <w:ind w:left="200" w:right="840" w:hanging="195"/>
        <w:spacing w:after="0" w:line="281" w:lineRule="auto"/>
        <w:tabs>
          <w:tab w:leader="none" w:pos="157"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Legal, compliance, and regulatory matters that could have a significant impact on our financial statements; and</w:t>
      </w:r>
    </w:p>
    <w:p>
      <w:pPr>
        <w:spacing w:after="0" w:line="1" w:lineRule="exact"/>
        <w:rPr>
          <w:rFonts w:ascii="Arial" w:cs="Arial" w:eastAsia="Arial" w:hAnsi="Arial"/>
          <w:sz w:val="13"/>
          <w:szCs w:val="13"/>
          <w:color w:val="0067B3"/>
        </w:rPr>
      </w:pPr>
    </w:p>
    <w:p>
      <w:pPr>
        <w:ind w:left="160" w:hanging="155"/>
        <w:spacing w:after="0"/>
        <w:tabs>
          <w:tab w:leader="none" w:pos="16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Our financial outlook and plans for financing our working and long-term capital requirements.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of Directors has determined that each of Mses. Golz and Johnson qualifies as an “audit committee financial expert” under the rules of the SEC, and that each of Mses. Golz and Johnson and Drs. Chandrakasan and Henry is independent as defined under the Nasdaq Rules and the independence requirements under Rule 10A-3(b)(1) of the Exchange Act. In addition, our Board of Directors has determined that each member of the Audit Committee is able to read and understand financial statements, including ADI’s consolidated balance sheet and its consolidated statements of income, comprehensive income, shareholders’ equity and cash flows, and related notes as required under the Nasdaq Rules. Our Board of Directors has certified that it has at least one member of the Audit Committee who has past employment experience in finance or accounting as required by the Nasdaq Rules.</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responsibilities of our Audit Committee and its activities during fiscal year 2023 are described in the Report of the Audit Committee below.</w:t>
      </w:r>
    </w:p>
    <w:p>
      <w:pPr>
        <w:spacing w:after="0" w:line="200" w:lineRule="exact"/>
        <w:rPr>
          <w:sz w:val="20"/>
          <w:szCs w:val="20"/>
          <w:color w:val="auto"/>
        </w:rPr>
      </w:pPr>
    </w:p>
    <w:p>
      <w:pPr>
        <w:sectPr>
          <w:pgSz w:w="11900" w:h="16838" w:orient="portrait"/>
          <w:cols w:equalWidth="0" w:num="2">
            <w:col w:w="2260" w:space="520"/>
            <w:col w:w="8460"/>
          </w:cols>
          <w:pgMar w:left="320" w:top="1311" w:right="339" w:bottom="1440" w:gutter="0" w:footer="0" w:header="0"/>
          <w:type w:val="continuous"/>
        </w:sectPr>
      </w:pPr>
    </w:p>
    <w:p>
      <w:pPr>
        <w:spacing w:after="0" w:line="25"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Bruce Evans served as a member of the Audit Committee until his retirement from our Board of Directors on March 8, 2023.</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Dr. Chandrakasan was appointed to the Audit Committee on March 8, 2023 and will continue to serve as a member until March 13, 2024.</w:t>
      </w:r>
    </w:p>
    <w:p>
      <w:pPr>
        <w:spacing w:after="0" w:line="71"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Dr. Henry was appointed to the Audit Committee on December 5, 2023.</w:t>
      </w:r>
    </w:p>
    <w:p>
      <w:pPr>
        <w:spacing w:after="0" w:line="7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Audit Committee charter provides that no member of the Audit Committee may serve on the audit committee of more than two other public companies in addition to ADI, unless approved by the Board of Directors. Until May 2023, Ms. Johnson served as a member of the audit committee of three other public companies with the approval of our Board of Directors. As of May 2023, Ms. Johnson is a member of the audit committees of two other public companies, serving as the audit committee chair for each of those public companies. Neither Ms. Golz nor Drs. Chandrakasan or Henry serve on the audit committees of more than two other public companies in addition to ADI.</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has the authority to engage independent legal, accounting, and other advisors that it deems necessary or appropriate to carry out its responsibilities. These independent advisors may be the regular advisors to ADI. The Audit Committee is empowered to pre-approve all audit services to be provided to ADI and all other services to be provided to ADI by our independent auditor. The Audit Committee has delegated authority to the Chair of the Audit Committee to pre-approve any audit or non-audit services to be provided to ADI by the independent registered public accounting firm for which the cost is less than $100,000. The Audit Committee selected and appointed Ernst &amp; Young LLP, our independent registered public accounting firm, and did not retain any other advisors during fiscal year 2023.</w:t>
      </w:r>
    </w:p>
    <w:p>
      <w:pPr>
        <w:sectPr>
          <w:pgSz w:w="11900" w:h="16838" w:orient="portrait"/>
          <w:cols w:equalWidth="0" w:num="1">
            <w:col w:w="11240"/>
          </w:cols>
          <w:pgMar w:left="320" w:top="1311" w:right="339" w:bottom="1440" w:gutter="0" w:footer="0" w:header="0"/>
          <w:type w:val="continuous"/>
        </w:sectPr>
      </w:pPr>
    </w:p>
    <w:p>
      <w:pPr>
        <w:spacing w:after="0" w:line="33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40" w:name="page41"/>
    <w:bookmarkEnd w:id="40"/>
    <w:p>
      <w:pPr>
        <w:ind w:right="540"/>
        <w:spacing w:after="0" w:line="287" w:lineRule="auto"/>
        <w:rPr>
          <w:sz w:val="20"/>
          <w:szCs w:val="20"/>
          <w:color w:val="auto"/>
        </w:rPr>
      </w:pPr>
      <w:r>
        <w:rPr>
          <w:rFonts w:ascii="Arial" w:cs="Arial" w:eastAsia="Arial" w:hAnsi="Arial"/>
          <w:sz w:val="18"/>
          <w:szCs w:val="18"/>
          <w:color w:val="auto"/>
        </w:rPr>
        <w:t>In December 2023, the Audit Committee amended its charter to clarify its role to include oversight of our cybersecurity and information security programs, practices, and risk mitigation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9063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90639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p>
      <w:pPr>
        <w:spacing w:after="0" w:line="196" w:lineRule="exact"/>
        <w:rPr>
          <w:sz w:val="20"/>
          <w:szCs w:val="20"/>
          <w:color w:val="auto"/>
        </w:rPr>
      </w:pPr>
    </w:p>
    <w:p>
      <w:pPr>
        <w:ind w:left="220" w:right="80"/>
        <w:spacing w:after="0" w:line="253" w:lineRule="auto"/>
        <w:rPr>
          <w:sz w:val="20"/>
          <w:szCs w:val="20"/>
          <w:color w:val="auto"/>
        </w:rPr>
      </w:pPr>
      <w:r>
        <w:rPr>
          <w:rFonts w:ascii="Arial" w:cs="Arial" w:eastAsia="Arial" w:hAnsi="Arial"/>
          <w:sz w:val="27"/>
          <w:szCs w:val="27"/>
          <w:b w:val="1"/>
          <w:bCs w:val="1"/>
          <w:color w:val="0067B3"/>
        </w:rPr>
        <w:t>Compensation and Talent Committee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Edward H. Frank (Chair)</w:t>
      </w:r>
    </w:p>
    <w:p>
      <w:pPr>
        <w:spacing w:after="0" w:line="9" w:lineRule="exact"/>
        <w:rPr>
          <w:sz w:val="20"/>
          <w:szCs w:val="20"/>
          <w:color w:val="auto"/>
        </w:rPr>
      </w:pPr>
    </w:p>
    <w:p>
      <w:pPr>
        <w:ind w:left="220" w:right="120"/>
        <w:spacing w:after="0" w:line="230" w:lineRule="auto"/>
        <w:rPr>
          <w:sz w:val="20"/>
          <w:szCs w:val="20"/>
          <w:color w:val="auto"/>
        </w:rPr>
      </w:pPr>
      <w:r>
        <w:rPr>
          <w:rFonts w:ascii="Arial" w:cs="Arial" w:eastAsia="Arial" w:hAnsi="Arial"/>
          <w:sz w:val="18"/>
          <w:szCs w:val="18"/>
          <w:color w:val="auto"/>
        </w:rPr>
        <w:t>Laurie H. Glimcher Stephen M. Jennings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Susie Wee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2023: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PRINCIPAL RESPONSIBILITIES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and Talent Committee are to:</w:t>
      </w:r>
    </w:p>
    <w:p>
      <w:pPr>
        <w:spacing w:after="0" w:line="77" w:lineRule="exact"/>
        <w:rPr>
          <w:sz w:val="20"/>
          <w:szCs w:val="20"/>
          <w:color w:val="auto"/>
        </w:rPr>
      </w:pPr>
    </w:p>
    <w:p>
      <w:pPr>
        <w:ind w:left="160" w:hanging="155"/>
        <w:spacing w:after="0"/>
        <w:tabs>
          <w:tab w:leader="none" w:pos="160"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Evaluate and set the compensation of our CEO and Leadership Team;</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Make recommendations to our Board of Directors regarding the compensation of our directors;</w:t>
      </w:r>
    </w:p>
    <w:p>
      <w:pPr>
        <w:spacing w:after="0" w:line="90" w:lineRule="exact"/>
        <w:rPr>
          <w:rFonts w:ascii="Arial" w:cs="Arial" w:eastAsia="Arial" w:hAnsi="Arial"/>
          <w:sz w:val="13"/>
          <w:szCs w:val="13"/>
          <w:color w:val="0067B3"/>
        </w:rPr>
      </w:pPr>
    </w:p>
    <w:p>
      <w:pPr>
        <w:ind w:left="200" w:right="560" w:hanging="195"/>
        <w:spacing w:after="0" w:line="268" w:lineRule="auto"/>
        <w:tabs>
          <w:tab w:leader="none" w:pos="157"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Review, and make recommendations to our Board of Directors with respect to, incentive compensation plans and equity-based plans, and exercise all rights, authority, and functions with respect to such plans;</w:t>
      </w:r>
    </w:p>
    <w:p>
      <w:pPr>
        <w:spacing w:after="0" w:line="62" w:lineRule="exact"/>
        <w:rPr>
          <w:rFonts w:ascii="Arial" w:cs="Arial" w:eastAsia="Arial" w:hAnsi="Arial"/>
          <w:sz w:val="13"/>
          <w:szCs w:val="13"/>
          <w:color w:val="0067B3"/>
        </w:rPr>
      </w:pPr>
    </w:p>
    <w:p>
      <w:pPr>
        <w:ind w:left="200" w:right="620" w:hanging="195"/>
        <w:spacing w:after="0" w:line="291" w:lineRule="auto"/>
        <w:tabs>
          <w:tab w:leader="none" w:pos="157" w:val="left"/>
        </w:tabs>
        <w:numPr>
          <w:ilvl w:val="0"/>
          <w:numId w:val="41"/>
        </w:numPr>
        <w:rPr>
          <w:rFonts w:ascii="Arial" w:cs="Arial" w:eastAsia="Arial" w:hAnsi="Arial"/>
          <w:sz w:val="12"/>
          <w:szCs w:val="12"/>
          <w:color w:val="0067B3"/>
        </w:rPr>
      </w:pPr>
      <w:r>
        <w:rPr>
          <w:rFonts w:ascii="Arial" w:cs="Arial" w:eastAsia="Arial" w:hAnsi="Arial"/>
          <w:sz w:val="17"/>
          <w:szCs w:val="17"/>
          <w:color w:val="auto"/>
        </w:rPr>
        <w:t>Oversee our policies, strategies, and programs relating to human capital management, including those with respect to diversity equity, and inclusion, talent recruitment and retention, employee engagement, pay equity practices, workplace health and safety and cultural initiatives;</w:t>
      </w:r>
    </w:p>
    <w:p>
      <w:pPr>
        <w:spacing w:after="0" w:line="44" w:lineRule="exact"/>
        <w:rPr>
          <w:rFonts w:ascii="Arial" w:cs="Arial" w:eastAsia="Arial" w:hAnsi="Arial"/>
          <w:sz w:val="12"/>
          <w:szCs w:val="12"/>
          <w:color w:val="0067B3"/>
        </w:rPr>
      </w:pPr>
    </w:p>
    <w:p>
      <w:pPr>
        <w:ind w:left="160" w:hanging="155"/>
        <w:spacing w:after="0"/>
        <w:tabs>
          <w:tab w:leader="none" w:pos="160"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Oversee management of the risks associated with our compensation practices and policies; and</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Oversee the evaluation and succession planning and development programs for senior executives.</w:t>
      </w:r>
    </w:p>
    <w:p>
      <w:pPr>
        <w:spacing w:after="0" w:line="7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Board of Directors has determined that each of Drs. Frank, Glimcher, and Wee and Mr. Jennings is independent as defined under the Nasdaq Rules and the independence requirements under Rule 10C-1 of the Exchange Act.</w:t>
      </w:r>
    </w:p>
    <w:p>
      <w:pPr>
        <w:spacing w:after="0" w:line="604" w:lineRule="exact"/>
        <w:rPr>
          <w:sz w:val="20"/>
          <w:szCs w:val="20"/>
          <w:color w:val="auto"/>
        </w:rPr>
      </w:pPr>
    </w:p>
    <w:p>
      <w:pPr>
        <w:sectPr>
          <w:pgSz w:w="11900" w:h="16838" w:orient="portrait"/>
          <w:cols w:equalWidth="0" w:num="2">
            <w:col w:w="2180" w:space="600"/>
            <w:col w:w="8420"/>
          </w:cols>
          <w:pgMar w:left="320" w:top="1174" w:right="379" w:bottom="1440" w:gutter="0" w:footer="0" w:header="0"/>
          <w:type w:val="continuous"/>
        </w:sectPr>
      </w:pPr>
    </w:p>
    <w:p>
      <w:pPr>
        <w:spacing w:after="0" w:line="124"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Mr. Jennings was appointed to the Compensation and Talent Committee on June 4, 2023.</w:t>
      </w:r>
    </w:p>
    <w:p>
      <w:pPr>
        <w:spacing w:after="0" w:line="7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connection with its oversight and administration of ADI’s cash and equity incentive plans, the Compensation and Talent Committee authorizes the granting of stock options, RSUs, and other stock incentives (within guidelines established by our Board of Directors and in accordance with our Equity Award Grant Date Policy) to our Leadership Team, including our NEOs. In accordance with the terms of our Amended and Restated 1996 Stock Incentive Plan (1996 Plan), which we assumed in the Maxim acquisition, and our 2020 Equity Incentive Plan (2020 Plan), the Compensation and Talent Committee has delegated to a standing committee composed of our CEO, Chief Financial Officer, Chief People Officer, and Chief Legal Officer, the power to grant options, RSUs, and other stock awards to employees who are not</w:t>
      </w:r>
    </w:p>
    <w:p>
      <w:pPr>
        <w:spacing w:after="0" w:line="5" w:lineRule="exact"/>
        <w:rPr>
          <w:sz w:val="20"/>
          <w:szCs w:val="20"/>
          <w:color w:val="auto"/>
        </w:rPr>
      </w:pPr>
    </w:p>
    <w:p>
      <w:pPr>
        <w:ind w:firstLine="8"/>
        <w:spacing w:after="0" w:line="253"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officers, (ii) other senior vice presidents who report to the CEO, or (iii) directors, subject to specified thresholds, parameters, and applicable law. The same standing committee also has the ability to accelerate outstanding awards under the 1996 Plan, the 2020 Plan, our Amended and Restated 2006 Stock Incentive Plan (2006 Plan), and our Amended and Restated 2010 Equity Incentive Plan (2010 Plan), which we assumed when we acquired Linear Technology Corporation (Linear Technology), granted to employees who are not (i) executive officers, (ii) other senior vice presidents who report to the CEO, or (iii) directors, subject to specified thresholds, parameters, and applicable law. Additionally, the Compensation and Talent Committee administers our employee stock purchase plan and oversees our compensation recovery policy, as well as any compensation recovery or “clawback” policy ADI may adopt in the future.</w:t>
      </w:r>
    </w:p>
    <w:p>
      <w:pPr>
        <w:spacing w:after="0" w:line="7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and Talent Committee has the authority to engage independent compensation consultants, legal counsel, and other advisors that it deems necessary or appropriate to carry out its responsibilities, taking into account the independence of those advisors. The Compensation and Talent Committee is empowered, without further action by our Board of Directors, to cause ADI to pay the compensation of those advisors as established by the Compensation and Talent Committee.</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30</w:t>
      </w:r>
    </w:p>
    <w:p>
      <w:pPr>
        <w:ind w:left="48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41" w:name="page42"/>
    <w:bookmarkEnd w:id="41"/>
    <w:p>
      <w:pPr>
        <w:spacing w:after="0" w:line="4" w:lineRule="exact"/>
        <w:rPr>
          <w:sz w:val="20"/>
          <w:szCs w:val="20"/>
          <w:color w:val="auto"/>
        </w:rPr>
      </w:pPr>
    </w:p>
    <w:p>
      <w:pPr>
        <w:ind w:left="220" w:right="460"/>
        <w:spacing w:after="0" w:line="279" w:lineRule="auto"/>
        <w:rPr>
          <w:sz w:val="20"/>
          <w:szCs w:val="20"/>
          <w:color w:val="auto"/>
        </w:rPr>
      </w:pPr>
      <w:r>
        <w:rPr>
          <w:rFonts w:ascii="Arial" w:cs="Arial" w:eastAsia="Arial" w:hAnsi="Arial"/>
          <w:sz w:val="26"/>
          <w:szCs w:val="26"/>
          <w:b w:val="1"/>
          <w:bCs w:val="1"/>
          <w:color w:val="0067B3"/>
        </w:rPr>
        <w:t>Nominating and Corporate Governance Committee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23"/>
          <w:szCs w:val="23"/>
          <w:b w:val="1"/>
          <w:bCs w:val="1"/>
          <w:color w:val="auto"/>
          <w:vertAlign w:val="superscript"/>
        </w:rPr>
        <w:t>(1)</w:t>
      </w:r>
    </w:p>
    <w:p>
      <w:pPr>
        <w:ind w:left="220"/>
        <w:spacing w:after="0" w:line="186" w:lineRule="auto"/>
        <w:rPr>
          <w:sz w:val="20"/>
          <w:szCs w:val="20"/>
          <w:color w:val="auto"/>
        </w:rPr>
      </w:pPr>
      <w:r>
        <w:rPr>
          <w:rFonts w:ascii="Arial" w:cs="Arial" w:eastAsia="Arial" w:hAnsi="Arial"/>
          <w:sz w:val="17"/>
          <w:szCs w:val="17"/>
          <w:color w:val="0067B3"/>
        </w:rPr>
        <w:t>Stephen M. Jennings (Chair)</w:t>
      </w:r>
    </w:p>
    <w:p>
      <w:pPr>
        <w:ind w:left="220"/>
        <w:spacing w:after="0"/>
        <w:rPr>
          <w:sz w:val="20"/>
          <w:szCs w:val="20"/>
          <w:color w:val="auto"/>
        </w:rPr>
      </w:pPr>
      <w:r>
        <w:rPr>
          <w:rFonts w:ascii="Arial" w:cs="Arial" w:eastAsia="Arial" w:hAnsi="Arial"/>
          <w:sz w:val="12"/>
          <w:szCs w:val="12"/>
          <w:color w:val="0067B3"/>
        </w:rPr>
        <w:t>(2)</w:t>
      </w:r>
    </w:p>
    <w:p>
      <w:pPr>
        <w:spacing w:after="0" w:line="43" w:lineRule="exact"/>
        <w:rPr>
          <w:sz w:val="20"/>
          <w:szCs w:val="20"/>
          <w:color w:val="auto"/>
        </w:rPr>
      </w:pPr>
    </w:p>
    <w:p>
      <w:pPr>
        <w:ind w:left="220" w:right="520"/>
        <w:spacing w:after="0" w:line="267" w:lineRule="auto"/>
        <w:rPr>
          <w:sz w:val="20"/>
          <w:szCs w:val="20"/>
          <w:color w:val="auto"/>
        </w:rPr>
      </w:pPr>
      <w:r>
        <w:rPr>
          <w:rFonts w:ascii="Arial" w:cs="Arial" w:eastAsia="Arial" w:hAnsi="Arial"/>
          <w:sz w:val="17"/>
          <w:szCs w:val="17"/>
          <w:color w:val="auto"/>
        </w:rPr>
        <w:t>André Andonian James A. Champy</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Kenton J. Sicchitano</w:t>
      </w:r>
      <w:r>
        <w:rPr>
          <w:rFonts w:ascii="Arial" w:cs="Arial" w:eastAsia="Arial" w:hAnsi="Arial"/>
          <w:sz w:val="22"/>
          <w:szCs w:val="22"/>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2023: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5"/>
          <w:szCs w:val="15"/>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-182245</wp:posOffset>
            </wp:positionV>
            <wp:extent cx="7132320" cy="3729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729355"/>
                    </a:xfrm>
                    <a:prstGeom prst="rect">
                      <a:avLst/>
                    </a:prstGeom>
                    <a:noFill/>
                  </pic:spPr>
                </pic:pic>
              </a:graphicData>
            </a:graphic>
          </wp:anchor>
        </w:drawing>
      </w:r>
    </w:p>
    <w:p>
      <w:pPr>
        <w:spacing w:after="0" w:line="6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primary responsibilities of the Nominating and Corporate Governance Committee are to:</w:t>
      </w:r>
    </w:p>
    <w:p>
      <w:pPr>
        <w:spacing w:after="0" w:line="90" w:lineRule="exact"/>
        <w:rPr>
          <w:sz w:val="20"/>
          <w:szCs w:val="20"/>
          <w:color w:val="auto"/>
        </w:rPr>
      </w:pPr>
    </w:p>
    <w:p>
      <w:pPr>
        <w:ind w:left="187" w:right="460" w:hanging="187"/>
        <w:spacing w:after="0" w:line="287" w:lineRule="auto"/>
        <w:tabs>
          <w:tab w:leader="none" w:pos="143"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Identify individuals qualified to become members of our Board of Directors consistent with criteria approved by the Board of Directors;</w:t>
      </w:r>
    </w:p>
    <w:p>
      <w:pPr>
        <w:spacing w:after="0" w:line="4" w:lineRule="exact"/>
        <w:rPr>
          <w:rFonts w:ascii="Arial" w:cs="Arial" w:eastAsia="Arial" w:hAnsi="Arial"/>
          <w:sz w:val="13"/>
          <w:szCs w:val="13"/>
          <w:color w:val="0067B3"/>
        </w:rPr>
      </w:pPr>
    </w:p>
    <w:p>
      <w:pPr>
        <w:ind w:left="187" w:right="120" w:hanging="187"/>
        <w:spacing w:after="0" w:line="268" w:lineRule="auto"/>
        <w:tabs>
          <w:tab w:leader="none" w:pos="143"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Recommend to the Board of Directors the persons to be nominated by the Board of Directors for election as directors at any meeting of shareholders and the persons to be appointed by the Board of Directors to fill any vacancies on the Board of Directors;</w:t>
      </w:r>
    </w:p>
    <w:p>
      <w:pPr>
        <w:spacing w:after="0" w:line="22" w:lineRule="exact"/>
        <w:rPr>
          <w:rFonts w:ascii="Arial" w:cs="Arial" w:eastAsia="Arial" w:hAnsi="Arial"/>
          <w:sz w:val="13"/>
          <w:szCs w:val="13"/>
          <w:color w:val="0067B3"/>
        </w:rPr>
      </w:pPr>
    </w:p>
    <w:p>
      <w:pPr>
        <w:ind w:left="187" w:right="240" w:hanging="187"/>
        <w:spacing w:after="0" w:line="268" w:lineRule="auto"/>
        <w:tabs>
          <w:tab w:leader="none" w:pos="143"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In connection with Board of Director succession and refreshment practices, review with the Board of Directors, on an annual basis, the requisite skills and criteria for new directors as well as the composition of the Board of Directors as a whole;</w:t>
      </w:r>
    </w:p>
    <w:p>
      <w:pPr>
        <w:spacing w:after="0" w:line="35" w:lineRule="exact"/>
        <w:rPr>
          <w:rFonts w:ascii="Arial" w:cs="Arial" w:eastAsia="Arial" w:hAnsi="Arial"/>
          <w:sz w:val="13"/>
          <w:szCs w:val="13"/>
          <w:color w:val="0067B3"/>
        </w:rPr>
      </w:pPr>
    </w:p>
    <w:p>
      <w:pPr>
        <w:ind w:left="187" w:right="280" w:hanging="187"/>
        <w:spacing w:after="0" w:line="287" w:lineRule="auto"/>
        <w:tabs>
          <w:tab w:leader="none" w:pos="143"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Recommend to the Board of Directors the directors to be appointed to each committee of the Board of Directors;</w:t>
      </w:r>
    </w:p>
    <w:p>
      <w:pPr>
        <w:spacing w:after="0" w:line="4" w:lineRule="exact"/>
        <w:rPr>
          <w:rFonts w:ascii="Arial" w:cs="Arial" w:eastAsia="Arial" w:hAnsi="Arial"/>
          <w:sz w:val="13"/>
          <w:szCs w:val="13"/>
          <w:color w:val="0067B3"/>
        </w:rPr>
      </w:pPr>
    </w:p>
    <w:p>
      <w:pPr>
        <w:ind w:left="147" w:hanging="147"/>
        <w:spacing w:after="0"/>
        <w:tabs>
          <w:tab w:leader="none" w:pos="147"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Develop and recommend to the Board of Directors a set of corporate governance principles;</w:t>
      </w:r>
    </w:p>
    <w:p>
      <w:pPr>
        <w:spacing w:after="0" w:line="76" w:lineRule="exact"/>
        <w:rPr>
          <w:rFonts w:ascii="Arial" w:cs="Arial" w:eastAsia="Arial" w:hAnsi="Arial"/>
          <w:sz w:val="13"/>
          <w:szCs w:val="13"/>
          <w:color w:val="0067B3"/>
        </w:rPr>
      </w:pPr>
    </w:p>
    <w:p>
      <w:pPr>
        <w:ind w:left="147" w:hanging="147"/>
        <w:spacing w:after="0"/>
        <w:tabs>
          <w:tab w:leader="none" w:pos="147"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Oversee the evaluation, background, vetting, orientation, and training of the members of the Board</w:t>
      </w:r>
    </w:p>
    <w:p>
      <w:pPr>
        <w:spacing w:after="0" w:line="27" w:lineRule="exact"/>
        <w:rPr>
          <w:sz w:val="20"/>
          <w:szCs w:val="20"/>
          <w:color w:val="auto"/>
        </w:rPr>
      </w:pPr>
    </w:p>
    <w:p>
      <w:pPr>
        <w:ind w:left="187"/>
        <w:spacing w:after="0"/>
        <w:rPr>
          <w:sz w:val="20"/>
          <w:szCs w:val="20"/>
          <w:color w:val="auto"/>
        </w:rPr>
      </w:pPr>
      <w:r>
        <w:rPr>
          <w:rFonts w:ascii="Arial" w:cs="Arial" w:eastAsia="Arial" w:hAnsi="Arial"/>
          <w:sz w:val="18"/>
          <w:szCs w:val="18"/>
          <w:color w:val="auto"/>
        </w:rPr>
        <w:t>of Directors;</w:t>
      </w:r>
    </w:p>
    <w:p>
      <w:pPr>
        <w:spacing w:after="0" w:line="72" w:lineRule="exact"/>
        <w:rPr>
          <w:sz w:val="20"/>
          <w:szCs w:val="20"/>
          <w:color w:val="auto"/>
        </w:rPr>
      </w:pPr>
    </w:p>
    <w:p>
      <w:pPr>
        <w:ind w:left="147" w:hanging="147"/>
        <w:spacing w:after="0"/>
        <w:tabs>
          <w:tab w:leader="none" w:pos="147" w:val="left"/>
        </w:tabs>
        <w:numPr>
          <w:ilvl w:val="0"/>
          <w:numId w:val="45"/>
        </w:numPr>
        <w:rPr>
          <w:rFonts w:ascii="Arial" w:cs="Arial" w:eastAsia="Arial" w:hAnsi="Arial"/>
          <w:sz w:val="13"/>
          <w:szCs w:val="13"/>
          <w:color w:val="0067B3"/>
        </w:rPr>
      </w:pPr>
      <w:r>
        <w:rPr>
          <w:rFonts w:ascii="Arial" w:cs="Arial" w:eastAsia="Arial" w:hAnsi="Arial"/>
          <w:sz w:val="18"/>
          <w:szCs w:val="18"/>
          <w:color w:val="auto"/>
        </w:rPr>
        <w:t>Oversee our Code of Business Conduct and Ethics;</w:t>
      </w:r>
    </w:p>
    <w:p>
      <w:pPr>
        <w:spacing w:after="0" w:line="76" w:lineRule="exact"/>
        <w:rPr>
          <w:rFonts w:ascii="Arial" w:cs="Arial" w:eastAsia="Arial" w:hAnsi="Arial"/>
          <w:sz w:val="13"/>
          <w:szCs w:val="13"/>
          <w:color w:val="0067B3"/>
        </w:rPr>
      </w:pPr>
    </w:p>
    <w:p>
      <w:pPr>
        <w:ind w:left="147" w:hanging="147"/>
        <w:spacing w:after="0"/>
        <w:tabs>
          <w:tab w:leader="none" w:pos="147" w:val="left"/>
        </w:tabs>
        <w:numPr>
          <w:ilvl w:val="0"/>
          <w:numId w:val="45"/>
        </w:numPr>
        <w:rPr>
          <w:rFonts w:ascii="Arial" w:cs="Arial" w:eastAsia="Arial" w:hAnsi="Arial"/>
          <w:sz w:val="13"/>
          <w:szCs w:val="13"/>
          <w:color w:val="0067B3"/>
        </w:rPr>
      </w:pPr>
      <w:r>
        <w:rPr>
          <w:rFonts w:ascii="Arial" w:cs="Arial" w:eastAsia="Arial" w:hAnsi="Arial"/>
          <w:sz w:val="18"/>
          <w:szCs w:val="18"/>
          <w:color w:val="auto"/>
        </w:rPr>
        <w:t>Oversee and periodically review ADI’s ESG policies, goals, and programs;</w:t>
      </w:r>
    </w:p>
    <w:p>
      <w:pPr>
        <w:spacing w:after="0" w:line="76" w:lineRule="exact"/>
        <w:rPr>
          <w:rFonts w:ascii="Arial" w:cs="Arial" w:eastAsia="Arial" w:hAnsi="Arial"/>
          <w:sz w:val="13"/>
          <w:szCs w:val="13"/>
          <w:color w:val="0067B3"/>
        </w:rPr>
      </w:pPr>
    </w:p>
    <w:p>
      <w:pPr>
        <w:ind w:left="187" w:right="460" w:hanging="187"/>
        <w:spacing w:after="0" w:line="287" w:lineRule="auto"/>
        <w:tabs>
          <w:tab w:leader="none" w:pos="143" w:val="left"/>
        </w:tabs>
        <w:numPr>
          <w:ilvl w:val="0"/>
          <w:numId w:val="45"/>
        </w:numPr>
        <w:rPr>
          <w:rFonts w:ascii="Arial" w:cs="Arial" w:eastAsia="Arial" w:hAnsi="Arial"/>
          <w:sz w:val="13"/>
          <w:szCs w:val="13"/>
          <w:color w:val="0067B3"/>
        </w:rPr>
      </w:pPr>
      <w:r>
        <w:rPr>
          <w:rFonts w:ascii="Arial" w:cs="Arial" w:eastAsia="Arial" w:hAnsi="Arial"/>
          <w:sz w:val="18"/>
          <w:szCs w:val="18"/>
          <w:color w:val="auto"/>
        </w:rPr>
        <w:t>Oversee and periodically review policies and practices in connection with governmental relations, public policy, and related expenditures; and</w:t>
      </w:r>
    </w:p>
    <w:p>
      <w:pPr>
        <w:spacing w:after="0" w:line="17" w:lineRule="exact"/>
        <w:rPr>
          <w:rFonts w:ascii="Arial" w:cs="Arial" w:eastAsia="Arial" w:hAnsi="Arial"/>
          <w:sz w:val="13"/>
          <w:szCs w:val="13"/>
          <w:color w:val="0067B3"/>
        </w:rPr>
      </w:pPr>
    </w:p>
    <w:p>
      <w:pPr>
        <w:ind w:left="147" w:hanging="147"/>
        <w:spacing w:after="0"/>
        <w:tabs>
          <w:tab w:leader="none" w:pos="147" w:val="left"/>
        </w:tabs>
        <w:numPr>
          <w:ilvl w:val="0"/>
          <w:numId w:val="45"/>
        </w:numPr>
        <w:rPr>
          <w:rFonts w:ascii="Arial" w:cs="Arial" w:eastAsia="Arial" w:hAnsi="Arial"/>
          <w:sz w:val="13"/>
          <w:szCs w:val="13"/>
          <w:color w:val="0067B3"/>
        </w:rPr>
      </w:pPr>
      <w:r>
        <w:rPr>
          <w:rFonts w:ascii="Arial" w:cs="Arial" w:eastAsia="Arial" w:hAnsi="Arial"/>
          <w:sz w:val="18"/>
          <w:szCs w:val="18"/>
          <w:color w:val="auto"/>
        </w:rPr>
        <w:t>Oversee risks associated with its areas of responsibility.</w:t>
      </w:r>
    </w:p>
    <w:p>
      <w:pPr>
        <w:spacing w:after="0" w:line="77" w:lineRule="exact"/>
        <w:rPr>
          <w:sz w:val="20"/>
          <w:szCs w:val="20"/>
          <w:color w:val="auto"/>
        </w:rPr>
      </w:pPr>
    </w:p>
    <w:p>
      <w:pPr>
        <w:ind w:left="7" w:right="780"/>
        <w:spacing w:after="0" w:line="287" w:lineRule="auto"/>
        <w:rPr>
          <w:sz w:val="20"/>
          <w:szCs w:val="20"/>
          <w:color w:val="auto"/>
        </w:rPr>
      </w:pPr>
      <w:r>
        <w:rPr>
          <w:rFonts w:ascii="Arial" w:cs="Arial" w:eastAsia="Arial" w:hAnsi="Arial"/>
          <w:sz w:val="18"/>
          <w:szCs w:val="18"/>
          <w:color w:val="auto"/>
        </w:rPr>
        <w:t>Our Board of Directors has determined that each of Messrs. Jennings, Andonian, Champy, and Sicchitano is independent as defined under the Nasdaq Rules.</w:t>
      </w:r>
    </w:p>
    <w:p>
      <w:pPr>
        <w:spacing w:after="0" w:line="200" w:lineRule="exact"/>
        <w:rPr>
          <w:sz w:val="20"/>
          <w:szCs w:val="20"/>
          <w:color w:val="auto"/>
        </w:rPr>
      </w:pPr>
    </w:p>
    <w:p>
      <w:pPr>
        <w:sectPr>
          <w:pgSz w:w="11900" w:h="16838" w:orient="portrait"/>
          <w:cols w:equalWidth="0" w:num="2">
            <w:col w:w="2520" w:space="373"/>
            <w:col w:w="8327"/>
          </w:cols>
          <w:pgMar w:left="320" w:top="1335" w:right="359" w:bottom="1440" w:gutter="0" w:footer="0" w:header="0"/>
        </w:sectPr>
      </w:pPr>
    </w:p>
    <w:p>
      <w:pPr>
        <w:spacing w:after="0" w:line="25"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Dr. Chandrakasan served as a member of the Nominating and Corporate Governance Committee until March 8, 2023.</w:t>
      </w:r>
    </w:p>
    <w:p>
      <w:pPr>
        <w:spacing w:after="0" w:line="70" w:lineRule="exact"/>
        <w:rPr>
          <w:rFonts w:ascii="Arial" w:cs="Arial" w:eastAsia="Arial" w:hAnsi="Arial"/>
          <w:sz w:val="21"/>
          <w:szCs w:val="21"/>
          <w:color w:val="auto"/>
          <w:vertAlign w:val="superscript"/>
        </w:rPr>
      </w:pPr>
    </w:p>
    <w:p>
      <w:pPr>
        <w:ind w:left="200" w:right="100" w:hanging="192"/>
        <w:spacing w:after="0" w:line="218" w:lineRule="auto"/>
        <w:tabs>
          <w:tab w:leader="none" w:pos="215"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Mr. Jennings was appointed Chair of the Nominating and Corporate Governance Committee on January 16, 2024. Prior to that date, Mr. Champy served as Chair of the Nominating and Corporate Governance Committee.</w:t>
      </w:r>
    </w:p>
    <w:p>
      <w:pPr>
        <w:spacing w:after="0" w:line="30"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Mr. Sicchitano will continue to serve as a member of the Nominating and Corporate Governance Committee until March 13, 2024.</w:t>
      </w:r>
    </w:p>
    <w:p>
      <w:pPr>
        <w:spacing w:after="0" w:line="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The Nominating and Corporate Governance Committee has the authority to engage any independent legal and other advisors it deems necessary or appropriate to carry out its responsibilities. These independent advisors may be the regular advisors to ADI. For example, during fiscal year 2023 the Nominating and Corporate Governance Committee engaged a third-party executive search and leadership advisory firm to assist with identifying director nominees and assessing the composition of our Board of Directors. The Nominating and Corporate Governance Committee is empowered, without further action by the Board of Directors, to cause ADI to pay the compensation of any advisors that it engages as established by the Nominating and Corporate Governance Committee. For information relating to nominations of directors by our shareholders, see </w:t>
      </w:r>
      <w:r>
        <w:rPr>
          <w:rFonts w:ascii="Arial" w:cs="Arial" w:eastAsia="Arial" w:hAnsi="Arial"/>
          <w:sz w:val="18"/>
          <w:szCs w:val="18"/>
          <w:i w:val="1"/>
          <w:iCs w:val="1"/>
          <w:color w:val="auto"/>
        </w:rPr>
        <w:t>Director Candidates</w:t>
      </w:r>
      <w:r>
        <w:rPr>
          <w:rFonts w:ascii="Arial" w:cs="Arial" w:eastAsia="Arial" w:hAnsi="Arial"/>
          <w:sz w:val="18"/>
          <w:szCs w:val="18"/>
          <w:color w:val="auto"/>
        </w:rPr>
        <w:t xml:space="preserve"> above.</w:t>
      </w:r>
    </w:p>
    <w:p>
      <w:pPr>
        <w:spacing w:after="0" w:line="29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type w:val="continuous"/>
        </w:sectPr>
      </w:pPr>
    </w:p>
    <w:bookmarkStart w:id="42" w:name="page43"/>
    <w:bookmarkEnd w:id="42"/>
    <w:p>
      <w:pPr>
        <w:ind w:left="220" w:right="540"/>
        <w:spacing w:after="0" w:line="253" w:lineRule="auto"/>
        <w:rPr>
          <w:sz w:val="20"/>
          <w:szCs w:val="20"/>
          <w:color w:val="auto"/>
        </w:rPr>
      </w:pPr>
      <w:r>
        <w:rPr>
          <w:rFonts w:ascii="Arial" w:cs="Arial" w:eastAsia="Arial" w:hAnsi="Arial"/>
          <w:sz w:val="27"/>
          <w:szCs w:val="27"/>
          <w:b w:val="1"/>
          <w:bCs w:val="1"/>
          <w:color w:val="0067B3"/>
        </w:rPr>
        <w:t>Corporate Development Committee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23"/>
          <w:szCs w:val="23"/>
          <w:b w:val="1"/>
          <w:bCs w:val="1"/>
          <w:color w:val="auto"/>
          <w:vertAlign w:val="superscript"/>
        </w:rPr>
        <w:t>(1)</w:t>
      </w:r>
    </w:p>
    <w:p>
      <w:pPr>
        <w:ind w:left="220"/>
        <w:spacing w:after="0" w:line="193" w:lineRule="auto"/>
        <w:rPr>
          <w:sz w:val="20"/>
          <w:szCs w:val="20"/>
          <w:color w:val="auto"/>
        </w:rPr>
      </w:pPr>
      <w:r>
        <w:rPr>
          <w:rFonts w:ascii="Arial" w:cs="Arial" w:eastAsia="Arial" w:hAnsi="Arial"/>
          <w:sz w:val="18"/>
          <w:szCs w:val="18"/>
          <w:color w:val="0067B3"/>
        </w:rPr>
        <w:t>Edward H. Frank (Chair)</w:t>
      </w:r>
      <w:r>
        <w:rPr>
          <w:rFonts w:ascii="Arial" w:cs="Arial" w:eastAsia="Arial" w:hAnsi="Arial"/>
          <w:sz w:val="23"/>
          <w:szCs w:val="23"/>
          <w:color w:val="0067B3"/>
          <w:vertAlign w:val="superscript"/>
        </w:rPr>
        <w:t>(2)</w:t>
      </w:r>
    </w:p>
    <w:p>
      <w:pPr>
        <w:ind w:left="220"/>
        <w:spacing w:after="0"/>
        <w:rPr>
          <w:sz w:val="20"/>
          <w:szCs w:val="20"/>
          <w:color w:val="auto"/>
        </w:rPr>
      </w:pPr>
      <w:r>
        <w:rPr>
          <w:rFonts w:ascii="Arial" w:cs="Arial" w:eastAsia="Arial" w:hAnsi="Arial"/>
          <w:sz w:val="18"/>
          <w:szCs w:val="18"/>
          <w:color w:val="auto"/>
        </w:rPr>
        <w:t>André Andonian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Anantha P. Chandrakasan</w:t>
      </w:r>
      <w:r>
        <w:rPr>
          <w:rFonts w:ascii="Arial" w:cs="Arial" w:eastAsia="Arial" w:hAnsi="Arial"/>
          <w:sz w:val="22"/>
          <w:szCs w:val="22"/>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2023: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5"/>
          <w:szCs w:val="15"/>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-182245</wp:posOffset>
            </wp:positionV>
            <wp:extent cx="7132320" cy="2777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65" w:lineRule="exact"/>
        <w:rPr>
          <w:sz w:val="20"/>
          <w:szCs w:val="20"/>
          <w:color w:val="auto"/>
        </w:rPr>
      </w:pPr>
    </w:p>
    <w:p>
      <w:pPr>
        <w:ind w:left="7" w:right="220"/>
        <w:spacing w:after="0" w:line="268" w:lineRule="auto"/>
        <w:rPr>
          <w:sz w:val="20"/>
          <w:szCs w:val="20"/>
          <w:color w:val="auto"/>
        </w:rPr>
      </w:pPr>
      <w:r>
        <w:rPr>
          <w:rFonts w:ascii="Arial" w:cs="Arial" w:eastAsia="Arial" w:hAnsi="Arial"/>
          <w:sz w:val="18"/>
          <w:szCs w:val="18"/>
          <w:color w:val="auto"/>
        </w:rPr>
        <w:t>The primary responsibility of the Corporate Development Committee is to review and make recommendations to the Board of Directors at each full meeting of the Board of Directors, with respect to:</w:t>
      </w:r>
    </w:p>
    <w:p>
      <w:pPr>
        <w:spacing w:after="0" w:line="63" w:lineRule="exact"/>
        <w:rPr>
          <w:sz w:val="20"/>
          <w:szCs w:val="20"/>
          <w:color w:val="auto"/>
        </w:rPr>
      </w:pPr>
    </w:p>
    <w:p>
      <w:pPr>
        <w:ind w:left="187" w:right="540" w:hanging="187"/>
        <w:spacing w:after="0" w:line="287" w:lineRule="auto"/>
        <w:tabs>
          <w:tab w:leader="none" w:pos="143" w:val="left"/>
        </w:tabs>
        <w:numPr>
          <w:ilvl w:val="0"/>
          <w:numId w:val="47"/>
        </w:numPr>
        <w:rPr>
          <w:rFonts w:ascii="Arial" w:cs="Arial" w:eastAsia="Arial" w:hAnsi="Arial"/>
          <w:sz w:val="13"/>
          <w:szCs w:val="13"/>
          <w:color w:val="0067B3"/>
        </w:rPr>
      </w:pPr>
      <w:r>
        <w:rPr>
          <w:rFonts w:ascii="Arial" w:cs="Arial" w:eastAsia="Arial" w:hAnsi="Arial"/>
          <w:sz w:val="18"/>
          <w:szCs w:val="18"/>
          <w:color w:val="auto"/>
        </w:rPr>
        <w:t>Strategic plans, transactions, and investments, including mergers, acquisitions, and divestitures; and</w:t>
      </w:r>
    </w:p>
    <w:p>
      <w:pPr>
        <w:spacing w:after="0" w:line="17" w:lineRule="exact"/>
        <w:rPr>
          <w:rFonts w:ascii="Arial" w:cs="Arial" w:eastAsia="Arial" w:hAnsi="Arial"/>
          <w:sz w:val="13"/>
          <w:szCs w:val="13"/>
          <w:color w:val="0067B3"/>
        </w:rPr>
      </w:pPr>
    </w:p>
    <w:p>
      <w:pPr>
        <w:ind w:left="147" w:hanging="147"/>
        <w:spacing w:after="0"/>
        <w:tabs>
          <w:tab w:leader="none" w:pos="147" w:val="left"/>
        </w:tabs>
        <w:numPr>
          <w:ilvl w:val="0"/>
          <w:numId w:val="47"/>
        </w:numPr>
        <w:rPr>
          <w:rFonts w:ascii="Arial" w:cs="Arial" w:eastAsia="Arial" w:hAnsi="Arial"/>
          <w:sz w:val="13"/>
          <w:szCs w:val="13"/>
          <w:color w:val="0067B3"/>
        </w:rPr>
      </w:pPr>
      <w:r>
        <w:rPr>
          <w:rFonts w:ascii="Arial" w:cs="Arial" w:eastAsia="Arial" w:hAnsi="Arial"/>
          <w:sz w:val="18"/>
          <w:szCs w:val="18"/>
          <w:color w:val="auto"/>
        </w:rPr>
        <w:t>The results, performance, and financial impact of material transactions.</w:t>
      </w:r>
    </w:p>
    <w:p>
      <w:pPr>
        <w:spacing w:after="0" w:line="117" w:lineRule="exact"/>
        <w:rPr>
          <w:sz w:val="20"/>
          <w:szCs w:val="20"/>
          <w:color w:val="auto"/>
        </w:rPr>
      </w:pPr>
    </w:p>
    <w:p>
      <w:pPr>
        <w:ind w:left="7" w:right="820"/>
        <w:spacing w:after="0" w:line="287" w:lineRule="auto"/>
        <w:rPr>
          <w:sz w:val="20"/>
          <w:szCs w:val="20"/>
          <w:color w:val="auto"/>
        </w:rPr>
      </w:pPr>
      <w:r>
        <w:rPr>
          <w:rFonts w:ascii="Arial" w:cs="Arial" w:eastAsia="Arial" w:hAnsi="Arial"/>
          <w:sz w:val="18"/>
          <w:szCs w:val="18"/>
          <w:color w:val="auto"/>
        </w:rPr>
        <w:t>All matters approved by the Corporate Development Committee are recommended to and also approved by our Board of Directors.</w:t>
      </w:r>
    </w:p>
    <w:p>
      <w:pPr>
        <w:spacing w:after="0" w:line="1950" w:lineRule="exact"/>
        <w:rPr>
          <w:sz w:val="20"/>
          <w:szCs w:val="20"/>
          <w:color w:val="auto"/>
        </w:rPr>
      </w:pPr>
    </w:p>
    <w:p>
      <w:pPr>
        <w:sectPr>
          <w:pgSz w:w="11900" w:h="16838" w:orient="portrait"/>
          <w:cols w:equalWidth="0" w:num="2">
            <w:col w:w="2460" w:space="433"/>
            <w:col w:w="8327"/>
          </w:cols>
          <w:pgMar w:left="320" w:top="1325" w:right="359" w:bottom="1440" w:gutter="0" w:footer="0" w:header="0"/>
        </w:sectPr>
      </w:pPr>
    </w:p>
    <w:p>
      <w:pPr>
        <w:spacing w:after="0" w:line="111" w:lineRule="exact"/>
        <w:rPr>
          <w:sz w:val="20"/>
          <w:szCs w:val="20"/>
          <w:color w:val="auto"/>
        </w:rPr>
      </w:pPr>
    </w:p>
    <w:p>
      <w:pPr>
        <w:ind w:left="200" w:right="20" w:hanging="192"/>
        <w:spacing w:after="0" w:line="238" w:lineRule="auto"/>
        <w:tabs>
          <w:tab w:leader="none" w:pos="215"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Bruce Evans served as a member of the Corporate Development Committee until his retirement from our Board of Directors on March 8, 2023. Mr. Roche served as Chair of the Corporate Development Committee until September 11, 2023 and as a member of the Corporate Development Committee from September 12, 2023 until January 16, 2024.</w:t>
      </w:r>
    </w:p>
    <w:p>
      <w:pPr>
        <w:spacing w:after="0" w:line="30"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Dr. Frank was appointed Chair of the Corporate Development Committee on September 12, 2023.</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Dr. Chandrakasan will continue to serve as a member of the Corporate Development Committee until March 13, 2024.</w:t>
      </w:r>
    </w:p>
    <w:p>
      <w:pPr>
        <w:spacing w:after="0" w:line="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Corporate Development Committee was established by our Board of Directors in June 2021 to assist the Board of Directors in evaluating mergers, acquisitions, divestitures, and other strategic transactions and investments.</w:t>
      </w:r>
    </w:p>
    <w:p>
      <w:pPr>
        <w:spacing w:after="0" w:line="4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Corporate Development Committee has the authority to engage any independent legal and other advisors it deems necessary or appropriate to carry out its responsibilities. These independent advisors may be the regular advisors to ADI. The Corporate Development Committee is empowered, without further action by the Board of Directors, to cause ADI to pay the compensation of these advisors as established by the Corporate Development Committee.</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Meetings and Attendance; Executive Sessions</w:t>
      </w:r>
    </w:p>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Board of Directors met nine times during the fiscal year ended October 28, 2023 (including by telephone and video conference). Each of the directors attended at least 75% of the aggregate of the total number of meetings of our Board of Directors and the total number of meetings of all committees of the Board of Directors on which he or she served during fiscal year 2023.</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the current directors at the time of the 2023 Annual Meeting of Shareholders attended our 2023 Annual Meeting of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Education and Orientation Program</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encourage our directors to attend director education programs and provide educational opportunities to our directors through a variety of platforms. We reimburse the costs of attending such programs. We also provide members of our Board of Directors a membership to the National Association of Corporate Directors.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Also, all new directors participate in our director orientation program. This orientation program is designed to familiarize new directors with ADI and our Board of Directors, through a review of background material, meetings with senior management, and facilities tours. This orientation allows new directors to become familiar with our business and strategic plan, products, technologies, and end markets, corporate governance practices, compensation practices, and other key policies and practices.</w:t>
      </w:r>
    </w:p>
    <w:p>
      <w:pPr>
        <w:sectPr>
          <w:pgSz w:w="11900" w:h="16838" w:orient="portrait"/>
          <w:cols w:equalWidth="0" w:num="1">
            <w:col w:w="11220"/>
          </w:cols>
          <w:pgMar w:left="320" w:top="1325" w:right="359" w:bottom="1440" w:gutter="0" w:footer="0" w:header="0"/>
          <w:type w:val="continuous"/>
        </w:sect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32</w:t>
      </w:r>
    </w:p>
    <w:p>
      <w:pPr>
        <w:jc w:val="right"/>
        <w:ind w:right="910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32"/>
          <w:szCs w:val="32"/>
          <w:b w:val="1"/>
          <w:bCs w:val="1"/>
          <w:color w:val="auto"/>
        </w:rPr>
        <w:t>Board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0575" cy="2940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294005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b w:val="1"/>
                <w:bCs w:val="1"/>
                <w:color w:val="0067B3"/>
              </w:rPr>
              <w:t>Development of Annual</w:t>
            </w:r>
          </w:p>
        </w:tc>
        <w:tc>
          <w:tcPr>
            <w:tcW w:w="2780" w:type="dxa"/>
            <w:vAlign w:val="bottom"/>
          </w:tcPr>
          <w:p>
            <w:pPr>
              <w:ind w:left="340"/>
              <w:spacing w:after="0"/>
              <w:rPr>
                <w:sz w:val="20"/>
                <w:szCs w:val="20"/>
                <w:color w:val="auto"/>
              </w:rPr>
            </w:pPr>
            <w:r>
              <w:rPr>
                <w:rFonts w:ascii="Arial" w:cs="Arial" w:eastAsia="Arial" w:hAnsi="Arial"/>
                <w:sz w:val="18"/>
                <w:szCs w:val="18"/>
                <w:b w:val="1"/>
                <w:bCs w:val="1"/>
                <w:color w:val="0067B3"/>
              </w:rPr>
              <w:t>Written Questionnaires</w:t>
            </w:r>
          </w:p>
        </w:tc>
        <w:tc>
          <w:tcPr>
            <w:tcW w:w="2840" w:type="dxa"/>
            <w:vAlign w:val="bottom"/>
          </w:tcPr>
          <w:p>
            <w:pPr>
              <w:ind w:left="340"/>
              <w:spacing w:after="0"/>
              <w:rPr>
                <w:sz w:val="20"/>
                <w:szCs w:val="20"/>
                <w:color w:val="auto"/>
              </w:rPr>
            </w:pPr>
            <w:r>
              <w:rPr>
                <w:rFonts w:ascii="Arial" w:cs="Arial" w:eastAsia="Arial" w:hAnsi="Arial"/>
                <w:sz w:val="18"/>
                <w:szCs w:val="18"/>
                <w:b w:val="1"/>
                <w:bCs w:val="1"/>
                <w:color w:val="0067B3"/>
              </w:rPr>
              <w:t>One-on-One Discussions</w:t>
            </w:r>
          </w:p>
        </w:tc>
        <w:tc>
          <w:tcPr>
            <w:tcW w:w="2420" w:type="dxa"/>
            <w:vAlign w:val="bottom"/>
          </w:tcPr>
          <w:p>
            <w:pPr>
              <w:ind w:left="280"/>
              <w:spacing w:after="0"/>
              <w:rPr>
                <w:sz w:val="20"/>
                <w:szCs w:val="20"/>
                <w:color w:val="auto"/>
              </w:rPr>
            </w:pPr>
            <w:r>
              <w:rPr>
                <w:rFonts w:ascii="Arial" w:cs="Arial" w:eastAsia="Arial" w:hAnsi="Arial"/>
                <w:sz w:val="18"/>
                <w:szCs w:val="18"/>
                <w:b w:val="1"/>
                <w:bCs w:val="1"/>
                <w:color w:val="0067B3"/>
              </w:rPr>
              <w:t>Evaluation of Results</w:t>
            </w: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0"/>
                <w:szCs w:val="20"/>
                <w:color w:val="auto"/>
              </w:rPr>
            </w:pPr>
            <w:r>
              <w:rPr>
                <w:rFonts w:ascii="Arial" w:cs="Arial" w:eastAsia="Arial" w:hAnsi="Arial"/>
                <w:sz w:val="18"/>
                <w:szCs w:val="18"/>
                <w:b w:val="1"/>
                <w:bCs w:val="1"/>
                <w:color w:val="0067B3"/>
              </w:rPr>
              <w:t>Evaluation Process</w:t>
            </w:r>
          </w:p>
        </w:tc>
        <w:tc>
          <w:tcPr>
            <w:tcW w:w="2780" w:type="dxa"/>
            <w:vAlign w:val="bottom"/>
            <w:vMerge w:val="restart"/>
          </w:tcPr>
          <w:p>
            <w:pPr>
              <w:ind w:left="340"/>
              <w:spacing w:after="0"/>
              <w:rPr>
                <w:sz w:val="20"/>
                <w:szCs w:val="20"/>
                <w:color w:val="auto"/>
              </w:rPr>
            </w:pPr>
            <w:r>
              <w:rPr>
                <w:rFonts w:ascii="Arial" w:cs="Arial" w:eastAsia="Arial" w:hAnsi="Arial"/>
                <w:sz w:val="18"/>
                <w:szCs w:val="18"/>
                <w:color w:val="auto"/>
              </w:rPr>
              <w:t>Each director undertakes</w:t>
            </w:r>
          </w:p>
        </w:tc>
        <w:tc>
          <w:tcPr>
            <w:tcW w:w="2840" w:type="dxa"/>
            <w:vAlign w:val="bottom"/>
            <w:vMerge w:val="restart"/>
          </w:tcPr>
          <w:p>
            <w:pPr>
              <w:ind w:left="340"/>
              <w:spacing w:after="0"/>
              <w:rPr>
                <w:sz w:val="20"/>
                <w:szCs w:val="20"/>
                <w:color w:val="auto"/>
              </w:rPr>
            </w:pPr>
            <w:r>
              <w:rPr>
                <w:rFonts w:ascii="Arial" w:cs="Arial" w:eastAsia="Arial" w:hAnsi="Arial"/>
                <w:sz w:val="18"/>
                <w:szCs w:val="18"/>
                <w:color w:val="auto"/>
              </w:rPr>
              <w:t>Our Lead Independent</w:t>
            </w:r>
          </w:p>
        </w:tc>
        <w:tc>
          <w:tcPr>
            <w:tcW w:w="2420" w:type="dxa"/>
            <w:vAlign w:val="bottom"/>
            <w:vMerge w:val="restart"/>
          </w:tcPr>
          <w:p>
            <w:pPr>
              <w:ind w:left="280"/>
              <w:spacing w:after="0"/>
              <w:rPr>
                <w:sz w:val="20"/>
                <w:szCs w:val="20"/>
                <w:color w:val="auto"/>
              </w:rPr>
            </w:pPr>
            <w:r>
              <w:rPr>
                <w:rFonts w:ascii="Arial" w:cs="Arial" w:eastAsia="Arial" w:hAnsi="Arial"/>
                <w:sz w:val="18"/>
                <w:szCs w:val="18"/>
                <w:color w:val="auto"/>
              </w:rPr>
              <w:t>Following our annual</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2840" w:type="dxa"/>
            <w:vAlign w:val="bottom"/>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Each December, our Lead</w:t>
            </w:r>
          </w:p>
        </w:tc>
        <w:tc>
          <w:tcPr>
            <w:tcW w:w="2780" w:type="dxa"/>
            <w:vAlign w:val="bottom"/>
          </w:tcPr>
          <w:p>
            <w:pPr>
              <w:ind w:left="340"/>
              <w:spacing w:after="0"/>
              <w:rPr>
                <w:sz w:val="20"/>
                <w:szCs w:val="20"/>
                <w:color w:val="auto"/>
              </w:rPr>
            </w:pPr>
            <w:r>
              <w:rPr>
                <w:rFonts w:ascii="Arial" w:cs="Arial" w:eastAsia="Arial" w:hAnsi="Arial"/>
                <w:sz w:val="18"/>
                <w:szCs w:val="18"/>
                <w:color w:val="auto"/>
              </w:rPr>
              <w:t>an evaluation of the Board</w:t>
            </w:r>
          </w:p>
        </w:tc>
        <w:tc>
          <w:tcPr>
            <w:tcW w:w="2840" w:type="dxa"/>
            <w:vAlign w:val="bottom"/>
          </w:tcPr>
          <w:p>
            <w:pPr>
              <w:ind w:left="340"/>
              <w:spacing w:after="0"/>
              <w:rPr>
                <w:sz w:val="20"/>
                <w:szCs w:val="20"/>
                <w:color w:val="auto"/>
              </w:rPr>
            </w:pPr>
            <w:r>
              <w:rPr>
                <w:rFonts w:ascii="Arial" w:cs="Arial" w:eastAsia="Arial" w:hAnsi="Arial"/>
                <w:sz w:val="18"/>
                <w:szCs w:val="18"/>
                <w:color w:val="auto"/>
              </w:rPr>
              <w:t>Director or another member</w:t>
            </w:r>
          </w:p>
        </w:tc>
        <w:tc>
          <w:tcPr>
            <w:tcW w:w="2420" w:type="dxa"/>
            <w:vAlign w:val="bottom"/>
          </w:tcPr>
          <w:p>
            <w:pPr>
              <w:ind w:left="280"/>
              <w:spacing w:after="0"/>
              <w:rPr>
                <w:sz w:val="20"/>
                <w:szCs w:val="20"/>
                <w:color w:val="auto"/>
              </w:rPr>
            </w:pPr>
            <w:r>
              <w:rPr>
                <w:rFonts w:ascii="Arial" w:cs="Arial" w:eastAsia="Arial" w:hAnsi="Arial"/>
                <w:sz w:val="18"/>
                <w:szCs w:val="18"/>
                <w:color w:val="auto"/>
              </w:rPr>
              <w:t>meeting of shareholders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Independent Director,</w:t>
            </w:r>
          </w:p>
        </w:tc>
        <w:tc>
          <w:tcPr>
            <w:tcW w:w="2780" w:type="dxa"/>
            <w:vAlign w:val="bottom"/>
          </w:tcPr>
          <w:p>
            <w:pPr>
              <w:ind w:left="340"/>
              <w:spacing w:after="0"/>
              <w:rPr>
                <w:sz w:val="20"/>
                <w:szCs w:val="20"/>
                <w:color w:val="auto"/>
              </w:rPr>
            </w:pPr>
            <w:r>
              <w:rPr>
                <w:rFonts w:ascii="Arial" w:cs="Arial" w:eastAsia="Arial" w:hAnsi="Arial"/>
                <w:sz w:val="18"/>
                <w:szCs w:val="18"/>
                <w:color w:val="auto"/>
              </w:rPr>
              <w:t>of Directors and each of</w:t>
            </w:r>
          </w:p>
        </w:tc>
        <w:tc>
          <w:tcPr>
            <w:tcW w:w="2840" w:type="dxa"/>
            <w:vAlign w:val="bottom"/>
          </w:tcPr>
          <w:p>
            <w:pPr>
              <w:ind w:left="340"/>
              <w:spacing w:after="0"/>
              <w:rPr>
                <w:sz w:val="20"/>
                <w:szCs w:val="20"/>
                <w:color w:val="auto"/>
              </w:rPr>
            </w:pPr>
            <w:r>
              <w:rPr>
                <w:rFonts w:ascii="Arial" w:cs="Arial" w:eastAsia="Arial" w:hAnsi="Arial"/>
                <w:sz w:val="18"/>
                <w:szCs w:val="18"/>
                <w:color w:val="auto"/>
              </w:rPr>
              <w:t>of our Nominating and</w:t>
            </w:r>
          </w:p>
        </w:tc>
        <w:tc>
          <w:tcPr>
            <w:tcW w:w="2420" w:type="dxa"/>
            <w:vAlign w:val="bottom"/>
          </w:tcPr>
          <w:p>
            <w:pPr>
              <w:ind w:left="280"/>
              <w:spacing w:after="0"/>
              <w:rPr>
                <w:sz w:val="20"/>
                <w:szCs w:val="20"/>
                <w:color w:val="auto"/>
              </w:rPr>
            </w:pPr>
            <w:r>
              <w:rPr>
                <w:rFonts w:ascii="Arial" w:cs="Arial" w:eastAsia="Arial" w:hAnsi="Arial"/>
                <w:sz w:val="18"/>
                <w:szCs w:val="18"/>
                <w:color w:val="auto"/>
              </w:rPr>
              <w:t>each year, our Lead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along with our CEO and</w:t>
            </w:r>
          </w:p>
        </w:tc>
        <w:tc>
          <w:tcPr>
            <w:tcW w:w="2780" w:type="dxa"/>
            <w:vAlign w:val="bottom"/>
          </w:tcPr>
          <w:p>
            <w:pPr>
              <w:ind w:left="340"/>
              <w:spacing w:after="0"/>
              <w:rPr>
                <w:sz w:val="20"/>
                <w:szCs w:val="20"/>
                <w:color w:val="auto"/>
              </w:rPr>
            </w:pPr>
            <w:r>
              <w:rPr>
                <w:rFonts w:ascii="Arial" w:cs="Arial" w:eastAsia="Arial" w:hAnsi="Arial"/>
                <w:sz w:val="18"/>
                <w:szCs w:val="18"/>
                <w:color w:val="auto"/>
              </w:rPr>
              <w:t>its committees.</w:t>
            </w:r>
          </w:p>
        </w:tc>
        <w:tc>
          <w:tcPr>
            <w:tcW w:w="2840" w:type="dxa"/>
            <w:vAlign w:val="bottom"/>
          </w:tcPr>
          <w:p>
            <w:pPr>
              <w:ind w:left="340"/>
              <w:spacing w:after="0"/>
              <w:rPr>
                <w:sz w:val="20"/>
                <w:szCs w:val="20"/>
                <w:color w:val="auto"/>
              </w:rPr>
            </w:pPr>
            <w:r>
              <w:rPr>
                <w:rFonts w:ascii="Arial" w:cs="Arial" w:eastAsia="Arial" w:hAnsi="Arial"/>
                <w:sz w:val="18"/>
                <w:szCs w:val="18"/>
                <w:color w:val="auto"/>
              </w:rPr>
              <w:t>Corporate Governance</w:t>
            </w:r>
          </w:p>
        </w:tc>
        <w:tc>
          <w:tcPr>
            <w:tcW w:w="2420" w:type="dxa"/>
            <w:vAlign w:val="bottom"/>
          </w:tcPr>
          <w:p>
            <w:pPr>
              <w:ind w:left="28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Chair and our Chief Legal</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Committee, working with</w:t>
            </w:r>
          </w:p>
        </w:tc>
        <w:tc>
          <w:tcPr>
            <w:tcW w:w="2420" w:type="dxa"/>
            <w:vAlign w:val="bottom"/>
          </w:tcPr>
          <w:p>
            <w:pPr>
              <w:ind w:left="280"/>
              <w:spacing w:after="0"/>
              <w:rPr>
                <w:sz w:val="20"/>
                <w:szCs w:val="20"/>
                <w:color w:val="auto"/>
              </w:rPr>
            </w:pPr>
            <w:r>
              <w:rPr>
                <w:rFonts w:ascii="Arial" w:cs="Arial" w:eastAsia="Arial" w:hAnsi="Arial"/>
                <w:sz w:val="18"/>
                <w:szCs w:val="18"/>
                <w:color w:val="auto"/>
              </w:rPr>
              <w:t>provides summaries of the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Officer, discuss the Board</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our Chief Legal Officer, also</w:t>
            </w:r>
          </w:p>
        </w:tc>
        <w:tc>
          <w:tcPr>
            <w:tcW w:w="2420" w:type="dxa"/>
            <w:vAlign w:val="bottom"/>
          </w:tcPr>
          <w:p>
            <w:pPr>
              <w:ind w:left="280"/>
              <w:spacing w:after="0"/>
              <w:rPr>
                <w:sz w:val="20"/>
                <w:szCs w:val="20"/>
                <w:color w:val="auto"/>
              </w:rPr>
            </w:pPr>
            <w:r>
              <w:rPr>
                <w:rFonts w:ascii="Arial" w:cs="Arial" w:eastAsia="Arial" w:hAnsi="Arial"/>
                <w:sz w:val="18"/>
                <w:szCs w:val="18"/>
                <w:color w:val="auto"/>
                <w:w w:val="98"/>
              </w:rPr>
              <w:t>evaluations to the Board of</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of Directors’ evaluation</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has conversations with</w:t>
            </w:r>
          </w:p>
        </w:tc>
        <w:tc>
          <w:tcPr>
            <w:tcW w:w="2420" w:type="dxa"/>
            <w:vAlign w:val="bottom"/>
          </w:tcPr>
          <w:p>
            <w:pPr>
              <w:ind w:left="280"/>
              <w:spacing w:after="0"/>
              <w:rPr>
                <w:sz w:val="20"/>
                <w:szCs w:val="20"/>
                <w:color w:val="auto"/>
              </w:rPr>
            </w:pPr>
            <w:r>
              <w:rPr>
                <w:rFonts w:ascii="Arial" w:cs="Arial" w:eastAsia="Arial" w:hAnsi="Arial"/>
                <w:sz w:val="18"/>
                <w:szCs w:val="18"/>
                <w:color w:val="auto"/>
                <w:w w:val="98"/>
              </w:rPr>
              <w:t>Directors and engages in 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process for the year,</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each member of our Board</w:t>
            </w:r>
          </w:p>
        </w:tc>
        <w:tc>
          <w:tcPr>
            <w:tcW w:w="2420" w:type="dxa"/>
            <w:vAlign w:val="bottom"/>
          </w:tcPr>
          <w:p>
            <w:pPr>
              <w:ind w:left="280"/>
              <w:spacing w:after="0"/>
              <w:rPr>
                <w:sz w:val="20"/>
                <w:szCs w:val="20"/>
                <w:color w:val="auto"/>
              </w:rPr>
            </w:pPr>
            <w:r>
              <w:rPr>
                <w:rFonts w:ascii="Arial" w:cs="Arial" w:eastAsia="Arial" w:hAnsi="Arial"/>
                <w:sz w:val="18"/>
                <w:szCs w:val="18"/>
                <w:color w:val="auto"/>
              </w:rPr>
              <w:t>robust discussion with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considering evolving</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of Directors designed to</w:t>
            </w:r>
          </w:p>
        </w:tc>
        <w:tc>
          <w:tcPr>
            <w:tcW w:w="2420" w:type="dxa"/>
            <w:vAlign w:val="bottom"/>
          </w:tcPr>
          <w:p>
            <w:pPr>
              <w:ind w:left="280"/>
              <w:spacing w:after="0"/>
              <w:rPr>
                <w:sz w:val="20"/>
                <w:szCs w:val="20"/>
                <w:color w:val="auto"/>
              </w:rPr>
            </w:pPr>
            <w:r>
              <w:rPr>
                <w:rFonts w:ascii="Arial" w:cs="Arial" w:eastAsia="Arial" w:hAnsi="Arial"/>
                <w:sz w:val="18"/>
                <w:szCs w:val="18"/>
                <w:color w:val="auto"/>
              </w:rPr>
              <w:t>Board members on Board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best practices.</w:t>
            </w: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assess the effectiveness of</w:t>
            </w:r>
          </w:p>
        </w:tc>
        <w:tc>
          <w:tcPr>
            <w:tcW w:w="2420" w:type="dxa"/>
            <w:vAlign w:val="bottom"/>
          </w:tcPr>
          <w:p>
            <w:pPr>
              <w:ind w:left="280"/>
              <w:spacing w:after="0"/>
              <w:rPr>
                <w:sz w:val="20"/>
                <w:szCs w:val="20"/>
                <w:color w:val="auto"/>
              </w:rPr>
            </w:pPr>
            <w:r>
              <w:rPr>
                <w:rFonts w:ascii="Arial" w:cs="Arial" w:eastAsia="Arial" w:hAnsi="Arial"/>
                <w:sz w:val="18"/>
                <w:szCs w:val="18"/>
                <w:color w:val="auto"/>
              </w:rPr>
              <w:t>effectiveness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our Board of Directors, as</w:t>
            </w:r>
          </w:p>
        </w:tc>
        <w:tc>
          <w:tcPr>
            <w:tcW w:w="2420" w:type="dxa"/>
            <w:vAlign w:val="bottom"/>
          </w:tcPr>
          <w:p>
            <w:pPr>
              <w:ind w:left="280"/>
              <w:spacing w:after="0"/>
              <w:rPr>
                <w:sz w:val="20"/>
                <w:szCs w:val="20"/>
                <w:color w:val="auto"/>
              </w:rPr>
            </w:pPr>
            <w:r>
              <w:rPr>
                <w:rFonts w:ascii="Arial" w:cs="Arial" w:eastAsia="Arial" w:hAnsi="Arial"/>
                <w:sz w:val="18"/>
                <w:szCs w:val="18"/>
                <w:color w:val="auto"/>
              </w:rPr>
              <w:t>engagement.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well as each director’s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individual performance and</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competencies and skills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900"/>
        <w:spacing w:after="0"/>
        <w:rPr>
          <w:sz w:val="20"/>
          <w:szCs w:val="20"/>
          <w:color w:val="auto"/>
        </w:rPr>
      </w:pPr>
      <w:r>
        <w:rPr>
          <w:rFonts w:ascii="Arial" w:cs="Arial" w:eastAsia="Arial" w:hAnsi="Arial"/>
          <w:sz w:val="18"/>
          <w:szCs w:val="18"/>
          <w:color w:val="auto"/>
        </w:rPr>
        <w:t>they bring to the Board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of Directors recognizes that a robust and constructive evaluation process is an essential component of good corporate governance and board effectiveness. The Board of Directors’ evaluation process is designed to facilitate regular, systematic review of the Board of Director’s effectiveness and accountability and to identify opportunities for improving Board operations and procedures.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Nominating and Corporate Governance Committee is responsible for overseeing an annual evaluation of the Board of Directors to determine whether it and its committees are functioning effectively. The Lead Independent Director, along with our CEO and Chair and Chief Legal Officer, develop the evaluation process each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2023, the Board of Directors enhanced its process and also leveraged the assistance of a third-party facilitator in the evaluation process.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written questionnaires and discussion questions were enhanced during 2023 to align with best governance practices.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evaluation process consisted of two portions:</w:t>
      </w:r>
    </w:p>
    <w:p>
      <w:pPr>
        <w:spacing w:after="0" w:line="117" w:lineRule="exact"/>
        <w:rPr>
          <w:sz w:val="20"/>
          <w:szCs w:val="20"/>
          <w:color w:val="auto"/>
        </w:rPr>
      </w:pPr>
    </w:p>
    <w:p>
      <w:pPr>
        <w:ind w:left="200" w:right="40" w:hanging="192"/>
        <w:spacing w:after="0" w:line="262" w:lineRule="auto"/>
        <w:tabs>
          <w:tab w:leader="none" w:pos="157" w:val="left"/>
        </w:tabs>
        <w:numPr>
          <w:ilvl w:val="0"/>
          <w:numId w:val="49"/>
        </w:numPr>
        <w:rPr>
          <w:rFonts w:ascii="Arial" w:cs="Arial" w:eastAsia="Arial" w:hAnsi="Arial"/>
          <w:sz w:val="13"/>
          <w:szCs w:val="13"/>
          <w:color w:val="0067B3"/>
        </w:rPr>
      </w:pPr>
      <w:r>
        <w:rPr>
          <w:rFonts w:ascii="Arial" w:cs="Arial" w:eastAsia="Arial" w:hAnsi="Arial"/>
          <w:sz w:val="18"/>
          <w:szCs w:val="18"/>
          <w:color w:val="auto"/>
        </w:rPr>
        <w:t>Robust anonymous questionnaire: This questionnaire was facilitated by a third party and covered topics such as the Board of Directors’ alignment with ADI’s mission and purpose, Board of Directors’ composition, culture, and decision making, Board of Directors-management relationship, Board of Directors’ engagement and expectations, committee effectiveness, and Board of Directors’ succession. The questionnaire was anonymous and provided for both numerical ratings and narrative responses.</w:t>
      </w:r>
    </w:p>
    <w:p>
      <w:pPr>
        <w:spacing w:after="0" w:line="68" w:lineRule="exact"/>
        <w:rPr>
          <w:rFonts w:ascii="Arial" w:cs="Arial" w:eastAsia="Arial" w:hAnsi="Arial"/>
          <w:sz w:val="13"/>
          <w:szCs w:val="13"/>
          <w:color w:val="0067B3"/>
        </w:rPr>
      </w:pPr>
    </w:p>
    <w:p>
      <w:pPr>
        <w:ind w:left="200" w:right="340" w:hanging="192"/>
        <w:spacing w:after="0" w:line="268" w:lineRule="auto"/>
        <w:tabs>
          <w:tab w:leader="none" w:pos="157" w:val="left"/>
        </w:tabs>
        <w:numPr>
          <w:ilvl w:val="0"/>
          <w:numId w:val="49"/>
        </w:numPr>
        <w:rPr>
          <w:rFonts w:ascii="Arial" w:cs="Arial" w:eastAsia="Arial" w:hAnsi="Arial"/>
          <w:sz w:val="13"/>
          <w:szCs w:val="13"/>
          <w:color w:val="0067B3"/>
        </w:rPr>
      </w:pPr>
      <w:r>
        <w:rPr>
          <w:rFonts w:ascii="Arial" w:cs="Arial" w:eastAsia="Arial" w:hAnsi="Arial"/>
          <w:sz w:val="18"/>
          <w:szCs w:val="18"/>
          <w:color w:val="auto"/>
        </w:rPr>
        <w:t>One-on-one discussions: Our Lead Independent Director or another member of our Nominating and Corporate Governance Committee held interviews with each director in a one-on-one setting. The discussions covered similar topics as the questionnaire as well as an individual contribution discussion in a conversation format.</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feedback received from each portion was then aggregated into a report. The Lead Independent Director reported the results to the full Board of Directors and led the discussion of the performance of the Board of Directors and its committees and directors.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44" w:name="page45"/>
    <w:bookmarkEnd w:id="44"/>
    <w:p>
      <w:pPr>
        <w:spacing w:after="0"/>
        <w:rPr>
          <w:sz w:val="20"/>
          <w:szCs w:val="20"/>
          <w:color w:val="auto"/>
        </w:rPr>
      </w:pPr>
      <w:r>
        <w:rPr>
          <w:rFonts w:ascii="Arial" w:cs="Arial" w:eastAsia="Arial" w:hAnsi="Arial"/>
          <w:sz w:val="41"/>
          <w:szCs w:val="41"/>
          <w:b w:val="1"/>
          <w:bCs w:val="1"/>
          <w:color w:val="0067B3"/>
        </w:rPr>
        <w:t>Oversight by Our Board</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Strategic Oversight</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The Board of Directors reviews our overall performance, and its primary responsibility is to oversee the management of ADI and, in doing so, serve the best interests of ADI and its shareholders. The Board of Directors provides for the succession of the CEO, nominates for election at annual shareholder meetings individuals to serve as directors of ADI, and appoints individuals to fill any vacancies on the Board of Directors. Our Board of Directors reviews corporate objectives and strategies and evaluates and approves significant policies and proposed major commitments of corporate resources. It oversees ADI’s risk management programs and participates in decisions that have a potential major economic impact on ADI. Management keeps the directors informed through regular written reports and presentations at Board of Directors’ and committee meetings.</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04" w:lineRule="exact"/>
        <w:rPr>
          <w:sz w:val="20"/>
          <w:szCs w:val="20"/>
          <w:color w:val="auto"/>
        </w:rPr>
      </w:pPr>
    </w:p>
    <w:p>
      <w:pPr>
        <w:ind w:right="560"/>
        <w:spacing w:after="0" w:line="264" w:lineRule="auto"/>
        <w:rPr>
          <w:sz w:val="20"/>
          <w:szCs w:val="20"/>
          <w:color w:val="auto"/>
        </w:rPr>
      </w:pPr>
      <w:r>
        <w:rPr>
          <w:rFonts w:ascii="Arial" w:cs="Arial" w:eastAsia="Arial" w:hAnsi="Arial"/>
          <w:sz w:val="15"/>
          <w:szCs w:val="15"/>
          <w:color w:val="auto"/>
        </w:rPr>
        <w:t xml:space="preserve">The following table summarizes management’s and the Board of Directors’ role in risk management and oversight. Each committee of our Board of Directors assesses risks associated with their respective areas of oversight as described under </w:t>
      </w:r>
      <w:r>
        <w:rPr>
          <w:rFonts w:ascii="Arial" w:cs="Arial" w:eastAsia="Arial" w:hAnsi="Arial"/>
          <w:sz w:val="15"/>
          <w:szCs w:val="15"/>
          <w:i w:val="1"/>
          <w:iCs w:val="1"/>
          <w:color w:val="auto"/>
        </w:rPr>
        <w:t>Board Committees</w:t>
      </w:r>
      <w:r>
        <w:rPr>
          <w:rFonts w:ascii="Arial" w:cs="Arial" w:eastAsia="Arial" w:hAnsi="Arial"/>
          <w:sz w:val="15"/>
          <w:szCs w:val="15"/>
          <w:color w:val="auto"/>
        </w:rPr>
        <w:t xml:space="preserve"> above and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83325" cy="11226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83325" cy="1122680"/>
                    </a:xfrm>
                    <a:prstGeom prst="rect">
                      <a:avLst/>
                    </a:prstGeom>
                    <a:noFill/>
                  </pic:spPr>
                </pic:pic>
              </a:graphicData>
            </a:graphic>
          </wp:anchor>
        </w:drawing>
      </w:r>
    </w:p>
    <w:p>
      <w:pPr>
        <w:sectPr>
          <w:pgSz w:w="11900" w:h="16838" w:orient="portrait"/>
          <w:cols w:equalWidth="0" w:num="1">
            <w:col w:w="11140"/>
          </w:cols>
          <w:pgMar w:left="320" w:top="1140"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-7049770</wp:posOffset>
            </wp:positionV>
            <wp:extent cx="205740" cy="62147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6214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0067B3"/>
        </w:rPr>
        <w:t>BOARD OF DIRECTORS</w:t>
      </w:r>
    </w:p>
    <w:p>
      <w:pPr>
        <w:spacing w:after="0" w:line="100" w:lineRule="exact"/>
        <w:rPr>
          <w:sz w:val="20"/>
          <w:szCs w:val="20"/>
          <w:color w:val="auto"/>
        </w:rPr>
      </w:pPr>
    </w:p>
    <w:p>
      <w:pPr>
        <w:ind w:left="540" w:right="660" w:hanging="203"/>
        <w:spacing w:after="0" w:line="269" w:lineRule="auto"/>
        <w:tabs>
          <w:tab w:leader="none" w:pos="497" w:val="left"/>
        </w:tabs>
        <w:numPr>
          <w:ilvl w:val="0"/>
          <w:numId w:val="50"/>
        </w:numPr>
        <w:rPr>
          <w:rFonts w:ascii="Arial" w:cs="Arial" w:eastAsia="Arial" w:hAnsi="Arial"/>
          <w:sz w:val="13"/>
          <w:szCs w:val="13"/>
          <w:color w:val="0067B3"/>
        </w:rPr>
      </w:pPr>
      <w:r>
        <w:rPr>
          <w:rFonts w:ascii="Arial" w:cs="Arial" w:eastAsia="Arial" w:hAnsi="Arial"/>
          <w:sz w:val="15"/>
          <w:szCs w:val="15"/>
          <w:color w:val="auto"/>
        </w:rPr>
        <w:t>Receives regular reports from members of senior management on areas of material risk to ADI. Specifically, our Chief Risk Officer, who oversees internal enterprise risk management programs and chairs our Enterprise Risk Management Committee, provides regular reports to our full Board of Directors regarding our management of all enterprise and operational risks and our enterprise risk management program, with periodic updates on focus areas, such as cybersecurity.</w:t>
      </w:r>
    </w:p>
    <w:p>
      <w:pPr>
        <w:spacing w:after="0" w:line="36" w:lineRule="exact"/>
        <w:rPr>
          <w:rFonts w:ascii="Arial" w:cs="Arial" w:eastAsia="Arial" w:hAnsi="Arial"/>
          <w:sz w:val="13"/>
          <w:szCs w:val="13"/>
          <w:color w:val="0067B3"/>
        </w:rPr>
      </w:pPr>
    </w:p>
    <w:p>
      <w:pPr>
        <w:ind w:left="540" w:right="640" w:hanging="203"/>
        <w:spacing w:after="0" w:line="301" w:lineRule="auto"/>
        <w:tabs>
          <w:tab w:leader="none" w:pos="497" w:val="left"/>
        </w:tabs>
        <w:numPr>
          <w:ilvl w:val="0"/>
          <w:numId w:val="50"/>
        </w:numPr>
        <w:rPr>
          <w:rFonts w:ascii="Arial" w:cs="Arial" w:eastAsia="Arial" w:hAnsi="Arial"/>
          <w:sz w:val="13"/>
          <w:szCs w:val="13"/>
          <w:color w:val="0067B3"/>
        </w:rPr>
      </w:pPr>
      <w:r>
        <w:rPr>
          <w:rFonts w:ascii="Arial" w:cs="Arial" w:eastAsia="Arial" w:hAnsi="Arial"/>
          <w:sz w:val="15"/>
          <w:szCs w:val="15"/>
          <w:color w:val="auto"/>
        </w:rPr>
        <w:t>Receives regular updates from our Audit Committee, Compensation and Talent Committee, Corporate Development Committee, and Nominating and Corporate Governance Committee, which provide our Board of Directors with thorough insight about how ADI manages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-537210</wp:posOffset>
            </wp:positionV>
            <wp:extent cx="6926580" cy="62839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6580" cy="628396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-537210</wp:posOffset>
            </wp:positionV>
            <wp:extent cx="6926580" cy="62839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6580" cy="628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67B3"/>
        </w:rPr>
        <w:t>AUDIT COMMITTEE</w:t>
      </w:r>
    </w:p>
    <w:p>
      <w:pPr>
        <w:spacing w:after="0" w:line="100" w:lineRule="exact"/>
        <w:rPr>
          <w:sz w:val="20"/>
          <w:szCs w:val="20"/>
          <w:color w:val="auto"/>
        </w:rPr>
      </w:pPr>
    </w:p>
    <w:p>
      <w:pPr>
        <w:ind w:left="540" w:right="640" w:hanging="189"/>
        <w:spacing w:after="0" w:line="301" w:lineRule="auto"/>
        <w:tabs>
          <w:tab w:leader="none" w:pos="497" w:val="left"/>
        </w:tabs>
        <w:numPr>
          <w:ilvl w:val="0"/>
          <w:numId w:val="51"/>
        </w:numPr>
        <w:rPr>
          <w:rFonts w:ascii="Arial" w:cs="Arial" w:eastAsia="Arial" w:hAnsi="Arial"/>
          <w:sz w:val="13"/>
          <w:szCs w:val="13"/>
          <w:color w:val="0067B3"/>
        </w:rPr>
      </w:pPr>
      <w:r>
        <w:rPr>
          <w:rFonts w:ascii="Arial" w:cs="Arial" w:eastAsia="Arial" w:hAnsi="Arial"/>
          <w:sz w:val="15"/>
          <w:szCs w:val="15"/>
          <w:color w:val="auto"/>
        </w:rPr>
        <w:t>Oversees ADI’s risk assessment and risk management programs, especially as they apply to ADI’s financial statement integrity and reporting and internal controls.</w:t>
      </w:r>
    </w:p>
    <w:p>
      <w:pPr>
        <w:spacing w:after="0" w:line="12" w:lineRule="exact"/>
        <w:rPr>
          <w:rFonts w:ascii="Arial" w:cs="Arial" w:eastAsia="Arial" w:hAnsi="Arial"/>
          <w:sz w:val="13"/>
          <w:szCs w:val="13"/>
          <w:color w:val="0067B3"/>
        </w:rPr>
      </w:pPr>
    </w:p>
    <w:p>
      <w:pPr>
        <w:ind w:left="540" w:right="1380" w:hanging="189"/>
        <w:spacing w:after="0" w:line="300" w:lineRule="auto"/>
        <w:tabs>
          <w:tab w:leader="none" w:pos="497" w:val="left"/>
        </w:tabs>
        <w:numPr>
          <w:ilvl w:val="0"/>
          <w:numId w:val="51"/>
        </w:numPr>
        <w:rPr>
          <w:rFonts w:ascii="Arial" w:cs="Arial" w:eastAsia="Arial" w:hAnsi="Arial"/>
          <w:sz w:val="13"/>
          <w:szCs w:val="13"/>
          <w:color w:val="0067B3"/>
        </w:rPr>
      </w:pPr>
      <w:r>
        <w:rPr>
          <w:rFonts w:ascii="Arial" w:cs="Arial" w:eastAsia="Arial" w:hAnsi="Arial"/>
          <w:sz w:val="15"/>
          <w:szCs w:val="15"/>
          <w:color w:val="auto"/>
        </w:rPr>
        <w:t>Receives regular reports from our Senior Director of Internal Audit on internal audit matters and from our Chief Risk Officer on risk 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-64770</wp:posOffset>
            </wp:positionV>
            <wp:extent cx="6858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-64770</wp:posOffset>
            </wp:positionV>
            <wp:extent cx="6858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-56515</wp:posOffset>
            </wp:positionV>
            <wp:extent cx="68580" cy="111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-56515</wp:posOffset>
            </wp:positionV>
            <wp:extent cx="68580" cy="1117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ind w:left="540" w:right="1400" w:hanging="193"/>
        <w:spacing w:after="0" w:line="301" w:lineRule="auto"/>
        <w:rPr>
          <w:sz w:val="20"/>
          <w:szCs w:val="20"/>
          <w:color w:val="auto"/>
        </w:rPr>
      </w:pPr>
      <w:r>
        <w:rPr>
          <w:rFonts w:ascii="Arial" w:cs="Arial" w:eastAsia="Arial" w:hAnsi="Arial"/>
          <w:sz w:val="13"/>
          <w:szCs w:val="13"/>
          <w:color w:val="0067B3"/>
        </w:rPr>
        <w:t xml:space="preserve">u </w:t>
      </w:r>
      <w:r>
        <w:rPr>
          <w:rFonts w:ascii="Arial" w:cs="Arial" w:eastAsia="Arial" w:hAnsi="Arial"/>
          <w:sz w:val="15"/>
          <w:szCs w:val="15"/>
          <w:color w:val="000000"/>
        </w:rPr>
        <w:t>Receives quarterly updates from our Chief Information Officer and Chief Information Security Officer on key IT projects, enterprise</w:t>
      </w:r>
      <w:r>
        <w:rPr>
          <w:rFonts w:ascii="Arial" w:cs="Arial" w:eastAsia="Arial" w:hAnsi="Arial"/>
          <w:sz w:val="13"/>
          <w:szCs w:val="13"/>
          <w:color w:val="0067B3"/>
        </w:rPr>
        <w:t xml:space="preserve"> </w:t>
      </w:r>
      <w:r>
        <w:rPr>
          <w:rFonts w:ascii="Arial" w:cs="Arial" w:eastAsia="Arial" w:hAnsi="Arial"/>
          <w:sz w:val="15"/>
          <w:szCs w:val="15"/>
          <w:color w:val="000000"/>
        </w:rPr>
        <w:t>cybersecurity programs, and data protection risks, and mitigation related to such risks.</w:t>
      </w:r>
    </w:p>
    <w:p>
      <w:pPr>
        <w:spacing w:after="0" w:line="13" w:lineRule="exact"/>
        <w:rPr>
          <w:sz w:val="20"/>
          <w:szCs w:val="20"/>
          <w:color w:val="auto"/>
        </w:rPr>
      </w:pPr>
    </w:p>
    <w:p>
      <w:pPr>
        <w:ind w:left="540" w:right="1140" w:hanging="189"/>
        <w:spacing w:after="0" w:line="301" w:lineRule="auto"/>
        <w:tabs>
          <w:tab w:leader="none" w:pos="497" w:val="left"/>
        </w:tabs>
        <w:numPr>
          <w:ilvl w:val="0"/>
          <w:numId w:val="52"/>
        </w:numPr>
        <w:rPr>
          <w:rFonts w:ascii="Arial" w:cs="Arial" w:eastAsia="Arial" w:hAnsi="Arial"/>
          <w:sz w:val="13"/>
          <w:szCs w:val="13"/>
          <w:color w:val="0067B3"/>
        </w:rPr>
      </w:pPr>
      <w:r>
        <w:rPr>
          <w:rFonts w:ascii="Arial" w:cs="Arial" w:eastAsia="Arial" w:hAnsi="Arial"/>
          <w:sz w:val="15"/>
          <w:szCs w:val="15"/>
          <w:color w:val="auto"/>
        </w:rPr>
        <w:t>Evaluates capital allocation and structure, including potential issuance of debt and equity securities, credit agreements, other financial instruments, investment policy, dividends, stock splits, and stock repurchases.</w:t>
      </w:r>
    </w:p>
    <w:p>
      <w:pPr>
        <w:spacing w:after="0" w:line="12" w:lineRule="exact"/>
        <w:rPr>
          <w:rFonts w:ascii="Arial" w:cs="Arial" w:eastAsia="Arial" w:hAnsi="Arial"/>
          <w:sz w:val="13"/>
          <w:szCs w:val="13"/>
          <w:color w:val="0067B3"/>
        </w:rPr>
      </w:pPr>
    </w:p>
    <w:p>
      <w:pPr>
        <w:ind w:left="500" w:hanging="149"/>
        <w:spacing w:after="0"/>
        <w:tabs>
          <w:tab w:leader="none" w:pos="500" w:val="left"/>
        </w:tabs>
        <w:numPr>
          <w:ilvl w:val="0"/>
          <w:numId w:val="52"/>
        </w:numPr>
        <w:rPr>
          <w:rFonts w:ascii="Arial" w:cs="Arial" w:eastAsia="Arial" w:hAnsi="Arial"/>
          <w:sz w:val="13"/>
          <w:szCs w:val="13"/>
          <w:color w:val="0067B3"/>
        </w:rPr>
      </w:pPr>
      <w:r>
        <w:rPr>
          <w:rFonts w:ascii="Arial" w:cs="Arial" w:eastAsia="Arial" w:hAnsi="Arial"/>
          <w:sz w:val="15"/>
          <w:szCs w:val="15"/>
          <w:color w:val="auto"/>
        </w:rPr>
        <w:t>Reviews our cybersecurity and information security programs, practices, and risk mitigation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201295</wp:posOffset>
            </wp:positionV>
            <wp:extent cx="6292215" cy="9944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67B3"/>
        </w:rPr>
        <w:t>COMPENSATION AND TALENT COMMITTEE</w:t>
      </w:r>
    </w:p>
    <w:p>
      <w:pPr>
        <w:spacing w:after="0" w:line="100" w:lineRule="exact"/>
        <w:rPr>
          <w:sz w:val="20"/>
          <w:szCs w:val="20"/>
          <w:color w:val="auto"/>
        </w:rPr>
      </w:pPr>
    </w:p>
    <w:p>
      <w:pPr>
        <w:ind w:left="500" w:hanging="149"/>
        <w:spacing w:after="0"/>
        <w:tabs>
          <w:tab w:leader="none" w:pos="500" w:val="left"/>
        </w:tabs>
        <w:numPr>
          <w:ilvl w:val="0"/>
          <w:numId w:val="53"/>
        </w:numPr>
        <w:rPr>
          <w:rFonts w:ascii="Arial" w:cs="Arial" w:eastAsia="Arial" w:hAnsi="Arial"/>
          <w:sz w:val="13"/>
          <w:szCs w:val="13"/>
          <w:color w:val="0067B3"/>
        </w:rPr>
      </w:pPr>
      <w:r>
        <w:rPr>
          <w:rFonts w:ascii="Arial" w:cs="Arial" w:eastAsia="Arial" w:hAnsi="Arial"/>
          <w:sz w:val="15"/>
          <w:szCs w:val="15"/>
          <w:color w:val="auto"/>
        </w:rPr>
        <w:t>Oversees ADI’s executive compensation program and non-employee director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-12065</wp:posOffset>
            </wp:positionV>
            <wp:extent cx="6858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-12065</wp:posOffset>
            </wp:positionV>
            <wp:extent cx="6858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-3810</wp:posOffset>
            </wp:positionV>
            <wp:extent cx="68580" cy="1111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-3810</wp:posOffset>
            </wp:positionV>
            <wp:extent cx="68580" cy="1111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5"/>
          <w:szCs w:val="15"/>
          <w:color w:val="000000"/>
        </w:rPr>
        <w:t>Oversees ADI’s policies, strategies, and programs relating to human capital management.</w:t>
      </w:r>
    </w:p>
    <w:p>
      <w:pPr>
        <w:spacing w:after="0" w:line="84" w:lineRule="exact"/>
        <w:rPr>
          <w:sz w:val="20"/>
          <w:szCs w:val="20"/>
          <w:color w:val="auto"/>
        </w:rPr>
      </w:pPr>
    </w:p>
    <w:p>
      <w:pPr>
        <w:ind w:left="500" w:hanging="149"/>
        <w:spacing w:after="0"/>
        <w:tabs>
          <w:tab w:leader="none" w:pos="500" w:val="left"/>
        </w:tabs>
        <w:numPr>
          <w:ilvl w:val="0"/>
          <w:numId w:val="54"/>
        </w:numPr>
        <w:rPr>
          <w:rFonts w:ascii="Arial" w:cs="Arial" w:eastAsia="Arial" w:hAnsi="Arial"/>
          <w:sz w:val="13"/>
          <w:szCs w:val="13"/>
          <w:color w:val="0067B3"/>
        </w:rPr>
      </w:pPr>
      <w:r>
        <w:rPr>
          <w:rFonts w:ascii="Arial" w:cs="Arial" w:eastAsia="Arial" w:hAnsi="Arial"/>
          <w:sz w:val="15"/>
          <w:szCs w:val="15"/>
          <w:color w:val="auto"/>
        </w:rPr>
        <w:t>Oversees the evaluation and succession planning and development programs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210185</wp:posOffset>
            </wp:positionV>
            <wp:extent cx="6292215" cy="12255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67B3"/>
        </w:rPr>
        <w:t>NOMINATING AND CORPORATE GOVERNANCE COMMITTEE</w:t>
      </w:r>
    </w:p>
    <w:p>
      <w:pPr>
        <w:spacing w:after="0" w:line="100" w:lineRule="exact"/>
        <w:rPr>
          <w:sz w:val="20"/>
          <w:szCs w:val="20"/>
          <w:color w:val="auto"/>
        </w:rPr>
      </w:pPr>
    </w:p>
    <w:p>
      <w:pPr>
        <w:ind w:left="540" w:right="600" w:hanging="189"/>
        <w:spacing w:after="0" w:line="301" w:lineRule="auto"/>
        <w:tabs>
          <w:tab w:leader="none" w:pos="497" w:val="left"/>
        </w:tabs>
        <w:numPr>
          <w:ilvl w:val="0"/>
          <w:numId w:val="55"/>
        </w:numPr>
        <w:rPr>
          <w:rFonts w:ascii="Arial" w:cs="Arial" w:eastAsia="Arial" w:hAnsi="Arial"/>
          <w:sz w:val="13"/>
          <w:szCs w:val="13"/>
          <w:color w:val="0067B3"/>
        </w:rPr>
      </w:pPr>
      <w:r>
        <w:rPr>
          <w:rFonts w:ascii="Arial" w:cs="Arial" w:eastAsia="Arial" w:hAnsi="Arial"/>
          <w:sz w:val="15"/>
          <w:szCs w:val="15"/>
          <w:color w:val="auto"/>
        </w:rPr>
        <w:t>Leads the Board of Directors with respect to the adequacy of ADI’s governance structure and process of succession planning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-57150</wp:posOffset>
            </wp:positionV>
            <wp:extent cx="68580" cy="1200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-57150</wp:posOffset>
            </wp:positionV>
            <wp:extent cx="6858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-57150</wp:posOffset>
            </wp:positionV>
            <wp:extent cx="68580"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-57150</wp:posOffset>
            </wp:positionV>
            <wp:extent cx="68580"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ind w:left="540" w:right="740" w:hanging="193"/>
        <w:spacing w:after="0" w:line="300" w:lineRule="auto"/>
        <w:rPr>
          <w:sz w:val="20"/>
          <w:szCs w:val="20"/>
          <w:color w:val="auto"/>
        </w:rPr>
      </w:pPr>
      <w:r>
        <w:rPr>
          <w:rFonts w:ascii="Arial" w:cs="Arial" w:eastAsia="Arial" w:hAnsi="Arial"/>
          <w:sz w:val="13"/>
          <w:szCs w:val="13"/>
          <w:color w:val="0067B3"/>
        </w:rPr>
        <w:t xml:space="preserve">u </w:t>
      </w:r>
      <w:r>
        <w:rPr>
          <w:rFonts w:ascii="Arial" w:cs="Arial" w:eastAsia="Arial" w:hAnsi="Arial"/>
          <w:sz w:val="15"/>
          <w:szCs w:val="15"/>
          <w:color w:val="000000"/>
        </w:rPr>
        <w:t>Oversees ADI’s ESG programs, including reviewing ADI’s sustainability initiatives and goals as well as our progress toward achieving those</w:t>
      </w:r>
      <w:r>
        <w:rPr>
          <w:rFonts w:ascii="Arial" w:cs="Arial" w:eastAsia="Arial" w:hAnsi="Arial"/>
          <w:sz w:val="13"/>
          <w:szCs w:val="13"/>
          <w:color w:val="0067B3"/>
        </w:rPr>
        <w:t xml:space="preserve"> </w:t>
      </w:r>
      <w:r>
        <w:rPr>
          <w:rFonts w:ascii="Arial" w:cs="Arial" w:eastAsia="Arial" w:hAnsi="Arial"/>
          <w:sz w:val="15"/>
          <w:szCs w:val="15"/>
          <w:color w:val="000000"/>
        </w:rPr>
        <w:t>goals.</w:t>
      </w:r>
    </w:p>
    <w:p>
      <w:pPr>
        <w:spacing w:after="0" w:line="1" w:lineRule="exact"/>
        <w:rPr>
          <w:sz w:val="20"/>
          <w:szCs w:val="20"/>
          <w:color w:val="auto"/>
        </w:rPr>
      </w:pPr>
    </w:p>
    <w:p>
      <w:pPr>
        <w:ind w:left="500" w:hanging="149"/>
        <w:spacing w:after="0"/>
        <w:tabs>
          <w:tab w:leader="none" w:pos="500" w:val="left"/>
        </w:tabs>
        <w:numPr>
          <w:ilvl w:val="0"/>
          <w:numId w:val="56"/>
        </w:numPr>
        <w:rPr>
          <w:rFonts w:ascii="Arial" w:cs="Arial" w:eastAsia="Arial" w:hAnsi="Arial"/>
          <w:sz w:val="13"/>
          <w:szCs w:val="13"/>
          <w:color w:val="0067B3"/>
        </w:rPr>
      </w:pPr>
      <w:r>
        <w:rPr>
          <w:rFonts w:ascii="Arial" w:cs="Arial" w:eastAsia="Arial" w:hAnsi="Arial"/>
          <w:sz w:val="15"/>
          <w:szCs w:val="15"/>
          <w:color w:val="auto"/>
        </w:rPr>
        <w:t>Oversees and periodically reviews policies and practices in connection with governmental relations, public policy, and related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210185</wp:posOffset>
            </wp:positionV>
            <wp:extent cx="6292215" cy="668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67B3"/>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-2540</wp:posOffset>
            </wp:positionV>
            <wp:extent cx="6858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-2540</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5715</wp:posOffset>
            </wp:positionV>
            <wp:extent cx="68580" cy="111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5715</wp:posOffset>
            </wp:positionV>
            <wp:extent cx="68580" cy="111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5"/>
          <w:szCs w:val="15"/>
          <w:color w:val="000000"/>
        </w:rPr>
        <w:t>Evaluates strategic plans, transactions, and investments, including mergers,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210185</wp:posOffset>
            </wp:positionV>
            <wp:extent cx="6283325" cy="1156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8332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0067B3"/>
        </w:rPr>
        <w:t>LEADERSHIP TEAM AND MANAGEMENT</w:t>
      </w:r>
    </w:p>
    <w:p>
      <w:pPr>
        <w:spacing w:after="0" w:line="86" w:lineRule="exact"/>
        <w:rPr>
          <w:sz w:val="20"/>
          <w:szCs w:val="20"/>
          <w:color w:val="auto"/>
        </w:rPr>
      </w:pPr>
    </w:p>
    <w:p>
      <w:pPr>
        <w:ind w:left="540" w:right="1000" w:hanging="203"/>
        <w:spacing w:after="0" w:line="253" w:lineRule="auto"/>
        <w:tabs>
          <w:tab w:leader="none" w:pos="497" w:val="left"/>
        </w:tabs>
        <w:numPr>
          <w:ilvl w:val="0"/>
          <w:numId w:val="57"/>
        </w:numPr>
        <w:rPr>
          <w:rFonts w:ascii="Arial" w:cs="Arial" w:eastAsia="Arial" w:hAnsi="Arial"/>
          <w:sz w:val="13"/>
          <w:szCs w:val="13"/>
          <w:color w:val="0067B3"/>
        </w:rPr>
      </w:pPr>
      <w:r>
        <w:rPr>
          <w:rFonts w:ascii="Arial" w:cs="Arial" w:eastAsia="Arial" w:hAnsi="Arial"/>
          <w:sz w:val="15"/>
          <w:szCs w:val="15"/>
          <w:color w:val="auto"/>
        </w:rPr>
        <w:t>Our Leadership Team and our CEO and Chair have ownership for risk management, and risk governance is managed by our Enterprise Risk Management Committee, a management-led, cross-functional committee, which is chaired by our Chief 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-30480</wp:posOffset>
            </wp:positionV>
            <wp:extent cx="68580"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-30480</wp:posOffset>
            </wp:positionV>
            <wp:extent cx="6858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-30480</wp:posOffset>
            </wp:positionV>
            <wp:extent cx="68580"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-30480</wp:posOffset>
            </wp:positionV>
            <wp:extent cx="68580"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ind w:left="540" w:right="740" w:hanging="193"/>
        <w:spacing w:after="0" w:line="252" w:lineRule="auto"/>
        <w:rPr>
          <w:sz w:val="20"/>
          <w:szCs w:val="20"/>
          <w:color w:val="auto"/>
        </w:rPr>
      </w:pPr>
      <w:r>
        <w:rPr>
          <w:rFonts w:ascii="Arial" w:cs="Arial" w:eastAsia="Arial" w:hAnsi="Arial"/>
          <w:sz w:val="13"/>
          <w:szCs w:val="13"/>
          <w:color w:val="0067B3"/>
        </w:rPr>
        <w:t xml:space="preserve">u </w:t>
      </w:r>
      <w:r>
        <w:rPr>
          <w:rFonts w:ascii="Arial" w:cs="Arial" w:eastAsia="Arial" w:hAnsi="Arial"/>
          <w:sz w:val="15"/>
          <w:szCs w:val="15"/>
          <w:color w:val="000000"/>
        </w:rPr>
        <w:t>Our Enterprise Risk Management Committee works closely with our Leadership Team, including our CEO and Chair, to identify and mitigate</w:t>
      </w:r>
      <w:r>
        <w:rPr>
          <w:rFonts w:ascii="Arial" w:cs="Arial" w:eastAsia="Arial" w:hAnsi="Arial"/>
          <w:sz w:val="13"/>
          <w:szCs w:val="13"/>
          <w:color w:val="0067B3"/>
        </w:rPr>
        <w:t xml:space="preserve"> </w:t>
      </w:r>
      <w:r>
        <w:rPr>
          <w:rFonts w:ascii="Arial" w:cs="Arial" w:eastAsia="Arial" w:hAnsi="Arial"/>
          <w:sz w:val="15"/>
          <w:szCs w:val="15"/>
          <w:color w:val="000000"/>
        </w:rPr>
        <w:t>identified risks.</w:t>
      </w:r>
    </w:p>
    <w:p>
      <w:pPr>
        <w:ind w:left="540" w:right="960" w:hanging="203"/>
        <w:spacing w:after="0" w:line="248" w:lineRule="auto"/>
        <w:tabs>
          <w:tab w:leader="none" w:pos="497" w:val="left"/>
        </w:tabs>
        <w:numPr>
          <w:ilvl w:val="0"/>
          <w:numId w:val="58"/>
        </w:numPr>
        <w:rPr>
          <w:rFonts w:ascii="Arial" w:cs="Arial" w:eastAsia="Arial" w:hAnsi="Arial"/>
          <w:sz w:val="13"/>
          <w:szCs w:val="13"/>
          <w:color w:val="0067B3"/>
        </w:rPr>
      </w:pPr>
      <w:r>
        <w:rPr>
          <w:rFonts w:ascii="Arial" w:cs="Arial" w:eastAsia="Arial" w:hAnsi="Arial"/>
          <w:sz w:val="15"/>
          <w:szCs w:val="15"/>
          <w:color w:val="auto"/>
        </w:rPr>
        <w:t>Our Chief Risk Officer, and other members of management, report to the Board of Directors (or the appropriate committee as applicable) regarding risk identification, management, and mitigation strategies.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213995</wp:posOffset>
            </wp:positionV>
            <wp:extent cx="7157720"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2">
            <w:col w:w="240" w:space="240"/>
            <w:col w:w="10660"/>
          </w:cols>
          <w:pgMar w:left="320" w:top="1140" w:right="439" w:bottom="0" w:gutter="0" w:footer="0" w:header="0"/>
          <w:type w:val="continuous"/>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Enterprise Risk Management Program</w:t>
      </w:r>
    </w:p>
    <w:p>
      <w:pPr>
        <w:spacing w:after="0" w:line="1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Enterprise Risk Management Program defines how we identify, manage, and govern risk throughout our organization to promote the achievement of our financial and operational goals in a compliant manner. It assigns accountability for risk management to every business unit, based on the risks they encounter as part of their day-to-day operations. Our CEO and Chair and Leadership Team has ultimate responsibility for our Enterprise Risk Management Program and output.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72390</wp:posOffset>
            </wp:positionV>
            <wp:extent cx="609473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9473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329565</wp:posOffset>
            </wp:positionV>
            <wp:extent cx="111125" cy="685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329565</wp:posOffset>
            </wp:positionV>
            <wp:extent cx="111760" cy="68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329565</wp:posOffset>
            </wp:positionV>
            <wp:extent cx="111760" cy="685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329565</wp:posOffset>
            </wp:positionV>
            <wp:extent cx="111125" cy="685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329565</wp:posOffset>
            </wp:positionV>
            <wp:extent cx="11176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329565</wp:posOffset>
            </wp:positionV>
            <wp:extent cx="111125"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520" w:type="dxa"/>
            <w:vAlign w:val="bottom"/>
            <w:tcBorders>
              <w:top w:val="single" w:sz="8" w:color="CAD3EC"/>
            </w:tcBorders>
            <w:shd w:val="clear" w:color="auto" w:fill="CAD3EC"/>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16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8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700" w:type="dxa"/>
            <w:vAlign w:val="bottom"/>
            <w:tcBorders>
              <w:top w:val="single" w:sz="8" w:color="0067B3"/>
              <w:right w:val="single" w:sz="8" w:color="0067B3"/>
            </w:tcBorders>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1660" w:type="dxa"/>
            <w:vAlign w:val="bottom"/>
            <w:tcBorders>
              <w:top w:val="single" w:sz="8" w:color="0067B3"/>
              <w:right w:val="single" w:sz="8" w:color="0067B3"/>
            </w:tcBorders>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top w:val="single" w:sz="8" w:color="E6E7E8"/>
            </w:tcBorders>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ENTERPRISE</w:t>
            </w:r>
          </w:p>
        </w:tc>
        <w:tc>
          <w:tcPr>
            <w:tcW w:w="0" w:type="dxa"/>
            <w:vAlign w:val="bottom"/>
          </w:tcPr>
          <w:p>
            <w:pPr>
              <w:spacing w:after="0"/>
              <w:rPr>
                <w:sz w:val="1"/>
                <w:szCs w:val="1"/>
                <w:color w:val="auto"/>
              </w:rPr>
            </w:pPr>
          </w:p>
        </w:tc>
      </w:tr>
      <w:tr>
        <w:trPr>
          <w:trHeight w:val="235"/>
        </w:trPr>
        <w:tc>
          <w:tcPr>
            <w:tcW w:w="1520" w:type="dxa"/>
            <w:vAlign w:val="bottom"/>
            <w:shd w:val="clear" w:color="auto" w:fill="CAD3EC"/>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COMPENSATION</w:t>
            </w: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NOMINATING</w:t>
            </w:r>
          </w:p>
        </w:tc>
        <w:tc>
          <w:tcPr>
            <w:tcW w:w="24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CORPORATE</w:t>
            </w:r>
          </w:p>
        </w:tc>
        <w:tc>
          <w:tcPr>
            <w:tcW w:w="22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7"/>
              </w:rPr>
              <w:t>RISK</w:t>
            </w:r>
          </w:p>
        </w:tc>
        <w:tc>
          <w:tcPr>
            <w:tcW w:w="0" w:type="dxa"/>
            <w:vAlign w:val="bottom"/>
          </w:tcPr>
          <w:p>
            <w:pPr>
              <w:spacing w:after="0"/>
              <w:rPr>
                <w:sz w:val="1"/>
                <w:szCs w:val="1"/>
                <w:color w:val="auto"/>
              </w:rPr>
            </w:pPr>
          </w:p>
        </w:tc>
      </w:tr>
      <w:tr>
        <w:trPr>
          <w:trHeight w:val="216"/>
        </w:trPr>
        <w:tc>
          <w:tcPr>
            <w:tcW w:w="152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BOARD OF</w:t>
            </w:r>
          </w:p>
        </w:tc>
        <w:tc>
          <w:tcPr>
            <w:tcW w:w="240" w:type="dxa"/>
            <w:vAlign w:val="bottom"/>
            <w:tcBorders>
              <w:right w:val="single" w:sz="8" w:color="0067B3"/>
            </w:tcBorders>
          </w:tcPr>
          <w:p>
            <w:pPr>
              <w:spacing w:after="0"/>
              <w:rPr>
                <w:sz w:val="18"/>
                <w:szCs w:val="18"/>
                <w:color w:val="auto"/>
              </w:rPr>
            </w:pPr>
          </w:p>
        </w:tc>
        <w:tc>
          <w:tcPr>
            <w:tcW w:w="16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AUDIT</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vMerge w:val="continue"/>
          </w:tcPr>
          <w:p>
            <w:pPr>
              <w:spacing w:after="0"/>
              <w:rPr>
                <w:sz w:val="18"/>
                <w:szCs w:val="18"/>
                <w:color w:val="auto"/>
              </w:rPr>
            </w:pP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 CORPORATE</w:t>
            </w:r>
          </w:p>
        </w:tc>
        <w:tc>
          <w:tcPr>
            <w:tcW w:w="24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MANAGEMENT</w:t>
            </w:r>
          </w:p>
        </w:tc>
        <w:tc>
          <w:tcPr>
            <w:tcW w:w="0" w:type="dxa"/>
            <w:vAlign w:val="bottom"/>
          </w:tcPr>
          <w:p>
            <w:pPr>
              <w:spacing w:after="0"/>
              <w:rPr>
                <w:sz w:val="1"/>
                <w:szCs w:val="1"/>
                <w:color w:val="auto"/>
              </w:rPr>
            </w:pPr>
          </w:p>
        </w:tc>
      </w:tr>
      <w:tr>
        <w:trPr>
          <w:trHeight w:val="216"/>
        </w:trPr>
        <w:tc>
          <w:tcPr>
            <w:tcW w:w="152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DIRECTORS</w:t>
            </w:r>
          </w:p>
        </w:tc>
        <w:tc>
          <w:tcPr>
            <w:tcW w:w="240" w:type="dxa"/>
            <w:vAlign w:val="bottom"/>
            <w:tcBorders>
              <w:right w:val="single" w:sz="8" w:color="0067B3"/>
            </w:tcBorders>
          </w:tcPr>
          <w:p>
            <w:pPr>
              <w:spacing w:after="0"/>
              <w:rPr>
                <w:sz w:val="18"/>
                <w:szCs w:val="18"/>
                <w:color w:val="auto"/>
              </w:rPr>
            </w:pPr>
          </w:p>
        </w:tc>
        <w:tc>
          <w:tcPr>
            <w:tcW w:w="16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 TALENT</w:t>
            </w: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GOVERNANCE</w:t>
            </w:r>
          </w:p>
        </w:tc>
        <w:tc>
          <w:tcPr>
            <w:tcW w:w="24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DEVELOPMENT</w:t>
            </w:r>
          </w:p>
        </w:tc>
        <w:tc>
          <w:tcPr>
            <w:tcW w:w="22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0" w:type="dxa"/>
            <w:vAlign w:val="bottom"/>
          </w:tcPr>
          <w:p>
            <w:pPr>
              <w:spacing w:after="0"/>
              <w:rPr>
                <w:sz w:val="1"/>
                <w:szCs w:val="1"/>
                <w:color w:val="auto"/>
              </w:rPr>
            </w:pPr>
          </w:p>
        </w:tc>
      </w:tr>
      <w:tr>
        <w:trPr>
          <w:trHeight w:val="247"/>
        </w:trPr>
        <w:tc>
          <w:tcPr>
            <w:tcW w:w="1520" w:type="dxa"/>
            <w:vAlign w:val="bottom"/>
            <w:shd w:val="clear" w:color="auto" w:fill="CAD3EC"/>
          </w:tcPr>
          <w:p>
            <w:pPr>
              <w:spacing w:after="0"/>
              <w:rPr>
                <w:sz w:val="21"/>
                <w:szCs w:val="21"/>
                <w:color w:val="auto"/>
              </w:rPr>
            </w:pPr>
          </w:p>
        </w:tc>
        <w:tc>
          <w:tcPr>
            <w:tcW w:w="240" w:type="dxa"/>
            <w:vAlign w:val="bottom"/>
            <w:tcBorders>
              <w:right w:val="single" w:sz="8" w:color="0067B3"/>
            </w:tcBorders>
          </w:tcPr>
          <w:p>
            <w:pPr>
              <w:spacing w:after="0"/>
              <w:rPr>
                <w:sz w:val="21"/>
                <w:szCs w:val="21"/>
                <w:color w:val="auto"/>
              </w:rPr>
            </w:pPr>
          </w:p>
        </w:tc>
        <w:tc>
          <w:tcPr>
            <w:tcW w:w="1620" w:type="dxa"/>
            <w:vAlign w:val="bottom"/>
            <w:tcBorders>
              <w:right w:val="single" w:sz="8" w:color="0067B3"/>
            </w:tcBorders>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70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40" w:type="dxa"/>
            <w:vAlign w:val="bottom"/>
            <w:tcBorders>
              <w:right w:val="single" w:sz="8" w:color="0067B3"/>
            </w:tcBorders>
          </w:tcPr>
          <w:p>
            <w:pPr>
              <w:spacing w:after="0"/>
              <w:rPr>
                <w:sz w:val="21"/>
                <w:szCs w:val="21"/>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Pr>
          <w:p>
            <w:pPr>
              <w:spacing w:after="0"/>
              <w:rPr>
                <w:sz w:val="21"/>
                <w:szCs w:val="21"/>
                <w:color w:val="auto"/>
              </w:rPr>
            </w:pPr>
          </w:p>
        </w:tc>
        <w:tc>
          <w:tcPr>
            <w:tcW w:w="176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Chaired by our</w:t>
            </w:r>
          </w:p>
        </w:tc>
        <w:tc>
          <w:tcPr>
            <w:tcW w:w="0" w:type="dxa"/>
            <w:vAlign w:val="bottom"/>
          </w:tcPr>
          <w:p>
            <w:pPr>
              <w:spacing w:after="0"/>
              <w:rPr>
                <w:sz w:val="1"/>
                <w:szCs w:val="1"/>
                <w:color w:val="auto"/>
              </w:rPr>
            </w:pPr>
          </w:p>
        </w:tc>
      </w:tr>
      <w:tr>
        <w:trPr>
          <w:trHeight w:val="58"/>
        </w:trPr>
        <w:tc>
          <w:tcPr>
            <w:tcW w:w="1520" w:type="dxa"/>
            <w:vAlign w:val="bottom"/>
            <w:shd w:val="clear" w:color="auto" w:fill="CAD3EC"/>
          </w:tcPr>
          <w:p>
            <w:pPr>
              <w:spacing w:after="0"/>
              <w:rPr>
                <w:sz w:val="5"/>
                <w:szCs w:val="5"/>
                <w:color w:val="auto"/>
              </w:rPr>
            </w:pPr>
          </w:p>
        </w:tc>
        <w:tc>
          <w:tcPr>
            <w:tcW w:w="240" w:type="dxa"/>
            <w:vAlign w:val="bottom"/>
            <w:tcBorders>
              <w:right w:val="single" w:sz="8" w:color="0067B3"/>
            </w:tcBorders>
          </w:tcPr>
          <w:p>
            <w:pPr>
              <w:spacing w:after="0"/>
              <w:rPr>
                <w:sz w:val="5"/>
                <w:szCs w:val="5"/>
                <w:color w:val="auto"/>
              </w:rPr>
            </w:pPr>
          </w:p>
        </w:tc>
        <w:tc>
          <w:tcPr>
            <w:tcW w:w="16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8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700" w:type="dxa"/>
            <w:vAlign w:val="bottom"/>
            <w:tcBorders>
              <w:right w:val="single" w:sz="8" w:color="0067B3"/>
            </w:tcBorders>
            <w:vMerge w:val="continue"/>
          </w:tcPr>
          <w:p>
            <w:pPr>
              <w:spacing w:after="0"/>
              <w:rPr>
                <w:sz w:val="5"/>
                <w:szCs w:val="5"/>
                <w:color w:val="auto"/>
              </w:rPr>
            </w:pPr>
          </w:p>
        </w:tc>
        <w:tc>
          <w:tcPr>
            <w:tcW w:w="240" w:type="dxa"/>
            <w:vAlign w:val="bottom"/>
            <w:tcBorders>
              <w:right w:val="single" w:sz="8" w:color="0067B3"/>
            </w:tcBorders>
          </w:tcPr>
          <w:p>
            <w:pPr>
              <w:spacing w:after="0"/>
              <w:rPr>
                <w:sz w:val="5"/>
                <w:szCs w:val="5"/>
                <w:color w:val="auto"/>
              </w:rPr>
            </w:pPr>
          </w:p>
        </w:tc>
        <w:tc>
          <w:tcPr>
            <w:tcW w:w="1660" w:type="dxa"/>
            <w:vAlign w:val="bottom"/>
            <w:tcBorders>
              <w:right w:val="single" w:sz="8" w:color="0067B3"/>
            </w:tcBorders>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520" w:type="dxa"/>
            <w:vAlign w:val="bottom"/>
            <w:shd w:val="clear" w:color="auto" w:fill="CAD3EC"/>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color w:val="auto"/>
                <w:w w:val="99"/>
              </w:rPr>
              <w:t>Chief Risk Officer</w:t>
            </w:r>
          </w:p>
        </w:tc>
        <w:tc>
          <w:tcPr>
            <w:tcW w:w="0" w:type="dxa"/>
            <w:vAlign w:val="bottom"/>
          </w:tcPr>
          <w:p>
            <w:pPr>
              <w:spacing w:after="0"/>
              <w:rPr>
                <w:sz w:val="1"/>
                <w:szCs w:val="1"/>
                <w:color w:val="auto"/>
              </w:rPr>
            </w:pPr>
          </w:p>
        </w:tc>
      </w:tr>
      <w:tr>
        <w:trPr>
          <w:trHeight w:val="131"/>
        </w:trPr>
        <w:tc>
          <w:tcPr>
            <w:tcW w:w="1520" w:type="dxa"/>
            <w:vAlign w:val="bottom"/>
            <w:shd w:val="clear" w:color="auto" w:fill="CAD3EC"/>
          </w:tcPr>
          <w:p>
            <w:pPr>
              <w:spacing w:after="0"/>
              <w:rPr>
                <w:sz w:val="11"/>
                <w:szCs w:val="11"/>
                <w:color w:val="auto"/>
              </w:rPr>
            </w:pPr>
          </w:p>
        </w:tc>
        <w:tc>
          <w:tcPr>
            <w:tcW w:w="240" w:type="dxa"/>
            <w:vAlign w:val="bottom"/>
            <w:tcBorders>
              <w:right w:val="single" w:sz="8" w:color="0067B3"/>
            </w:tcBorders>
          </w:tcPr>
          <w:p>
            <w:pPr>
              <w:spacing w:after="0"/>
              <w:rPr>
                <w:sz w:val="11"/>
                <w:szCs w:val="11"/>
                <w:color w:val="auto"/>
              </w:rPr>
            </w:pPr>
          </w:p>
        </w:tc>
        <w:tc>
          <w:tcPr>
            <w:tcW w:w="16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8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700" w:type="dxa"/>
            <w:vAlign w:val="bottom"/>
            <w:tcBorders>
              <w:bottom w:val="single" w:sz="8" w:color="0067B3"/>
              <w:right w:val="single" w:sz="8" w:color="0067B3"/>
            </w:tcBorders>
          </w:tcPr>
          <w:p>
            <w:pPr>
              <w:spacing w:after="0"/>
              <w:rPr>
                <w:sz w:val="11"/>
                <w:szCs w:val="11"/>
                <w:color w:val="auto"/>
              </w:rPr>
            </w:pPr>
          </w:p>
        </w:tc>
        <w:tc>
          <w:tcPr>
            <w:tcW w:w="240" w:type="dxa"/>
            <w:vAlign w:val="bottom"/>
            <w:tcBorders>
              <w:right w:val="single" w:sz="8" w:color="0067B3"/>
            </w:tcBorders>
          </w:tcPr>
          <w:p>
            <w:pPr>
              <w:spacing w:after="0"/>
              <w:rPr>
                <w:sz w:val="11"/>
                <w:szCs w:val="11"/>
                <w:color w:val="auto"/>
              </w:rPr>
            </w:pPr>
          </w:p>
        </w:tc>
        <w:tc>
          <w:tcPr>
            <w:tcW w:w="1660" w:type="dxa"/>
            <w:vAlign w:val="bottom"/>
            <w:tcBorders>
              <w:bottom w:val="single" w:sz="8" w:color="0067B3"/>
              <w:right w:val="single" w:sz="8" w:color="0067B3"/>
            </w:tcBorders>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shd w:val="clear" w:color="auto" w:fill="E6E7E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351155</wp:posOffset>
            </wp:positionV>
            <wp:extent cx="609473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94730"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137160</wp:posOffset>
            </wp:positionV>
            <wp:extent cx="111760" cy="68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137160</wp:posOffset>
            </wp:positionV>
            <wp:extent cx="111760" cy="685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137160</wp:posOffset>
            </wp:positionV>
            <wp:extent cx="111760" cy="68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137160</wp:posOffset>
            </wp:positionV>
            <wp:extent cx="111125"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137160</wp:posOffset>
            </wp:positionV>
            <wp:extent cx="111125" cy="685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137160</wp:posOffset>
            </wp:positionV>
            <wp:extent cx="111125" cy="68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Enterprise risk management is a company-wide initiative that involves ADI management, including our Chief Legal Officer and Chief Risk Officer and our internal audit function, including our Senior Director, Internal Audit, working together to (1) identify, assess, prioritize and monitor a broad range of risks and (2) formulate and execute plans to monitor and, to the extent possible, mitigate the effect of those risks.</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Cybersecurity Oversight and Risk Management</w:t>
      </w:r>
    </w:p>
    <w:p>
      <w:pPr>
        <w:spacing w:after="0" w:line="14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regularly perform risk assessments relating to cybersecurity and technology. Our enterprise security program has been developed based on industry standards, including those published by the International Organization for Standardization (ISO) and the National Institute of Standards and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program include:</w:t>
      </w:r>
    </w:p>
    <w:p>
      <w:pPr>
        <w:spacing w:after="0" w:line="117"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3"/>
          <w:szCs w:val="13"/>
          <w:color w:val="0067B3"/>
        </w:rPr>
      </w:pPr>
      <w:r>
        <w:rPr>
          <w:rFonts w:ascii="Arial" w:cs="Arial" w:eastAsia="Arial" w:hAnsi="Arial"/>
          <w:sz w:val="18"/>
          <w:szCs w:val="18"/>
          <w:color w:val="auto"/>
        </w:rPr>
        <w:t>A comprehensive set of enterprise security policies and procedures that guide our protection strategy.</w:t>
      </w:r>
    </w:p>
    <w:p>
      <w:pPr>
        <w:spacing w:after="0" w:line="76" w:lineRule="exact"/>
        <w:rPr>
          <w:rFonts w:ascii="Arial" w:cs="Arial" w:eastAsia="Arial" w:hAnsi="Arial"/>
          <w:sz w:val="13"/>
          <w:szCs w:val="13"/>
          <w:color w:val="0067B3"/>
        </w:rPr>
      </w:pPr>
    </w:p>
    <w:p>
      <w:pPr>
        <w:ind w:left="200" w:right="160" w:hanging="192"/>
        <w:spacing w:after="0" w:line="268" w:lineRule="auto"/>
        <w:tabs>
          <w:tab w:leader="none" w:pos="157" w:val="left"/>
        </w:tabs>
        <w:numPr>
          <w:ilvl w:val="0"/>
          <w:numId w:val="59"/>
        </w:numPr>
        <w:rPr>
          <w:rFonts w:ascii="Arial" w:cs="Arial" w:eastAsia="Arial" w:hAnsi="Arial"/>
          <w:sz w:val="13"/>
          <w:szCs w:val="13"/>
          <w:color w:val="0067B3"/>
        </w:rPr>
      </w:pPr>
      <w:r>
        <w:rPr>
          <w:rFonts w:ascii="Arial" w:cs="Arial" w:eastAsia="Arial" w:hAnsi="Arial"/>
          <w:sz w:val="18"/>
          <w:szCs w:val="18"/>
          <w:color w:val="auto"/>
        </w:rPr>
        <w:t>Protecting against threats through use of the following measures: identifying critical assets and high-risk threats; implementing cybersecurity detection, controls, and remediation practices; implementing a third-party risk management program to evaluate our critical partners’ cyber posture; and evaluating our program effectiveness by performing internal and external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Risks identified by our enterprise security program are analyzed to determine the potential impact on us and the likelihood of occurrence.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risks are continuously monitored to ensure that the circumstances and severity of such risks have not changed.</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conduct regular workforce training to instruct employees to identify cybersecurity concerns and take the appropriate action. We install and regularly update antivirus software on all company-managed systems and workstations to detect and prevent malicious code from impacting our systems. In addition, we have a product security team focused on integrating risk and security best practices into our product development life cycle. Periodically, we are assessed by an independent information systems expert to determine both the adequacy of, and compliance with, controls and standards.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year 2022, we formed a management-led cross-functional steering committee chaired by our Chief Information Security Officer (Cybersecurity Steering Committee). The Cybersecurity Steering Committee is charged with overseeing security governance, promoting and supporting cyber security best practices, reviewing and prioritizing cyber risks, monitoring potential cyber incidents, and establishing key mitigation initiatives. During fiscal year 2023, the Cybersecurity Steering Committee refreshed its charter to more clearly define these responsibilities. Any relevant findings of this committee are shared in quarterly reports to the Audit Committee and annual reports to the Board of Directors.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Three of our director nominees have cybersecurity expertise to assist the Board of Directors in its oversight of ADI’s information security program. In addition, in December 2023, the Audit Committee amended its charter to clarify its role to include oversight of our cybersecurity and information security programs, practices, and risk mitigation efforts. In its oversight role, the Audit Committee receives quarterly updates from our Chief Information Officer and Chief Information Security Officer covering key information technology (IT) projects, enterprise cybersecurity programs, and data protection risks, and mitigation related to such risks. In addition, our Internal Audit leader reports to the Audit Committee regularly on the performance of our cybersecurity and information security program from an internal audit perspective. Further, our Chief Information Officer and Chief Information Security Officer update the full Board of Directors annually on information security matters and risk, including cybersecurity.</w:t>
      </w:r>
    </w:p>
    <w:p>
      <w:pPr>
        <w:sectPr>
          <w:pgSz w:w="11900" w:h="16838" w:orient="portrait"/>
          <w:cols w:equalWidth="0" w:num="1">
            <w:col w:w="11220"/>
          </w:cols>
          <w:pgMar w:left="320" w:top="1214" w:right="359" w:bottom="1440" w:gutter="0" w:footer="0" w:header="0"/>
        </w:sectPr>
      </w:pPr>
    </w:p>
    <w:p>
      <w:pPr>
        <w:spacing w:after="0" w:line="34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7"/>
          <w:szCs w:val="27"/>
          <w:b w:val="1"/>
          <w:bCs w:val="1"/>
          <w:color w:val="0067B3"/>
        </w:rPr>
        <w:t>ESG Oversight</w:t>
      </w:r>
    </w:p>
    <w:p>
      <w:pPr>
        <w:spacing w:after="0" w:line="146"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 xml:space="preserve">Our ESG program is led by our CEO, our Leadership Team, and appointed roles exclusively dedicated to ESG matters. Our head of ESG and sustainability is a key member of our CEO Strategy Office to ensure our ESG programs and principles are </w:t>
      </w:r>
      <w:r>
        <w:rPr>
          <w:rFonts w:ascii="Arial" w:cs="Arial" w:eastAsia="Arial" w:hAnsi="Arial"/>
          <w:sz w:val="17"/>
          <w:szCs w:val="17"/>
          <w:color w:val="auto"/>
        </w:rPr>
        <w:t>deeply embedded in our</w:t>
      </w:r>
      <w:r>
        <w:rPr>
          <w:rFonts w:ascii="Arial" w:cs="Arial" w:eastAsia="Arial" w:hAnsi="Arial"/>
          <w:sz w:val="18"/>
          <w:szCs w:val="18"/>
          <w:color w:val="auto"/>
        </w:rPr>
        <w:t xml:space="preserve"> </w:t>
      </w:r>
      <w:r>
        <w:rPr>
          <w:rFonts w:ascii="Arial" w:cs="Arial" w:eastAsia="Arial" w:hAnsi="Arial"/>
          <w:sz w:val="17"/>
          <w:szCs w:val="17"/>
          <w:color w:val="auto"/>
        </w:rPr>
        <w:t>business strategy. Management regularly reports to the full Board of Directors on ESG topics, providing updates on key metrics and progress. These ESG updates are intended to keep our Board of Directors abreast of the quickly changing ESG regulatory environment, as well as evolving practices, risk oversight, mitigation strategies, and other relevant ESG topics, including environmental sustainability risks and opportunities, salient human rights risks, and emerging issues such as ethical AI. Our ESG council—comprised of in-house subject matter experts, including Human Resources, Procurement, Environment, Health and Safety, Legal, Risk, and Compliance and Ethics—meets regularly and shares updates, which are shared with the Leadership Team and the Nominating and Corporate Governance Committee on a quarterly basis. These updates highlight program advancements, regulatory updates, and risks.</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Nominating and Corporate Governance Committee oversees ADI’s ESG policies, goals, and programs, reviews our sustainability initiatives and goals, and evaluates our progress towards achieving those initiatives and goals. The Nominating and Corporate Governance Committee receives quarterly updates on our progress against stated targets, as well as updates on topics such as stakeholder value, risks and opportunities, regulatory preparedness, ESG ratings, and key ESG focus areas.</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Human Capital Management Oversight</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Our Compensation and Talent Committee is responsible for oversight for ADI’s enterprise-level strategies and programs relating to human capital management and diversity. ADI’s approach to human capital management is wide-reaching and encompasses many facets of our business, including those with respect to diversity, equity, and inclusion, talent recruitment and development, retention, employee engagement, pay equity practices, workplace health and safety, and cultural initiatives. Our Chief People Officer provides regular updates to our Compensation and Talent Committee and the Board of Directors regarding human capital initiatives, risks, and mitigation efforts related to identified risks. For more information regarding our human capital management, see the </w:t>
      </w:r>
      <w:r>
        <w:rPr>
          <w:rFonts w:ascii="Arial" w:cs="Arial" w:eastAsia="Arial" w:hAnsi="Arial"/>
          <w:sz w:val="17"/>
          <w:szCs w:val="17"/>
          <w:i w:val="1"/>
          <w:iCs w:val="1"/>
          <w:color w:val="auto"/>
        </w:rPr>
        <w:t>People and Culture</w:t>
      </w:r>
      <w:r>
        <w:rPr>
          <w:rFonts w:ascii="Arial" w:cs="Arial" w:eastAsia="Arial" w:hAnsi="Arial"/>
          <w:sz w:val="17"/>
          <w:szCs w:val="17"/>
          <w:color w:val="auto"/>
        </w:rPr>
        <w:t xml:space="preserve"> section of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Succession Planning</w:t>
      </w:r>
    </w:p>
    <w:p>
      <w:pPr>
        <w:spacing w:after="0" w:line="14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reflected in our Corporate Governance Guidelines, one of our Board of Directors’ primary responsibilities includes reviewing Leadership Team succession plans. The Board of Directors is responsible for evaluating potential successors to the CEO and, based on recommendations from the CEO, other members of the Leadership Team.</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Succession planning is discussed regularly in Board of Directors and Compensation and Talent Committee executive sessions. On an annual basis, management prepares an analysis regarding skills, competencies, and readiness of potential succession candidates across Leadership Team positions. This analysis is presented to the Board of Directors, and the Board of Directors then engages in robust discussions regarding the skills, competencies, and readiness levels of succession candidates. The discussion also includes a review of contingency plans in the event the CEO is unable to serve for any reason (including death or disability).</w:t>
      </w:r>
    </w:p>
    <w:p>
      <w:pPr>
        <w:spacing w:after="0" w:line="71"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The Compensation and Talent Committee periodically reviews our strategies and programs related to succession planning and talent development, which includes transitional leadership planning in the event of an unplanned vacancy for any Leadership Team role. The Compensation and Talent Committee is also updated regularly throughout the year on key talent indicators for the overall workforce.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36</w:t>
      </w:r>
    </w:p>
    <w:p>
      <w:pPr>
        <w:ind w:left="48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48" w:name="page49"/>
    <w:bookmarkEnd w:id="48"/>
    <w:p>
      <w:pPr>
        <w:spacing w:after="0"/>
        <w:rPr>
          <w:sz w:val="20"/>
          <w:szCs w:val="20"/>
          <w:color w:val="auto"/>
        </w:rPr>
      </w:pPr>
      <w:r>
        <w:rPr>
          <w:rFonts w:ascii="Arial" w:cs="Arial" w:eastAsia="Arial" w:hAnsi="Arial"/>
          <w:sz w:val="27"/>
          <w:szCs w:val="27"/>
          <w:b w:val="1"/>
          <w:bCs w:val="1"/>
          <w:color w:val="0067B3"/>
        </w:rPr>
        <w:t>Shareholder Engagement</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investor relations, legal and human resources departments.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6995160" cy="1946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94627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960"/>
        <w:spacing w:after="0"/>
        <w:tabs>
          <w:tab w:leader="none" w:pos="3020"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387" w:lineRule="exact"/>
        <w:rPr>
          <w:sz w:val="20"/>
          <w:szCs w:val="20"/>
          <w:color w:val="auto"/>
        </w:rPr>
      </w:pPr>
    </w:p>
    <w:p>
      <w:pPr>
        <w:ind w:left="600" w:right="740" w:hanging="196"/>
        <w:spacing w:after="0" w:line="281" w:lineRule="auto"/>
        <w:tabs>
          <w:tab w:leader="none" w:pos="557" w:val="left"/>
        </w:tabs>
        <w:numPr>
          <w:ilvl w:val="0"/>
          <w:numId w:val="60"/>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1" w:lineRule="exact"/>
        <w:rPr>
          <w:rFonts w:ascii="Arial" w:cs="Arial" w:eastAsia="Arial" w:hAnsi="Arial"/>
          <w:sz w:val="13"/>
          <w:szCs w:val="13"/>
          <w:color w:val="0067B3"/>
        </w:rPr>
      </w:pPr>
    </w:p>
    <w:p>
      <w:pPr>
        <w:ind w:left="600" w:hanging="196"/>
        <w:spacing w:after="0" w:line="262" w:lineRule="auto"/>
        <w:tabs>
          <w:tab w:leader="none" w:pos="557" w:val="left"/>
        </w:tabs>
        <w:numPr>
          <w:ilvl w:val="0"/>
          <w:numId w:val="60"/>
        </w:numPr>
        <w:rPr>
          <w:rFonts w:ascii="Arial" w:cs="Arial" w:eastAsia="Arial" w:hAnsi="Arial"/>
          <w:sz w:val="13"/>
          <w:szCs w:val="13"/>
          <w:color w:val="0067B3"/>
        </w:rPr>
      </w:pPr>
      <w:r>
        <w:rPr>
          <w:rFonts w:ascii="Arial" w:cs="Arial" w:eastAsia="Arial" w:hAnsi="Arial"/>
          <w:sz w:val="18"/>
          <w:szCs w:val="18"/>
          <w:color w:val="auto"/>
        </w:rPr>
        <w:t>Conduct active outreach with top investors to discuss items to be considered at the annual meeting, if needed, given matters to be considered</w:t>
      </w:r>
    </w:p>
    <w:p>
      <w:pPr>
        <w:spacing w:after="0" w:line="14" w:lineRule="exact"/>
        <w:rPr>
          <w:rFonts w:ascii="Arial" w:cs="Arial" w:eastAsia="Arial" w:hAnsi="Arial"/>
          <w:sz w:val="13"/>
          <w:szCs w:val="13"/>
          <w:color w:val="0067B3"/>
        </w:rPr>
      </w:pPr>
    </w:p>
    <w:p>
      <w:pPr>
        <w:ind w:left="560" w:hanging="156"/>
        <w:spacing w:after="0"/>
        <w:tabs>
          <w:tab w:leader="none" w:pos="560" w:val="left"/>
        </w:tabs>
        <w:numPr>
          <w:ilvl w:val="0"/>
          <w:numId w:val="60"/>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67"/>
        <w:spacing w:after="0"/>
        <w:rPr>
          <w:sz w:val="20"/>
          <w:szCs w:val="20"/>
          <w:color w:val="auto"/>
        </w:rPr>
      </w:pPr>
      <w:r>
        <w:rPr>
          <w:rFonts w:ascii="Arial" w:cs="Arial" w:eastAsia="Arial" w:hAnsi="Arial"/>
          <w:sz w:val="18"/>
          <w:szCs w:val="18"/>
          <w:b w:val="1"/>
          <w:bCs w:val="1"/>
          <w:color w:val="auto"/>
        </w:rPr>
        <w:t>Summer</w:t>
      </w:r>
    </w:p>
    <w:p>
      <w:pPr>
        <w:spacing w:after="0" w:line="387" w:lineRule="exact"/>
        <w:rPr>
          <w:sz w:val="20"/>
          <w:szCs w:val="20"/>
          <w:color w:val="auto"/>
        </w:rPr>
      </w:pPr>
    </w:p>
    <w:p>
      <w:pPr>
        <w:ind w:left="187" w:right="140" w:hanging="187"/>
        <w:spacing w:after="0" w:line="257" w:lineRule="auto"/>
        <w:tabs>
          <w:tab w:leader="none" w:pos="144" w:val="left"/>
        </w:tabs>
        <w:numPr>
          <w:ilvl w:val="0"/>
          <w:numId w:val="61"/>
        </w:numPr>
        <w:rPr>
          <w:rFonts w:ascii="Arial" w:cs="Arial" w:eastAsia="Arial" w:hAnsi="Arial"/>
          <w:sz w:val="13"/>
          <w:szCs w:val="13"/>
          <w:color w:val="0067B3"/>
        </w:rPr>
      </w:pPr>
      <w:r>
        <w:rPr>
          <w:rFonts w:ascii="Arial" w:cs="Arial" w:eastAsia="Arial" w:hAnsi="Arial"/>
          <w:sz w:val="18"/>
          <w:szCs w:val="18"/>
          <w:color w:val="auto"/>
        </w:rPr>
        <w:t>Evaluate proxy season outcome and trends, corporate governance best practices, and</w:t>
      </w:r>
    </w:p>
    <w:p>
      <w:pPr>
        <w:spacing w:after="0" w:line="1" w:lineRule="exact"/>
        <w:rPr>
          <w:rFonts w:ascii="Arial" w:cs="Arial" w:eastAsia="Arial" w:hAnsi="Arial"/>
          <w:sz w:val="13"/>
          <w:szCs w:val="13"/>
          <w:color w:val="0067B3"/>
        </w:rPr>
      </w:pPr>
    </w:p>
    <w:p>
      <w:pPr>
        <w:ind w:left="187"/>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45" w:lineRule="exact"/>
        <w:rPr>
          <w:rFonts w:ascii="Arial" w:cs="Arial" w:eastAsia="Arial" w:hAnsi="Arial"/>
          <w:sz w:val="13"/>
          <w:szCs w:val="13"/>
          <w:color w:val="0067B3"/>
        </w:rPr>
      </w:pPr>
    </w:p>
    <w:p>
      <w:pPr>
        <w:ind w:left="187" w:hanging="187"/>
        <w:spacing w:after="0" w:line="262" w:lineRule="auto"/>
        <w:tabs>
          <w:tab w:leader="none" w:pos="144" w:val="left"/>
        </w:tabs>
        <w:numPr>
          <w:ilvl w:val="0"/>
          <w:numId w:val="61"/>
        </w:numPr>
        <w:rPr>
          <w:rFonts w:ascii="Arial" w:cs="Arial" w:eastAsia="Arial" w:hAnsi="Arial"/>
          <w:sz w:val="13"/>
          <w:szCs w:val="13"/>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304165</wp:posOffset>
            </wp:positionV>
            <wp:extent cx="7132320" cy="3686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72"/>
        <w:spacing w:after="0"/>
        <w:rPr>
          <w:sz w:val="20"/>
          <w:szCs w:val="20"/>
          <w:color w:val="auto"/>
        </w:rPr>
      </w:pPr>
      <w:r>
        <w:rPr>
          <w:rFonts w:ascii="Arial" w:cs="Arial" w:eastAsia="Arial" w:hAnsi="Arial"/>
          <w:sz w:val="18"/>
          <w:szCs w:val="18"/>
          <w:b w:val="1"/>
          <w:bCs w:val="1"/>
          <w:color w:val="auto"/>
        </w:rPr>
        <w:t>Fall</w:t>
      </w:r>
    </w:p>
    <w:p>
      <w:pPr>
        <w:spacing w:after="0" w:line="387" w:lineRule="exact"/>
        <w:rPr>
          <w:sz w:val="20"/>
          <w:szCs w:val="20"/>
          <w:color w:val="auto"/>
        </w:rPr>
      </w:pPr>
    </w:p>
    <w:p>
      <w:pPr>
        <w:ind w:left="192" w:right="480" w:hanging="192"/>
        <w:spacing w:after="0" w:line="259" w:lineRule="auto"/>
        <w:tabs>
          <w:tab w:leader="none" w:pos="149" w:val="left"/>
        </w:tabs>
        <w:numPr>
          <w:ilvl w:val="0"/>
          <w:numId w:val="62"/>
        </w:numPr>
        <w:rPr>
          <w:rFonts w:ascii="Arial" w:cs="Arial" w:eastAsia="Arial" w:hAnsi="Arial"/>
          <w:sz w:val="13"/>
          <w:szCs w:val="13"/>
          <w:color w:val="0067B3"/>
        </w:rPr>
      </w:pPr>
      <w:r>
        <w:rPr>
          <w:rFonts w:ascii="Arial" w:cs="Arial" w:eastAsia="Arial" w:hAnsi="Arial"/>
          <w:sz w:val="18"/>
          <w:szCs w:val="18"/>
          <w:color w:val="auto"/>
        </w:rPr>
        <w:t>Conduct active outreach with top investors to understand their top priorities and solicit feedback on governance topics, including ESG and compensation</w:t>
      </w:r>
    </w:p>
    <w:p>
      <w:pPr>
        <w:spacing w:after="0" w:line="17" w:lineRule="exact"/>
        <w:rPr>
          <w:rFonts w:ascii="Arial" w:cs="Arial" w:eastAsia="Arial" w:hAnsi="Arial"/>
          <w:sz w:val="13"/>
          <w:szCs w:val="13"/>
          <w:color w:val="0067B3"/>
        </w:rPr>
      </w:pPr>
    </w:p>
    <w:p>
      <w:pPr>
        <w:ind w:left="192" w:right="600" w:hanging="192"/>
        <w:spacing w:after="0" w:line="287" w:lineRule="auto"/>
        <w:tabs>
          <w:tab w:leader="none" w:pos="149" w:val="left"/>
        </w:tabs>
        <w:numPr>
          <w:ilvl w:val="0"/>
          <w:numId w:val="62"/>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392" w:lineRule="exact"/>
        <w:rPr>
          <w:sz w:val="20"/>
          <w:szCs w:val="20"/>
          <w:color w:val="auto"/>
        </w:rPr>
      </w:pPr>
    </w:p>
    <w:p>
      <w:pPr>
        <w:sectPr>
          <w:pgSz w:w="11900" w:h="16838" w:orient="portrait"/>
          <w:cols w:equalWidth="0" w:num="3">
            <w:col w:w="3940" w:space="533"/>
            <w:col w:w="3027" w:space="348"/>
            <w:col w:w="3372"/>
          </w:cols>
          <w:pgMar w:left="320" w:top="12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20"/>
        <w:spacing w:after="0" w:line="262" w:lineRule="auto"/>
        <w:rPr>
          <w:sz w:val="20"/>
          <w:szCs w:val="20"/>
          <w:color w:val="auto"/>
        </w:rPr>
      </w:pPr>
      <w:r>
        <w:rPr>
          <w:rFonts w:ascii="Arial" w:cs="Arial" w:eastAsia="Arial" w:hAnsi="Arial"/>
          <w:sz w:val="18"/>
          <w:szCs w:val="18"/>
          <w:color w:val="auto"/>
        </w:rPr>
        <w:t>During fiscal year 2023, as part of our annual outreach program, we reached out to shareholders that collectively represented approximately 48% of our total shares outstanding and proxy advisory firms, with an invitation to have discussions with their corporate governance teams.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20" w:right="460"/>
        <w:spacing w:after="0" w:line="268" w:lineRule="auto"/>
        <w:rPr>
          <w:sz w:val="20"/>
          <w:szCs w:val="20"/>
          <w:color w:val="auto"/>
        </w:rPr>
      </w:pPr>
      <w:r>
        <w:rPr>
          <w:rFonts w:ascii="Arial" w:cs="Arial" w:eastAsia="Arial" w:hAnsi="Arial"/>
          <w:sz w:val="18"/>
          <w:szCs w:val="18"/>
          <w:color w:val="auto"/>
        </w:rPr>
        <w:t>Shareholders representing approximately 33% of our total shares outstanding (up from approximately 30% in fiscal year 2022) and proxy advisory firms accepted our engagement invitation.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20" w:right="380"/>
        <w:spacing w:after="0" w:line="268" w:lineRule="auto"/>
        <w:rPr>
          <w:sz w:val="20"/>
          <w:szCs w:val="20"/>
          <w:color w:val="auto"/>
        </w:rPr>
      </w:pPr>
      <w:r>
        <w:rPr>
          <w:rFonts w:ascii="Arial" w:cs="Arial" w:eastAsia="Arial" w:hAnsi="Arial"/>
          <w:sz w:val="18"/>
          <w:szCs w:val="18"/>
          <w:color w:val="auto"/>
        </w:rPr>
        <w:t>The Chair of our Compensation and Talent Committee participated in meetings with shareholders representing approximately 22% of our total shares outstanding and in meetings with proxy advisory firms.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right="160"/>
        <w:spacing w:after="0" w:line="287" w:lineRule="auto"/>
        <w:rPr>
          <w:sz w:val="20"/>
          <w:szCs w:val="20"/>
          <w:color w:val="auto"/>
        </w:rPr>
      </w:pPr>
      <w:r>
        <w:rPr>
          <w:rFonts w:ascii="Arial" w:cs="Arial" w:eastAsia="Arial" w:hAnsi="Arial"/>
          <w:sz w:val="18"/>
          <w:szCs w:val="18"/>
          <w:color w:val="auto"/>
        </w:rPr>
        <w:t>These meetings included members of our legal, ESG, compensation, diversity, equity, and inclusion, and investor relations organizations.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WHAT WE DISCUSSED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Topics covered in these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meetings included:</w:t>
      </w:r>
    </w:p>
    <w:p>
      <w:pPr>
        <w:spacing w:after="0" w:line="99" w:lineRule="exact"/>
        <w:rPr>
          <w:sz w:val="20"/>
          <w:szCs w:val="20"/>
          <w:color w:val="auto"/>
        </w:rPr>
      </w:pPr>
    </w:p>
    <w:p>
      <w:pPr>
        <w:ind w:left="200" w:right="1040" w:hanging="194"/>
        <w:spacing w:after="0" w:line="287" w:lineRule="auto"/>
        <w:tabs>
          <w:tab w:leader="none" w:pos="157" w:val="left"/>
        </w:tabs>
        <w:numPr>
          <w:ilvl w:val="0"/>
          <w:numId w:val="63"/>
        </w:numPr>
        <w:rPr>
          <w:rFonts w:ascii="Arial" w:cs="Arial" w:eastAsia="Arial" w:hAnsi="Arial"/>
          <w:sz w:val="13"/>
          <w:szCs w:val="13"/>
          <w:color w:val="0067B3"/>
        </w:rPr>
      </w:pPr>
      <w:r>
        <w:rPr>
          <w:rFonts w:ascii="Arial" w:cs="Arial" w:eastAsia="Arial" w:hAnsi="Arial"/>
          <w:sz w:val="18"/>
          <w:szCs w:val="18"/>
          <w:color w:val="auto"/>
        </w:rPr>
        <w:t>Executive compensation, including equity awards</w:t>
      </w:r>
    </w:p>
    <w:p>
      <w:pPr>
        <w:spacing w:after="0" w:line="4" w:lineRule="exact"/>
        <w:rPr>
          <w:rFonts w:ascii="Arial" w:cs="Arial" w:eastAsia="Arial" w:hAnsi="Arial"/>
          <w:sz w:val="13"/>
          <w:szCs w:val="13"/>
          <w:color w:val="0067B3"/>
        </w:rPr>
      </w:pPr>
    </w:p>
    <w:p>
      <w:pPr>
        <w:ind w:left="200" w:right="560" w:hanging="194"/>
        <w:spacing w:after="0" w:line="268" w:lineRule="auto"/>
        <w:tabs>
          <w:tab w:leader="none" w:pos="157" w:val="left"/>
        </w:tabs>
        <w:numPr>
          <w:ilvl w:val="0"/>
          <w:numId w:val="63"/>
        </w:numPr>
        <w:rPr>
          <w:rFonts w:ascii="Arial" w:cs="Arial" w:eastAsia="Arial" w:hAnsi="Arial"/>
          <w:sz w:val="13"/>
          <w:szCs w:val="13"/>
          <w:color w:val="0067B3"/>
        </w:rPr>
      </w:pPr>
      <w:r>
        <w:rPr>
          <w:rFonts w:ascii="Arial" w:cs="Arial" w:eastAsia="Arial" w:hAnsi="Arial"/>
          <w:sz w:val="18"/>
          <w:szCs w:val="18"/>
          <w:color w:val="auto"/>
        </w:rPr>
        <w:t>Corporate governance matters, including Board structure and refreshment</w:t>
      </w:r>
    </w:p>
    <w:p>
      <w:pPr>
        <w:spacing w:after="0" w:line="35" w:lineRule="exact"/>
        <w:rPr>
          <w:rFonts w:ascii="Arial" w:cs="Arial" w:eastAsia="Arial" w:hAnsi="Arial"/>
          <w:sz w:val="13"/>
          <w:szCs w:val="13"/>
          <w:color w:val="0067B3"/>
        </w:rPr>
      </w:pPr>
    </w:p>
    <w:p>
      <w:pPr>
        <w:ind w:left="200" w:right="420" w:hanging="194"/>
        <w:spacing w:after="0" w:line="253" w:lineRule="auto"/>
        <w:tabs>
          <w:tab w:leader="none" w:pos="157" w:val="left"/>
        </w:tabs>
        <w:numPr>
          <w:ilvl w:val="0"/>
          <w:numId w:val="63"/>
        </w:numPr>
        <w:rPr>
          <w:rFonts w:ascii="Arial" w:cs="Arial" w:eastAsia="Arial" w:hAnsi="Arial"/>
          <w:sz w:val="13"/>
          <w:szCs w:val="13"/>
          <w:color w:val="0067B3"/>
        </w:rPr>
      </w:pPr>
      <w:r>
        <w:rPr>
          <w:rFonts w:ascii="Arial" w:cs="Arial" w:eastAsia="Arial" w:hAnsi="Arial"/>
          <w:sz w:val="18"/>
          <w:szCs w:val="18"/>
          <w:color w:val="auto"/>
        </w:rPr>
        <w:t>Other ESG topics, including resiliency, climate, value chain management, human rights, risk management, sustainability programs, diversity, equity, and inclusion, and human</w:t>
      </w:r>
    </w:p>
    <w:p>
      <w:pPr>
        <w:spacing w:after="0" w:line="4"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auto"/>
        </w:rPr>
        <w:t>capital management</w:t>
      </w:r>
    </w:p>
    <w:p>
      <w:pPr>
        <w:spacing w:after="0" w:line="1982" w:lineRule="exact"/>
        <w:rPr>
          <w:sz w:val="20"/>
          <w:szCs w:val="20"/>
          <w:color w:val="auto"/>
        </w:rPr>
      </w:pPr>
    </w:p>
    <w:p>
      <w:pPr>
        <w:sectPr>
          <w:pgSz w:w="11900" w:h="16838" w:orient="portrait"/>
          <w:cols w:equalWidth="0" w:num="2">
            <w:col w:w="7420" w:space="600"/>
            <w:col w:w="3200"/>
          </w:cols>
          <w:pgMar w:left="320" w:top="1271" w:right="35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type w:val="continuous"/>
        </w:sectPr>
      </w:pPr>
    </w:p>
    <w:bookmarkStart w:id="49" w:name="page50"/>
    <w:bookmarkEnd w:id="49"/>
    <w:p>
      <w:pPr>
        <w:ind w:right="20"/>
        <w:spacing w:after="0" w:line="262" w:lineRule="auto"/>
        <w:rPr>
          <w:sz w:val="20"/>
          <w:szCs w:val="20"/>
          <w:color w:val="auto"/>
        </w:rPr>
      </w:pPr>
      <w:r>
        <w:rPr>
          <w:rFonts w:ascii="Arial" w:cs="Arial" w:eastAsia="Arial" w:hAnsi="Arial"/>
          <w:sz w:val="18"/>
          <w:szCs w:val="18"/>
          <w:color w:val="auto"/>
        </w:rPr>
        <w:t>We reviewed the key takeaways from these meetings with our Board of Directors, with the goal of continuing to evolve our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 For example: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66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WHAT WE HEARD</w:t>
            </w:r>
          </w:p>
        </w:tc>
        <w:tc>
          <w:tcPr>
            <w:tcW w:w="2360" w:type="dxa"/>
            <w:vAlign w:val="bottom"/>
            <w:tcBorders>
              <w:bottom w:val="single" w:sz="8" w:color="0067B3"/>
            </w:tcBorders>
          </w:tcPr>
          <w:p>
            <w:pPr>
              <w:spacing w:after="0"/>
              <w:rPr>
                <w:sz w:val="23"/>
                <w:szCs w:val="23"/>
                <w:color w:val="auto"/>
              </w:rPr>
            </w:pPr>
          </w:p>
        </w:tc>
        <w:tc>
          <w:tcPr>
            <w:tcW w:w="6220" w:type="dxa"/>
            <w:vAlign w:val="bottom"/>
            <w:tcBorders>
              <w:bottom w:val="single" w:sz="8" w:color="0067B3"/>
            </w:tcBorders>
          </w:tcPr>
          <w:p>
            <w:pPr>
              <w:ind w:left="1520"/>
              <w:spacing w:after="0"/>
              <w:rPr>
                <w:sz w:val="20"/>
                <w:szCs w:val="20"/>
                <w:color w:val="auto"/>
              </w:rPr>
            </w:pPr>
            <w:r>
              <w:rPr>
                <w:rFonts w:ascii="Arial" w:cs="Arial" w:eastAsia="Arial" w:hAnsi="Arial"/>
                <w:sz w:val="18"/>
                <w:szCs w:val="18"/>
                <w:b w:val="1"/>
                <w:bCs w:val="1"/>
                <w:color w:val="0067B3"/>
              </w:rPr>
              <w:t>WHAT WE DID</w:t>
            </w:r>
          </w:p>
        </w:tc>
        <w:tc>
          <w:tcPr>
            <w:tcW w:w="0" w:type="dxa"/>
            <w:vAlign w:val="bottom"/>
          </w:tcPr>
          <w:p>
            <w:pPr>
              <w:spacing w:after="0"/>
              <w:rPr>
                <w:sz w:val="1"/>
                <w:szCs w:val="1"/>
                <w:color w:val="auto"/>
              </w:rPr>
            </w:pPr>
          </w:p>
        </w:tc>
      </w:tr>
      <w:tr>
        <w:trPr>
          <w:trHeight w:val="23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2360" w:type="dxa"/>
            <w:vAlign w:val="bottom"/>
          </w:tcPr>
          <w:p>
            <w:pPr>
              <w:ind w:left="100"/>
              <w:spacing w:after="0"/>
              <w:rPr>
                <w:sz w:val="20"/>
                <w:szCs w:val="20"/>
                <w:color w:val="auto"/>
              </w:rPr>
            </w:pPr>
            <w:r>
              <w:rPr>
                <w:rFonts w:ascii="Arial" w:cs="Arial" w:eastAsia="Arial" w:hAnsi="Arial"/>
                <w:sz w:val="16"/>
                <w:szCs w:val="16"/>
                <w:b w:val="1"/>
                <w:bCs w:val="1"/>
                <w:color w:val="auto"/>
              </w:rPr>
              <w:t>Feedback</w:t>
            </w:r>
          </w:p>
        </w:tc>
        <w:tc>
          <w:tcPr>
            <w:tcW w:w="6220" w:type="dxa"/>
            <w:vAlign w:val="bottom"/>
            <w:vMerge w:val="restart"/>
          </w:tcPr>
          <w:p>
            <w:pPr>
              <w:ind w:left="1560"/>
              <w:spacing w:after="0"/>
              <w:rPr>
                <w:sz w:val="20"/>
                <w:szCs w:val="20"/>
                <w:color w:val="auto"/>
              </w:rPr>
            </w:pPr>
            <w:r>
              <w:rPr>
                <w:rFonts w:ascii="Arial" w:cs="Arial" w:eastAsia="Arial" w:hAnsi="Arial"/>
                <w:sz w:val="16"/>
                <w:szCs w:val="16"/>
                <w:b w:val="1"/>
                <w:bCs w:val="1"/>
                <w:color w:val="auto"/>
              </w:rPr>
              <w:t>Approach for Fiscal Year 2023 and Beyond</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60" w:type="dxa"/>
            <w:vAlign w:val="bottom"/>
            <w:tcBorders>
              <w:bottom w:val="single" w:sz="8" w:color="0067B3"/>
            </w:tcBorders>
          </w:tcPr>
          <w:p>
            <w:pPr>
              <w:spacing w:after="0"/>
              <w:rPr>
                <w:sz w:val="12"/>
                <w:szCs w:val="12"/>
                <w:color w:val="auto"/>
              </w:rPr>
            </w:pPr>
          </w:p>
        </w:tc>
        <w:tc>
          <w:tcPr>
            <w:tcW w:w="2360" w:type="dxa"/>
            <w:vAlign w:val="bottom"/>
            <w:tcBorders>
              <w:bottom w:val="single" w:sz="8" w:color="0067B3"/>
            </w:tcBorders>
          </w:tcPr>
          <w:p>
            <w:pPr>
              <w:spacing w:after="0"/>
              <w:rPr>
                <w:sz w:val="12"/>
                <w:szCs w:val="12"/>
                <w:color w:val="auto"/>
              </w:rPr>
            </w:pPr>
          </w:p>
        </w:tc>
        <w:tc>
          <w:tcPr>
            <w:tcW w:w="6220" w:type="dxa"/>
            <w:vAlign w:val="bottom"/>
            <w:tcBorders>
              <w:bottom w:val="single" w:sz="8" w:color="0067B3"/>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236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-495300</wp:posOffset>
            </wp:positionV>
            <wp:extent cx="3094355" cy="6129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94355" cy="612902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p>
      <w:pPr>
        <w:spacing w:after="0" w:line="185"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i w:val="1"/>
          <w:iCs w:val="1"/>
          <w:color w:val="auto"/>
        </w:rPr>
        <w:t>Design of Program Generally</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Shareholders were generally pleased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with the overall design and framework of</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our executive compensation program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and recommended that we continue to</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tie compensation to challenging</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performance goals.</w:t>
      </w:r>
    </w:p>
    <w:p>
      <w:pPr>
        <w:spacing w:after="0" w:line="99" w:lineRule="exact"/>
        <w:rPr>
          <w:sz w:val="20"/>
          <w:szCs w:val="20"/>
          <w:color w:val="auto"/>
        </w:rPr>
      </w:pPr>
    </w:p>
    <w:p>
      <w:pPr>
        <w:ind w:left="2960" w:right="400" w:hanging="194"/>
        <w:spacing w:after="0" w:line="262" w:lineRule="auto"/>
        <w:tabs>
          <w:tab w:leader="none" w:pos="2917" w:val="left"/>
        </w:tabs>
        <w:numPr>
          <w:ilvl w:val="0"/>
          <w:numId w:val="64"/>
        </w:numPr>
        <w:rPr>
          <w:rFonts w:ascii="Arial" w:cs="Arial" w:eastAsia="Arial" w:hAnsi="Arial"/>
          <w:sz w:val="13"/>
          <w:szCs w:val="13"/>
          <w:color w:val="0067B3"/>
        </w:rPr>
      </w:pPr>
      <w:r>
        <w:rPr>
          <w:rFonts w:ascii="Arial" w:cs="Arial" w:eastAsia="Arial" w:hAnsi="Arial"/>
          <w:sz w:val="18"/>
          <w:szCs w:val="18"/>
          <w:color w:val="auto"/>
        </w:rPr>
        <w:t>Shareholders noted that they prefer compensation programs in which the majority of compensation is tied to performance.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86" w:right="1160" w:hanging="186"/>
        <w:spacing w:after="0" w:line="268" w:lineRule="auto"/>
        <w:tabs>
          <w:tab w:leader="none" w:pos="143"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Did not make significant changes to overall design and framework of our executive compensation program.</w:t>
      </w:r>
    </w:p>
    <w:p>
      <w:pPr>
        <w:spacing w:after="0" w:line="62" w:lineRule="exact"/>
        <w:rPr>
          <w:rFonts w:ascii="Arial" w:cs="Arial" w:eastAsia="Arial" w:hAnsi="Arial"/>
          <w:sz w:val="13"/>
          <w:szCs w:val="13"/>
          <w:color w:val="0067B3"/>
        </w:rPr>
      </w:pPr>
    </w:p>
    <w:p>
      <w:pPr>
        <w:ind w:left="186" w:right="500" w:hanging="186"/>
        <w:spacing w:after="0" w:line="262" w:lineRule="auto"/>
        <w:tabs>
          <w:tab w:leader="none" w:pos="143"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Increased the weighting of our CEO and Chair, Mr. Roche’s, annual long-term incentive compensation that is tied to challenging long-term performance goals to 75%, up from 65% in fiscal year 2022.</w:t>
      </w:r>
    </w:p>
    <w:p>
      <w:pPr>
        <w:spacing w:after="0" w:line="823" w:lineRule="exact"/>
        <w:rPr>
          <w:sz w:val="20"/>
          <w:szCs w:val="20"/>
          <w:color w:val="auto"/>
        </w:rPr>
      </w:pPr>
    </w:p>
    <w:p>
      <w:pPr>
        <w:sectPr>
          <w:pgSz w:w="11900" w:h="16838" w:orient="portrait"/>
          <w:cols w:equalWidth="0" w:num="2">
            <w:col w:w="6180" w:space="334"/>
            <w:col w:w="4726"/>
          </w:cols>
          <w:pgMar w:left="320" w:top="1174"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i w:val="1"/>
                <w:iCs w:val="1"/>
                <w:color w:val="auto"/>
              </w:rPr>
              <w:t>New Hire Award to NEO</w:t>
            </w:r>
          </w:p>
        </w:tc>
        <w:tc>
          <w:tcPr>
            <w:tcW w:w="3820" w:type="dxa"/>
            <w:vAlign w:val="bottom"/>
          </w:tcPr>
          <w:p>
            <w:pPr>
              <w:ind w:left="4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While some shareholders expressed a</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concern with the value of the new hire</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w w:val="99"/>
              </w:rPr>
              <w:t>award granted during fiscal year 2022 to</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one of our NEOs, most shareholders</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w w:val="99"/>
              </w:rPr>
              <w:t>understood the rationale behind the new</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hire award and appreciated the</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disclosure in our 2023 Proxy Statement</w:t>
            </w:r>
          </w:p>
        </w:tc>
      </w:tr>
      <w:tr>
        <w:trPr>
          <w:trHeight w:val="216"/>
        </w:trPr>
        <w:tc>
          <w:tcPr>
            <w:tcW w:w="2340" w:type="dxa"/>
            <w:vAlign w:val="bottom"/>
          </w:tcPr>
          <w:p>
            <w:pPr>
              <w:spacing w:after="0"/>
              <w:rPr>
                <w:sz w:val="18"/>
                <w:szCs w:val="18"/>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and additional supplemental</w:t>
            </w:r>
          </w:p>
        </w:tc>
      </w:tr>
      <w:tr>
        <w:trPr>
          <w:trHeight w:val="239"/>
        </w:trPr>
        <w:tc>
          <w:tcPr>
            <w:tcW w:w="2340" w:type="dxa"/>
            <w:vAlign w:val="bottom"/>
          </w:tcPr>
          <w:p>
            <w:pPr>
              <w:spacing w:after="0"/>
              <w:rPr>
                <w:sz w:val="20"/>
                <w:szCs w:val="20"/>
                <w:color w:val="auto"/>
              </w:rPr>
            </w:pPr>
          </w:p>
        </w:tc>
        <w:tc>
          <w:tcPr>
            <w:tcW w:w="3820" w:type="dxa"/>
            <w:vAlign w:val="bottom"/>
          </w:tcPr>
          <w:p>
            <w:pPr>
              <w:ind w:left="600"/>
              <w:spacing w:after="0"/>
              <w:rPr>
                <w:sz w:val="20"/>
                <w:szCs w:val="20"/>
                <w:color w:val="auto"/>
              </w:rPr>
            </w:pPr>
            <w:r>
              <w:rPr>
                <w:rFonts w:ascii="Arial" w:cs="Arial" w:eastAsia="Arial" w:hAnsi="Arial"/>
                <w:sz w:val="18"/>
                <w:szCs w:val="18"/>
                <w:color w:val="auto"/>
              </w:rPr>
              <w:t>proxy materials.</w:t>
            </w:r>
          </w:p>
        </w:tc>
      </w:tr>
    </w:tbl>
    <w:p>
      <w:pPr>
        <w:spacing w:after="0" w:line="20" w:lineRule="exact"/>
        <w:rPr>
          <w:sz w:val="20"/>
          <w:szCs w:val="20"/>
          <w:color w:val="auto"/>
        </w:rPr>
      </w:pPr>
      <w:r>
        <w:rPr>
          <w:sz w:val="20"/>
          <w:szCs w:val="20"/>
          <w:color w:val="auto"/>
        </w:rPr>
        <w:br w:type="column"/>
      </w:r>
    </w:p>
    <w:p>
      <w:pPr>
        <w:ind w:left="186" w:right="700" w:hanging="186"/>
        <w:spacing w:after="0" w:line="262" w:lineRule="auto"/>
        <w:tabs>
          <w:tab w:leader="none" w:pos="143" w:val="left"/>
        </w:tabs>
        <w:numPr>
          <w:ilvl w:val="0"/>
          <w:numId w:val="66"/>
        </w:numPr>
        <w:rPr>
          <w:rFonts w:ascii="Arial" w:cs="Arial" w:eastAsia="Arial" w:hAnsi="Arial"/>
          <w:sz w:val="13"/>
          <w:szCs w:val="13"/>
          <w:color w:val="0067B3"/>
        </w:rPr>
      </w:pPr>
      <w:r>
        <w:rPr>
          <w:rFonts w:ascii="Arial" w:cs="Arial" w:eastAsia="Arial" w:hAnsi="Arial"/>
          <w:sz w:val="18"/>
          <w:szCs w:val="18"/>
          <w:color w:val="auto"/>
        </w:rPr>
        <w:t>Did not grant any special off cycle awards during fiscal year 2023 and enhanced our disclosure explaining individual executive compensation decisions and rationale in this Proxy Statement.</w:t>
      </w:r>
    </w:p>
    <w:p>
      <w:pPr>
        <w:spacing w:after="0" w:line="68" w:lineRule="exact"/>
        <w:rPr>
          <w:rFonts w:ascii="Arial" w:cs="Arial" w:eastAsia="Arial" w:hAnsi="Arial"/>
          <w:sz w:val="13"/>
          <w:szCs w:val="13"/>
          <w:color w:val="0067B3"/>
        </w:rPr>
      </w:pPr>
    </w:p>
    <w:p>
      <w:pPr>
        <w:ind w:left="186" w:right="480" w:hanging="186"/>
        <w:spacing w:after="0" w:line="259" w:lineRule="auto"/>
        <w:tabs>
          <w:tab w:leader="none" w:pos="143" w:val="left"/>
        </w:tabs>
        <w:numPr>
          <w:ilvl w:val="0"/>
          <w:numId w:val="66"/>
        </w:numPr>
        <w:rPr>
          <w:rFonts w:ascii="Arial" w:cs="Arial" w:eastAsia="Arial" w:hAnsi="Arial"/>
          <w:sz w:val="13"/>
          <w:szCs w:val="13"/>
          <w:color w:val="0067B3"/>
        </w:rPr>
      </w:pPr>
      <w:r>
        <w:rPr>
          <w:rFonts w:ascii="Arial" w:cs="Arial" w:eastAsia="Arial" w:hAnsi="Arial"/>
          <w:sz w:val="18"/>
          <w:szCs w:val="18"/>
          <w:color w:val="auto"/>
        </w:rPr>
        <w:t>To the extent the Compensation and Talent Committee and Board of Directors determine that it is in our best interest to grant similar awards in the future, we will transparently describe the rationale and decision-making process.</w:t>
      </w:r>
    </w:p>
    <w:p>
      <w:pPr>
        <w:spacing w:after="0" w:line="179" w:lineRule="exact"/>
        <w:rPr>
          <w:sz w:val="20"/>
          <w:szCs w:val="20"/>
          <w:color w:val="auto"/>
        </w:rPr>
      </w:pPr>
    </w:p>
    <w:p>
      <w:pPr>
        <w:sectPr>
          <w:pgSz w:w="11900" w:h="16838" w:orient="portrait"/>
          <w:cols w:equalWidth="0" w:num="2">
            <w:col w:w="6180" w:space="334"/>
            <w:col w:w="4726"/>
          </w:cols>
          <w:pgMar w:left="320" w:top="1174"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Design of Equity Awards</w:t>
            </w:r>
          </w:p>
        </w:tc>
        <w:tc>
          <w:tcPr>
            <w:tcW w:w="3920" w:type="dxa"/>
            <w:vAlign w:val="bottom"/>
          </w:tcPr>
          <w:p>
            <w:pPr>
              <w:ind w:left="38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Some shareholders asked why we set</w:t>
            </w:r>
          </w:p>
        </w:tc>
      </w:tr>
      <w:tr>
        <w:trPr>
          <w:trHeight w:val="216"/>
        </w:trPr>
        <w:tc>
          <w:tcPr>
            <w:tcW w:w="236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one-, two-, and three-year cumulative</w:t>
            </w:r>
          </w:p>
        </w:tc>
      </w:tr>
      <w:tr>
        <w:trPr>
          <w:trHeight w:val="216"/>
        </w:trPr>
        <w:tc>
          <w:tcPr>
            <w:tcW w:w="236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targets for our three-year Financial</w:t>
            </w:r>
          </w:p>
        </w:tc>
      </w:tr>
      <w:tr>
        <w:trPr>
          <w:trHeight w:val="239"/>
        </w:trPr>
        <w:tc>
          <w:tcPr>
            <w:tcW w:w="2360" w:type="dxa"/>
            <w:vAlign w:val="bottom"/>
          </w:tcPr>
          <w:p>
            <w:pPr>
              <w:spacing w:after="0"/>
              <w:rPr>
                <w:sz w:val="20"/>
                <w:szCs w:val="20"/>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Metric PRSUs.</w:t>
            </w:r>
          </w:p>
        </w:tc>
      </w:tr>
      <w:tr>
        <w:trPr>
          <w:trHeight w:val="301"/>
        </w:trPr>
        <w:tc>
          <w:tcPr>
            <w:tcW w:w="2360" w:type="dxa"/>
            <w:vAlign w:val="bottom"/>
          </w:tcPr>
          <w:p>
            <w:pPr>
              <w:spacing w:after="0"/>
              <w:rPr>
                <w:sz w:val="24"/>
                <w:szCs w:val="24"/>
                <w:color w:val="auto"/>
              </w:rPr>
            </w:pPr>
          </w:p>
        </w:tc>
        <w:tc>
          <w:tcPr>
            <w:tcW w:w="3920" w:type="dxa"/>
            <w:vAlign w:val="bottom"/>
          </w:tcPr>
          <w:p>
            <w:pPr>
              <w:ind w:left="38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 few shareholders recommended</w:t>
            </w:r>
          </w:p>
        </w:tc>
      </w:tr>
      <w:tr>
        <w:trPr>
          <w:trHeight w:val="216"/>
        </w:trPr>
        <w:tc>
          <w:tcPr>
            <w:tcW w:w="236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w w:val="99"/>
              </w:rPr>
              <w:t>increasing the difficulty of achievement for</w:t>
            </w:r>
          </w:p>
        </w:tc>
      </w:tr>
      <w:tr>
        <w:trPr>
          <w:trHeight w:val="216"/>
        </w:trPr>
        <w:tc>
          <w:tcPr>
            <w:tcW w:w="236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target performance of our Relative TSR</w:t>
            </w:r>
          </w:p>
        </w:tc>
      </w:tr>
      <w:tr>
        <w:trPr>
          <w:trHeight w:val="239"/>
        </w:trPr>
        <w:tc>
          <w:tcPr>
            <w:tcW w:w="2360" w:type="dxa"/>
            <w:vAlign w:val="bottom"/>
          </w:tcPr>
          <w:p>
            <w:pPr>
              <w:spacing w:after="0"/>
              <w:rPr>
                <w:sz w:val="20"/>
                <w:szCs w:val="20"/>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PRSUs.</w:t>
            </w:r>
          </w:p>
        </w:tc>
      </w:tr>
    </w:tbl>
    <w:p>
      <w:pPr>
        <w:spacing w:after="0" w:line="20" w:lineRule="exact"/>
        <w:rPr>
          <w:sz w:val="20"/>
          <w:szCs w:val="20"/>
          <w:color w:val="auto"/>
        </w:rPr>
      </w:pPr>
      <w:r>
        <w:rPr>
          <w:sz w:val="20"/>
          <w:szCs w:val="20"/>
          <w:color w:val="auto"/>
        </w:rPr>
        <w:br w:type="column"/>
      </w:r>
    </w:p>
    <w:p>
      <w:pPr>
        <w:ind w:left="186" w:right="360" w:hanging="186"/>
        <w:spacing w:after="0" w:line="253" w:lineRule="auto"/>
        <w:tabs>
          <w:tab w:leader="none" w:pos="143" w:val="left"/>
        </w:tabs>
        <w:numPr>
          <w:ilvl w:val="0"/>
          <w:numId w:val="67"/>
        </w:numPr>
        <w:rPr>
          <w:rFonts w:ascii="Arial" w:cs="Arial" w:eastAsia="Arial" w:hAnsi="Arial"/>
          <w:sz w:val="13"/>
          <w:szCs w:val="13"/>
          <w:color w:val="0067B3"/>
        </w:rPr>
      </w:pPr>
      <w:r>
        <w:rPr>
          <w:rFonts w:ascii="Arial" w:cs="Arial" w:eastAsia="Arial" w:hAnsi="Arial"/>
          <w:sz w:val="18"/>
          <w:szCs w:val="18"/>
          <w:color w:val="auto"/>
        </w:rPr>
        <w:t>Our compensation programs are designed to support our long-term business objectives. The Financial Metric PRSUs cliff vest after the third year, so the executive will only receive a payout after the cumulative long-term results are determined. The Compensation and Talent Committee believes that setting one-, two-, and three-year cumulative targets provides better line of sight and focus to the participants to achieve our long-term objectives and enables the Compensation and Talent Committee to set meaningful targets that do not quickly become obsolete and lose their incentive characteristics.</w:t>
      </w:r>
    </w:p>
    <w:p>
      <w:pPr>
        <w:spacing w:after="0" w:line="81" w:lineRule="exact"/>
        <w:rPr>
          <w:rFonts w:ascii="Arial" w:cs="Arial" w:eastAsia="Arial" w:hAnsi="Arial"/>
          <w:sz w:val="13"/>
          <w:szCs w:val="13"/>
          <w:color w:val="0067B3"/>
        </w:rPr>
      </w:pPr>
    </w:p>
    <w:p>
      <w:pPr>
        <w:ind w:left="186" w:right="560" w:hanging="186"/>
        <w:spacing w:after="0" w:line="259" w:lineRule="auto"/>
        <w:tabs>
          <w:tab w:leader="none" w:pos="143" w:val="left"/>
        </w:tabs>
        <w:numPr>
          <w:ilvl w:val="0"/>
          <w:numId w:val="67"/>
        </w:numPr>
        <w:rPr>
          <w:rFonts w:ascii="Arial" w:cs="Arial" w:eastAsia="Arial" w:hAnsi="Arial"/>
          <w:sz w:val="13"/>
          <w:szCs w:val="13"/>
          <w:color w:val="0067B3"/>
        </w:rPr>
      </w:pPr>
      <w:r>
        <w:rPr>
          <w:rFonts w:ascii="Arial" w:cs="Arial" w:eastAsia="Arial" w:hAnsi="Arial"/>
          <w:sz w:val="18"/>
          <w:szCs w:val="18"/>
          <w:color w:val="auto"/>
        </w:rPr>
        <w:t>Increased the percentile achievement required for target performance of our Relative TSR PRSUs to the 55th percentile, up from the 50th percentile, beginning with the Relative TSR PRSUs granted in fiscal year 2023.</w:t>
      </w:r>
    </w:p>
    <w:p>
      <w:pPr>
        <w:spacing w:after="0" w:line="200" w:lineRule="exact"/>
        <w:rPr>
          <w:sz w:val="20"/>
          <w:szCs w:val="20"/>
          <w:color w:val="auto"/>
        </w:rPr>
      </w:pPr>
    </w:p>
    <w:p>
      <w:pPr>
        <w:sectPr>
          <w:pgSz w:w="11900" w:h="16838" w:orient="portrait"/>
          <w:cols w:equalWidth="0" w:num="2">
            <w:col w:w="6300" w:space="214"/>
            <w:col w:w="4726"/>
          </w:cols>
          <w:pgMar w:left="320" w:top="1174" w:right="339" w:bottom="1440" w:gutter="0" w:footer="0" w:header="0"/>
          <w:type w:val="continuous"/>
        </w:sect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38</w:t>
      </w:r>
    </w:p>
    <w:p>
      <w:pPr>
        <w:jc w:val="right"/>
        <w:ind w:right="912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69"/>
        </w:trPr>
        <w:tc>
          <w:tcPr>
            <w:tcW w:w="266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WHAT WE HEARD</w:t>
            </w:r>
          </w:p>
        </w:tc>
        <w:tc>
          <w:tcPr>
            <w:tcW w:w="3520" w:type="dxa"/>
            <w:vAlign w:val="bottom"/>
            <w:tcBorders>
              <w:bottom w:val="single" w:sz="8" w:color="0067B3"/>
            </w:tcBorders>
          </w:tcPr>
          <w:p>
            <w:pPr>
              <w:spacing w:after="0"/>
              <w:rPr>
                <w:sz w:val="23"/>
                <w:szCs w:val="23"/>
                <w:color w:val="auto"/>
              </w:rPr>
            </w:pPr>
          </w:p>
        </w:tc>
        <w:tc>
          <w:tcPr>
            <w:tcW w:w="5060" w:type="dxa"/>
            <w:vAlign w:val="bottom"/>
            <w:tcBorders>
              <w:bottom w:val="single" w:sz="8" w:color="0067B3"/>
            </w:tcBorders>
          </w:tcPr>
          <w:p>
            <w:pPr>
              <w:ind w:left="360"/>
              <w:spacing w:after="0"/>
              <w:rPr>
                <w:sz w:val="20"/>
                <w:szCs w:val="20"/>
                <w:color w:val="auto"/>
              </w:rPr>
            </w:pPr>
            <w:r>
              <w:rPr>
                <w:rFonts w:ascii="Arial" w:cs="Arial" w:eastAsia="Arial" w:hAnsi="Arial"/>
                <w:sz w:val="18"/>
                <w:szCs w:val="18"/>
                <w:b w:val="1"/>
                <w:bCs w:val="1"/>
                <w:color w:val="0067B3"/>
              </w:rPr>
              <w:t>WHAT WE DID</w:t>
            </w:r>
          </w:p>
        </w:tc>
        <w:tc>
          <w:tcPr>
            <w:tcW w:w="0" w:type="dxa"/>
            <w:vAlign w:val="bottom"/>
          </w:tcPr>
          <w:p>
            <w:pPr>
              <w:spacing w:after="0"/>
              <w:rPr>
                <w:sz w:val="1"/>
                <w:szCs w:val="1"/>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3520" w:type="dxa"/>
            <w:vAlign w:val="bottom"/>
          </w:tcPr>
          <w:p>
            <w:pPr>
              <w:jc w:val="right"/>
              <w:ind w:right="2582"/>
              <w:spacing w:after="0"/>
              <w:rPr>
                <w:sz w:val="20"/>
                <w:szCs w:val="20"/>
                <w:color w:val="auto"/>
              </w:rPr>
            </w:pPr>
            <w:r>
              <w:rPr>
                <w:rFonts w:ascii="Arial" w:cs="Arial" w:eastAsia="Arial" w:hAnsi="Arial"/>
                <w:sz w:val="16"/>
                <w:szCs w:val="16"/>
                <w:b w:val="1"/>
                <w:bCs w:val="1"/>
                <w:color w:val="auto"/>
              </w:rPr>
              <w:t>Feedback</w:t>
            </w:r>
          </w:p>
        </w:tc>
        <w:tc>
          <w:tcPr>
            <w:tcW w:w="50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Approach for Fiscal Year 2023 and Beyond</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60" w:type="dxa"/>
            <w:vAlign w:val="bottom"/>
            <w:tcBorders>
              <w:bottom w:val="single" w:sz="8" w:color="0067B3"/>
            </w:tcBorders>
          </w:tcPr>
          <w:p>
            <w:pPr>
              <w:spacing w:after="0"/>
              <w:rPr>
                <w:sz w:val="12"/>
                <w:szCs w:val="12"/>
                <w:color w:val="auto"/>
              </w:rPr>
            </w:pPr>
          </w:p>
        </w:tc>
        <w:tc>
          <w:tcPr>
            <w:tcW w:w="3520" w:type="dxa"/>
            <w:vAlign w:val="bottom"/>
            <w:tcBorders>
              <w:bottom w:val="single" w:sz="8" w:color="0067B3"/>
            </w:tcBorders>
          </w:tcPr>
          <w:p>
            <w:pPr>
              <w:spacing w:after="0"/>
              <w:rPr>
                <w:sz w:val="12"/>
                <w:szCs w:val="12"/>
                <w:color w:val="auto"/>
              </w:rPr>
            </w:pPr>
          </w:p>
        </w:tc>
        <w:tc>
          <w:tcPr>
            <w:tcW w:w="5060" w:type="dxa"/>
            <w:vAlign w:val="bottom"/>
            <w:tcBorders>
              <w:bottom w:val="single" w:sz="8" w:color="0067B3"/>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35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Compensation Linked to ESG</w:t>
            </w:r>
          </w:p>
        </w:tc>
        <w:tc>
          <w:tcPr>
            <w:tcW w:w="3520" w:type="dxa"/>
            <w:vAlign w:val="bottom"/>
          </w:tcPr>
          <w:p>
            <w:pPr>
              <w:jc w:val="right"/>
              <w:ind w:right="282"/>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Shareholders asked if compensation</w:t>
            </w:r>
          </w:p>
        </w:tc>
        <w:tc>
          <w:tcPr>
            <w:tcW w:w="5060" w:type="dxa"/>
            <w:vAlign w:val="bottom"/>
          </w:tcPr>
          <w:p>
            <w:pPr>
              <w:ind w:left="3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ESG is more than just an initiative at ADI – it is critical</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520" w:type="dxa"/>
            <w:vAlign w:val="bottom"/>
          </w:tcPr>
          <w:p>
            <w:pPr>
              <w:jc w:val="right"/>
              <w:ind w:right="262"/>
              <w:spacing w:after="0" w:line="202" w:lineRule="exact"/>
              <w:rPr>
                <w:sz w:val="20"/>
                <w:szCs w:val="20"/>
                <w:color w:val="auto"/>
              </w:rPr>
            </w:pPr>
            <w:r>
              <w:rPr>
                <w:rFonts w:ascii="Arial" w:cs="Arial" w:eastAsia="Arial" w:hAnsi="Arial"/>
                <w:sz w:val="18"/>
                <w:szCs w:val="18"/>
                <w:color w:val="auto"/>
              </w:rPr>
              <w:t>elements are linked to ESG metrics.</w:t>
            </w:r>
          </w:p>
        </w:tc>
        <w:tc>
          <w:tcPr>
            <w:tcW w:w="5060" w:type="dxa"/>
            <w:vAlign w:val="bottom"/>
          </w:tcPr>
          <w:p>
            <w:pPr>
              <w:ind w:left="520"/>
              <w:spacing w:after="0" w:line="202" w:lineRule="exact"/>
              <w:rPr>
                <w:sz w:val="20"/>
                <w:szCs w:val="20"/>
                <w:color w:val="auto"/>
              </w:rPr>
            </w:pPr>
            <w:r>
              <w:rPr>
                <w:rFonts w:ascii="Arial" w:cs="Arial" w:eastAsia="Arial" w:hAnsi="Arial"/>
                <w:sz w:val="18"/>
                <w:szCs w:val="18"/>
                <w:color w:val="auto"/>
              </w:rPr>
              <w:t>to our strategy. Our Leadership Team understands</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5060" w:type="dxa"/>
            <w:vAlign w:val="bottom"/>
          </w:tcPr>
          <w:p>
            <w:pPr>
              <w:ind w:left="520"/>
              <w:spacing w:after="0" w:line="202" w:lineRule="exact"/>
              <w:rPr>
                <w:sz w:val="20"/>
                <w:szCs w:val="20"/>
                <w:color w:val="auto"/>
              </w:rPr>
            </w:pPr>
            <w:r>
              <w:rPr>
                <w:rFonts w:ascii="Arial" w:cs="Arial" w:eastAsia="Arial" w:hAnsi="Arial"/>
                <w:sz w:val="18"/>
                <w:szCs w:val="18"/>
                <w:color w:val="auto"/>
              </w:rPr>
              <w:t>the close relationship between ESG, financial</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60" w:type="dxa"/>
            <w:vAlign w:val="bottom"/>
          </w:tcPr>
          <w:p>
            <w:pPr>
              <w:ind w:left="520"/>
              <w:spacing w:after="0"/>
              <w:rPr>
                <w:sz w:val="20"/>
                <w:szCs w:val="20"/>
                <w:color w:val="auto"/>
              </w:rPr>
            </w:pPr>
            <w:r>
              <w:rPr>
                <w:rFonts w:ascii="Arial" w:cs="Arial" w:eastAsia="Arial" w:hAnsi="Arial"/>
                <w:sz w:val="18"/>
                <w:szCs w:val="18"/>
                <w:color w:val="auto"/>
              </w:rPr>
              <w:t>performance, and long-term sustainable growth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82207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20710"/>
                    </a:xfrm>
                    <a:prstGeom prst="rect">
                      <a:avLst/>
                    </a:prstGeom>
                    <a:noFill/>
                  </pic:spPr>
                </pic:pic>
              </a:graphicData>
            </a:graphic>
          </wp:anchor>
        </w:drawing>
      </w:r>
    </w:p>
    <w:p>
      <w:pPr>
        <w:ind w:left="6700"/>
        <w:spacing w:after="0" w:line="234" w:lineRule="auto"/>
        <w:rPr>
          <w:sz w:val="20"/>
          <w:szCs w:val="20"/>
          <w:color w:val="auto"/>
        </w:rPr>
      </w:pPr>
      <w:r>
        <w:rPr>
          <w:rFonts w:ascii="Arial" w:cs="Arial" w:eastAsia="Arial" w:hAnsi="Arial"/>
          <w:sz w:val="18"/>
          <w:szCs w:val="18"/>
          <w:color w:val="auto"/>
        </w:rPr>
        <w:t>incorporates it into our strategy. While the</w:t>
      </w:r>
    </w:p>
    <w:p>
      <w:pPr>
        <w:ind w:left="6700"/>
        <w:spacing w:after="0" w:line="235" w:lineRule="auto"/>
        <w:rPr>
          <w:sz w:val="20"/>
          <w:szCs w:val="20"/>
          <w:color w:val="auto"/>
        </w:rPr>
      </w:pPr>
      <w:r>
        <w:rPr>
          <w:rFonts w:ascii="Arial" w:cs="Arial" w:eastAsia="Arial" w:hAnsi="Arial"/>
          <w:sz w:val="18"/>
          <w:szCs w:val="18"/>
          <w:color w:val="auto"/>
        </w:rPr>
        <w:t>Compensation and Talent Committee continues to</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evaluate whether to link compensation elements to</w:t>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ESG metrics, it determined to make no changes</w:t>
      </w:r>
    </w:p>
    <w:p>
      <w:pPr>
        <w:ind w:left="6700"/>
        <w:spacing w:after="0" w:line="234" w:lineRule="auto"/>
        <w:rPr>
          <w:sz w:val="20"/>
          <w:szCs w:val="20"/>
          <w:color w:val="auto"/>
        </w:rPr>
      </w:pPr>
      <w:r>
        <w:rPr>
          <w:rFonts w:ascii="Arial" w:cs="Arial" w:eastAsia="Arial" w:hAnsi="Arial"/>
          <w:sz w:val="18"/>
          <w:szCs w:val="18"/>
          <w:color w:val="auto"/>
        </w:rPr>
        <w:t>during fiscal year 2023 given the intense company</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focus on ESG performance as part of its short- and</w:t>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long-term strategy. The financial metrics underlying</w:t>
      </w:r>
    </w:p>
    <w:p>
      <w:pPr>
        <w:ind w:left="6700"/>
        <w:spacing w:after="0" w:line="234" w:lineRule="auto"/>
        <w:rPr>
          <w:sz w:val="20"/>
          <w:szCs w:val="20"/>
          <w:color w:val="auto"/>
        </w:rPr>
      </w:pPr>
      <w:r>
        <w:rPr>
          <w:rFonts w:ascii="Arial" w:cs="Arial" w:eastAsia="Arial" w:hAnsi="Arial"/>
          <w:sz w:val="18"/>
          <w:szCs w:val="18"/>
          <w:color w:val="auto"/>
        </w:rPr>
        <w:t>our incentive compensation and PRSUs not only</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drive our Leadership Team to achieve those specified</w:t>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financial metrics, but also ESG performance given</w:t>
      </w:r>
    </w:p>
    <w:p>
      <w:pPr>
        <w:ind w:left="6700"/>
        <w:spacing w:after="0"/>
        <w:rPr>
          <w:sz w:val="20"/>
          <w:szCs w:val="20"/>
          <w:color w:val="auto"/>
        </w:rPr>
      </w:pPr>
      <w:r>
        <w:rPr>
          <w:rFonts w:ascii="Arial" w:cs="Arial" w:eastAsia="Arial" w:hAnsi="Arial"/>
          <w:sz w:val="18"/>
          <w:szCs w:val="18"/>
          <w:color w:val="auto"/>
        </w:rPr>
        <w:t>the strong alignment between the two.</w:t>
      </w:r>
    </w:p>
    <w:p>
      <w:pPr>
        <w:sectPr>
          <w:pgSz w:w="11900" w:h="16838" w:orient="portrait"/>
          <w:cols w:equalWidth="0" w:num="1">
            <w:col w:w="11240"/>
          </w:cols>
          <w:pgMar w:left="320" w:top="1228" w:right="339" w:bottom="711" w:gutter="0" w:footer="0" w:header="0"/>
        </w:sectPr>
      </w:pP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i w:val="1"/>
          <w:iCs w:val="1"/>
          <w:color w:val="auto"/>
        </w:rPr>
        <w:t>Combined CEO and Chair Role</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Shareholders appreciated that our Board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of Directors enhanced the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responsibilities of the Lead Independent</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Director under our Corporate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Governance Guidelines.</w:t>
      </w:r>
    </w:p>
    <w:p>
      <w:pPr>
        <w:spacing w:after="0" w:line="99"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i w:val="1"/>
          <w:iCs w:val="1"/>
          <w:color w:val="auto"/>
        </w:rPr>
        <w:t>Board Refreshment and Tenure</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Shareholders were interested in our</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Board of Directors’ refreshment</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practices and skills.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186" w:right="500" w:hanging="186"/>
        <w:spacing w:after="0" w:line="268" w:lineRule="auto"/>
        <w:tabs>
          <w:tab w:leader="none" w:pos="143" w:val="left"/>
        </w:tabs>
        <w:numPr>
          <w:ilvl w:val="0"/>
          <w:numId w:val="68"/>
        </w:numPr>
        <w:rPr>
          <w:rFonts w:ascii="Arial" w:cs="Arial" w:eastAsia="Arial" w:hAnsi="Arial"/>
          <w:sz w:val="13"/>
          <w:szCs w:val="13"/>
          <w:color w:val="0067B3"/>
        </w:rPr>
      </w:pPr>
      <w:r>
        <w:rPr>
          <w:rFonts w:ascii="Arial" w:cs="Arial" w:eastAsia="Arial" w:hAnsi="Arial"/>
          <w:sz w:val="18"/>
          <w:szCs w:val="18"/>
          <w:color w:val="auto"/>
        </w:rPr>
        <w:t>Our Board of Directors believes the combined CEO and Chair role continues to be the appropriate structure given our strategic objectives.</w:t>
      </w:r>
    </w:p>
    <w:p>
      <w:pPr>
        <w:spacing w:after="0" w:line="200" w:lineRule="exact"/>
        <w:rPr>
          <w:rFonts w:ascii="Arial" w:cs="Arial" w:eastAsia="Arial" w:hAnsi="Arial"/>
          <w:sz w:val="13"/>
          <w:szCs w:val="13"/>
          <w:color w:val="0067B3"/>
        </w:rPr>
      </w:pPr>
    </w:p>
    <w:p>
      <w:pPr>
        <w:spacing w:after="0" w:line="375" w:lineRule="exact"/>
        <w:rPr>
          <w:rFonts w:ascii="Arial" w:cs="Arial" w:eastAsia="Arial" w:hAnsi="Arial"/>
          <w:sz w:val="13"/>
          <w:szCs w:val="13"/>
          <w:color w:val="0067B3"/>
        </w:rPr>
      </w:pPr>
    </w:p>
    <w:p>
      <w:pPr>
        <w:ind w:left="186" w:right="760" w:hanging="186"/>
        <w:spacing w:after="0" w:line="246" w:lineRule="auto"/>
        <w:tabs>
          <w:tab w:leader="none" w:pos="143" w:val="left"/>
        </w:tabs>
        <w:numPr>
          <w:ilvl w:val="0"/>
          <w:numId w:val="68"/>
        </w:numPr>
        <w:rPr>
          <w:rFonts w:ascii="Arial" w:cs="Arial" w:eastAsia="Arial" w:hAnsi="Arial"/>
          <w:sz w:val="13"/>
          <w:szCs w:val="13"/>
          <w:color w:val="0067B3"/>
        </w:rPr>
      </w:pPr>
      <w:r>
        <w:rPr>
          <w:rFonts w:ascii="Arial" w:cs="Arial" w:eastAsia="Arial" w:hAnsi="Arial"/>
          <w:sz w:val="18"/>
          <w:szCs w:val="18"/>
          <w:color w:val="auto"/>
        </w:rPr>
        <w:t>Our Board of Directors continues its focus on refreshment practices to align with our strategic visions and objectives, including welcoming</w:t>
      </w:r>
    </w:p>
    <w:p>
      <w:pPr>
        <w:spacing w:after="0" w:line="2" w:lineRule="exact"/>
        <w:rPr>
          <w:rFonts w:ascii="Arial" w:cs="Arial" w:eastAsia="Arial" w:hAnsi="Arial"/>
          <w:sz w:val="13"/>
          <w:szCs w:val="13"/>
          <w:color w:val="0067B3"/>
        </w:rPr>
      </w:pPr>
    </w:p>
    <w:p>
      <w:pPr>
        <w:ind w:left="186" w:right="300"/>
        <w:spacing w:after="0" w:line="244" w:lineRule="auto"/>
        <w:rPr>
          <w:rFonts w:ascii="Arial" w:cs="Arial" w:eastAsia="Arial" w:hAnsi="Arial"/>
          <w:sz w:val="13"/>
          <w:szCs w:val="13"/>
          <w:color w:val="0067B3"/>
        </w:rPr>
      </w:pPr>
      <w:r>
        <w:rPr>
          <w:rFonts w:ascii="Arial" w:cs="Arial" w:eastAsia="Arial" w:hAnsi="Arial"/>
          <w:sz w:val="18"/>
          <w:szCs w:val="18"/>
          <w:color w:val="auto"/>
        </w:rPr>
        <w:t>Mr. Jennings to the Board of Directors in June 2023 and Dr. Henry in December 2023. Mr. Jennings brings significant experience in corporate governance, enterprise growth, innovation, mergers and acquisitions, organization transformation, and strategy across a broad set of industries to our Board of Directors. Dr. Henry brings foreign affairs, global economics, and international finance experience to our Board of Directors.</w:t>
      </w:r>
    </w:p>
    <w:p>
      <w:pPr>
        <w:spacing w:after="0" w:line="32" w:lineRule="exact"/>
        <w:rPr>
          <w:rFonts w:ascii="Arial" w:cs="Arial" w:eastAsia="Arial" w:hAnsi="Arial"/>
          <w:sz w:val="13"/>
          <w:szCs w:val="13"/>
          <w:color w:val="0067B3"/>
        </w:rPr>
      </w:pPr>
    </w:p>
    <w:p>
      <w:pPr>
        <w:ind w:left="186" w:right="360" w:hanging="186"/>
        <w:spacing w:after="0" w:line="251" w:lineRule="auto"/>
        <w:tabs>
          <w:tab w:leader="none" w:pos="143" w:val="left"/>
        </w:tabs>
        <w:numPr>
          <w:ilvl w:val="0"/>
          <w:numId w:val="68"/>
        </w:numPr>
        <w:rPr>
          <w:rFonts w:ascii="Arial" w:cs="Arial" w:eastAsia="Arial" w:hAnsi="Arial"/>
          <w:sz w:val="13"/>
          <w:szCs w:val="13"/>
          <w:color w:val="0067B3"/>
        </w:rPr>
      </w:pPr>
      <w:r>
        <w:rPr>
          <w:rFonts w:ascii="Arial" w:cs="Arial" w:eastAsia="Arial" w:hAnsi="Arial"/>
          <w:sz w:val="18"/>
          <w:szCs w:val="18"/>
          <w:color w:val="auto"/>
        </w:rPr>
        <w:t>In January 2024, our Board of Directors unanimously appointed Mr. Jennings as our Lead Independent Director, continuing the Board of Directors’ practice of having a strong and effective independent partner to our CEO and Chair.</w:t>
      </w:r>
    </w:p>
    <w:p>
      <w:pPr>
        <w:spacing w:after="0" w:line="173" w:lineRule="exact"/>
        <w:rPr>
          <w:sz w:val="20"/>
          <w:szCs w:val="20"/>
          <w:color w:val="auto"/>
        </w:rPr>
      </w:pPr>
    </w:p>
    <w:p>
      <w:pPr>
        <w:sectPr>
          <w:pgSz w:w="11900" w:h="16838" w:orient="portrait"/>
          <w:cols w:equalWidth="0" w:num="2">
            <w:col w:w="6160" w:space="354"/>
            <w:col w:w="4726"/>
          </w:cols>
          <w:pgMar w:left="320" w:top="1228" w:right="339" w:bottom="711"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ESG MATTERS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ESG Report and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Supply Chain and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Product Diversion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94" w:right="40" w:hanging="194"/>
        <w:spacing w:after="0" w:line="259" w:lineRule="auto"/>
        <w:tabs>
          <w:tab w:leader="none" w:pos="150" w:val="left"/>
        </w:tabs>
        <w:numPr>
          <w:ilvl w:val="0"/>
          <w:numId w:val="69"/>
        </w:numPr>
        <w:rPr>
          <w:rFonts w:ascii="Arial" w:cs="Arial" w:eastAsia="Arial" w:hAnsi="Arial"/>
          <w:sz w:val="13"/>
          <w:szCs w:val="13"/>
          <w:color w:val="0067B3"/>
        </w:rPr>
      </w:pPr>
      <w:r>
        <w:rPr>
          <w:rFonts w:ascii="Arial" w:cs="Arial" w:eastAsia="Arial" w:hAnsi="Arial"/>
          <w:sz w:val="18"/>
          <w:szCs w:val="18"/>
          <w:color w:val="auto"/>
        </w:rPr>
        <w:t>Shareholders commended our ESG practices and reporting, including enhanced transparency and ambitious environmental targets, but expressed a desire to see all metrics in one place.</w:t>
      </w:r>
    </w:p>
    <w:p>
      <w:pPr>
        <w:spacing w:after="0" w:line="200" w:lineRule="exact"/>
        <w:rPr>
          <w:rFonts w:ascii="Arial" w:cs="Arial" w:eastAsia="Arial" w:hAnsi="Arial"/>
          <w:sz w:val="13"/>
          <w:szCs w:val="13"/>
          <w:color w:val="0067B3"/>
        </w:rPr>
      </w:pPr>
    </w:p>
    <w:p>
      <w:pPr>
        <w:spacing w:after="0" w:line="343" w:lineRule="exact"/>
        <w:rPr>
          <w:rFonts w:ascii="Arial" w:cs="Arial" w:eastAsia="Arial" w:hAnsi="Arial"/>
          <w:sz w:val="13"/>
          <w:szCs w:val="13"/>
          <w:color w:val="0067B3"/>
        </w:rPr>
      </w:pPr>
    </w:p>
    <w:p>
      <w:pPr>
        <w:jc w:val="both"/>
        <w:ind w:left="194" w:hanging="194"/>
        <w:spacing w:after="0" w:line="261" w:lineRule="auto"/>
        <w:tabs>
          <w:tab w:leader="none" w:pos="150" w:val="left"/>
        </w:tabs>
        <w:numPr>
          <w:ilvl w:val="0"/>
          <w:numId w:val="69"/>
        </w:numPr>
        <w:rPr>
          <w:rFonts w:ascii="Arial" w:cs="Arial" w:eastAsia="Arial" w:hAnsi="Arial"/>
          <w:sz w:val="13"/>
          <w:szCs w:val="13"/>
          <w:color w:val="0067B3"/>
        </w:rPr>
      </w:pPr>
      <w:r>
        <w:rPr>
          <w:rFonts w:ascii="Arial" w:cs="Arial" w:eastAsia="Arial" w:hAnsi="Arial"/>
          <w:sz w:val="18"/>
          <w:szCs w:val="18"/>
          <w:color w:val="auto"/>
        </w:rPr>
        <w:t>Shareholders inquired about our supply chain and product diversion compliance programs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457835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86" w:right="440" w:hanging="186"/>
        <w:spacing w:after="0" w:line="252" w:lineRule="auto"/>
        <w:tabs>
          <w:tab w:leader="none" w:pos="143"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Continued to enhance our disclosure in our 2022 ESG Report issued in July 2023, adding robust and consolidated disclosure capturing all of our ESG metrics in one table.</w:t>
      </w:r>
    </w:p>
    <w:p>
      <w:pPr>
        <w:spacing w:after="0" w:line="21" w:lineRule="exact"/>
        <w:rPr>
          <w:rFonts w:ascii="Arial" w:cs="Arial" w:eastAsia="Arial" w:hAnsi="Arial"/>
          <w:sz w:val="13"/>
          <w:szCs w:val="13"/>
          <w:color w:val="0067B3"/>
        </w:rPr>
      </w:pPr>
    </w:p>
    <w:p>
      <w:pPr>
        <w:ind w:left="186" w:right="280" w:hanging="186"/>
        <w:spacing w:after="0" w:line="253" w:lineRule="auto"/>
        <w:tabs>
          <w:tab w:leader="none" w:pos="143"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Added a new target to reduce overall water withdrawn for our operations by 50% normalized to production output.</w:t>
      </w:r>
    </w:p>
    <w:p>
      <w:pPr>
        <w:spacing w:after="0" w:line="222" w:lineRule="exact"/>
        <w:rPr>
          <w:rFonts w:ascii="Arial" w:cs="Arial" w:eastAsia="Arial" w:hAnsi="Arial"/>
          <w:sz w:val="13"/>
          <w:szCs w:val="13"/>
          <w:color w:val="0067B3"/>
        </w:rPr>
      </w:pPr>
    </w:p>
    <w:p>
      <w:pPr>
        <w:ind w:left="186" w:right="500" w:hanging="186"/>
        <w:spacing w:after="0" w:line="259" w:lineRule="auto"/>
        <w:tabs>
          <w:tab w:leader="none" w:pos="143"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Enhanced our product diversion compliance programs by expanding our proactive monitoring and review processes to inhibit prohibited resale of our products and formed a team focused on gray market mitigation efforts.</w:t>
      </w:r>
    </w:p>
    <w:p>
      <w:pPr>
        <w:spacing w:after="0" w:line="200" w:lineRule="exact"/>
        <w:rPr>
          <w:sz w:val="20"/>
          <w:szCs w:val="20"/>
          <w:color w:val="auto"/>
        </w:rPr>
      </w:pPr>
    </w:p>
    <w:p>
      <w:pPr>
        <w:sectPr>
          <w:pgSz w:w="11900" w:h="16838" w:orient="portrait"/>
          <w:cols w:equalWidth="0" w:num="3">
            <w:col w:w="2046" w:space="720"/>
            <w:col w:w="3354" w:space="394"/>
            <w:col w:w="4726"/>
          </w:cols>
          <w:pgMar w:left="320" w:top="1228" w:right="339" w:bottom="711" w:gutter="0" w:footer="0" w:header="0"/>
          <w:type w:val="continuous"/>
        </w:sectPr>
      </w:pPr>
    </w:p>
    <w:p>
      <w:pPr>
        <w:spacing w:after="0" w:line="6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ectPr>
          <w:pgSz w:w="11900" w:h="16838" w:orient="portrait"/>
          <w:cols w:equalWidth="0" w:num="1">
            <w:col w:w="11240"/>
          </w:cols>
          <w:pgMar w:left="320" w:top="1228" w:right="339" w:bottom="711" w:gutter="0" w:footer="0" w:header="0"/>
          <w:type w:val="continuous"/>
        </w:sectPr>
      </w:pPr>
    </w:p>
    <w:p>
      <w:pPr>
        <w:spacing w:after="0" w:line="31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711" w:gutter="0" w:footer="0" w:header="0"/>
          <w:type w:val="continuous"/>
        </w:sectPr>
      </w:pPr>
    </w:p>
    <w:bookmarkStart w:id="51" w:name="page52"/>
    <w:bookmarkEnd w:id="51"/>
    <w:p>
      <w:pPr>
        <w:spacing w:after="0"/>
        <w:rPr>
          <w:sz w:val="20"/>
          <w:szCs w:val="20"/>
          <w:color w:val="auto"/>
        </w:rPr>
      </w:pPr>
      <w:r>
        <w:rPr>
          <w:rFonts w:ascii="Arial" w:cs="Arial" w:eastAsia="Arial" w:hAnsi="Arial"/>
          <w:sz w:val="32"/>
          <w:szCs w:val="32"/>
          <w:b w:val="1"/>
          <w:bCs w:val="1"/>
          <w:color w:val="auto"/>
        </w:rPr>
        <w:t>Communications from Shareholders and Other Interested Parties</w:t>
      </w:r>
    </w:p>
    <w:p>
      <w:pPr>
        <w:spacing w:after="0" w:line="15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 of the Nominating and Corporate Governance Committee will, with the assistance of ADI’s internal legal counsel, (1) be primarily responsible for monitoring communications from shareholders and other interested parties and (2) provide copies or summaries of such communications to the other directors as he or she considers appropriate.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ADI tends to receive repetitive or duplicative communications.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Shareholders and other interested parties who wish to send communications on any topic to our Board of Directors (including the Lead Independent Director or the independent directors as a group) should address such communications to Stephen M. Jennings, Lead Independent Director, c/o Secretary, Analog Devices, Inc., One Analog Way, Wilmington, Massachusetts 01887.</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Governance Matters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Documents</w:t>
      </w:r>
    </w:p>
    <w:p>
      <w:pPr>
        <w:spacing w:after="0" w:line="15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Visit our website at https://investor.analog.com/governance/governance-documents to view our corporate governance documents and policies, including:</w:t>
      </w:r>
    </w:p>
    <w:p>
      <w:pPr>
        <w:spacing w:after="0" w:line="45" w:lineRule="exact"/>
        <w:rPr>
          <w:sz w:val="20"/>
          <w:szCs w:val="20"/>
          <w:color w:val="auto"/>
        </w:rPr>
      </w:pPr>
    </w:p>
    <w:p>
      <w:pPr>
        <w:ind w:left="160" w:hanging="152"/>
        <w:spacing w:after="0"/>
        <w:tabs>
          <w:tab w:leader="none" w:pos="160"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Committee Charters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Political Contributions and Expenditures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40</w:t>
      </w:r>
    </w:p>
    <w:p>
      <w:pPr>
        <w:ind w:left="48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52" w:name="page53"/>
    <w:bookmarkEnd w:id="52"/>
    <w:p>
      <w:pPr>
        <w:spacing w:after="0"/>
        <w:rPr>
          <w:sz w:val="20"/>
          <w:szCs w:val="20"/>
          <w:color w:val="auto"/>
        </w:rPr>
      </w:pPr>
      <w:r>
        <w:rPr>
          <w:rFonts w:ascii="Arial" w:cs="Arial" w:eastAsia="Arial" w:hAnsi="Arial"/>
          <w:sz w:val="32"/>
          <w:szCs w:val="32"/>
          <w:b w:val="1"/>
          <w:bCs w:val="1"/>
          <w:color w:val="auto"/>
        </w:rPr>
        <w:t>Certain Relationships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Transactions with Related Persons</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There were no related-person transactions that would require disclosure under Item 404 of Regulation S-K under the Exchange Act since the beginning of fiscal year 2023 through the date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Policies and Procedures for Related Person Transactions</w:t>
      </w:r>
    </w:p>
    <w:p>
      <w:pPr>
        <w:spacing w:after="0" w:line="1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ADI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Audit Committee. Whenever practicable, the reporting, review, and approval will occur prior to entry into the transaction. If our Chief Legal Officer determines that advance review and approval is not practicable, the Audit Committee will review, and, in its discretion, may ratify the related person transaction at the next meeting of the Audit Committee. The policy also permits the Chair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63" w:lineRule="exact"/>
        <w:rPr>
          <w:sz w:val="20"/>
          <w:szCs w:val="20"/>
          <w:color w:val="auto"/>
        </w:rPr>
      </w:pPr>
    </w:p>
    <w:p>
      <w:pPr>
        <w:ind w:left="160" w:hanging="152"/>
        <w:spacing w:after="0"/>
        <w:tabs>
          <w:tab w:leader="none" w:pos="16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The related person’s interest in the related person transaction;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3"/>
          <w:szCs w:val="13"/>
          <w:color w:val="0067B3"/>
        </w:rPr>
      </w:pPr>
    </w:p>
    <w:p>
      <w:pPr>
        <w:ind w:left="200" w:right="180" w:hanging="192"/>
        <w:spacing w:after="0" w:line="287" w:lineRule="auto"/>
        <w:tabs>
          <w:tab w:leader="none" w:pos="157"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Whether the transaction was undertaken in the ordinary course of our business;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The purpose of, and the potential benefits to us of, the transaction; and</w:t>
      </w:r>
    </w:p>
    <w:p>
      <w:pPr>
        <w:spacing w:after="0" w:line="76" w:lineRule="exact"/>
        <w:rPr>
          <w:rFonts w:ascii="Arial" w:cs="Arial" w:eastAsia="Arial" w:hAnsi="Arial"/>
          <w:sz w:val="13"/>
          <w:szCs w:val="13"/>
          <w:color w:val="0067B3"/>
        </w:rPr>
      </w:pPr>
    </w:p>
    <w:p>
      <w:pPr>
        <w:ind w:left="200" w:right="200" w:hanging="192"/>
        <w:spacing w:after="0" w:line="287" w:lineRule="auto"/>
        <w:tabs>
          <w:tab w:leader="none" w:pos="157"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may approve or ratify the related person transaction only if the Audit Committee determines that, under all of the circumstances, the transaction is in ADI’s best interests. The Audit Committee may, in its sole discretion, impose any conditions on ADI or the related person in connection with the approval of the related person transaction.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63" w:lineRule="exact"/>
        <w:rPr>
          <w:sz w:val="20"/>
          <w:szCs w:val="20"/>
          <w:color w:val="auto"/>
        </w:rPr>
      </w:pPr>
    </w:p>
    <w:p>
      <w:pPr>
        <w:ind w:left="200" w:hanging="192"/>
        <w:spacing w:after="0" w:line="257" w:lineRule="auto"/>
        <w:tabs>
          <w:tab w:leader="none" w:pos="157" w:val="left"/>
        </w:tabs>
        <w:numPr>
          <w:ilvl w:val="0"/>
          <w:numId w:val="73"/>
        </w:numPr>
        <w:rPr>
          <w:rFonts w:ascii="Arial" w:cs="Arial" w:eastAsia="Arial" w:hAnsi="Arial"/>
          <w:sz w:val="13"/>
          <w:szCs w:val="13"/>
          <w:color w:val="0067B3"/>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3" w:lineRule="exact"/>
        <w:rPr>
          <w:rFonts w:ascii="Arial" w:cs="Arial" w:eastAsia="Arial" w:hAnsi="Arial"/>
          <w:sz w:val="13"/>
          <w:szCs w:val="13"/>
          <w:color w:val="0067B3"/>
        </w:rPr>
      </w:pPr>
    </w:p>
    <w:p>
      <w:pPr>
        <w:ind w:left="160" w:hanging="152"/>
        <w:spacing w:after="0"/>
        <w:tabs>
          <w:tab w:leader="none" w:pos="160" w:val="left"/>
        </w:tabs>
        <w:numPr>
          <w:ilvl w:val="0"/>
          <w:numId w:val="73"/>
        </w:numPr>
        <w:rPr>
          <w:rFonts w:ascii="Arial" w:cs="Arial" w:eastAsia="Arial" w:hAnsi="Arial"/>
          <w:sz w:val="13"/>
          <w:szCs w:val="13"/>
          <w:color w:val="0067B3"/>
        </w:rPr>
      </w:pPr>
      <w:r>
        <w:rPr>
          <w:rFonts w:ascii="Arial" w:cs="Arial" w:eastAsia="Arial" w:hAnsi="Arial"/>
          <w:sz w:val="18"/>
          <w:szCs w:val="18"/>
          <w:color w:val="auto"/>
        </w:rPr>
        <w:t>The transactions that are specifically contemplated by provisions of ADI’s charter or bylaws.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policy provides that the related person transactions involving compensation of executive officers shall be reviewed and approved by the Compensation and Talent Committee in the manner specified in its charter.</w:t>
      </w:r>
    </w:p>
    <w:p>
      <w:pPr>
        <w:sectPr>
          <w:pgSz w:w="11900" w:h="16838" w:orient="portrait"/>
          <w:cols w:equalWidth="0" w:num="1">
            <w:col w:w="11240"/>
          </w:cols>
          <w:pgMar w:left="320" w:top="1311" w:right="339" w:bottom="1440" w:gutter="0" w:footer="0" w:header="0"/>
        </w:sectPr>
      </w:pPr>
    </w:p>
    <w:p>
      <w:pPr>
        <w:spacing w:after="0" w:line="31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58"/>
          <w:szCs w:val="58"/>
          <w:color w:val="auto"/>
        </w:rPr>
        <w:t>Director Compensation</w:t>
      </w: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Lead Independent Director also receives an additional cash retainer. Mr. Roche, as an employee director, does not receive any additional compensation for his services as director or as Chair of the Board of Directors.</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of Directors has delegated to the Compensation and Talent Committee the responsibility to review and recommend to the Board of Directors any proposed changes to non-employee director compensation. Annually, the Compensation and Talent Committee reviews with Pearl Meyer, the Compensation and Talent Committee’s independent compensation consultant, non-employee director compensation information for our peer group to check the alignment of our non-employee director compensation package with market practice and current trends. The Compensation and Talent Committee then makes recommendations to the full Board of Directors with respect to compensation of our non-employee directors, and the full Board of Directors reviews these recommendations and makes a final determination. We did not make any changes to our non-employee director compensation program in fiscal year 2023. In fiscal year 2023, we granted 100% of the value of the annual equity award to each of our non-employee directors in the form of time-based RSUs. These RSUs vest in full on the earlier of the first anniversary of the date of grant or the date of ADI’s next annual meeting of shareholders. On March 8, 2023, we granted each non-employee director then in-office 1,228 RSUs for services to be provided from that date until the earlier of the first anniversary of the date of the grant or ADI’s next annual meeting of shareholders. On July 17, 2023, Mr. Jennings, who joined our Board of Directors in June 2023, was granted 888 RSUs for services to be provided from the date of his initial appointment as a director through the Annual Meeting. On January 16, 2024, Dr. Henry, who joined our Board of Directors in December 2023, was granted an RSU award (rounded to the nearest share) with a value of approximately $57,945, representing the pro-rated value of our fiscal year 2023 annual director grant, for services to be provided from the date of his initial appointment as a director through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Annual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Board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3" w:lineRule="exact"/>
        <w:rPr>
          <w:sz w:val="20"/>
          <w:szCs w:val="20"/>
          <w:color w:val="auto"/>
        </w:rPr>
      </w:pPr>
    </w:p>
    <w:p>
      <w:pPr>
        <w:ind w:left="20"/>
        <w:spacing w:after="0"/>
        <w:tabs>
          <w:tab w:leader="none" w:pos="9040" w:val="left"/>
        </w:tabs>
        <w:rPr>
          <w:sz w:val="20"/>
          <w:szCs w:val="20"/>
          <w:color w:val="auto"/>
        </w:rPr>
      </w:pPr>
      <w:r>
        <w:rPr>
          <w:rFonts w:ascii="Arial" w:cs="Arial" w:eastAsia="Arial" w:hAnsi="Arial"/>
          <w:sz w:val="16"/>
          <w:szCs w:val="16"/>
          <w:b w:val="1"/>
          <w:bCs w:val="1"/>
          <w:color w:val="FFFFFF"/>
        </w:rPr>
        <w:t>Compensation Element</w:t>
      </w:r>
      <w:r>
        <w:rPr>
          <w:sz w:val="20"/>
          <w:szCs w:val="20"/>
          <w:color w:val="auto"/>
        </w:rPr>
        <w:tab/>
      </w:r>
      <w:r>
        <w:rPr>
          <w:rFonts w:ascii="Arial" w:cs="Arial" w:eastAsia="Arial" w:hAnsi="Arial"/>
          <w:sz w:val="16"/>
          <w:szCs w:val="16"/>
          <w:b w:val="1"/>
          <w:bCs w:val="1"/>
          <w:color w:val="FFFFFF"/>
        </w:rPr>
        <w:t>Annual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80" w:type="dxa"/>
            <w:vAlign w:val="bottom"/>
          </w:tcPr>
          <w:p>
            <w:pPr>
              <w:spacing w:after="0"/>
              <w:rPr>
                <w:sz w:val="20"/>
                <w:szCs w:val="20"/>
                <w:color w:val="auto"/>
              </w:rPr>
            </w:pPr>
            <w:r>
              <w:rPr>
                <w:rFonts w:ascii="Arial" w:cs="Arial" w:eastAsia="Arial" w:hAnsi="Arial"/>
                <w:sz w:val="18"/>
                <w:szCs w:val="18"/>
                <w:color w:val="auto"/>
              </w:rPr>
              <w:t>Board Chair Retainer</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Board Member Retainer</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Lead Independent Director Retainer</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62" w:lineRule="exact"/>
        <w:rPr>
          <w:sz w:val="20"/>
          <w:szCs w:val="20"/>
          <w:color w:val="auto"/>
        </w:rPr>
      </w:pPr>
    </w:p>
    <w:p>
      <w:pPr>
        <w:sectPr>
          <w:pgSz w:w="11900" w:h="16838" w:orient="portrait"/>
          <w:cols w:equalWidth="0" w:num="2">
            <w:col w:w="10900" w:space="80"/>
            <w:col w:w="260"/>
          </w:cols>
          <w:pgMar w:left="320" w:top="1126"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 xml:space="preserve">Committee Retainers: </w:t>
      </w:r>
      <w:r>
        <w:rPr>
          <w:rFonts w:ascii="Arial" w:cs="Arial" w:eastAsia="Arial" w:hAnsi="Arial"/>
          <w:sz w:val="23"/>
          <w:szCs w:val="23"/>
          <w:b w:val="1"/>
          <w:bCs w:val="1"/>
          <w:color w:val="0067B3"/>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3175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30"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FFFFFF"/>
        </w:rPr>
        <w:t>Annual Cash Compensation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ind w:left="20"/>
              <w:spacing w:after="0"/>
              <w:rPr>
                <w:sz w:val="20"/>
                <w:szCs w:val="20"/>
                <w:color w:val="auto"/>
              </w:rPr>
            </w:pPr>
            <w:r>
              <w:rPr>
                <w:rFonts w:ascii="Arial" w:cs="Arial" w:eastAsia="Arial" w:hAnsi="Arial"/>
                <w:sz w:val="16"/>
                <w:szCs w:val="16"/>
                <w:b w:val="1"/>
                <w:bCs w:val="1"/>
                <w:color w:val="FFFFFF"/>
              </w:rPr>
              <w:t>Committee</w:t>
            </w:r>
          </w:p>
        </w:tc>
        <w:tc>
          <w:tcPr>
            <w:tcW w:w="12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Chair</w:t>
            </w:r>
          </w:p>
        </w:tc>
        <w:tc>
          <w:tcPr>
            <w:tcW w:w="1300" w:type="dxa"/>
            <w:vAlign w:val="bottom"/>
            <w:shd w:val="clear" w:color="auto" w:fill="0067B3"/>
          </w:tcPr>
          <w:p>
            <w:pPr>
              <w:jc w:val="right"/>
              <w:ind w:right="232"/>
              <w:spacing w:after="0"/>
              <w:rPr>
                <w:sz w:val="20"/>
                <w:szCs w:val="20"/>
                <w:color w:val="auto"/>
              </w:rPr>
            </w:pPr>
            <w:r>
              <w:rPr>
                <w:rFonts w:ascii="Arial" w:cs="Arial" w:eastAsia="Arial" w:hAnsi="Arial"/>
                <w:sz w:val="16"/>
                <w:szCs w:val="16"/>
                <w:b w:val="1"/>
                <w:bCs w:val="1"/>
                <w:color w:val="FFFFFF"/>
              </w:rPr>
              <w:t>Member</w:t>
            </w:r>
          </w:p>
        </w:tc>
      </w:tr>
      <w:tr>
        <w:trPr>
          <w:trHeight w:val="250"/>
        </w:trPr>
        <w:tc>
          <w:tcPr>
            <w:tcW w:w="86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Committee</w:t>
            </w:r>
          </w:p>
        </w:tc>
        <w:tc>
          <w:tcPr>
            <w:tcW w:w="126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rPr>
              <w:t>$30,000</w:t>
            </w:r>
          </w:p>
        </w:tc>
        <w:tc>
          <w:tcPr>
            <w:tcW w:w="1300" w:type="dxa"/>
            <w:vAlign w:val="bottom"/>
            <w:tcBorders>
              <w:bottom w:val="single" w:sz="8" w:color="E2E6F4"/>
            </w:tcBorders>
            <w:shd w:val="clear" w:color="auto" w:fill="E2E6F4"/>
          </w:tcPr>
          <w:p>
            <w:pPr>
              <w:jc w:val="right"/>
              <w:ind w:right="252"/>
              <w:spacing w:after="0"/>
              <w:rPr>
                <w:sz w:val="20"/>
                <w:szCs w:val="20"/>
                <w:color w:val="auto"/>
              </w:rPr>
            </w:pPr>
            <w:r>
              <w:rPr>
                <w:rFonts w:ascii="Arial" w:cs="Arial" w:eastAsia="Arial" w:hAnsi="Arial"/>
                <w:sz w:val="18"/>
                <w:szCs w:val="18"/>
                <w:color w:val="auto"/>
              </w:rPr>
              <w:t>$15,000</w:t>
            </w:r>
          </w:p>
        </w:tc>
      </w:tr>
      <w:tr>
        <w:trPr>
          <w:trHeight w:val="247"/>
        </w:trPr>
        <w:tc>
          <w:tcPr>
            <w:tcW w:w="8680" w:type="dxa"/>
            <w:vAlign w:val="bottom"/>
          </w:tcPr>
          <w:p>
            <w:pPr>
              <w:ind w:left="20"/>
              <w:spacing w:after="0"/>
              <w:rPr>
                <w:sz w:val="20"/>
                <w:szCs w:val="20"/>
                <w:color w:val="auto"/>
              </w:rPr>
            </w:pPr>
            <w:r>
              <w:rPr>
                <w:rFonts w:ascii="Arial" w:cs="Arial" w:eastAsia="Arial" w:hAnsi="Arial"/>
                <w:sz w:val="18"/>
                <w:szCs w:val="18"/>
                <w:color w:val="auto"/>
              </w:rPr>
              <w:t>Compensation and Talent Committee</w:t>
            </w:r>
          </w:p>
        </w:tc>
        <w:tc>
          <w:tcPr>
            <w:tcW w:w="1260" w:type="dxa"/>
            <w:vAlign w:val="bottom"/>
          </w:tcPr>
          <w:p>
            <w:pPr>
              <w:jc w:val="center"/>
              <w:spacing w:after="0"/>
              <w:rPr>
                <w:sz w:val="20"/>
                <w:szCs w:val="20"/>
                <w:color w:val="auto"/>
              </w:rPr>
            </w:pPr>
            <w:r>
              <w:rPr>
                <w:rFonts w:ascii="Arial" w:cs="Arial" w:eastAsia="Arial" w:hAnsi="Arial"/>
                <w:sz w:val="18"/>
                <w:szCs w:val="18"/>
                <w:color w:val="auto"/>
              </w:rPr>
              <w:t>$20,000</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$10,000</w:t>
            </w:r>
          </w:p>
        </w:tc>
      </w:tr>
      <w:tr>
        <w:trPr>
          <w:trHeight w:val="23"/>
        </w:trPr>
        <w:tc>
          <w:tcPr>
            <w:tcW w:w="8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6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26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rPr>
              <w:t>$20,000</w:t>
            </w:r>
          </w:p>
        </w:tc>
        <w:tc>
          <w:tcPr>
            <w:tcW w:w="1300" w:type="dxa"/>
            <w:vAlign w:val="bottom"/>
            <w:tcBorders>
              <w:bottom w:val="single" w:sz="8" w:color="E2E6F4"/>
            </w:tcBorders>
            <w:shd w:val="clear" w:color="auto" w:fill="E2E6F4"/>
          </w:tcPr>
          <w:p>
            <w:pPr>
              <w:jc w:val="right"/>
              <w:ind w:right="252"/>
              <w:spacing w:after="0"/>
              <w:rPr>
                <w:sz w:val="20"/>
                <w:szCs w:val="20"/>
                <w:color w:val="auto"/>
              </w:rPr>
            </w:pPr>
            <w:r>
              <w:rPr>
                <w:rFonts w:ascii="Arial" w:cs="Arial" w:eastAsia="Arial" w:hAnsi="Arial"/>
                <w:sz w:val="18"/>
                <w:szCs w:val="18"/>
                <w:color w:val="auto"/>
              </w:rPr>
              <w:t>$10,000</w:t>
            </w:r>
          </w:p>
        </w:tc>
      </w:tr>
      <w:tr>
        <w:trPr>
          <w:trHeight w:val="247"/>
        </w:trPr>
        <w:tc>
          <w:tcPr>
            <w:tcW w:w="8680" w:type="dxa"/>
            <w:vAlign w:val="bottom"/>
          </w:tcPr>
          <w:p>
            <w:pPr>
              <w:ind w:left="20"/>
              <w:spacing w:after="0"/>
              <w:rPr>
                <w:sz w:val="20"/>
                <w:szCs w:val="20"/>
                <w:color w:val="auto"/>
              </w:rPr>
            </w:pPr>
            <w:r>
              <w:rPr>
                <w:rFonts w:ascii="Arial" w:cs="Arial" w:eastAsia="Arial" w:hAnsi="Arial"/>
                <w:sz w:val="18"/>
                <w:szCs w:val="18"/>
                <w:color w:val="auto"/>
              </w:rPr>
              <w:t>Corporate Development Committee</w:t>
            </w:r>
          </w:p>
        </w:tc>
        <w:tc>
          <w:tcPr>
            <w:tcW w:w="1260" w:type="dxa"/>
            <w:vAlign w:val="bottom"/>
          </w:tcPr>
          <w:p>
            <w:pPr>
              <w:jc w:val="center"/>
              <w:spacing w:after="0"/>
              <w:rPr>
                <w:sz w:val="20"/>
                <w:szCs w:val="20"/>
                <w:color w:val="auto"/>
              </w:rPr>
            </w:pPr>
            <w:r>
              <w:rPr>
                <w:rFonts w:ascii="Arial" w:cs="Arial" w:eastAsia="Arial" w:hAnsi="Arial"/>
                <w:sz w:val="18"/>
                <w:szCs w:val="18"/>
                <w:color w:val="auto"/>
              </w:rPr>
              <w:t>$15,000</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$10,000</w:t>
            </w:r>
          </w:p>
        </w:tc>
      </w:tr>
      <w:tr>
        <w:trPr>
          <w:trHeight w:val="23"/>
        </w:trPr>
        <w:tc>
          <w:tcPr>
            <w:tcW w:w="8680" w:type="dxa"/>
            <w:vAlign w:val="bottom"/>
            <w:tcBorders>
              <w:bottom w:val="single" w:sz="8" w:color="0067B3"/>
            </w:tcBorders>
          </w:tcPr>
          <w:p>
            <w:pPr>
              <w:spacing w:after="0"/>
              <w:rPr>
                <w:sz w:val="2"/>
                <w:szCs w:val="2"/>
                <w:color w:val="auto"/>
              </w:rPr>
            </w:pPr>
          </w:p>
        </w:tc>
        <w:tc>
          <w:tcPr>
            <w:tcW w:w="1260" w:type="dxa"/>
            <w:vAlign w:val="bottom"/>
            <w:tcBorders>
              <w:bottom w:val="single" w:sz="8" w:color="0067B3"/>
            </w:tcBorders>
          </w:tcPr>
          <w:p>
            <w:pPr>
              <w:spacing w:after="0"/>
              <w:rPr>
                <w:sz w:val="2"/>
                <w:szCs w:val="2"/>
                <w:color w:val="auto"/>
              </w:rPr>
            </w:pPr>
          </w:p>
        </w:tc>
        <w:tc>
          <w:tcPr>
            <w:tcW w:w="1300" w:type="dxa"/>
            <w:vAlign w:val="bottom"/>
            <w:tcBorders>
              <w:bottom w:val="single" w:sz="8" w:color="0067B3"/>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Equity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Annual Equity Grant</w:t>
            </w:r>
          </w:p>
        </w:tc>
        <w:tc>
          <w:tcPr>
            <w:tcW w:w="5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 Value of Annual Equity</w:t>
            </w:r>
          </w:p>
        </w:tc>
      </w:tr>
      <w:tr>
        <w:trPr>
          <w:trHeight w:val="230"/>
        </w:trPr>
        <w:tc>
          <w:tcPr>
            <w:tcW w:w="5760" w:type="dxa"/>
            <w:vAlign w:val="bottom"/>
            <w:shd w:val="clear" w:color="auto" w:fill="0067B3"/>
          </w:tcPr>
          <w:p>
            <w:pPr>
              <w:spacing w:after="0"/>
              <w:rPr>
                <w:sz w:val="20"/>
                <w:szCs w:val="20"/>
                <w:color w:val="auto"/>
              </w:rPr>
            </w:pPr>
          </w:p>
        </w:tc>
        <w:tc>
          <w:tcPr>
            <w:tcW w:w="5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Grant</w:t>
            </w:r>
          </w:p>
        </w:tc>
      </w:tr>
      <w:tr>
        <w:trPr>
          <w:trHeight w:val="250"/>
        </w:trPr>
        <w:tc>
          <w:tcPr>
            <w:tcW w:w="576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color w:val="auto"/>
              </w:rPr>
              <w:t>Restricted Stock Unit Grant</w:t>
            </w:r>
          </w:p>
        </w:tc>
        <w:tc>
          <w:tcPr>
            <w:tcW w:w="54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$225,000</w:t>
            </w:r>
          </w:p>
        </w:tc>
      </w:tr>
    </w:tbl>
    <w:p>
      <w:pPr>
        <w:spacing w:after="0" w:line="143" w:lineRule="exact"/>
        <w:rPr>
          <w:sz w:val="20"/>
          <w:szCs w:val="20"/>
          <w:color w:val="auto"/>
        </w:rPr>
      </w:pPr>
    </w:p>
    <w:p>
      <w:pPr>
        <w:ind w:left="200" w:right="80" w:hanging="192"/>
        <w:spacing w:after="0" w:line="231" w:lineRule="auto"/>
        <w:tabs>
          <w:tab w:leader="none" w:pos="216"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Mr. Roche, as an employee director, does not receive any additional compensation for his service as a director or as Chair of the Board of Directors.</w:t>
      </w:r>
    </w:p>
    <w:p>
      <w:pPr>
        <w:spacing w:after="0" w:line="33" w:lineRule="exact"/>
        <w:rPr>
          <w:rFonts w:ascii="Arial" w:cs="Arial" w:eastAsia="Arial" w:hAnsi="Arial"/>
          <w:sz w:val="23"/>
          <w:szCs w:val="23"/>
          <w:color w:val="auto"/>
          <w:vertAlign w:val="superscript"/>
        </w:rPr>
      </w:pPr>
    </w:p>
    <w:p>
      <w:pPr>
        <w:ind w:left="220" w:hanging="212"/>
        <w:spacing w:after="0"/>
        <w:tabs>
          <w:tab w:leader="none" w:pos="22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The annual retainer for the Lead Independent Director is in addition to the annual board member retainer.</w:t>
      </w:r>
    </w:p>
    <w:p>
      <w:pPr>
        <w:spacing w:after="0" w:line="62" w:lineRule="exact"/>
        <w:rPr>
          <w:rFonts w:ascii="Arial" w:cs="Arial" w:eastAsia="Arial" w:hAnsi="Arial"/>
          <w:sz w:val="23"/>
          <w:szCs w:val="23"/>
          <w:color w:val="auto"/>
          <w:vertAlign w:val="superscript"/>
        </w:rPr>
      </w:pPr>
    </w:p>
    <w:p>
      <w:pPr>
        <w:ind w:left="220" w:hanging="212"/>
        <w:spacing w:after="0" w:line="200" w:lineRule="auto"/>
        <w:tabs>
          <w:tab w:leader="none" w:pos="22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Committee retainers are cash compensation paid in addition to Board retainer cash compensation.</w:t>
      </w:r>
    </w:p>
    <w:p>
      <w:pPr>
        <w:sectPr>
          <w:pgSz w:w="11900" w:h="16838" w:orient="portrait"/>
          <w:cols w:equalWidth="0" w:num="1">
            <w:col w:w="11240"/>
          </w:cols>
          <w:pgMar w:left="320" w:top="1126" w:right="339" w:bottom="1440" w:gutter="0" w:footer="0" w:header="0"/>
          <w:type w:val="continuous"/>
        </w:sect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42</w:t>
      </w:r>
    </w:p>
    <w:p>
      <w:pPr>
        <w:jc w:val="right"/>
        <w:ind w:right="9120"/>
        <w:spacing w:after="0"/>
        <w:rPr>
          <w:sz w:val="20"/>
          <w:szCs w:val="20"/>
          <w:color w:val="auto"/>
        </w:rPr>
      </w:pPr>
      <w:r>
        <w:rPr>
          <w:rFonts w:ascii="Arial" w:cs="Arial" w:eastAsia="Arial" w:hAnsi="Arial"/>
          <w:sz w:val="16"/>
          <w:szCs w:val="16"/>
          <w:color w:val="6D6E7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41"/>
          <w:szCs w:val="41"/>
          <w:b w:val="1"/>
          <w:bCs w:val="1"/>
          <w:color w:val="0067B3"/>
        </w:rPr>
        <w:t>Fiscal Year 2023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year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shd w:val="clear" w:color="auto" w:fill="0067B3"/>
          </w:tcPr>
          <w:p>
            <w:pPr>
              <w:spacing w:after="0"/>
              <w:rPr>
                <w:sz w:val="17"/>
                <w:szCs w:val="17"/>
                <w:color w:val="auto"/>
              </w:rPr>
            </w:pPr>
          </w:p>
        </w:tc>
        <w:tc>
          <w:tcPr>
            <w:tcW w:w="338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Fees Earned or</w:t>
            </w:r>
          </w:p>
        </w:tc>
        <w:tc>
          <w:tcPr>
            <w:tcW w:w="1260" w:type="dxa"/>
            <w:vAlign w:val="bottom"/>
            <w:shd w:val="clear" w:color="auto" w:fill="0067B3"/>
          </w:tcPr>
          <w:p>
            <w:pPr>
              <w:spacing w:after="0"/>
              <w:rPr>
                <w:sz w:val="17"/>
                <w:szCs w:val="17"/>
                <w:color w:val="auto"/>
              </w:rPr>
            </w:pPr>
          </w:p>
        </w:tc>
        <w:tc>
          <w:tcPr>
            <w:tcW w:w="140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0067B3"/>
          </w:tcPr>
          <w:p>
            <w:pPr>
              <w:spacing w:after="0"/>
              <w:rPr>
                <w:sz w:val="17"/>
                <w:szCs w:val="17"/>
                <w:color w:val="auto"/>
              </w:rPr>
            </w:pPr>
          </w:p>
        </w:tc>
      </w:tr>
      <w:tr>
        <w:trPr>
          <w:trHeight w:val="189"/>
        </w:trPr>
        <w:tc>
          <w:tcPr>
            <w:tcW w:w="4360" w:type="dxa"/>
            <w:vAlign w:val="bottom"/>
            <w:shd w:val="clear" w:color="auto" w:fill="0067B3"/>
          </w:tcPr>
          <w:p>
            <w:pPr>
              <w:spacing w:after="0"/>
              <w:rPr>
                <w:sz w:val="16"/>
                <w:szCs w:val="16"/>
                <w:color w:val="auto"/>
              </w:rPr>
            </w:pPr>
          </w:p>
        </w:tc>
        <w:tc>
          <w:tcPr>
            <w:tcW w:w="338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Paid in Cash</w:t>
            </w:r>
          </w:p>
        </w:tc>
        <w:tc>
          <w:tcPr>
            <w:tcW w:w="12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Stock Awards</w:t>
            </w:r>
          </w:p>
        </w:tc>
        <w:tc>
          <w:tcPr>
            <w:tcW w:w="1400" w:type="dxa"/>
            <w:vAlign w:val="bottom"/>
            <w:shd w:val="clear" w:color="auto" w:fill="0067B3"/>
          </w:tcPr>
          <w:p>
            <w:pPr>
              <w:ind w:left="100"/>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44"/>
        </w:trPr>
        <w:tc>
          <w:tcPr>
            <w:tcW w:w="43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1"/>
                <w:szCs w:val="21"/>
                <w:b w:val="1"/>
                <w:bCs w:val="1"/>
                <w:color w:val="FFFFFF"/>
                <w:vertAlign w:val="superscript"/>
              </w:rPr>
              <w:t>(1)</w:t>
            </w:r>
          </w:p>
        </w:tc>
        <w:tc>
          <w:tcPr>
            <w:tcW w:w="338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260" w:type="dxa"/>
            <w:vAlign w:val="bottom"/>
            <w:shd w:val="clear" w:color="auto" w:fill="0067B3"/>
          </w:tcPr>
          <w:p>
            <w:pPr>
              <w:jc w:val="right"/>
              <w:ind w:right="13"/>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(3)(4)</w:t>
            </w:r>
          </w:p>
        </w:tc>
        <w:tc>
          <w:tcPr>
            <w:tcW w:w="140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70"/>
        </w:trPr>
        <w:tc>
          <w:tcPr>
            <w:tcW w:w="43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r>
              <w:rPr>
                <w:rFonts w:ascii="Arial" w:cs="Arial" w:eastAsia="Arial" w:hAnsi="Arial"/>
                <w:sz w:val="23"/>
                <w:szCs w:val="23"/>
                <w:b w:val="1"/>
                <w:bCs w:val="1"/>
                <w:color w:val="0067B3"/>
                <w:vertAlign w:val="superscript"/>
              </w:rPr>
              <w:t>(5)</w:t>
            </w:r>
          </w:p>
        </w:tc>
        <w:tc>
          <w:tcPr>
            <w:tcW w:w="33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40,342</w:t>
            </w:r>
          </w:p>
        </w:tc>
        <w:tc>
          <w:tcPr>
            <w:tcW w:w="12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167,202</w:t>
            </w:r>
          </w:p>
        </w:tc>
        <w:tc>
          <w:tcPr>
            <w:tcW w:w="1400" w:type="dxa"/>
            <w:vAlign w:val="bottom"/>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207,544</w:t>
            </w:r>
          </w:p>
        </w:tc>
      </w:tr>
      <w:tr>
        <w:trPr>
          <w:trHeight w:val="263"/>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André Andonian</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110,000</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335,019</w:t>
            </w:r>
          </w:p>
        </w:tc>
      </w:tr>
      <w:tr>
        <w:trPr>
          <w:trHeight w:val="278"/>
        </w:trPr>
        <w:tc>
          <w:tcPr>
            <w:tcW w:w="43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p>
        </w:tc>
        <w:tc>
          <w:tcPr>
            <w:tcW w:w="33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150,000</w:t>
            </w:r>
          </w:p>
        </w:tc>
        <w:tc>
          <w:tcPr>
            <w:tcW w:w="12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375,019</w:t>
            </w:r>
          </w:p>
        </w:tc>
      </w:tr>
      <w:tr>
        <w:trPr>
          <w:trHeight w:val="262"/>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Anantha P. Chandrakasan</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113,247</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338,265</w:t>
            </w:r>
          </w:p>
        </w:tc>
      </w:tr>
      <w:tr>
        <w:trPr>
          <w:trHeight w:val="278"/>
        </w:trPr>
        <w:tc>
          <w:tcPr>
            <w:tcW w:w="43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Tunç Doluca</w:t>
            </w:r>
            <w:r>
              <w:rPr>
                <w:rFonts w:ascii="Arial" w:cs="Arial" w:eastAsia="Arial" w:hAnsi="Arial"/>
                <w:sz w:val="23"/>
                <w:szCs w:val="23"/>
                <w:b w:val="1"/>
                <w:bCs w:val="1"/>
                <w:color w:val="0067B3"/>
                <w:vertAlign w:val="superscript"/>
              </w:rPr>
              <w:t>(6)</w:t>
            </w:r>
          </w:p>
        </w:tc>
        <w:tc>
          <w:tcPr>
            <w:tcW w:w="33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32,143</w:t>
            </w:r>
          </w:p>
        </w:tc>
        <w:tc>
          <w:tcPr>
            <w:tcW w:w="12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32,143</w:t>
            </w:r>
          </w:p>
        </w:tc>
      </w:tr>
      <w:tr>
        <w:trPr>
          <w:trHeight w:val="270"/>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Bruce R. Evans</w:t>
            </w:r>
            <w:r>
              <w:rPr>
                <w:rFonts w:ascii="Arial" w:cs="Arial" w:eastAsia="Arial" w:hAnsi="Arial"/>
                <w:sz w:val="23"/>
                <w:szCs w:val="23"/>
                <w:b w:val="1"/>
                <w:bCs w:val="1"/>
                <w:color w:val="0067B3"/>
                <w:vertAlign w:val="superscript"/>
              </w:rPr>
              <w:t>(6)</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41,071</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41,071</w:t>
            </w:r>
          </w:p>
        </w:tc>
      </w:tr>
      <w:tr>
        <w:trPr>
          <w:trHeight w:val="270"/>
        </w:trPr>
        <w:tc>
          <w:tcPr>
            <w:tcW w:w="43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p>
        </w:tc>
        <w:tc>
          <w:tcPr>
            <w:tcW w:w="33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120,637</w:t>
            </w:r>
          </w:p>
        </w:tc>
        <w:tc>
          <w:tcPr>
            <w:tcW w:w="12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345,656</w:t>
            </w:r>
          </w:p>
        </w:tc>
      </w:tr>
      <w:tr>
        <w:trPr>
          <w:trHeight w:val="262"/>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100,000</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325,019</w:t>
            </w:r>
          </w:p>
        </w:tc>
      </w:tr>
      <w:tr>
        <w:trPr>
          <w:trHeight w:val="278"/>
        </w:trPr>
        <w:tc>
          <w:tcPr>
            <w:tcW w:w="43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33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120,000</w:t>
            </w:r>
          </w:p>
        </w:tc>
        <w:tc>
          <w:tcPr>
            <w:tcW w:w="12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345,019</w:t>
            </w:r>
          </w:p>
        </w:tc>
      </w:tr>
      <w:tr>
        <w:trPr>
          <w:trHeight w:val="255"/>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105,000</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330,019</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Kenton J. Sicchitano</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100,000</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325,019</w:t>
            </w:r>
          </w:p>
        </w:tc>
      </w:tr>
      <w:tr>
        <w:trPr>
          <w:trHeight w:val="314"/>
        </w:trPr>
        <w:tc>
          <w:tcPr>
            <w:tcW w:w="4360" w:type="dxa"/>
            <w:vAlign w:val="bottom"/>
          </w:tcPr>
          <w:p>
            <w:pPr>
              <w:ind w:left="20"/>
              <w:spacing w:after="0"/>
              <w:rPr>
                <w:sz w:val="20"/>
                <w:szCs w:val="20"/>
                <w:color w:val="auto"/>
              </w:rPr>
            </w:pPr>
            <w:r>
              <w:rPr>
                <w:rFonts w:ascii="Arial" w:cs="Arial" w:eastAsia="Arial" w:hAnsi="Arial"/>
                <w:sz w:val="18"/>
                <w:szCs w:val="18"/>
                <w:b w:val="1"/>
                <w:bCs w:val="1"/>
                <w:color w:val="0067B3"/>
              </w:rPr>
              <w:t>Ray Stata</w:t>
            </w:r>
          </w:p>
        </w:tc>
        <w:tc>
          <w:tcPr>
            <w:tcW w:w="3380" w:type="dxa"/>
            <w:vAlign w:val="bottom"/>
          </w:tcPr>
          <w:p>
            <w:pPr>
              <w:jc w:val="right"/>
              <w:ind w:right="72"/>
              <w:spacing w:after="0"/>
              <w:rPr>
                <w:sz w:val="20"/>
                <w:szCs w:val="20"/>
                <w:color w:val="auto"/>
              </w:rPr>
            </w:pPr>
            <w:r>
              <w:rPr>
                <w:rFonts w:ascii="Arial" w:cs="Arial" w:eastAsia="Arial" w:hAnsi="Arial"/>
                <w:sz w:val="18"/>
                <w:szCs w:val="18"/>
                <w:color w:val="auto"/>
              </w:rPr>
              <w:t>90,000</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Pr>
          <w:p>
            <w:pPr>
              <w:ind w:left="460"/>
              <w:spacing w:after="0"/>
              <w:rPr>
                <w:sz w:val="20"/>
                <w:szCs w:val="20"/>
                <w:color w:val="auto"/>
              </w:rPr>
            </w:pPr>
            <w:r>
              <w:rPr>
                <w:rFonts w:ascii="Arial" w:cs="Arial" w:eastAsia="Arial" w:hAnsi="Arial"/>
                <w:sz w:val="18"/>
                <w:szCs w:val="18"/>
                <w:color w:val="auto"/>
              </w:rPr>
              <w:t xml:space="preserve">15,893 </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329,693</w:t>
            </w:r>
          </w:p>
        </w:tc>
      </w:tr>
      <w:tr>
        <w:trPr>
          <w:trHeight w:val="267"/>
        </w:trPr>
        <w:tc>
          <w:tcPr>
            <w:tcW w:w="436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3380" w:type="dxa"/>
            <w:vAlign w:val="bottom"/>
            <w:tcBorders>
              <w:bottom w:val="single" w:sz="8" w:color="0067B3"/>
            </w:tcBorders>
            <w:shd w:val="clear" w:color="auto" w:fill="E2E6F4"/>
          </w:tcPr>
          <w:p>
            <w:pPr>
              <w:jc w:val="right"/>
              <w:ind w:right="72"/>
              <w:spacing w:after="0"/>
              <w:rPr>
                <w:sz w:val="20"/>
                <w:szCs w:val="20"/>
                <w:color w:val="auto"/>
              </w:rPr>
            </w:pPr>
            <w:r>
              <w:rPr>
                <w:rFonts w:ascii="Arial" w:cs="Arial" w:eastAsia="Arial" w:hAnsi="Arial"/>
                <w:sz w:val="18"/>
                <w:szCs w:val="18"/>
                <w:color w:val="auto"/>
              </w:rPr>
              <w:t>100,000</w:t>
            </w:r>
          </w:p>
        </w:tc>
        <w:tc>
          <w:tcPr>
            <w:tcW w:w="1260" w:type="dxa"/>
            <w:vAlign w:val="bottom"/>
            <w:tcBorders>
              <w:bottom w:val="single" w:sz="8" w:color="0067B3"/>
            </w:tcBorders>
            <w:shd w:val="clear" w:color="auto" w:fill="E2E6F4"/>
          </w:tcPr>
          <w:p>
            <w:pPr>
              <w:jc w:val="right"/>
              <w:ind w:right="73"/>
              <w:spacing w:after="0"/>
              <w:rPr>
                <w:sz w:val="20"/>
                <w:szCs w:val="20"/>
                <w:color w:val="auto"/>
              </w:rPr>
            </w:pPr>
            <w:r>
              <w:rPr>
                <w:rFonts w:ascii="Arial" w:cs="Arial" w:eastAsia="Arial" w:hAnsi="Arial"/>
                <w:sz w:val="18"/>
                <w:szCs w:val="18"/>
                <w:color w:val="auto"/>
              </w:rPr>
              <w:t>225,019</w:t>
            </w:r>
          </w:p>
        </w:tc>
        <w:tc>
          <w:tcPr>
            <w:tcW w:w="1400" w:type="dxa"/>
            <w:vAlign w:val="bottom"/>
            <w:tcBorders>
              <w:bottom w:val="single" w:sz="8" w:color="0067B3"/>
            </w:tcBorders>
            <w:shd w:val="clear" w:color="auto" w:fill="E2E6F4"/>
          </w:tcPr>
          <w:p>
            <w:pPr>
              <w:ind w:left="7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325,019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8"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Dr. Henry was appointed to the Board of Directors on December 5, 2023 and did not receive any compensation during fiscal year 2023.</w:t>
      </w:r>
    </w:p>
    <w:p>
      <w:pPr>
        <w:spacing w:after="0" w:line="70" w:lineRule="exact"/>
        <w:rPr>
          <w:rFonts w:ascii="Arial" w:cs="Arial" w:eastAsia="Arial" w:hAnsi="Arial"/>
          <w:sz w:val="21"/>
          <w:szCs w:val="21"/>
          <w:color w:val="auto"/>
          <w:vertAlign w:val="superscript"/>
        </w:rPr>
      </w:pPr>
    </w:p>
    <w:p>
      <w:pPr>
        <w:ind w:left="200" w:right="80" w:hanging="192"/>
        <w:spacing w:after="0" w:line="235" w:lineRule="auto"/>
        <w:tabs>
          <w:tab w:leader="none" w:pos="215"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 xml:space="preserve">All cash retainers are paid in quarterly installments on the 15th day of December, March, June, and September of each fiscal year and are pro-rated for a partial year of service. Each director can elect to defer receipt of his or her fees under our Deferred Compensation Plan (DCP). For more information relating to our DCP, see </w:t>
      </w:r>
      <w:r>
        <w:rPr>
          <w:rFonts w:ascii="Arial" w:cs="Arial" w:eastAsia="Arial" w:hAnsi="Arial"/>
          <w:sz w:val="16"/>
          <w:szCs w:val="16"/>
          <w:i w:val="1"/>
          <w:iCs w:val="1"/>
          <w:color w:val="auto"/>
        </w:rPr>
        <w:t>Compensation Tables—Non-Qualified Deferred Compensation Plan</w:t>
      </w:r>
      <w:r>
        <w:rPr>
          <w:rFonts w:ascii="Arial" w:cs="Arial" w:eastAsia="Arial" w:hAnsi="Arial"/>
          <w:sz w:val="16"/>
          <w:szCs w:val="16"/>
          <w:color w:val="auto"/>
        </w:rPr>
        <w:t xml:space="preserve"> below. Drs. Frank and Glimcher elected to defer receipt of their fees under the DCP in fiscal year 2023.</w:t>
      </w:r>
    </w:p>
    <w:p>
      <w:pPr>
        <w:spacing w:after="0" w:line="58" w:lineRule="exact"/>
        <w:rPr>
          <w:rFonts w:ascii="Arial" w:cs="Arial" w:eastAsia="Arial" w:hAnsi="Arial"/>
          <w:sz w:val="21"/>
          <w:szCs w:val="21"/>
          <w:color w:val="auto"/>
          <w:vertAlign w:val="superscript"/>
        </w:rPr>
      </w:pPr>
    </w:p>
    <w:p>
      <w:pPr>
        <w:ind w:left="200" w:right="160" w:hanging="192"/>
        <w:spacing w:after="0" w:line="227" w:lineRule="auto"/>
        <w:tabs>
          <w:tab w:leader="none" w:pos="215"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These amounts represent the aggregate grant date fair value of awards for grants of RSUs to each listed director in fiscal year 2023. These amounts do not represent the actual amounts paid to or realized by the directors during fiscal year 2023.</w:t>
      </w:r>
    </w:p>
    <w:p>
      <w:pPr>
        <w:spacing w:after="0" w:line="56" w:lineRule="exact"/>
        <w:rPr>
          <w:rFonts w:ascii="Arial" w:cs="Arial" w:eastAsia="Arial" w:hAnsi="Arial"/>
          <w:sz w:val="21"/>
          <w:szCs w:val="21"/>
          <w:color w:val="auto"/>
          <w:vertAlign w:val="superscript"/>
        </w:rPr>
      </w:pPr>
    </w:p>
    <w:p>
      <w:pPr>
        <w:ind w:left="200" w:right="700" w:hanging="192"/>
        <w:spacing w:after="0" w:line="235" w:lineRule="auto"/>
        <w:tabs>
          <w:tab w:leader="none" w:pos="215"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The aggregate number of stock options and RSUs outstanding held by each non-employee director (representing unexercised stock options and unvested RSUs) at October 28, 2023 is as follows:</w:t>
      </w:r>
    </w:p>
    <w:p>
      <w:pPr>
        <w:spacing w:after="0" w:line="84"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4660" w:type="dxa"/>
            <w:vAlign w:val="bottom"/>
            <w:shd w:val="clear" w:color="auto" w:fill="0067B3"/>
          </w:tcPr>
          <w:p>
            <w:pPr>
              <w:spacing w:after="0"/>
              <w:rPr>
                <w:sz w:val="16"/>
                <w:szCs w:val="16"/>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Number of Shares Subject</w:t>
            </w:r>
          </w:p>
        </w:tc>
        <w:tc>
          <w:tcPr>
            <w:tcW w:w="164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60" w:type="dxa"/>
            <w:vAlign w:val="bottom"/>
            <w:shd w:val="clear" w:color="auto" w:fill="0067B3"/>
          </w:tcPr>
          <w:p>
            <w:pPr>
              <w:spacing w:after="0"/>
              <w:rPr>
                <w:sz w:val="15"/>
                <w:szCs w:val="15"/>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to Option Awards Held as</w:t>
            </w:r>
          </w:p>
        </w:tc>
        <w:tc>
          <w:tcPr>
            <w:tcW w:w="16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Number of RSUs that</w:t>
            </w:r>
          </w:p>
        </w:tc>
        <w:tc>
          <w:tcPr>
            <w:tcW w:w="0" w:type="dxa"/>
            <w:vAlign w:val="bottom"/>
          </w:tcPr>
          <w:p>
            <w:pPr>
              <w:spacing w:after="0"/>
              <w:rPr>
                <w:sz w:val="1"/>
                <w:szCs w:val="1"/>
                <w:color w:val="auto"/>
              </w:rPr>
            </w:pPr>
          </w:p>
        </w:tc>
      </w:tr>
      <w:tr>
        <w:trPr>
          <w:trHeight w:val="175"/>
        </w:trPr>
        <w:tc>
          <w:tcPr>
            <w:tcW w:w="4660" w:type="dxa"/>
            <w:vAlign w:val="bottom"/>
            <w:vMerge w:val="restart"/>
            <w:shd w:val="clear" w:color="auto" w:fill="0067B3"/>
          </w:tcPr>
          <w:p>
            <w:pPr>
              <w:spacing w:after="0"/>
              <w:rPr>
                <w:sz w:val="20"/>
                <w:szCs w:val="20"/>
                <w:color w:val="auto"/>
              </w:rPr>
            </w:pPr>
            <w:r>
              <w:rPr>
                <w:rFonts w:ascii="Arial" w:cs="Arial" w:eastAsia="Arial" w:hAnsi="Arial"/>
                <w:sz w:val="14"/>
                <w:szCs w:val="14"/>
                <w:b w:val="1"/>
                <w:bCs w:val="1"/>
                <w:color w:val="FFFFFF"/>
              </w:rPr>
              <w:t>Name</w:t>
            </w: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of</w:t>
            </w:r>
          </w:p>
        </w:tc>
        <w:tc>
          <w:tcPr>
            <w:tcW w:w="16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have not Vested as of</w:t>
            </w:r>
          </w:p>
        </w:tc>
        <w:tc>
          <w:tcPr>
            <w:tcW w:w="0" w:type="dxa"/>
            <w:vAlign w:val="bottom"/>
          </w:tcPr>
          <w:p>
            <w:pPr>
              <w:spacing w:after="0"/>
              <w:rPr>
                <w:sz w:val="1"/>
                <w:szCs w:val="1"/>
                <w:color w:val="auto"/>
              </w:rPr>
            </w:pPr>
          </w:p>
        </w:tc>
      </w:tr>
      <w:tr>
        <w:trPr>
          <w:trHeight w:val="198"/>
        </w:trPr>
        <w:tc>
          <w:tcPr>
            <w:tcW w:w="4660" w:type="dxa"/>
            <w:vAlign w:val="bottom"/>
            <w:vMerge w:val="continue"/>
            <w:shd w:val="clear" w:color="auto" w:fill="0067B3"/>
          </w:tcPr>
          <w:p>
            <w:pPr>
              <w:spacing w:after="0"/>
              <w:rPr>
                <w:sz w:val="17"/>
                <w:szCs w:val="17"/>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October 28, 2023</w:t>
            </w:r>
          </w:p>
        </w:tc>
        <w:tc>
          <w:tcPr>
            <w:tcW w:w="16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October 28, 2023</w:t>
            </w:r>
          </w:p>
        </w:tc>
        <w:tc>
          <w:tcPr>
            <w:tcW w:w="0" w:type="dxa"/>
            <w:vAlign w:val="bottom"/>
          </w:tcPr>
          <w:p>
            <w:pPr>
              <w:spacing w:after="0"/>
              <w:rPr>
                <w:sz w:val="1"/>
                <w:szCs w:val="1"/>
                <w:color w:val="auto"/>
              </w:rPr>
            </w:pPr>
          </w:p>
        </w:tc>
      </w:tr>
      <w:tr>
        <w:trPr>
          <w:trHeight w:val="243"/>
        </w:trPr>
        <w:tc>
          <w:tcPr>
            <w:tcW w:w="4660" w:type="dxa"/>
            <w:vAlign w:val="bottom"/>
            <w:shd w:val="clear" w:color="auto" w:fill="E2E6F4"/>
          </w:tcPr>
          <w:p>
            <w:pPr>
              <w:spacing w:after="0"/>
              <w:rPr>
                <w:sz w:val="20"/>
                <w:szCs w:val="20"/>
                <w:color w:val="auto"/>
              </w:rPr>
            </w:pPr>
            <w:r>
              <w:rPr>
                <w:rFonts w:ascii="Arial" w:cs="Arial" w:eastAsia="Arial" w:hAnsi="Arial"/>
                <w:sz w:val="15"/>
                <w:szCs w:val="15"/>
                <w:b w:val="1"/>
                <w:bCs w:val="1"/>
                <w:color w:val="0067B3"/>
              </w:rPr>
              <w:t>Stephen M. Jennings</w:t>
            </w:r>
            <w:r>
              <w:rPr>
                <w:rFonts w:ascii="Arial" w:cs="Arial" w:eastAsia="Arial" w:hAnsi="Arial"/>
                <w:sz w:val="19"/>
                <w:szCs w:val="19"/>
                <w:b w:val="1"/>
                <w:bCs w:val="1"/>
                <w:color w:val="0067B3"/>
                <w:vertAlign w:val="superscript"/>
              </w:rPr>
              <w:t>(a)</w:t>
            </w:r>
          </w:p>
        </w:tc>
        <w:tc>
          <w:tcPr>
            <w:tcW w:w="468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shd w:val="clear" w:color="auto" w:fill="E2E6F4"/>
          </w:tcPr>
          <w:p>
            <w:pPr>
              <w:jc w:val="right"/>
              <w:spacing w:after="0"/>
              <w:rPr>
                <w:sz w:val="20"/>
                <w:szCs w:val="20"/>
                <w:color w:val="auto"/>
              </w:rPr>
            </w:pPr>
            <w:r>
              <w:rPr>
                <w:rFonts w:ascii="Arial" w:cs="Arial" w:eastAsia="Arial" w:hAnsi="Arial"/>
                <w:sz w:val="15"/>
                <w:szCs w:val="15"/>
                <w:color w:val="auto"/>
              </w:rPr>
              <w:t>888</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André Andonian</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James A. Champy</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16,100</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Anantha P. Chandrakasan</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E2E6F4"/>
          </w:tcPr>
          <w:p>
            <w:pPr>
              <w:spacing w:after="0"/>
              <w:rPr>
                <w:sz w:val="20"/>
                <w:szCs w:val="20"/>
                <w:color w:val="auto"/>
              </w:rPr>
            </w:pPr>
            <w:r>
              <w:rPr>
                <w:rFonts w:ascii="Arial" w:cs="Arial" w:eastAsia="Arial" w:hAnsi="Arial"/>
                <w:sz w:val="15"/>
                <w:szCs w:val="15"/>
                <w:b w:val="1"/>
                <w:bCs w:val="1"/>
                <w:color w:val="0067B3"/>
              </w:rPr>
              <w:t>Tunç Doluca</w:t>
            </w:r>
            <w:r>
              <w:rPr>
                <w:rFonts w:ascii="Arial" w:cs="Arial" w:eastAsia="Arial" w:hAnsi="Arial"/>
                <w:sz w:val="19"/>
                <w:szCs w:val="19"/>
                <w:b w:val="1"/>
                <w:bCs w:val="1"/>
                <w:color w:val="0067B3"/>
                <w:vertAlign w:val="superscript"/>
              </w:rPr>
              <w:t>(b)</w:t>
            </w:r>
          </w:p>
        </w:tc>
        <w:tc>
          <w:tcPr>
            <w:tcW w:w="468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5"/>
                <w:szCs w:val="15"/>
                <w:b w:val="1"/>
                <w:bCs w:val="1"/>
                <w:color w:val="0067B3"/>
              </w:rPr>
              <w:t>Bruce R. Evans</w:t>
            </w:r>
            <w:r>
              <w:rPr>
                <w:rFonts w:ascii="Arial" w:cs="Arial" w:eastAsia="Arial" w:hAnsi="Arial"/>
                <w:sz w:val="19"/>
                <w:szCs w:val="19"/>
                <w:b w:val="1"/>
                <w:bCs w:val="1"/>
                <w:color w:val="0067B3"/>
                <w:vertAlign w:val="superscript"/>
              </w:rPr>
              <w:t>(b)</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Edward H. Frank</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Laurie H. Glimcher</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Karen M. Golz</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Mercedes Johnson</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Kenton J. Sicchitano</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7,640</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Ray Stata</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25,760</w:t>
            </w:r>
          </w:p>
        </w:tc>
        <w:tc>
          <w:tcPr>
            <w:tcW w:w="1640" w:type="dxa"/>
            <w:vAlign w:val="bottom"/>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Susie Wee</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1,228</w:t>
            </w:r>
          </w:p>
        </w:tc>
        <w:tc>
          <w:tcPr>
            <w:tcW w:w="0" w:type="dxa"/>
            <w:vAlign w:val="bottom"/>
          </w:tcPr>
          <w:p>
            <w:pPr>
              <w:spacing w:after="0"/>
              <w:rPr>
                <w:sz w:val="1"/>
                <w:szCs w:val="1"/>
                <w:color w:val="auto"/>
              </w:rPr>
            </w:pPr>
          </w:p>
        </w:tc>
      </w:tr>
      <w:tr>
        <w:trPr>
          <w:trHeight w:val="20"/>
        </w:trPr>
        <w:tc>
          <w:tcPr>
            <w:tcW w:w="4660" w:type="dxa"/>
            <w:vAlign w:val="bottom"/>
            <w:shd w:val="clear" w:color="auto" w:fill="0067B3"/>
          </w:tcPr>
          <w:p>
            <w:pPr>
              <w:spacing w:after="0" w:line="20" w:lineRule="exact"/>
              <w:rPr>
                <w:sz w:val="1"/>
                <w:szCs w:val="1"/>
                <w:color w:val="auto"/>
              </w:rPr>
            </w:pPr>
          </w:p>
        </w:tc>
        <w:tc>
          <w:tcPr>
            <w:tcW w:w="4680" w:type="dxa"/>
            <w:vAlign w:val="bottom"/>
            <w:shd w:val="clear" w:color="auto" w:fill="0067B3"/>
          </w:tcPr>
          <w:p>
            <w:pPr>
              <w:spacing w:after="0" w:line="20" w:lineRule="exact"/>
              <w:rPr>
                <w:sz w:val="1"/>
                <w:szCs w:val="1"/>
                <w:color w:val="auto"/>
              </w:rPr>
            </w:pPr>
          </w:p>
        </w:tc>
        <w:tc>
          <w:tcPr>
            <w:tcW w:w="164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0" w:right="200" w:hanging="198"/>
        <w:spacing w:after="0" w:line="235" w:lineRule="auto"/>
        <w:tabs>
          <w:tab w:leader="none" w:pos="415" w:val="left"/>
        </w:tabs>
        <w:numPr>
          <w:ilvl w:val="1"/>
          <w:numId w:val="76"/>
        </w:numPr>
        <w:rPr>
          <w:rFonts w:ascii="Arial" w:cs="Arial" w:eastAsia="Arial" w:hAnsi="Arial"/>
          <w:sz w:val="21"/>
          <w:szCs w:val="21"/>
          <w:color w:val="auto"/>
          <w:vertAlign w:val="superscript"/>
        </w:rPr>
      </w:pPr>
      <w:r>
        <w:rPr>
          <w:rFonts w:ascii="Arial" w:cs="Arial" w:eastAsia="Arial" w:hAnsi="Arial"/>
          <w:sz w:val="16"/>
          <w:szCs w:val="16"/>
          <w:color w:val="auto"/>
        </w:rPr>
        <w:t>Mr. Jennings joined our Board of Directors on June 4, 2023, and in accordance with our Equity Award Grant Date Policy, was granted an RSU award pro-rated for his service from June 4, 2023 through our Annual Meeting on March 13, 2024.</w:t>
      </w:r>
    </w:p>
    <w:p>
      <w:pPr>
        <w:spacing w:after="0" w:line="15" w:lineRule="exact"/>
        <w:rPr>
          <w:rFonts w:ascii="Arial" w:cs="Arial" w:eastAsia="Arial" w:hAnsi="Arial"/>
          <w:sz w:val="21"/>
          <w:szCs w:val="21"/>
          <w:color w:val="auto"/>
          <w:vertAlign w:val="superscript"/>
        </w:rPr>
      </w:pPr>
    </w:p>
    <w:p>
      <w:pPr>
        <w:ind w:left="420" w:hanging="218"/>
        <w:spacing w:after="0"/>
        <w:tabs>
          <w:tab w:leader="none" w:pos="420" w:val="left"/>
        </w:tabs>
        <w:numPr>
          <w:ilvl w:val="1"/>
          <w:numId w:val="76"/>
        </w:numPr>
        <w:rPr>
          <w:rFonts w:ascii="Arial" w:cs="Arial" w:eastAsia="Arial" w:hAnsi="Arial"/>
          <w:sz w:val="21"/>
          <w:szCs w:val="21"/>
          <w:color w:val="auto"/>
          <w:vertAlign w:val="superscript"/>
        </w:rPr>
      </w:pPr>
      <w:r>
        <w:rPr>
          <w:rFonts w:ascii="Arial" w:cs="Arial" w:eastAsia="Arial" w:hAnsi="Arial"/>
          <w:sz w:val="16"/>
          <w:szCs w:val="16"/>
          <w:color w:val="auto"/>
        </w:rPr>
        <w:t>Messrs. Doluca and Evans served on our Board of Directors until their retirement on March 8, 2023.</w:t>
      </w:r>
    </w:p>
    <w:p>
      <w:pPr>
        <w:spacing w:after="0" w:line="95" w:lineRule="exact"/>
        <w:rPr>
          <w:rFonts w:ascii="Arial" w:cs="Arial" w:eastAsia="Arial" w:hAnsi="Arial"/>
          <w:sz w:val="21"/>
          <w:szCs w:val="21"/>
          <w:color w:val="auto"/>
          <w:vertAlign w:val="superscript"/>
        </w:rPr>
      </w:pPr>
    </w:p>
    <w:p>
      <w:pPr>
        <w:ind w:left="200" w:right="100" w:hanging="192"/>
        <w:spacing w:after="0" w:line="227" w:lineRule="auto"/>
        <w:tabs>
          <w:tab w:leader="none" w:pos="215"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Mr. Jennings joined our Board of Directors on June 4, 2023 and in accordance with our Equity Award Grant Date Policy, was granted an RSU award pro-rated for his service from June 4, 2023 through our Annual Meeting on March 13, 2024.</w:t>
      </w:r>
    </w:p>
    <w:p>
      <w:pPr>
        <w:spacing w:after="0" w:line="34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55" w:name="page56"/>
    <w:bookmarkEnd w:id="55"/>
    <w:p>
      <w:pPr>
        <w:ind w:left="220" w:hanging="212"/>
        <w:spacing w:after="0"/>
        <w:tabs>
          <w:tab w:leader="none" w:pos="22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Messrs. Doluca and Evans served on our Board of Directors until their retirement on March 8, 2023.</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The amount represents payment of medical and dental insurance premiums on behalf of Mr. Stata and his spouse.</w:t>
      </w:r>
    </w:p>
    <w:p>
      <w:pPr>
        <w:spacing w:after="0" w:line="6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For the grants of RSUs made to our non-employee directors on March 8, 2023, the risk free rate was 5.25%, the dividend yield was 1.84% and the grant date fair value per share was $183.24. For the grants of RSUs made to our non-employee director on July 17, 2023, the risk free rate was 4.02%, the dividend yield was 1.75% and the grant date fair value per share was $188.29. 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and Management’s Discussion and Analysis of Financial Condition and Results of Operations—Critical Accounting Policies and Estimates—Stock-Based Compensation, included in our Annual Report on Form 10-K for the year ended October 28,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also reimbursed our directors for travel to Board of Directors’ meetings and other related expenses.</w:t>
      </w:r>
    </w:p>
    <w:p>
      <w:pPr>
        <w:spacing w:after="0" w:line="30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Stock Ownership Guidelines for Non-Employee Directors</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gridSpan w:val="2"/>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980" w:type="dxa"/>
            <w:vAlign w:val="bottom"/>
            <w:gridSpan w:val="2"/>
            <w:shd w:val="clear" w:color="auto" w:fill="0067B3"/>
          </w:tcPr>
          <w:p>
            <w:pPr>
              <w:ind w:left="74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50"/>
        </w:trPr>
        <w:tc>
          <w:tcPr>
            <w:tcW w:w="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Time-based RSUs (whether or not vested)</w:t>
            </w:r>
          </w:p>
        </w:tc>
        <w:tc>
          <w:tcPr>
            <w:tcW w:w="84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Shares subject to unexercised options, whether or not vested</w:t>
            </w:r>
          </w:p>
        </w:tc>
      </w:tr>
      <w:tr>
        <w:trPr>
          <w:trHeight w:val="247"/>
        </w:trPr>
        <w:tc>
          <w:tcPr>
            <w:tcW w:w="140" w:type="dxa"/>
            <w:vAlign w:val="bottom"/>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Pr>
          <w:p>
            <w:pPr>
              <w:ind w:left="40"/>
              <w:spacing w:after="0"/>
              <w:rPr>
                <w:sz w:val="20"/>
                <w:szCs w:val="20"/>
                <w:color w:val="auto"/>
              </w:rPr>
            </w:pPr>
            <w:r>
              <w:rPr>
                <w:rFonts w:ascii="Arial" w:cs="Arial" w:eastAsia="Arial" w:hAnsi="Arial"/>
                <w:sz w:val="18"/>
                <w:szCs w:val="18"/>
                <w:color w:val="auto"/>
              </w:rPr>
              <w:t>Restricted stock (whether or not vested)</w:t>
            </w:r>
          </w:p>
        </w:tc>
        <w:tc>
          <w:tcPr>
            <w:tcW w:w="840" w:type="dxa"/>
            <w:vAlign w:val="bottom"/>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Pr>
          <w:p>
            <w:pPr>
              <w:ind w:left="40"/>
              <w:spacing w:after="0"/>
              <w:rPr>
                <w:sz w:val="20"/>
                <w:szCs w:val="20"/>
                <w:color w:val="auto"/>
              </w:rPr>
            </w:pPr>
            <w:r>
              <w:rPr>
                <w:rFonts w:ascii="Arial" w:cs="Arial" w:eastAsia="Arial" w:hAnsi="Arial"/>
                <w:sz w:val="18"/>
                <w:szCs w:val="18"/>
                <w:color w:val="auto"/>
              </w:rPr>
              <w:t>Any shares that have been pledged as collateral for a loan</w:t>
            </w:r>
          </w:p>
        </w:tc>
      </w:tr>
      <w:tr>
        <w:trPr>
          <w:trHeight w:val="23"/>
        </w:trPr>
        <w:tc>
          <w:tcPr>
            <w:tcW w:w="140" w:type="dxa"/>
            <w:vAlign w:val="bottom"/>
            <w:tcBorders>
              <w:bottom w:val="single" w:sz="8" w:color="0067B3"/>
            </w:tcBorders>
          </w:tcPr>
          <w:p>
            <w:pPr>
              <w:spacing w:after="0"/>
              <w:rPr>
                <w:sz w:val="2"/>
                <w:szCs w:val="2"/>
                <w:color w:val="auto"/>
              </w:rPr>
            </w:pPr>
          </w:p>
        </w:tc>
        <w:tc>
          <w:tcPr>
            <w:tcW w:w="4120" w:type="dxa"/>
            <w:vAlign w:val="bottom"/>
            <w:tcBorders>
              <w:bottom w:val="single" w:sz="8" w:color="0067B3"/>
            </w:tcBorders>
          </w:tcPr>
          <w:p>
            <w:pPr>
              <w:spacing w:after="0"/>
              <w:rPr>
                <w:sz w:val="2"/>
                <w:szCs w:val="2"/>
                <w:color w:val="auto"/>
              </w:rPr>
            </w:pPr>
          </w:p>
        </w:tc>
        <w:tc>
          <w:tcPr>
            <w:tcW w:w="840" w:type="dxa"/>
            <w:vAlign w:val="bottom"/>
            <w:tcBorders>
              <w:bottom w:val="single" w:sz="8" w:color="0067B3"/>
            </w:tcBorders>
          </w:tcPr>
          <w:p>
            <w:pPr>
              <w:spacing w:after="0"/>
              <w:rPr>
                <w:sz w:val="2"/>
                <w:szCs w:val="2"/>
                <w:color w:val="auto"/>
              </w:rPr>
            </w:pPr>
          </w:p>
        </w:tc>
        <w:tc>
          <w:tcPr>
            <w:tcW w:w="614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our non-employee directors, other than Messrs. Andonian and Jennings, who were appointed to the Board of Directors in fiscal year 2022 and 2023, respectively, were in compliance with our stock ownership guidelines as of the end of fiscal year 2023. Dr. Henry was appointed to the Board of Directors on December 5, 2023 and was not subject to our stock ownership guidelines as of the end of fiscal year 2023. Each of Messrs. Andonian and Jennings and Dr. Henry are expected to be in compliance with our stock ownership guidelines within the first four years of his appointment to the Board of Directors.</w:t>
      </w:r>
    </w:p>
    <w:p>
      <w:pPr>
        <w:spacing w:after="0" w:line="254" w:lineRule="exact"/>
        <w:rPr>
          <w:sz w:val="20"/>
          <w:szCs w:val="20"/>
          <w:color w:val="auto"/>
        </w:rPr>
      </w:pPr>
    </w:p>
    <w:p>
      <w:pPr>
        <w:ind w:right="4360"/>
        <w:spacing w:after="0" w:line="276" w:lineRule="auto"/>
        <w:rPr>
          <w:sz w:val="20"/>
          <w:szCs w:val="20"/>
          <w:color w:val="auto"/>
        </w:rPr>
      </w:pPr>
      <w:r>
        <w:rPr>
          <w:rFonts w:ascii="Arial" w:cs="Arial" w:eastAsia="Arial" w:hAnsi="Arial"/>
          <w:sz w:val="41"/>
          <w:szCs w:val="41"/>
          <w:b w:val="1"/>
          <w:bCs w:val="1"/>
          <w:color w:val="0067B3"/>
        </w:rPr>
        <w:t>Equity Award Grant Date Policy for Non-Employee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2023, our Equity Award Grant Date Policy for non-employee directors provided for the following:</w:t>
      </w:r>
    </w:p>
    <w:p>
      <w:pPr>
        <w:spacing w:after="0" w:line="117" w:lineRule="exact"/>
        <w:rPr>
          <w:sz w:val="20"/>
          <w:szCs w:val="20"/>
          <w:color w:val="auto"/>
        </w:rPr>
      </w:pPr>
    </w:p>
    <w:p>
      <w:pPr>
        <w:ind w:left="200" w:right="20" w:hanging="192"/>
        <w:spacing w:after="0" w:line="291" w:lineRule="auto"/>
        <w:tabs>
          <w:tab w:leader="none" w:pos="157" w:val="left"/>
        </w:tabs>
        <w:numPr>
          <w:ilvl w:val="0"/>
          <w:numId w:val="79"/>
        </w:numPr>
        <w:rPr>
          <w:rFonts w:ascii="Arial" w:cs="Arial" w:eastAsia="Arial" w:hAnsi="Arial"/>
          <w:sz w:val="12"/>
          <w:szCs w:val="12"/>
          <w:color w:val="0067B3"/>
        </w:rPr>
      </w:pPr>
      <w:r>
        <w:rPr>
          <w:rFonts w:ascii="Arial" w:cs="Arial" w:eastAsia="Arial" w:hAnsi="Arial"/>
          <w:sz w:val="17"/>
          <w:szCs w:val="17"/>
          <w:color w:val="auto"/>
        </w:rPr>
        <w:t>Each newly elected non-employee director elected other than at an annual meeting of shareholders is granted under the 2020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4" w:lineRule="exact"/>
        <w:rPr>
          <w:rFonts w:ascii="Arial" w:cs="Arial" w:eastAsia="Arial" w:hAnsi="Arial"/>
          <w:sz w:val="12"/>
          <w:szCs w:val="12"/>
          <w:color w:val="0067B3"/>
        </w:rPr>
      </w:pPr>
    </w:p>
    <w:p>
      <w:pPr>
        <w:ind w:left="200" w:right="40" w:hanging="192"/>
        <w:spacing w:after="0" w:line="268" w:lineRule="auto"/>
        <w:tabs>
          <w:tab w:leader="none" w:pos="157" w:val="left"/>
        </w:tabs>
        <w:numPr>
          <w:ilvl w:val="0"/>
          <w:numId w:val="79"/>
        </w:numPr>
        <w:rPr>
          <w:rFonts w:ascii="Arial" w:cs="Arial" w:eastAsia="Arial" w:hAnsi="Arial"/>
          <w:sz w:val="13"/>
          <w:szCs w:val="13"/>
          <w:color w:val="0067B3"/>
        </w:rPr>
      </w:pPr>
      <w:r>
        <w:rPr>
          <w:rFonts w:ascii="Arial" w:cs="Arial" w:eastAsia="Arial" w:hAnsi="Arial"/>
          <w:sz w:val="18"/>
          <w:szCs w:val="18"/>
          <w:color w:val="auto"/>
        </w:rPr>
        <w:t>On an annual basis, each non-employee director elected or re-elected at an annual meeting of shareholders is granted under the 2020 Plan an RSU award for a number of shares of our common stock approved by the Board of Directors, on the date of our annual meeting of shareholders, or if Nasdaq is closed on that day, the next succeeding business day that Nasdaq is open.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fiscal year 2023, RSUs granted to our non-employee directors under the 2020 Plan vest on the earlier of the date of the Annual Meeting and the first anniversary of the date of grant, subject to acceleration as described below.</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RSU awards vest in full upon the occurrence of a Change in Control Event (as defined in the 2020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44</w:t>
      </w:r>
    </w:p>
    <w:p>
      <w:pPr>
        <w:ind w:left="480"/>
        <w:spacing w:after="0"/>
        <w:rPr>
          <w:sz w:val="20"/>
          <w:szCs w:val="20"/>
          <w:color w:val="auto"/>
        </w:rPr>
      </w:pPr>
      <w:r>
        <w:rPr>
          <w:rFonts w:ascii="Arial" w:cs="Arial" w:eastAsia="Arial" w:hAnsi="Arial"/>
          <w:sz w:val="16"/>
          <w:szCs w:val="16"/>
          <w:color w:val="6D6E7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6" w:name="page57"/>
    <w:bookmarkEnd w:id="56"/>
    <w:p>
      <w:pPr>
        <w:spacing w:after="0"/>
        <w:rPr>
          <w:sz w:val="20"/>
          <w:szCs w:val="20"/>
          <w:color w:val="auto"/>
        </w:rPr>
      </w:pPr>
      <w:r>
        <w:rPr>
          <w:rFonts w:ascii="Arial" w:cs="Arial" w:eastAsia="Arial" w:hAnsi="Arial"/>
          <w:sz w:val="58"/>
          <w:szCs w:val="58"/>
          <w:color w:val="auto"/>
        </w:rPr>
        <w:t>Leadership Team</w:t>
      </w:r>
    </w:p>
    <w:p>
      <w:pPr>
        <w:spacing w:after="0" w:line="200" w:lineRule="exact"/>
        <w:rPr>
          <w:sz w:val="20"/>
          <w:szCs w:val="20"/>
          <w:color w:val="auto"/>
        </w:rPr>
      </w:pPr>
    </w:p>
    <w:p>
      <w:pPr>
        <w:spacing w:after="0" w:line="29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following table sets forth (i) the name, age, and position of our CEO and other members of our Leadership Team as of January 19, 2024 and (ii) the business experience of each person named in the table during at least the past five years. There is no family relationship among any of our executive officers. Each of Messrs. Roche, Bryant, Jain, and Mollica and Ms. Sacks are executive officers as defined by Rule 3b-7 of the Exchange Act. In addition, throughout fiscal year 2023, Prashanth Mahendra-Rajah, who served as our Executive Vice President, Finance and Chief Financial Officer until October 28, 2023, was an executive officer as defined by Rule 3b-7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VINCENT ROCHE, 63, </w:t>
      </w:r>
      <w:r>
        <w:rPr>
          <w:rFonts w:ascii="Arial" w:cs="Arial" w:eastAsia="Arial" w:hAnsi="Arial"/>
          <w:sz w:val="16"/>
          <w:szCs w:val="16"/>
          <w:color w:val="0067B3"/>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951230" cy="9512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39" w:lineRule="exact"/>
        <w:rPr>
          <w:sz w:val="20"/>
          <w:szCs w:val="20"/>
          <w:color w:val="auto"/>
        </w:rPr>
      </w:pPr>
    </w:p>
    <w:p>
      <w:pPr>
        <w:ind w:left="2000" w:right="160"/>
        <w:spacing w:after="0" w:line="251" w:lineRule="auto"/>
        <w:rPr>
          <w:sz w:val="20"/>
          <w:szCs w:val="20"/>
          <w:color w:val="auto"/>
        </w:rPr>
      </w:pPr>
      <w:r>
        <w:rPr>
          <w:rFonts w:ascii="Arial" w:cs="Arial" w:eastAsia="Arial" w:hAnsi="Arial"/>
          <w:sz w:val="16"/>
          <w:szCs w:val="16"/>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30-year tenure. Mr. Roche was recognized by Forbes in 2019 as one of America’s Most Innovative Leaders while also being a recipient of the 2021 SFI St. Patrick’s Day Science Medal for his contributions in support of the ecosystems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JANENE ASGEIRSSON, 53, </w:t>
      </w:r>
      <w:r>
        <w:rPr>
          <w:rFonts w:ascii="Arial" w:cs="Arial" w:eastAsia="Arial" w:hAnsi="Arial"/>
          <w:sz w:val="16"/>
          <w:szCs w:val="16"/>
          <w:color w:val="0067B3"/>
        </w:rPr>
        <w:t>Senior Vice President, Chief Legal Officer, Chief Risk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951230" cy="951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93" w:lineRule="exact"/>
        <w:rPr>
          <w:sz w:val="20"/>
          <w:szCs w:val="20"/>
          <w:color w:val="auto"/>
        </w:rPr>
      </w:pPr>
    </w:p>
    <w:p>
      <w:pPr>
        <w:ind w:left="2000"/>
        <w:spacing w:after="0" w:line="245" w:lineRule="auto"/>
        <w:rPr>
          <w:sz w:val="20"/>
          <w:szCs w:val="20"/>
          <w:color w:val="auto"/>
        </w:rPr>
      </w:pPr>
      <w:r>
        <w:rPr>
          <w:rFonts w:ascii="Arial" w:cs="Arial" w:eastAsia="Arial" w:hAnsi="Arial"/>
          <w:sz w:val="16"/>
          <w:szCs w:val="16"/>
          <w:color w:val="auto"/>
        </w:rPr>
        <w:t>Ms. Asgeirsson has served as our Senior Vice President, Chief Legal Officer, Chief Risk Officer, and Secretary since August 2021. Ms. Asgeirsson leads our worldwide legal, governance, trade, and compliance functions, including mergers and acquisitions, litigation, intellectual property, and other corporate matters and acts as a strategic advisor to ADI’s executive leadership team and Board of Directors. Additionally, Ms. Asgeirsson is responsible for our internal audit and risk functions in her capacity as Chief Risk Officer and is responsible for the governance of our ESG programs. Ms. Asgeirsson has over two decades of combined experience in private practice at American Lawyer-ranked international law firms and in senior and executive level roles at publicly traded technology companies. Prior to joining ADI, Ms. Asgeirsson worked at Acacia Communications, Inc., an optical networking and strategy technology company, from April 2015 to August 2021, as its Vice President, General Counsel and Secretary from April 2015 to January 2019, and then as its Chief Legal Officer, Chief Compliance Officer and Secretary, from February 2019 to August 2021, leading global teams with diverse responsibilities. During her tenure at Acacia, she accomplished several significant transactions, including Acacia’s initial public offering (IPO), the best-performing U.S. IPO of 2016, and Acacia’s multi-billion-dollar sale to Cisco Systems. While in private practice, Ms. Asgeirsson provided strategic and legal counsel to several companies across multiple industries, ranging in size from start-ups to multi-billion-dollar, complex global organizations. Ms. Asgeirsson holds a Bachelor’s degree in Accountancy, summa cum laude, from the University of San Diego and a Juris Doctor from Northeastern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GREGORY BRYANT, 55, </w:t>
      </w:r>
      <w:r>
        <w:rPr>
          <w:rFonts w:ascii="Arial" w:cs="Arial" w:eastAsia="Arial" w:hAnsi="Arial"/>
          <w:sz w:val="16"/>
          <w:szCs w:val="16"/>
          <w:color w:val="0067B3"/>
        </w:rPr>
        <w:t>Executive Vice President and President of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951230" cy="9512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39" w:lineRule="exact"/>
        <w:rPr>
          <w:sz w:val="20"/>
          <w:szCs w:val="20"/>
          <w:color w:val="auto"/>
        </w:rPr>
      </w:pPr>
    </w:p>
    <w:p>
      <w:pPr>
        <w:ind w:left="2000" w:right="20"/>
        <w:spacing w:after="0" w:line="246" w:lineRule="auto"/>
        <w:rPr>
          <w:sz w:val="20"/>
          <w:szCs w:val="20"/>
          <w:color w:val="auto"/>
        </w:rPr>
      </w:pPr>
      <w:r>
        <w:rPr>
          <w:rFonts w:ascii="Arial" w:cs="Arial" w:eastAsia="Arial" w:hAnsi="Arial"/>
          <w:sz w:val="16"/>
          <w:szCs w:val="16"/>
          <w:color w:val="auto"/>
        </w:rPr>
        <w:t>Mr. Bryant has served as our Executive Vice President and President of Business Units since March 2022. In this role, Mr. Bryant is responsible for growing the business and ensuring close alignment between long-term strategic goals and the evolving technology trends, market needs, and customer priorities. Mr. Bryant has three decades of experience leading and scaling large organizations to deliver profitable growth. Most recently, Mr. Bryant was Executive Vice President and General Manager, Client Computing Group at Intel Corporation, a semiconductor and technology company, from September 2019 to January 2022, where he was responsible for setting Intel’s PC vision and strategy, delivering six consecutive years of growth in its global PC ecosystem, and collaborating across its global ecosystem to co-engineer and deliver leading consumer and commercial PC platforms that empower people and organizations. Mr. Bryant served as Intel’s Senior Vice President, Client Computing Group from June 2017 to September 2019 and previously held a variety of leadership positions at Intel, including General Manager of Asia Pacific and Japan and General Manager of the Business Client Platform Division. Mr. Bryant holds a Bachelor of Science degree in Electrical Engineering from the University of Kansas and a Master’s degree in Program and Systems Management from Golden 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JOHN HASSETT, 65, </w:t>
      </w:r>
      <w:r>
        <w:rPr>
          <w:rFonts w:ascii="Arial" w:cs="Arial" w:eastAsia="Arial" w:hAnsi="Arial"/>
          <w:sz w:val="16"/>
          <w:szCs w:val="16"/>
          <w:color w:val="0067B3"/>
        </w:rPr>
        <w:t>Senior Vice President and Chief Operating Officer, Maxim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951230" cy="9512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39" w:lineRule="exact"/>
        <w:rPr>
          <w:sz w:val="20"/>
          <w:szCs w:val="20"/>
          <w:color w:val="auto"/>
        </w:rPr>
      </w:pPr>
    </w:p>
    <w:p>
      <w:pPr>
        <w:ind w:left="2000" w:right="100"/>
        <w:spacing w:after="0" w:line="245" w:lineRule="auto"/>
        <w:rPr>
          <w:sz w:val="20"/>
          <w:szCs w:val="20"/>
          <w:color w:val="auto"/>
        </w:rPr>
      </w:pPr>
      <w:r>
        <w:rPr>
          <w:rFonts w:ascii="Arial" w:cs="Arial" w:eastAsia="Arial" w:hAnsi="Arial"/>
          <w:sz w:val="16"/>
          <w:szCs w:val="16"/>
          <w:color w:val="auto"/>
        </w:rPr>
        <w:t>Mr. Hassett has served as our Senior Vice President and Chief Operating Officer for the Maxim business since August 2021 where he leads our strategic and operational efforts to integrate Maxim. Mr. Hassett brings extensive experience as a business leader having run our largest revenue-generating business group and operational expertise leveraging his previous global operations and technology leadership, in addition to his various engineering management roles with us. Previously, Mr. Hassett was Senior Vice President, Corporate Integration Management where he led significant efforts in M&amp;A transactions and was responsible for developing strategies that drove the integration of multi-billion-dollar transactions from due diligence to fully integrated entities from December 2020 to July 2021. Previously, Mr. Hassett was Senior Vice President of Industrial and Consumer Group from November 2019 to December 2020 where he led growth initiatives which leverage our extensive franchise capability in measurement, sensing and testing and was Senior Vice President of Global Operations &amp; Technology from May 2015 to November 2019, where he was instrumental in setting and executing our manufacturing strategy and creating a world-class, scalable supply chain to deliver outstanding quality for our customers. Mr. Hassett joined ADI in 1982 after graduating from the University of Limerick where he earned a Bachelor of Science degree in Manufacturing Engineering. Mr. Hassett also holds a Master of Business Administration from the University of Limerick.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46</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Arial" w:cs="Arial" w:eastAsia="Arial" w:hAnsi="Arial"/>
          <w:sz w:val="16"/>
          <w:szCs w:val="16"/>
          <w:b w:val="1"/>
          <w:bCs w:val="1"/>
          <w:color w:val="0067B3"/>
        </w:rPr>
        <w:t xml:space="preserve">VIVEK JAIN, 64, </w:t>
      </w:r>
      <w:r>
        <w:rPr>
          <w:rFonts w:ascii="Arial" w:cs="Arial" w:eastAsia="Arial" w:hAnsi="Arial"/>
          <w:sz w:val="16"/>
          <w:szCs w:val="16"/>
          <w:color w:val="0067B3"/>
        </w:rPr>
        <w:t>Executive Vice President of Global Operations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-158750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1520" w:right="60"/>
        <w:spacing w:after="0" w:line="257" w:lineRule="auto"/>
        <w:rPr>
          <w:sz w:val="20"/>
          <w:szCs w:val="20"/>
          <w:color w:val="auto"/>
        </w:rPr>
      </w:pPr>
      <w:r>
        <w:rPr>
          <w:rFonts w:ascii="Arial" w:cs="Arial" w:eastAsia="Arial" w:hAnsi="Arial"/>
          <w:sz w:val="16"/>
          <w:szCs w:val="16"/>
          <w:color w:val="auto"/>
        </w:rPr>
        <w:t>Mr. Jain has served as our Executive Vice President of Global Operations &amp; Technology since May 2022, where he is responsible for global manufacturing and supply chain operation, and previously served as our Senior Vice President of Global Operations and Technology from August 2021 to May 2022. Mr. Jain assumed this position following our acquisition of Maxim, where he served in a similar capacity as the Senior Vice President of the Technology and Manufacturing Group from June 2009 to August 2021. After joining Maxim in 2007 as Vice President of Fab Operations, Mr. Jain led the transformation of many aspects of Maxim’s manufacturing supply chain to make it more flexible, nimble, and resilient. Mr. Jain’s additional experience includes serving as a Plant Manager at Intel's Technology Development and Manufacturing facility, where he oversaw the process technology development and high-volume manufacturing of deep sub-micron logic and Flash memory technologies. Mr. Jain holds a Bachelor of Science degree in Chemical Engineering from the Indian Institute of Technology Delhi, a Master of Science degree in Chemical Engineering from Penn State University, and a Master’s degree in Electrical Engineering from Stanford University. He is also a 2014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38735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-1280795</wp:posOffset>
            </wp:positionV>
            <wp:extent cx="951230" cy="9512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0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ALAN LEE, 56, </w:t>
      </w:r>
      <w:r>
        <w:rPr>
          <w:rFonts w:ascii="Arial" w:cs="Arial" w:eastAsia="Arial" w:hAnsi="Arial"/>
          <w:sz w:val="16"/>
          <w:szCs w:val="16"/>
          <w:color w:val="0067B3"/>
        </w:rPr>
        <w:t>Senior Vice President and Chief Technology Officer</w:t>
      </w:r>
    </w:p>
    <w:p>
      <w:pPr>
        <w:spacing w:after="0" w:line="73" w:lineRule="exact"/>
        <w:rPr>
          <w:sz w:val="20"/>
          <w:szCs w:val="20"/>
          <w:color w:val="auto"/>
        </w:rPr>
      </w:pPr>
    </w:p>
    <w:p>
      <w:pPr>
        <w:ind w:left="1520"/>
        <w:spacing w:after="0" w:line="256" w:lineRule="auto"/>
        <w:rPr>
          <w:sz w:val="20"/>
          <w:szCs w:val="20"/>
          <w:color w:val="auto"/>
        </w:rPr>
      </w:pPr>
      <w:r>
        <w:rPr>
          <w:rFonts w:ascii="Arial" w:cs="Arial" w:eastAsia="Arial" w:hAnsi="Arial"/>
          <w:sz w:val="16"/>
          <w:szCs w:val="16"/>
          <w:color w:val="auto"/>
        </w:rPr>
        <w:t>Mr. Lee has served as our Chief Technology Officer since April 2023. In this role, Mr. Lee develops and leads our long-term technology strategy for applications across our end markets, working closely with our global business units and manufacturing operations to drive our competitive advantage. Mr. Lee is responsible for identifying, sourcing, and cultivating new business, technology, and research opportunities, as well as developing foundational technology capabilities in support of the current and future needs of our markets and customers. Mr. Lee has over 20 years of experience in the technology industry. Before joining ADI, Mr. Lee served as Corporate Vice President of Research and Advanced Development at Advanced Micro Devices, Inc., a global semiconductor company, where he oversaw the company’s worldwide research and advanced technology labs, university engagements, and external research contracting. Mr. Lee also led extreme-scale computing technology at AMD, where he drove the software and hardware engineering efforts to build the world’s fastest platforms for machine learning, industrial, and scientific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40005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-1210945</wp:posOffset>
            </wp:positionV>
            <wp:extent cx="951230" cy="9512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JAMES MOLLICA, 58, </w:t>
      </w:r>
      <w:r>
        <w:rPr>
          <w:rFonts w:ascii="Arial" w:cs="Arial" w:eastAsia="Arial" w:hAnsi="Arial"/>
          <w:sz w:val="16"/>
          <w:szCs w:val="16"/>
          <w:color w:val="0067B3"/>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-107315</wp:posOffset>
            </wp:positionV>
            <wp:extent cx="951230" cy="951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53" w:lineRule="exact"/>
        <w:rPr>
          <w:sz w:val="20"/>
          <w:szCs w:val="20"/>
          <w:color w:val="auto"/>
        </w:rPr>
      </w:pPr>
    </w:p>
    <w:p>
      <w:pPr>
        <w:ind w:left="1520" w:right="20"/>
        <w:spacing w:after="0" w:line="259" w:lineRule="auto"/>
        <w:rPr>
          <w:sz w:val="20"/>
          <w:szCs w:val="20"/>
          <w:color w:val="auto"/>
        </w:rPr>
      </w:pPr>
      <w:r>
        <w:rPr>
          <w:rFonts w:ascii="Arial" w:cs="Arial" w:eastAsia="Arial" w:hAnsi="Arial"/>
          <w:sz w:val="16"/>
          <w:szCs w:val="16"/>
          <w:color w:val="auto"/>
        </w:rPr>
        <w:t>Mr. Mollica has served as our Interim Chief Financial Officer since October 2023. Mr. Mollica guides our financial strategy and oversees our global finance organization, with responsibility for financial management, planning, controls, and reporting. Mr. Mollica has served at ADI for 35 years in roles of increasing responsibility. Before being appointed as Interim Chief Financial Officer, Mr. Mollica served as our Vice President, Finance, Global Customer Officer from December 2021 to October 2023. Before that, Mr. Mollica served as Maxim’s chief financial officer from August 2021 to December 2021, and as Vice President, FP&amp;A and Treasurer from December 2017 to August 2021. Mr. Mollica holds a Bachelor of Science from Stonehill Collage and a Master of Business Administration degree from Bentley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34925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ANELISE SACKS, 45, </w:t>
      </w:r>
      <w:r>
        <w:rPr>
          <w:rFonts w:ascii="Arial" w:cs="Arial" w:eastAsia="Arial" w:hAnsi="Arial"/>
          <w:sz w:val="16"/>
          <w:szCs w:val="16"/>
          <w:color w:val="0067B3"/>
        </w:rPr>
        <w:t>Executive Vice President and Chief Customer Officer</w:t>
      </w:r>
    </w:p>
    <w:p>
      <w:pPr>
        <w:spacing w:after="0" w:line="73" w:lineRule="exact"/>
        <w:rPr>
          <w:sz w:val="20"/>
          <w:szCs w:val="20"/>
          <w:color w:val="auto"/>
        </w:rPr>
      </w:pPr>
    </w:p>
    <w:p>
      <w:pPr>
        <w:ind w:left="1520" w:right="180"/>
        <w:spacing w:after="0" w:line="255" w:lineRule="auto"/>
        <w:rPr>
          <w:sz w:val="20"/>
          <w:szCs w:val="20"/>
          <w:color w:val="auto"/>
        </w:rPr>
      </w:pPr>
      <w:r>
        <w:rPr>
          <w:rFonts w:ascii="Arial" w:cs="Arial" w:eastAsia="Arial" w:hAnsi="Arial"/>
          <w:sz w:val="16"/>
          <w:szCs w:val="16"/>
          <w:color w:val="auto"/>
        </w:rPr>
        <w:t>Ms. Sacks has served as our Executive Vice President and Chief Customer Officer since April 2023 where she is responsible for our customer strategy, enabling frictionless delivery of cutting-edge solutions to a diverse, global customer base, and delivering and capturing value for our technology. Ms. Sacks oversees our global sales, solutions and ecosystems, marketing, and digital transformation, with a focus on delivering a superior end-to-end customer experience and expanding our go-to-market strategies across channels and ecosystems. Ms. Sacks previously served as our Senior Vice President and Chief Customer Officer from March 2021 to April 2023. Before that, Ms. Sacks worked for Texas Instruments Incorporated, a semiconductor company, where she held a variety of leadership roles over 15 years where she grew their portfolio of analog, digital and software technologies, most recently as Vice President and General Manager, DLP Products for Texas Instruments from December 2017 to December 2020. During her 15-year tenure at Texas Instruments, Ms. Sacks was responsible for investment strategy, product roadmap definition, new product and technology development, marketing, systems, and application engineering. Ms. Sacks brings a diverse blend of expertise across geographies, technologies, and functions including sales and business unit leadership, has lived on three continents and speaks five languages. Ms. Sacks holds an Electric and Electronic Engineering degree from the Federal University in Rio de Janeiro. She also holds a Master of Business Administration degree with merit from the Open University Business School in the U.K. and has executive education from Harvard Business School and INSEAD.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41275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-1518285</wp:posOffset>
            </wp:positionV>
            <wp:extent cx="951230" cy="9512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12"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MARIYA TRICKETT, 41, </w:t>
      </w:r>
      <w:r>
        <w:rPr>
          <w:rFonts w:ascii="Arial" w:cs="Arial" w:eastAsia="Arial" w:hAnsi="Arial"/>
          <w:sz w:val="16"/>
          <w:szCs w:val="16"/>
          <w:color w:val="0067B3"/>
        </w:rPr>
        <w:t>Senior Vice President and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-107315</wp:posOffset>
            </wp:positionV>
            <wp:extent cx="951230" cy="9512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53" w:lineRule="exact"/>
        <w:rPr>
          <w:sz w:val="20"/>
          <w:szCs w:val="20"/>
          <w:color w:val="auto"/>
        </w:rPr>
      </w:pPr>
    </w:p>
    <w:p>
      <w:pPr>
        <w:ind w:left="1520"/>
        <w:spacing w:after="0" w:line="255" w:lineRule="auto"/>
        <w:rPr>
          <w:sz w:val="20"/>
          <w:szCs w:val="20"/>
          <w:color w:val="auto"/>
        </w:rPr>
      </w:pPr>
      <w:r>
        <w:rPr>
          <w:rFonts w:ascii="Arial" w:cs="Arial" w:eastAsia="Arial" w:hAnsi="Arial"/>
          <w:sz w:val="16"/>
          <w:szCs w:val="16"/>
          <w:color w:val="auto"/>
        </w:rPr>
        <w:t>Ms. Trickett has served as our Senior Vice President and Chief People Officer since May 2022. Ms. Trickett is responsible for supporting ADI’s growth and evolution, driving best practices across all aspects of human resources. In this role, she leads the human resources and talent functions, including employee engagement, talent acquisition, talent management, learning and development, total rewards, succession planning, and organizational development. For nearly 20 years, Ms. Trickett has successfully led business and cultural transformations across a wide range of organizations. She has extensive experience building global high-performance companies focused on innovation, agility, and customer-centricity across technology, software, R&amp;D, manufacturing, and services. From September 2018 to April 2022, Ms. Trickett was Senior Vice President and Chief Human Resources Officer at Aptiv, PLC, an industrial-tech company with over 180,000 employees, spanning 44 countries and 221 sites. Prior to Aptiv, she was Senior Vice President of Human Resources at Dana Incorporated, a drive train and EV supplier with more than 35,000 employees. Ms. Trickett holds a Bachelor of Science degree in history and law from Kirovograd State University in Ukraine and a Master of Science degree in Human Resource Management from Temple University in Philadelphia. She is also a graduate of the Advanced Management Program at the University of Navarra’s IESE Business School in Barcelona.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165100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6D6E71"/>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205105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0" w:space="240"/>
            <w:col w:w="10720"/>
          </w:cols>
          <w:pgMar w:left="340" w:top="1286" w:right="379" w:bottom="1440" w:gutter="0" w:footer="0" w:header="0"/>
        </w:sectPr>
      </w:pPr>
    </w:p>
    <w:bookmarkStart w:id="58" w:name="page59"/>
    <w:bookmarkEnd w:id="58"/>
    <w:p>
      <w:pPr>
        <w:spacing w:after="0"/>
        <w:rPr>
          <w:sz w:val="20"/>
          <w:szCs w:val="20"/>
          <w:color w:val="auto"/>
        </w:rPr>
      </w:pPr>
      <w:r>
        <w:rPr>
          <w:rFonts w:ascii="Arial" w:cs="Arial" w:eastAsia="Arial" w:hAnsi="Arial"/>
          <w:sz w:val="58"/>
          <w:szCs w:val="5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6909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690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740"/>
        <w:spacing w:after="0" w:line="307" w:lineRule="auto"/>
        <w:rPr>
          <w:sz w:val="20"/>
          <w:szCs w:val="20"/>
          <w:color w:val="auto"/>
        </w:rPr>
      </w:pPr>
      <w:r>
        <w:rPr>
          <w:rFonts w:ascii="Arial" w:cs="Arial" w:eastAsia="Arial" w:hAnsi="Arial"/>
          <w:sz w:val="32"/>
          <w:szCs w:val="32"/>
          <w:b w:val="1"/>
          <w:bCs w:val="1"/>
          <w:color w:val="auto"/>
        </w:rPr>
        <w:t>Advisory Approval of the Compensation of ADI’s Named Executive Officers</w:t>
      </w:r>
    </w:p>
    <w:p>
      <w:pPr>
        <w:spacing w:after="0" w:line="177" w:lineRule="exact"/>
        <w:rPr>
          <w:sz w:val="20"/>
          <w:szCs w:val="20"/>
          <w:color w:val="auto"/>
        </w:rPr>
      </w:pPr>
    </w:p>
    <w:p>
      <w:pPr>
        <w:ind w:left="220" w:right="300"/>
        <w:spacing w:after="0" w:line="256" w:lineRule="auto"/>
        <w:rPr>
          <w:sz w:val="20"/>
          <w:szCs w:val="20"/>
          <w:color w:val="auto"/>
        </w:rPr>
      </w:pPr>
      <w:r>
        <w:rPr>
          <w:rFonts w:ascii="Arial" w:cs="Arial" w:eastAsia="Arial" w:hAnsi="Arial"/>
          <w:sz w:val="18"/>
          <w:szCs w:val="18"/>
          <w:color w:val="auto"/>
        </w:rPr>
        <w:t xml:space="preserve">We are requesting shareholder approval of the compensation of the executive officers named in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 who we refer to as our NEOs. We are required to provide our shareholders with the opportunity to vote to approve, on an advisory (non-binding) basis, the compensation of our NEOs as disclosed in this Proxy Statement in accordance with the SEC’s rules. At the 2023 annual meeting of shareholders, our shareholders voted in favor of holding future “say-on-pay” votes every year. In accordance with the results of that vote, our Board of Directors determined to submit “say-on-pay” proposals to our shareholders every year until the next vote on the preferred frequency of advisory votes on the compensation of our NEOs, which will occur at the 2029 annual meeting of shareholders.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is asking shareholders to approve the following non-binding advisory vote:</w:t>
      </w:r>
    </w:p>
    <w:p>
      <w:pPr>
        <w:spacing w:after="0" w:line="117" w:lineRule="exact"/>
        <w:rPr>
          <w:sz w:val="20"/>
          <w:szCs w:val="20"/>
          <w:color w:val="auto"/>
        </w:rPr>
      </w:pPr>
    </w:p>
    <w:p>
      <w:pPr>
        <w:ind w:left="220" w:right="420"/>
        <w:spacing w:after="0" w:line="273" w:lineRule="auto"/>
        <w:rPr>
          <w:sz w:val="20"/>
          <w:szCs w:val="20"/>
          <w:color w:val="auto"/>
        </w:rPr>
      </w:pPr>
      <w:r>
        <w:rPr>
          <w:rFonts w:ascii="Arial" w:cs="Arial" w:eastAsia="Arial" w:hAnsi="Arial"/>
          <w:sz w:val="18"/>
          <w:szCs w:val="18"/>
          <w:b w:val="1"/>
          <w:bCs w:val="1"/>
          <w:color w:val="auto"/>
        </w:rPr>
        <w:t>VOTED,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50" w:lineRule="exact"/>
        <w:rPr>
          <w:sz w:val="20"/>
          <w:szCs w:val="20"/>
          <w:color w:val="auto"/>
        </w:rPr>
      </w:pPr>
    </w:p>
    <w:p>
      <w:pPr>
        <w:ind w:left="220" w:right="220"/>
        <w:spacing w:after="0" w:line="255" w:lineRule="auto"/>
        <w:rPr>
          <w:sz w:val="20"/>
          <w:szCs w:val="20"/>
          <w:color w:val="auto"/>
        </w:rPr>
      </w:pPr>
      <w:r>
        <w:rPr>
          <w:rFonts w:ascii="Arial" w:cs="Arial" w:eastAsia="Arial" w:hAnsi="Arial"/>
          <w:sz w:val="18"/>
          <w:szCs w:val="18"/>
          <w:color w:val="auto"/>
        </w:rPr>
        <w:t xml:space="preserve">As required by the Dodd-Frank Act, this is an advisory vote, which means that this proposal is not binding on us. Our Compensation and Talent Committee, however, values the opinions expressed by our shareholders and will carefully consider the outcome of the vote when making future compensation decisions for our NEOs. You may vote for, against, or abstain from voting on this matter. At our 2023 annual meeting of shareholders, our compensation program for our NEOs received the support of 80.7% of the total votes cast. Given the varied feedback we heard and in light of our say-on-pay vote receiving the support from holders of a significant majority of our outstanding shares, the Compensation and Talent Committee determined not to make significant changes to the overall design and framework of our executive compensation program in fiscal year 2023. For additional information about the feedback we received from shareholders and the actions we took in response, please see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section beginning on page 37 of this Proxy Statement.</w:t>
      </w:r>
    </w:p>
    <w:p>
      <w:pPr>
        <w:spacing w:after="0" w:line="73" w:lineRule="exact"/>
        <w:rPr>
          <w:sz w:val="20"/>
          <w:szCs w:val="20"/>
          <w:color w:val="auto"/>
        </w:rPr>
      </w:pPr>
    </w:p>
    <w:p>
      <w:pPr>
        <w:ind w:left="220" w:right="240"/>
        <w:spacing w:after="0" w:line="259"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ADI’s executive compensation program is significantly performance-based and designed to attract, retain, and motivate high caliber executives to lead our complex, global organization and to align their interests with those of our shareholders. We seek to provide total compensation to our executive officers, including our NEOs, that is competitive with our peers, and we believe that our executive compensation program is designed to encourage the most talented individuals to grow their careers at ADI.</w:t>
      </w:r>
    </w:p>
    <w:p>
      <w:pPr>
        <w:spacing w:after="0" w:line="71" w:lineRule="exact"/>
        <w:rPr>
          <w:sz w:val="20"/>
          <w:szCs w:val="20"/>
          <w:color w:val="auto"/>
        </w:rPr>
      </w:pPr>
    </w:p>
    <w:p>
      <w:pPr>
        <w:ind w:left="220" w:right="320"/>
        <w:spacing w:after="0" w:line="257" w:lineRule="auto"/>
        <w:rPr>
          <w:sz w:val="20"/>
          <w:szCs w:val="20"/>
          <w:color w:val="auto"/>
        </w:rPr>
      </w:pPr>
      <w:r>
        <w:rPr>
          <w:rFonts w:ascii="Arial" w:cs="Arial" w:eastAsia="Arial" w:hAnsi="Arial"/>
          <w:sz w:val="18"/>
          <w:szCs w:val="18"/>
          <w:color w:val="auto"/>
        </w:rPr>
        <w:t>ADI has a longstanding philosophy and practice of pay for performance. In order to align our pay practices with shareholder interests, we tie a significant percentage of each executive’s compensation to ADI’s performance, in the form of executive performance incentive plan payments, and equity awards that are subject to performance vesting and rise in value only if our stock price increases. In fiscal year 2023 we delivered strong revenue performance. As a result, the variable cash incentive payout factor under our executive performance incentive plan was 182% of target in fiscal year 2023, compared to 293% in fiscal year 2022 and 253% in the fiscal year ended October 30, 2021 (fiscal year 2021).</w:t>
      </w:r>
    </w:p>
    <w:p>
      <w:pPr>
        <w:spacing w:after="0" w:line="74" w:lineRule="exact"/>
        <w:rPr>
          <w:sz w:val="20"/>
          <w:szCs w:val="20"/>
          <w:color w:val="auto"/>
        </w:rPr>
      </w:pPr>
    </w:p>
    <w:p>
      <w:pPr>
        <w:ind w:left="220" w:right="1440"/>
        <w:spacing w:after="0" w:line="287" w:lineRule="auto"/>
        <w:rPr>
          <w:sz w:val="20"/>
          <w:szCs w:val="20"/>
          <w:color w:val="auto"/>
        </w:rPr>
      </w:pPr>
      <w:r>
        <w:rPr>
          <w:rFonts w:ascii="Arial" w:cs="Arial" w:eastAsia="Arial" w:hAnsi="Arial"/>
          <w:sz w:val="18"/>
          <w:szCs w:val="18"/>
          <w:color w:val="auto"/>
        </w:rPr>
        <w:t>We believe that our executive compensation program is working as intended and appropriately aligns executive pay with company performance and shareholder value creation.</w:t>
      </w:r>
    </w:p>
    <w:p>
      <w:pPr>
        <w:spacing w:after="0" w:line="48" w:lineRule="exact"/>
        <w:rPr>
          <w:sz w:val="20"/>
          <w:szCs w:val="20"/>
          <w:color w:val="auto"/>
        </w:rPr>
      </w:pPr>
    </w:p>
    <w:p>
      <w:pPr>
        <w:ind w:left="220" w:right="640"/>
        <w:spacing w:after="0" w:line="274" w:lineRule="auto"/>
        <w:rPr>
          <w:sz w:val="20"/>
          <w:szCs w:val="20"/>
          <w:color w:val="auto"/>
        </w:rPr>
      </w:pPr>
      <w:r>
        <w:rPr>
          <w:rFonts w:ascii="Arial" w:cs="Arial" w:eastAsia="Arial" w:hAnsi="Arial"/>
          <w:sz w:val="27"/>
          <w:szCs w:val="27"/>
          <w:b w:val="1"/>
          <w:bCs w:val="1"/>
          <w:color w:val="0067B3"/>
        </w:rPr>
        <w:t>Our Board of Directors unanimously recommends that you vote FOR approval of the compensation of our named executive officers as disclosed in this Proxy Statement.</w:t>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41"/>
          <w:szCs w:val="41"/>
          <w:b w:val="1"/>
          <w:bCs w:val="1"/>
          <w:color w:val="0067B3"/>
        </w:rPr>
        <w:t>Compensation Discussion and Analysis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Compensation Discussion and Analysis (CD&amp;A), describes our fiscal year 2023 executive compensation philosophies, goals, and program design, including the Compensation and Talent Committee’s process for determining compensation, the various components of pay, and how our fiscal year 2023 financial results affected performance-based compensation. As used in this Proxy Statement, NEOs refers to the following individuals who served as executive officers during fiscal year 2023 and Prashanth Mahendra-Rajah, who served as our Executive Vice President, Finance and Chief Financial Officer until October 28, 2023.</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728"/>
        </w:trPr>
        <w:tc>
          <w:tcPr>
            <w:tcW w:w="2840" w:type="dxa"/>
            <w:vAlign w:val="bottom"/>
            <w:tcBorders>
              <w:left w:val="single" w:sz="8" w:color="E2E6F4"/>
              <w:right w:val="single" w:sz="8" w:color="E2E6F4"/>
            </w:tcBorders>
            <w:shd w:val="clear" w:color="auto" w:fill="E2E6F4"/>
          </w:tcPr>
          <w:p>
            <w:pPr>
              <w:spacing w:after="0"/>
              <w:rPr>
                <w:sz w:val="24"/>
                <w:szCs w:val="24"/>
                <w:color w:val="auto"/>
              </w:rPr>
            </w:pPr>
          </w:p>
        </w:tc>
        <w:tc>
          <w:tcPr>
            <w:tcW w:w="2800" w:type="dxa"/>
            <w:vAlign w:val="bottom"/>
            <w:tcBorders>
              <w:right w:val="single" w:sz="8" w:color="E2E6F4"/>
            </w:tcBorders>
            <w:shd w:val="clear" w:color="auto" w:fill="E2E6F4"/>
          </w:tcPr>
          <w:p>
            <w:pPr>
              <w:spacing w:after="0"/>
              <w:rPr>
                <w:sz w:val="24"/>
                <w:szCs w:val="24"/>
                <w:color w:val="auto"/>
              </w:rPr>
            </w:pPr>
          </w:p>
        </w:tc>
        <w:tc>
          <w:tcPr>
            <w:tcW w:w="2820" w:type="dxa"/>
            <w:vAlign w:val="bottom"/>
            <w:tcBorders>
              <w:right w:val="single" w:sz="8" w:color="E2E6F4"/>
            </w:tcBorders>
            <w:shd w:val="clear" w:color="auto" w:fill="E2E6F4"/>
          </w:tcPr>
          <w:p>
            <w:pPr>
              <w:spacing w:after="0"/>
              <w:rPr>
                <w:sz w:val="24"/>
                <w:szCs w:val="24"/>
                <w:color w:val="auto"/>
              </w:rPr>
            </w:pPr>
          </w:p>
        </w:tc>
        <w:tc>
          <w:tcPr>
            <w:tcW w:w="2800" w:type="dxa"/>
            <w:vAlign w:val="bottom"/>
            <w:tcBorders>
              <w:right w:val="single" w:sz="8" w:color="0067B3"/>
            </w:tcBorders>
            <w:shd w:val="clear" w:color="auto" w:fill="E2E6F4"/>
          </w:tcPr>
          <w:p>
            <w:pPr>
              <w:spacing w:after="0"/>
              <w:rPr>
                <w:sz w:val="24"/>
                <w:szCs w:val="24"/>
                <w:color w:val="auto"/>
              </w:rPr>
            </w:pPr>
          </w:p>
        </w:tc>
      </w:tr>
      <w:tr>
        <w:trPr>
          <w:trHeight w:val="251"/>
        </w:trPr>
        <w:tc>
          <w:tcPr>
            <w:tcW w:w="2840" w:type="dxa"/>
            <w:vAlign w:val="bottom"/>
            <w:tcBorders>
              <w:left w:val="single" w:sz="8" w:color="0067B3"/>
              <w:right w:val="single" w:sz="8" w:color="0067B3"/>
            </w:tcBorders>
          </w:tcPr>
          <w:p>
            <w:pPr>
              <w:ind w:left="160"/>
              <w:spacing w:after="0"/>
              <w:rPr>
                <w:sz w:val="20"/>
                <w:szCs w:val="20"/>
                <w:color w:val="auto"/>
              </w:rPr>
            </w:pPr>
            <w:r>
              <w:rPr>
                <w:rFonts w:ascii="Arial" w:cs="Arial" w:eastAsia="Arial" w:hAnsi="Arial"/>
                <w:sz w:val="18"/>
                <w:szCs w:val="18"/>
                <w:b w:val="1"/>
                <w:bCs w:val="1"/>
                <w:color w:val="0067B3"/>
              </w:rPr>
              <w:t>VINCENT ROCHE</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b w:val="1"/>
                <w:bCs w:val="1"/>
                <w:color w:val="0067B3"/>
              </w:rPr>
              <w:t>GREGORY BRYANT</w:t>
            </w:r>
          </w:p>
        </w:tc>
        <w:tc>
          <w:tcPr>
            <w:tcW w:w="2820" w:type="dxa"/>
            <w:vAlign w:val="bottom"/>
            <w:tcBorders>
              <w:right w:val="single" w:sz="8" w:color="0067B3"/>
            </w:tcBorders>
          </w:tcPr>
          <w:p>
            <w:pPr>
              <w:ind w:left="140"/>
              <w:spacing w:after="0"/>
              <w:rPr>
                <w:sz w:val="20"/>
                <w:szCs w:val="20"/>
                <w:color w:val="auto"/>
              </w:rPr>
            </w:pPr>
            <w:r>
              <w:rPr>
                <w:rFonts w:ascii="Arial" w:cs="Arial" w:eastAsia="Arial" w:hAnsi="Arial"/>
                <w:sz w:val="18"/>
                <w:szCs w:val="18"/>
                <w:b w:val="1"/>
                <w:bCs w:val="1"/>
                <w:color w:val="0067B3"/>
              </w:rPr>
              <w:t>VIVEK JAIN</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b w:val="1"/>
                <w:bCs w:val="1"/>
                <w:color w:val="0067B3"/>
              </w:rPr>
              <w:t>ANELISE SACKS</w:t>
            </w:r>
          </w:p>
        </w:tc>
      </w:tr>
      <w:tr>
        <w:trPr>
          <w:trHeight w:val="216"/>
        </w:trPr>
        <w:tc>
          <w:tcPr>
            <w:tcW w:w="2840" w:type="dxa"/>
            <w:vAlign w:val="bottom"/>
            <w:tcBorders>
              <w:left w:val="single" w:sz="8" w:color="0067B3"/>
              <w:right w:val="single" w:sz="8" w:color="0067B3"/>
            </w:tcBorders>
          </w:tcPr>
          <w:p>
            <w:pPr>
              <w:ind w:left="160"/>
              <w:spacing w:after="0"/>
              <w:rPr>
                <w:sz w:val="20"/>
                <w:szCs w:val="20"/>
                <w:color w:val="auto"/>
              </w:rPr>
            </w:pPr>
            <w:r>
              <w:rPr>
                <w:rFonts w:ascii="Arial" w:cs="Arial" w:eastAsia="Arial" w:hAnsi="Arial"/>
                <w:sz w:val="18"/>
                <w:szCs w:val="18"/>
                <w:color w:val="auto"/>
              </w:rPr>
              <w:t>Chief Executive Officer and</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Executive Vice President and</w:t>
            </w:r>
          </w:p>
        </w:tc>
        <w:tc>
          <w:tcPr>
            <w:tcW w:w="282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Executive Vice President of</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2840" w:type="dxa"/>
            <w:vAlign w:val="bottom"/>
            <w:tcBorders>
              <w:left w:val="single" w:sz="8" w:color="0067B3"/>
              <w:right w:val="single" w:sz="8" w:color="0067B3"/>
            </w:tcBorders>
          </w:tcPr>
          <w:p>
            <w:pPr>
              <w:ind w:left="160"/>
              <w:spacing w:after="0"/>
              <w:rPr>
                <w:sz w:val="20"/>
                <w:szCs w:val="20"/>
                <w:color w:val="auto"/>
              </w:rPr>
            </w:pPr>
            <w:r>
              <w:rPr>
                <w:rFonts w:ascii="Arial" w:cs="Arial" w:eastAsia="Arial" w:hAnsi="Arial"/>
                <w:sz w:val="18"/>
                <w:szCs w:val="18"/>
                <w:color w:val="auto"/>
              </w:rPr>
              <w:t>Chair of the Board of Directors</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President of Business Units</w:t>
            </w:r>
          </w:p>
        </w:tc>
        <w:tc>
          <w:tcPr>
            <w:tcW w:w="282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Global Operations</w:t>
            </w:r>
          </w:p>
        </w:tc>
        <w:tc>
          <w:tcPr>
            <w:tcW w:w="280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Chief Customer Officer</w:t>
            </w:r>
          </w:p>
        </w:tc>
      </w:tr>
      <w:tr>
        <w:trPr>
          <w:trHeight w:val="239"/>
        </w:trPr>
        <w:tc>
          <w:tcPr>
            <w:tcW w:w="2840" w:type="dxa"/>
            <w:vAlign w:val="bottom"/>
            <w:tcBorders>
              <w:left w:val="single" w:sz="8" w:color="0067B3"/>
              <w:right w:val="single" w:sz="8" w:color="0067B3"/>
            </w:tcBorders>
          </w:tcPr>
          <w:p>
            <w:pPr>
              <w:spacing w:after="0"/>
              <w:rPr>
                <w:sz w:val="20"/>
                <w:szCs w:val="20"/>
                <w:color w:val="auto"/>
              </w:rPr>
            </w:pPr>
          </w:p>
        </w:tc>
        <w:tc>
          <w:tcPr>
            <w:tcW w:w="2800" w:type="dxa"/>
            <w:vAlign w:val="bottom"/>
            <w:tcBorders>
              <w:right w:val="single" w:sz="8" w:color="0067B3"/>
            </w:tcBorders>
          </w:tcPr>
          <w:p>
            <w:pPr>
              <w:spacing w:after="0"/>
              <w:rPr>
                <w:sz w:val="20"/>
                <w:szCs w:val="20"/>
                <w:color w:val="auto"/>
              </w:rPr>
            </w:pPr>
          </w:p>
        </w:tc>
        <w:tc>
          <w:tcPr>
            <w:tcW w:w="2820" w:type="dxa"/>
            <w:vAlign w:val="bottom"/>
            <w:tcBorders>
              <w:right w:val="single" w:sz="8" w:color="0067B3"/>
            </w:tcBorders>
          </w:tcPr>
          <w:p>
            <w:pPr>
              <w:ind w:left="140"/>
              <w:spacing w:after="0"/>
              <w:rPr>
                <w:sz w:val="20"/>
                <w:szCs w:val="20"/>
                <w:color w:val="auto"/>
              </w:rPr>
            </w:pPr>
            <w:r>
              <w:rPr>
                <w:rFonts w:ascii="Arial" w:cs="Arial" w:eastAsia="Arial" w:hAnsi="Arial"/>
                <w:sz w:val="18"/>
                <w:szCs w:val="18"/>
                <w:color w:val="auto"/>
              </w:rPr>
              <w:t>and Technology</w:t>
            </w:r>
          </w:p>
        </w:tc>
        <w:tc>
          <w:tcPr>
            <w:tcW w:w="2800" w:type="dxa"/>
            <w:vAlign w:val="bottom"/>
            <w:tcBorders>
              <w:right w:val="single" w:sz="8" w:color="0067B3"/>
            </w:tcBorders>
          </w:tcPr>
          <w:p>
            <w:pPr>
              <w:spacing w:after="0"/>
              <w:rPr>
                <w:sz w:val="20"/>
                <w:szCs w:val="20"/>
                <w:color w:val="auto"/>
              </w:rPr>
            </w:pPr>
          </w:p>
        </w:tc>
      </w:tr>
      <w:tr>
        <w:trPr>
          <w:trHeight w:val="37"/>
        </w:trPr>
        <w:tc>
          <w:tcPr>
            <w:tcW w:w="2840" w:type="dxa"/>
            <w:vAlign w:val="bottom"/>
            <w:tcBorders>
              <w:left w:val="single" w:sz="8" w:color="0067B3"/>
              <w:bottom w:val="single" w:sz="8" w:color="0067B3"/>
              <w:right w:val="single" w:sz="8" w:color="0067B3"/>
            </w:tcBorders>
          </w:tcPr>
          <w:p>
            <w:pPr>
              <w:spacing w:after="0"/>
              <w:rPr>
                <w:sz w:val="3"/>
                <w:szCs w:val="3"/>
                <w:color w:val="auto"/>
              </w:rPr>
            </w:pPr>
          </w:p>
        </w:tc>
        <w:tc>
          <w:tcPr>
            <w:tcW w:w="2800" w:type="dxa"/>
            <w:vAlign w:val="bottom"/>
            <w:tcBorders>
              <w:bottom w:val="single" w:sz="8" w:color="0067B3"/>
              <w:right w:val="single" w:sz="8" w:color="0067B3"/>
            </w:tcBorders>
          </w:tcPr>
          <w:p>
            <w:pPr>
              <w:spacing w:after="0"/>
              <w:rPr>
                <w:sz w:val="3"/>
                <w:szCs w:val="3"/>
                <w:color w:val="auto"/>
              </w:rPr>
            </w:pPr>
          </w:p>
        </w:tc>
        <w:tc>
          <w:tcPr>
            <w:tcW w:w="2820" w:type="dxa"/>
            <w:vAlign w:val="bottom"/>
            <w:tcBorders>
              <w:bottom w:val="single" w:sz="8" w:color="0067B3"/>
              <w:right w:val="single" w:sz="8" w:color="0067B3"/>
            </w:tcBorders>
          </w:tcPr>
          <w:p>
            <w:pPr>
              <w:spacing w:after="0"/>
              <w:rPr>
                <w:sz w:val="3"/>
                <w:szCs w:val="3"/>
                <w:color w:val="auto"/>
              </w:rPr>
            </w:pPr>
          </w:p>
        </w:tc>
        <w:tc>
          <w:tcPr>
            <w:tcW w:w="2800" w:type="dxa"/>
            <w:vAlign w:val="bottom"/>
            <w:tcBorders>
              <w:bottom w:val="single" w:sz="8" w:color="0067B3"/>
              <w:right w:val="single" w:sz="8" w:color="0067B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-1619885</wp:posOffset>
            </wp:positionV>
            <wp:extent cx="6412230" cy="8483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2230" cy="84836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Fiscal Year 2023 Performance and Key Pay Decisions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Fiscal year 2023 was an important year for ADI. We delivered strong revenue performance against a backdrop of challenging conditions, including an uncertain macroeconomic environment. In fiscal year 2023, we delivered all-time high annual revenue of $12.3 billion and industry-leading gross and operating margins. Importantly, we made progress positioning ADI for continued long-term success through deepening our customer engagements, continuing to invest in our business to drive innovation, extracting value from recent acquisitions, and capitalizing on secular trends to drive addressable markets and diversified growth. We also demonstrated our commitment to deliver strong shareholder returns during fiscal year 2023, returning more than $4.6 billion to our shareholders in the form of dividends and share buybacks. ADI’s total shareholder return over its last three fiscal years, ending October 28, 2023, was 43%, which is ~1.3x the S&amp;P 500 return of 32% over that same time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Fiscal Year 2023 Performance Highlights*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670"/>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$12.3B</w:t>
            </w:r>
          </w:p>
        </w:tc>
        <w:tc>
          <w:tcPr>
            <w:tcW w:w="226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64.0%</w:t>
            </w: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31.1%</w:t>
            </w:r>
          </w:p>
        </w:tc>
        <w:tc>
          <w:tcPr>
            <w:tcW w:w="236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$6.55</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color w:val="0067B3"/>
              </w:rPr>
              <w:t>$4.8B</w:t>
            </w: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r>
      <w:tr>
        <w:trPr>
          <w:trHeight w:val="720"/>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~90%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72.5%</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48.9%</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$10.09</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color w:val="0067B3"/>
              </w:rPr>
              <w:t>$3.6B</w:t>
            </w: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r>
      <w:tr>
        <w:trPr>
          <w:trHeight w:val="172"/>
        </w:trPr>
        <w:tc>
          <w:tcPr>
            <w:tcW w:w="2120" w:type="dxa"/>
            <w:vAlign w:val="bottom"/>
            <w:tcBorders>
              <w:left w:val="single" w:sz="8" w:color="0067B3"/>
              <w:bottom w:val="single" w:sz="8" w:color="0067B3"/>
              <w:right w:val="single" w:sz="8" w:color="auto"/>
            </w:tcBorders>
          </w:tcPr>
          <w:p>
            <w:pPr>
              <w:spacing w:after="0"/>
              <w:rPr>
                <w:sz w:val="14"/>
                <w:szCs w:val="14"/>
                <w:color w:val="auto"/>
              </w:rPr>
            </w:pPr>
          </w:p>
        </w:tc>
        <w:tc>
          <w:tcPr>
            <w:tcW w:w="2260" w:type="dxa"/>
            <w:vAlign w:val="bottom"/>
            <w:tcBorders>
              <w:bottom w:val="single" w:sz="8" w:color="0067B3"/>
              <w:right w:val="single" w:sz="8" w:color="auto"/>
            </w:tcBorders>
          </w:tcPr>
          <w:p>
            <w:pPr>
              <w:spacing w:after="0"/>
              <w:rPr>
                <w:sz w:val="14"/>
                <w:szCs w:val="14"/>
                <w:color w:val="auto"/>
              </w:rPr>
            </w:pPr>
          </w:p>
        </w:tc>
        <w:tc>
          <w:tcPr>
            <w:tcW w:w="2340" w:type="dxa"/>
            <w:vAlign w:val="bottom"/>
            <w:tcBorders>
              <w:bottom w:val="single" w:sz="8" w:color="0067B3"/>
              <w:right w:val="single" w:sz="8" w:color="auto"/>
            </w:tcBorders>
          </w:tcPr>
          <w:p>
            <w:pPr>
              <w:spacing w:after="0"/>
              <w:rPr>
                <w:sz w:val="14"/>
                <w:szCs w:val="14"/>
                <w:color w:val="auto"/>
              </w:rPr>
            </w:pPr>
          </w:p>
        </w:tc>
        <w:tc>
          <w:tcPr>
            <w:tcW w:w="2360" w:type="dxa"/>
            <w:vAlign w:val="bottom"/>
            <w:tcBorders>
              <w:bottom w:val="single" w:sz="8" w:color="0067B3"/>
              <w:right w:val="single" w:sz="8" w:color="auto"/>
            </w:tcBorders>
          </w:tcPr>
          <w:p>
            <w:pPr>
              <w:spacing w:after="0"/>
              <w:rPr>
                <w:sz w:val="14"/>
                <w:szCs w:val="14"/>
                <w:color w:val="auto"/>
              </w:rPr>
            </w:pPr>
          </w:p>
        </w:tc>
        <w:tc>
          <w:tcPr>
            <w:tcW w:w="2180" w:type="dxa"/>
            <w:vAlign w:val="bottom"/>
            <w:tcBorders>
              <w:bottom w:val="single" w:sz="8" w:color="0067B3"/>
              <w:right w:val="single" w:sz="8" w:color="0067B3"/>
            </w:tcBorders>
          </w:tcPr>
          <w:p>
            <w:pPr>
              <w:spacing w:after="0"/>
              <w:rPr>
                <w:sz w:val="14"/>
                <w:szCs w:val="14"/>
                <w:color w:val="auto"/>
              </w:rPr>
            </w:pPr>
          </w:p>
        </w:tc>
      </w:tr>
    </w:tbl>
    <w:p>
      <w:pPr>
        <w:spacing w:after="0" w:line="148" w:lineRule="exact"/>
        <w:rPr>
          <w:sz w:val="20"/>
          <w:szCs w:val="20"/>
          <w:color w:val="auto"/>
        </w:rPr>
      </w:pPr>
    </w:p>
    <w:p>
      <w:pPr>
        <w:ind w:left="200" w:right="360" w:hanging="192"/>
        <w:spacing w:after="0" w:line="286"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200" w:lineRule="exact"/>
        <w:rPr>
          <w:sz w:val="20"/>
          <w:szCs w:val="20"/>
          <w:color w:val="auto"/>
        </w:rPr>
      </w:pPr>
    </w:p>
    <w:p>
      <w:pPr>
        <w:spacing w:after="0" w:line="237" w:lineRule="exact"/>
        <w:rPr>
          <w:sz w:val="20"/>
          <w:szCs w:val="20"/>
          <w:color w:val="auto"/>
        </w:rPr>
      </w:pPr>
    </w:p>
    <w:p>
      <w:pPr>
        <w:ind w:left="480" w:hanging="454"/>
        <w:spacing w:after="0"/>
        <w:tabs>
          <w:tab w:leader="none" w:pos="480" w:val="left"/>
        </w:tabs>
        <w:numPr>
          <w:ilvl w:val="0"/>
          <w:numId w:val="81"/>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56" w:right="319" w:bottom="1440" w:gutter="0" w:footer="0" w:header="0"/>
        </w:sectPr>
      </w:pPr>
    </w:p>
    <w:bookmarkStart w:id="60" w:name="page61"/>
    <w:bookmarkEnd w:id="60"/>
    <w:p>
      <w:pPr>
        <w:spacing w:after="0"/>
        <w:rPr>
          <w:sz w:val="20"/>
          <w:szCs w:val="20"/>
          <w:color w:val="auto"/>
        </w:rPr>
      </w:pPr>
      <w:r>
        <w:rPr>
          <w:rFonts w:ascii="Arial" w:cs="Arial" w:eastAsia="Arial" w:hAnsi="Arial"/>
          <w:sz w:val="23"/>
          <w:szCs w:val="23"/>
          <w:b w:val="1"/>
          <w:bCs w:val="1"/>
          <w:color w:val="auto"/>
        </w:rPr>
        <w:t>New Chief Technology Officer</w:t>
      </w:r>
    </w:p>
    <w:p>
      <w:pPr>
        <w:spacing w:after="0" w:line="14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During fiscal year 2023, we strengthened our Leadership Team with the appointment of Alan Lee as Chief Technology Officer. In this role, Mr. Lee works to identify and advance the next-generation technologies that will disrupt and shape the semiconductor industry and its markets. Mr. Lee is a well-known industry leader, and we believe that his breadth and depth of expertise and experience across both the technology and commercial domains will support our goal of delivering significant market impact for our customers through cutting-edge innovation.</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Notable Compensation Changes for Fiscal Year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CEO Pay Adjustment</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determining fiscal year 2023 compensation for our CEO and Chair, the Compensation and Talent Committee completed a robust evaluation of our recent and long-term performance, the strategic direction of ADI, and peer compensation benchmarking and practices. Specific factors considered are listed in detail in the section titled </w:t>
      </w:r>
      <w:r>
        <w:rPr>
          <w:rFonts w:ascii="Arial" w:cs="Arial" w:eastAsia="Arial" w:hAnsi="Arial"/>
          <w:sz w:val="18"/>
          <w:szCs w:val="18"/>
          <w:i w:val="1"/>
          <w:iCs w:val="1"/>
          <w:color w:val="auto"/>
        </w:rPr>
        <w:t>Determining Fiscal Year 2023 Target Compensation</w:t>
      </w:r>
      <w:r>
        <w:rPr>
          <w:rFonts w:ascii="Arial" w:cs="Arial" w:eastAsia="Arial" w:hAnsi="Arial"/>
          <w:sz w:val="18"/>
          <w:szCs w:val="18"/>
          <w:color w:val="auto"/>
        </w:rPr>
        <w:t>. Based on this assessment and in consultation with its independent compensation consultant, the Compensation and Talent Committee determined to increase Mr. Roche’s target total compensation package for fiscal year 2023. To further incentivize Mr. Roche to continue driving future long-term growth and consistent with feedback we received from shareholders, the Compensation and Talent Committee also increased the weighting of Mr. Roche’s annual long-term incentive compensation that is tied to challenging long-term performance goals.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CEO Pay Mix</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fiscal year 2023, consistent with feedback we received from shareholders, and to incentivize Mr. Roche to continue driving future long-term growth, the Compensation and Talent Committee, in consultation with its independent compensation consultant, determined to adjust Mr. Roche’s compensation package and increase the weighting of Mr. Roche’s annual long-term incentive compensation that is tied to challenging long-term performance goals to 75%, up from 65% in fiscal year 2022.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 a result, for fiscal years 2022 and 2023, the form and mix of equity awards granted as part of our annual equity award program for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was as follows:</w:t>
      </w:r>
    </w:p>
    <w:p>
      <w:pPr>
        <w:spacing w:after="0" w:line="288" w:lineRule="exact"/>
        <w:rPr>
          <w:sz w:val="20"/>
          <w:szCs w:val="20"/>
          <w:color w:val="auto"/>
        </w:rPr>
      </w:pPr>
    </w:p>
    <w:p>
      <w:pPr>
        <w:ind w:left="2120"/>
        <w:spacing w:after="0"/>
        <w:tabs>
          <w:tab w:leader="none" w:pos="7720" w:val="left"/>
        </w:tabs>
        <w:rPr>
          <w:sz w:val="20"/>
          <w:szCs w:val="20"/>
          <w:color w:val="auto"/>
        </w:rPr>
      </w:pPr>
      <w:r>
        <w:rPr>
          <w:rFonts w:ascii="Arial" w:cs="Arial" w:eastAsia="Arial" w:hAnsi="Arial"/>
          <w:sz w:val="18"/>
          <w:szCs w:val="18"/>
          <w:b w:val="1"/>
          <w:bCs w:val="1"/>
          <w:color w:val="0067B3"/>
        </w:rPr>
        <w:t>Fiscal Year 2022</w:t>
      </w:r>
      <w:r>
        <w:rPr>
          <w:sz w:val="20"/>
          <w:szCs w:val="20"/>
          <w:color w:val="auto"/>
        </w:rPr>
        <w:tab/>
      </w:r>
      <w:r>
        <w:rPr>
          <w:rFonts w:ascii="Arial" w:cs="Arial" w:eastAsia="Arial" w:hAnsi="Arial"/>
          <w:sz w:val="17"/>
          <w:szCs w:val="17"/>
          <w:b w:val="1"/>
          <w:bCs w:val="1"/>
          <w:color w:val="0067B3"/>
        </w:rPr>
        <w:t>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231775</wp:posOffset>
            </wp:positionV>
            <wp:extent cx="6035040" cy="12172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504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Change in Target Performance for Relative TSR PRSUs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our Relative TSR PRSUs, the number of PRSUs that executive officers, including our NEOs, may earn is based on our TSR performance relative to the TSR performance of the companies in the S&amp;P 500 Index over a three-year period, expressed as a percentile. In response to shareholder feedback and to enhance the difficulty of achieving our performance goals, in fiscal year 2023, we increased the percentile for target performance of our Relative TSR PRSUs from the 50th percentile to the 55th percentile, beginning with the Relative TSR PRSUs granted in fiscal year 2023, such that target payout of our Relative TSR PRSUs is achieved when ADI’s TSR is at the 55th percentile of the TSRs of the companies in the S&amp;P 500 Index. As in prior years, the number of shares that may vest is capped at target in instances of negative TSR.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Adopted Compensation Recovery Policy</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September 2023, to comply with recent SEC rules and Nasdaq listing standards, the Compensation and Talent Committee approved a new compensation recovery policy, also referred to as a “clawback” policy. The policy provides that in the event of an accounting restatement due to the material noncompliance of ADI with any financial reporting requirement under the U.S. federal securities laws, the company will attempt to recover from our CEO and other officers (as defined in Rule 16a-1(f) under the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ectPr>
          <w:pgSz w:w="11900" w:h="16838" w:orient="portrait"/>
          <w:cols w:equalWidth="0" w:num="1">
            <w:col w:w="11220"/>
          </w:cols>
          <w:pgMar w:left="320" w:top="1240" w:right="359" w:bottom="1440" w:gutter="0" w:footer="0" w:header="0"/>
        </w:sectPr>
      </w:pPr>
    </w:p>
    <w:p>
      <w:pPr>
        <w:spacing w:after="0" w:line="29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7"/>
          <w:szCs w:val="27"/>
          <w:b w:val="1"/>
          <w:bCs w:val="1"/>
          <w:color w:val="0067B3"/>
        </w:rPr>
        <w:t>Compensation Philosophy and Objectives</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business is based on innovation and helping our customers solve some of the world’s most complex problems. As a knowledge-based business, we believe that the skills, expertise, and experience of our employees, including our NEOs, are unique and critical factors in our overall success. The competition for talent in the technology sector is fierce. To drive continued successful operational and financial performance, we must attract, motivate, reward, and retain top executive talent. Accordingly, our executive compensation program is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48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p>
      <w:pPr>
        <w:spacing w:after="0" w:line="233" w:lineRule="exact"/>
        <w:rPr>
          <w:sz w:val="20"/>
          <w:szCs w:val="20"/>
          <w:color w:val="auto"/>
        </w:rPr>
      </w:pPr>
    </w:p>
    <w:p>
      <w:pPr>
        <w:ind w:left="220" w:hanging="194"/>
        <w:spacing w:after="0" w:line="287" w:lineRule="auto"/>
        <w:tabs>
          <w:tab w:leader="none" w:pos="177" w:val="left"/>
        </w:tabs>
        <w:numPr>
          <w:ilvl w:val="0"/>
          <w:numId w:val="82"/>
        </w:numPr>
        <w:rPr>
          <w:rFonts w:ascii="Arial" w:cs="Arial" w:eastAsia="Arial" w:hAnsi="Arial"/>
          <w:sz w:val="13"/>
          <w:szCs w:val="13"/>
          <w:color w:val="0067B3"/>
        </w:rPr>
      </w:pPr>
      <w:r>
        <w:rPr>
          <w:rFonts w:ascii="Arial" w:cs="Arial" w:eastAsia="Arial" w:hAnsi="Arial"/>
          <w:sz w:val="18"/>
          <w:szCs w:val="18"/>
          <w:color w:val="auto"/>
        </w:rPr>
        <w:t>Create alignment between executive and shareholder interests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85" w:hanging="185"/>
        <w:spacing w:after="0" w:line="268" w:lineRule="auto"/>
        <w:tabs>
          <w:tab w:leader="none" w:pos="142" w:val="left"/>
        </w:tabs>
        <w:numPr>
          <w:ilvl w:val="0"/>
          <w:numId w:val="83"/>
        </w:numPr>
        <w:rPr>
          <w:rFonts w:ascii="Arial" w:cs="Arial" w:eastAsia="Arial" w:hAnsi="Arial"/>
          <w:sz w:val="13"/>
          <w:szCs w:val="13"/>
          <w:color w:val="0067B3"/>
        </w:rPr>
      </w:pPr>
      <w:r>
        <w:rPr>
          <w:rFonts w:ascii="Arial" w:cs="Arial" w:eastAsia="Arial" w:hAnsi="Arial"/>
          <w:sz w:val="18"/>
          <w:szCs w:val="18"/>
          <w:color w:val="auto"/>
        </w:rPr>
        <w:t>Pay for performance by ensuring incentives are tied to multiple business performance metrics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92" w:right="120" w:hanging="192"/>
        <w:spacing w:after="0" w:line="287" w:lineRule="auto"/>
        <w:tabs>
          <w:tab w:leader="none" w:pos="149" w:val="left"/>
        </w:tabs>
        <w:numPr>
          <w:ilvl w:val="0"/>
          <w:numId w:val="84"/>
        </w:numPr>
        <w:rPr>
          <w:rFonts w:ascii="Arial" w:cs="Arial" w:eastAsia="Arial" w:hAnsi="Arial"/>
          <w:sz w:val="13"/>
          <w:szCs w:val="13"/>
          <w:color w:val="0067B3"/>
        </w:rPr>
      </w:pPr>
      <w:r>
        <w:rPr>
          <w:rFonts w:ascii="Arial" w:cs="Arial" w:eastAsia="Arial" w:hAnsi="Arial"/>
          <w:sz w:val="18"/>
          <w:szCs w:val="18"/>
          <w:color w:val="auto"/>
        </w:rPr>
        <w:t>Provide market competitive compensation to attract and retain top executive talent</w:t>
      </w:r>
    </w:p>
    <w:p>
      <w:pPr>
        <w:spacing w:after="0" w:line="398" w:lineRule="exact"/>
        <w:rPr>
          <w:sz w:val="20"/>
          <w:szCs w:val="20"/>
          <w:color w:val="auto"/>
        </w:rPr>
      </w:pPr>
    </w:p>
    <w:p>
      <w:pPr>
        <w:sectPr>
          <w:pgSz w:w="11900" w:h="16838" w:orient="portrait"/>
          <w:cols w:equalWidth="0" w:num="3">
            <w:col w:w="3440" w:space="455"/>
            <w:col w:w="3265" w:space="488"/>
            <w:col w:w="3612"/>
          </w:cols>
          <w:pgMar w:left="320" w:top="1298" w:right="31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Pay for Performance</w:t>
      </w:r>
    </w:p>
    <w:p>
      <w:pPr>
        <w:spacing w:after="0" w:line="1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provides our executive officers an opportunity to earn above average compensation, as compared to our peer group companies, if we deliver stronger results. Conversely, if we deliver weaker results, our executive officers will earn less compensation. The target pay mix for our NEOs for fiscal year 2023 is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4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400" w:type="dxa"/>
            <w:vAlign w:val="bottom"/>
            <w:gridSpan w:val="2"/>
          </w:tcPr>
          <w:p>
            <w:pPr>
              <w:ind w:left="880"/>
              <w:spacing w:after="0"/>
              <w:rPr>
                <w:sz w:val="20"/>
                <w:szCs w:val="20"/>
                <w:color w:val="auto"/>
              </w:rPr>
            </w:pPr>
            <w:r>
              <w:rPr>
                <w:rFonts w:ascii="Arial" w:cs="Arial" w:eastAsia="Arial" w:hAnsi="Arial"/>
                <w:sz w:val="18"/>
                <w:szCs w:val="18"/>
                <w:b w:val="1"/>
                <w:bCs w:val="1"/>
                <w:color w:val="auto"/>
              </w:rPr>
              <w:t>Performance-Based Incentives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Borders>
              <w:bottom w:val="single" w:sz="8" w:color="BCBEC0"/>
              <w:right w:val="single" w:sz="8" w:color="auto"/>
            </w:tcBorders>
          </w:tcPr>
          <w:p>
            <w:pPr>
              <w:spacing w:after="0"/>
              <w:rPr>
                <w:sz w:val="9"/>
                <w:szCs w:val="9"/>
                <w:color w:val="auto"/>
              </w:rPr>
            </w:pPr>
          </w:p>
        </w:tc>
        <w:tc>
          <w:tcPr>
            <w:tcW w:w="1520" w:type="dxa"/>
            <w:vAlign w:val="bottom"/>
            <w:tcBorders>
              <w:bottom w:val="single" w:sz="8" w:color="7292CB"/>
            </w:tcBorders>
          </w:tcPr>
          <w:p>
            <w:pPr>
              <w:spacing w:after="0"/>
              <w:rPr>
                <w:sz w:val="9"/>
                <w:szCs w:val="9"/>
                <w:color w:val="auto"/>
              </w:rPr>
            </w:pPr>
          </w:p>
        </w:tc>
        <w:tc>
          <w:tcPr>
            <w:tcW w:w="2040" w:type="dxa"/>
            <w:vAlign w:val="bottom"/>
            <w:tcBorders>
              <w:bottom w:val="single" w:sz="8" w:color="0067B3"/>
              <w:right w:val="single" w:sz="8" w:color="auto"/>
            </w:tcBorders>
          </w:tcPr>
          <w:p>
            <w:pPr>
              <w:spacing w:after="0"/>
              <w:rPr>
                <w:sz w:val="9"/>
                <w:szCs w:val="9"/>
                <w:color w:val="auto"/>
              </w:rPr>
            </w:pPr>
          </w:p>
        </w:tc>
        <w:tc>
          <w:tcPr>
            <w:tcW w:w="2240" w:type="dxa"/>
            <w:vAlign w:val="bottom"/>
            <w:tcBorders>
              <w:bottom w:val="single" w:sz="8" w:color="0067B3"/>
            </w:tcBorders>
          </w:tcPr>
          <w:p>
            <w:pPr>
              <w:spacing w:after="0"/>
              <w:rPr>
                <w:sz w:val="9"/>
                <w:szCs w:val="9"/>
                <w:color w:val="auto"/>
              </w:rPr>
            </w:pPr>
          </w:p>
        </w:tc>
        <w:tc>
          <w:tcPr>
            <w:tcW w:w="2160" w:type="dxa"/>
            <w:vAlign w:val="bottom"/>
            <w:tcBorders>
              <w:bottom w:val="single" w:sz="8" w:color="0067B3"/>
            </w:tcBorders>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1440" w:type="dxa"/>
            <w:vAlign w:val="bottom"/>
            <w:tcBorders>
              <w:right w:val="single" w:sz="8" w:color="auto"/>
            </w:tcBorders>
            <w:vMerge w:val="restart"/>
            <w:shd w:val="clear" w:color="auto" w:fill="BCBEC0"/>
          </w:tcPr>
          <w:p>
            <w:pPr>
              <w:ind w:left="200"/>
              <w:spacing w:after="0"/>
              <w:rPr>
                <w:sz w:val="20"/>
                <w:szCs w:val="20"/>
                <w:color w:val="auto"/>
              </w:rPr>
            </w:pPr>
            <w:r>
              <w:rPr>
                <w:rFonts w:ascii="Arial" w:cs="Arial" w:eastAsia="Arial" w:hAnsi="Arial"/>
                <w:sz w:val="18"/>
                <w:szCs w:val="18"/>
                <w:b w:val="1"/>
                <w:bCs w:val="1"/>
                <w:color w:val="auto"/>
              </w:rPr>
              <w:t>Base Salary</w:t>
            </w:r>
          </w:p>
        </w:tc>
        <w:tc>
          <w:tcPr>
            <w:tcW w:w="1520" w:type="dxa"/>
            <w:vAlign w:val="bottom"/>
            <w:tcBorders>
              <w:right w:val="single" w:sz="8" w:color="auto"/>
            </w:tcBorders>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Variable Cash</w:t>
            </w:r>
          </w:p>
        </w:tc>
        <w:tc>
          <w:tcPr>
            <w:tcW w:w="2040" w:type="dxa"/>
            <w:vAlign w:val="bottom"/>
            <w:tcBorders>
              <w:right w:val="single" w:sz="8" w:color="0067B3"/>
            </w:tcBorders>
            <w:vMerge w:val="restart"/>
            <w:shd w:val="clear" w:color="auto" w:fill="0067B3"/>
          </w:tcPr>
          <w:p>
            <w:pPr>
              <w:ind w:left="240"/>
              <w:spacing w:after="0"/>
              <w:rPr>
                <w:sz w:val="20"/>
                <w:szCs w:val="20"/>
                <w:color w:val="auto"/>
              </w:rPr>
            </w:pPr>
            <w:r>
              <w:rPr>
                <w:rFonts w:ascii="Arial" w:cs="Arial" w:eastAsia="Arial" w:hAnsi="Arial"/>
                <w:sz w:val="18"/>
                <w:szCs w:val="18"/>
                <w:b w:val="1"/>
                <w:bCs w:val="1"/>
                <w:color w:val="FFFFFF"/>
              </w:rPr>
              <w:t>Time-Based RSUs</w:t>
            </w:r>
          </w:p>
        </w:tc>
        <w:tc>
          <w:tcPr>
            <w:tcW w:w="224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Relative TSR</w:t>
            </w:r>
          </w:p>
        </w:tc>
        <w:tc>
          <w:tcPr>
            <w:tcW w:w="21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Financial Metric</w:t>
            </w:r>
          </w:p>
        </w:tc>
        <w:tc>
          <w:tcPr>
            <w:tcW w:w="280" w:type="dxa"/>
            <w:vAlign w:val="bottom"/>
            <w:tcBorders>
              <w:right w:val="single" w:sz="8" w:color="0067B3"/>
            </w:tcBorders>
          </w:tcPr>
          <w:p>
            <w:pPr>
              <w:spacing w:after="0"/>
              <w:rPr>
                <w:sz w:val="24"/>
                <w:szCs w:val="24"/>
                <w:color w:val="auto"/>
              </w:rPr>
            </w:pPr>
          </w:p>
        </w:tc>
        <w:tc>
          <w:tcPr>
            <w:tcW w:w="15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TARGET COMP</w:t>
            </w:r>
          </w:p>
        </w:tc>
        <w:tc>
          <w:tcPr>
            <w:tcW w:w="0" w:type="dxa"/>
            <w:vAlign w:val="bottom"/>
          </w:tcPr>
          <w:p>
            <w:pPr>
              <w:spacing w:after="0"/>
              <w:rPr>
                <w:sz w:val="1"/>
                <w:szCs w:val="1"/>
                <w:color w:val="auto"/>
              </w:rPr>
            </w:pPr>
          </w:p>
        </w:tc>
      </w:tr>
      <w:tr>
        <w:trPr>
          <w:trHeight w:val="139"/>
        </w:trPr>
        <w:tc>
          <w:tcPr>
            <w:tcW w:w="1440" w:type="dxa"/>
            <w:vAlign w:val="bottom"/>
            <w:tcBorders>
              <w:right w:val="single" w:sz="8" w:color="auto"/>
            </w:tcBorders>
            <w:vMerge w:val="continue"/>
            <w:shd w:val="clear" w:color="auto" w:fill="BCBEC0"/>
          </w:tcPr>
          <w:p>
            <w:pPr>
              <w:spacing w:after="0"/>
              <w:rPr>
                <w:sz w:val="12"/>
                <w:szCs w:val="12"/>
                <w:color w:val="auto"/>
              </w:rPr>
            </w:pPr>
          </w:p>
        </w:tc>
        <w:tc>
          <w:tcPr>
            <w:tcW w:w="1520" w:type="dxa"/>
            <w:vAlign w:val="bottom"/>
            <w:tcBorders>
              <w:right w:val="single" w:sz="8" w:color="auto"/>
            </w:tcBorders>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2040" w:type="dxa"/>
            <w:vAlign w:val="bottom"/>
            <w:tcBorders>
              <w:right w:val="single" w:sz="8" w:color="0067B3"/>
            </w:tcBorders>
            <w:vMerge w:val="continue"/>
            <w:shd w:val="clear" w:color="auto" w:fill="0067B3"/>
          </w:tcPr>
          <w:p>
            <w:pPr>
              <w:spacing w:after="0"/>
              <w:rPr>
                <w:sz w:val="12"/>
                <w:szCs w:val="12"/>
                <w:color w:val="auto"/>
              </w:rPr>
            </w:pPr>
          </w:p>
        </w:tc>
        <w:tc>
          <w:tcPr>
            <w:tcW w:w="224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1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80" w:type="dxa"/>
            <w:vAlign w:val="bottom"/>
            <w:tcBorders>
              <w:right w:val="single" w:sz="8" w:color="0067B3"/>
            </w:tcBorders>
          </w:tcPr>
          <w:p>
            <w:pPr>
              <w:spacing w:after="0"/>
              <w:rPr>
                <w:sz w:val="12"/>
                <w:szCs w:val="12"/>
                <w:color w:val="auto"/>
              </w:rPr>
            </w:pPr>
          </w:p>
        </w:tc>
        <w:tc>
          <w:tcPr>
            <w:tcW w:w="15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8"/>
              </w:rPr>
              <w:t>VALUE</w:t>
            </w: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shd w:val="clear" w:color="auto" w:fill="BCBEC0"/>
          </w:tcPr>
          <w:p>
            <w:pPr>
              <w:spacing w:after="0"/>
              <w:rPr>
                <w:sz w:val="9"/>
                <w:szCs w:val="9"/>
                <w:color w:val="auto"/>
              </w:rPr>
            </w:pPr>
          </w:p>
        </w:tc>
        <w:tc>
          <w:tcPr>
            <w:tcW w:w="1520" w:type="dxa"/>
            <w:vAlign w:val="bottom"/>
            <w:tcBorders>
              <w:right w:val="single" w:sz="8" w:color="auto"/>
            </w:tcBorders>
            <w:vMerge w:val="continue"/>
            <w:shd w:val="clear" w:color="auto" w:fill="7292CB"/>
          </w:tcPr>
          <w:p>
            <w:pPr>
              <w:spacing w:after="0"/>
              <w:rPr>
                <w:sz w:val="9"/>
                <w:szCs w:val="9"/>
                <w:color w:val="auto"/>
              </w:rPr>
            </w:pPr>
          </w:p>
        </w:tc>
        <w:tc>
          <w:tcPr>
            <w:tcW w:w="2040" w:type="dxa"/>
            <w:vAlign w:val="bottom"/>
            <w:tcBorders>
              <w:right w:val="single" w:sz="8" w:color="0067B3"/>
            </w:tcBorders>
            <w:shd w:val="clear" w:color="auto" w:fill="0067B3"/>
          </w:tcPr>
          <w:p>
            <w:pPr>
              <w:spacing w:after="0"/>
              <w:rPr>
                <w:sz w:val="9"/>
                <w:szCs w:val="9"/>
                <w:color w:val="auto"/>
              </w:rPr>
            </w:pPr>
          </w:p>
        </w:tc>
        <w:tc>
          <w:tcPr>
            <w:tcW w:w="2240" w:type="dxa"/>
            <w:vAlign w:val="bottom"/>
            <w:vMerge w:val="continue"/>
            <w:shd w:val="clear" w:color="auto" w:fill="0067B3"/>
          </w:tcPr>
          <w:p>
            <w:pPr>
              <w:spacing w:after="0"/>
              <w:rPr>
                <w:sz w:val="9"/>
                <w:szCs w:val="9"/>
                <w:color w:val="auto"/>
              </w:rPr>
            </w:pPr>
          </w:p>
        </w:tc>
        <w:tc>
          <w:tcPr>
            <w:tcW w:w="2160" w:type="dxa"/>
            <w:vAlign w:val="bottom"/>
            <w:vMerge w:val="continue"/>
            <w:shd w:val="clear" w:color="auto" w:fill="0067B3"/>
          </w:tcPr>
          <w:p>
            <w:pPr>
              <w:spacing w:after="0"/>
              <w:rPr>
                <w:sz w:val="9"/>
                <w:szCs w:val="9"/>
                <w:color w:val="auto"/>
              </w:rPr>
            </w:pP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shd w:val="clear" w:color="auto" w:fill="BCBEC0"/>
          </w:tcPr>
          <w:p>
            <w:pPr>
              <w:spacing w:after="0"/>
              <w:rPr>
                <w:sz w:val="15"/>
                <w:szCs w:val="15"/>
                <w:color w:val="auto"/>
              </w:rPr>
            </w:pPr>
          </w:p>
        </w:tc>
        <w:tc>
          <w:tcPr>
            <w:tcW w:w="1520" w:type="dxa"/>
            <w:vAlign w:val="bottom"/>
            <w:tcBorders>
              <w:right w:val="single" w:sz="8" w:color="auto"/>
            </w:tcBorders>
            <w:shd w:val="clear" w:color="auto" w:fill="7292CB"/>
          </w:tcPr>
          <w:p>
            <w:pPr>
              <w:spacing w:after="0"/>
              <w:rPr>
                <w:sz w:val="15"/>
                <w:szCs w:val="15"/>
                <w:color w:val="auto"/>
              </w:rPr>
            </w:pPr>
          </w:p>
        </w:tc>
        <w:tc>
          <w:tcPr>
            <w:tcW w:w="2040" w:type="dxa"/>
            <w:vAlign w:val="bottom"/>
            <w:tcBorders>
              <w:right w:val="single" w:sz="8" w:color="0067B3"/>
            </w:tcBorders>
            <w:shd w:val="clear" w:color="auto" w:fill="0067B3"/>
          </w:tcPr>
          <w:p>
            <w:pPr>
              <w:spacing w:after="0"/>
              <w:rPr>
                <w:sz w:val="15"/>
                <w:szCs w:val="15"/>
                <w:color w:val="auto"/>
              </w:rPr>
            </w:pPr>
          </w:p>
        </w:tc>
        <w:tc>
          <w:tcPr>
            <w:tcW w:w="2240" w:type="dxa"/>
            <w:vAlign w:val="bottom"/>
            <w:shd w:val="clear" w:color="auto" w:fill="0067B3"/>
          </w:tcPr>
          <w:p>
            <w:pPr>
              <w:spacing w:after="0"/>
              <w:rPr>
                <w:sz w:val="15"/>
                <w:szCs w:val="15"/>
                <w:color w:val="auto"/>
              </w:rPr>
            </w:pPr>
          </w:p>
        </w:tc>
        <w:tc>
          <w:tcPr>
            <w:tcW w:w="2160" w:type="dxa"/>
            <w:vAlign w:val="bottom"/>
            <w:shd w:val="clear" w:color="auto" w:fill="0067B3"/>
          </w:tcPr>
          <w:p>
            <w:pPr>
              <w:spacing w:after="0"/>
              <w:rPr>
                <w:sz w:val="15"/>
                <w:szCs w:val="15"/>
                <w:color w:val="auto"/>
              </w:rPr>
            </w:pPr>
          </w:p>
        </w:tc>
        <w:tc>
          <w:tcPr>
            <w:tcW w:w="280" w:type="dxa"/>
            <w:vAlign w:val="bottom"/>
            <w:tcBorders>
              <w:right w:val="single" w:sz="8" w:color="0067B3"/>
            </w:tcBorders>
          </w:tcPr>
          <w:p>
            <w:pPr>
              <w:spacing w:after="0"/>
              <w:rPr>
                <w:sz w:val="15"/>
                <w:szCs w:val="15"/>
                <w:color w:val="auto"/>
              </w:rPr>
            </w:pPr>
          </w:p>
        </w:tc>
        <w:tc>
          <w:tcPr>
            <w:tcW w:w="1580" w:type="dxa"/>
            <w:vAlign w:val="bottom"/>
            <w:tcBorders>
              <w:bottom w:val="single" w:sz="8" w:color="0067B3"/>
              <w:right w:val="single" w:sz="8" w:color="0067B3"/>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2040" w:type="dxa"/>
            <w:vAlign w:val="bottom"/>
          </w:tcPr>
          <w:p>
            <w:pPr>
              <w:spacing w:after="0"/>
              <w:rPr>
                <w:sz w:val="21"/>
                <w:szCs w:val="21"/>
                <w:color w:val="auto"/>
              </w:rPr>
            </w:pPr>
          </w:p>
        </w:tc>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Long-term</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5"/>
        </w:trPr>
        <w:tc>
          <w:tcPr>
            <w:tcW w:w="2960" w:type="dxa"/>
            <w:vAlign w:val="bottom"/>
            <w:gridSpan w:val="2"/>
          </w:tcPr>
          <w:p>
            <w:pPr>
              <w:spacing w:after="0"/>
              <w:rPr>
                <w:sz w:val="20"/>
                <w:szCs w:val="20"/>
                <w:color w:val="auto"/>
              </w:rPr>
            </w:pPr>
            <w:r>
              <w:rPr>
                <w:rFonts w:ascii="Arial" w:cs="Arial" w:eastAsia="Arial" w:hAnsi="Arial"/>
                <w:sz w:val="18"/>
                <w:szCs w:val="18"/>
                <w:b w:val="1"/>
                <w:bCs w:val="1"/>
                <w:color w:val="0067B3"/>
              </w:rPr>
              <w:t>Target Comp for CEO</w:t>
            </w:r>
          </w:p>
        </w:tc>
        <w:tc>
          <w:tcPr>
            <w:tcW w:w="2040" w:type="dxa"/>
            <w:vAlign w:val="bottom"/>
          </w:tcPr>
          <w:p>
            <w:pPr>
              <w:spacing w:after="0"/>
              <w:rPr>
                <w:sz w:val="24"/>
                <w:szCs w:val="24"/>
                <w:color w:val="auto"/>
              </w:rPr>
            </w:pPr>
          </w:p>
        </w:tc>
        <w:tc>
          <w:tcPr>
            <w:tcW w:w="4400" w:type="dxa"/>
            <w:vAlign w:val="bottom"/>
            <w:gridSpan w:val="2"/>
          </w:tcPr>
          <w:p>
            <w:pPr>
              <w:ind w:left="740"/>
              <w:spacing w:after="0"/>
              <w:rPr>
                <w:sz w:val="20"/>
                <w:szCs w:val="20"/>
                <w:color w:val="auto"/>
              </w:rPr>
            </w:pPr>
            <w:r>
              <w:rPr>
                <w:rFonts w:ascii="Arial" w:cs="Arial" w:eastAsia="Arial" w:hAnsi="Arial"/>
                <w:sz w:val="18"/>
                <w:szCs w:val="18"/>
                <w:b w:val="1"/>
                <w:bCs w:val="1"/>
                <w:color w:val="0067B3"/>
              </w:rPr>
              <w:t>Target Comp for Other NEOs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-1010285</wp:posOffset>
            </wp:positionV>
            <wp:extent cx="8890" cy="4457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-1010285</wp:posOffset>
            </wp:positionV>
            <wp:extent cx="8890" cy="445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-873125</wp:posOffset>
            </wp:positionV>
            <wp:extent cx="51435"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6591935" cy="16630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9193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454"/>
        <w:spacing w:after="0"/>
        <w:tabs>
          <w:tab w:leader="none" w:pos="480" w:val="left"/>
        </w:tabs>
        <w:numPr>
          <w:ilvl w:val="0"/>
          <w:numId w:val="8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3"/>
          <w:szCs w:val="23"/>
          <w:b w:val="1"/>
          <w:bCs w:val="1"/>
          <w:color w:val="auto"/>
        </w:rPr>
        <w:t>Summary of Direct Compensation Elements</w:t>
      </w:r>
    </w:p>
    <w:p>
      <w:pPr>
        <w:spacing w:after="0" w:line="14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 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Pay Element</w:t>
            </w:r>
          </w:p>
        </w:tc>
        <w:tc>
          <w:tcPr>
            <w:tcW w:w="2660" w:type="dxa"/>
            <w:vAlign w:val="bottom"/>
            <w:gridSpan w:val="2"/>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1960" w:type="dxa"/>
            <w:vAlign w:val="bottom"/>
            <w:gridSpan w:val="2"/>
            <w:shd w:val="clear" w:color="auto" w:fill="0067B3"/>
          </w:tcPr>
          <w:p>
            <w:pPr>
              <w:ind w:left="160"/>
              <w:spacing w:after="0"/>
              <w:rPr>
                <w:sz w:val="20"/>
                <w:szCs w:val="20"/>
                <w:color w:val="auto"/>
              </w:rPr>
            </w:pPr>
            <w:r>
              <w:rPr>
                <w:rFonts w:ascii="Arial" w:cs="Arial" w:eastAsia="Arial" w:hAnsi="Arial"/>
                <w:sz w:val="16"/>
                <w:szCs w:val="16"/>
                <w:b w:val="1"/>
                <w:bCs w:val="1"/>
                <w:color w:val="FFFFFF"/>
              </w:rPr>
              <w:t>Time Period</w:t>
            </w:r>
          </w:p>
        </w:tc>
        <w:tc>
          <w:tcPr>
            <w:tcW w:w="3420" w:type="dxa"/>
            <w:vAlign w:val="bottom"/>
            <w:gridSpan w:val="2"/>
            <w:shd w:val="clear" w:color="auto" w:fill="0067B3"/>
          </w:tcPr>
          <w:p>
            <w:pPr>
              <w:ind w:left="880"/>
              <w:spacing w:after="0"/>
              <w:rPr>
                <w:sz w:val="20"/>
                <w:szCs w:val="20"/>
                <w:color w:val="auto"/>
              </w:rPr>
            </w:pPr>
            <w:r>
              <w:rPr>
                <w:rFonts w:ascii="Arial" w:cs="Arial" w:eastAsia="Arial" w:hAnsi="Arial"/>
                <w:sz w:val="16"/>
                <w:szCs w:val="16"/>
                <w:b w:val="1"/>
                <w:bCs w:val="1"/>
                <w:color w:val="FFFFFF"/>
              </w:rPr>
              <w:t>Performance Measures</w:t>
            </w:r>
          </w:p>
        </w:tc>
        <w:tc>
          <w:tcPr>
            <w:tcW w:w="0" w:type="dxa"/>
            <w:vAlign w:val="bottom"/>
          </w:tcPr>
          <w:p>
            <w:pPr>
              <w:spacing w:after="0"/>
              <w:rPr>
                <w:sz w:val="1"/>
                <w:szCs w:val="1"/>
                <w:color w:val="auto"/>
              </w:rPr>
            </w:pPr>
          </w:p>
        </w:tc>
      </w:tr>
      <w:tr>
        <w:trPr>
          <w:trHeight w:val="278"/>
        </w:trPr>
        <w:tc>
          <w:tcPr>
            <w:tcW w:w="3200" w:type="dxa"/>
            <w:vAlign w:val="bottom"/>
          </w:tcPr>
          <w:p>
            <w:pPr>
              <w:ind w:left="80"/>
              <w:spacing w:after="0"/>
              <w:rPr>
                <w:sz w:val="20"/>
                <w:szCs w:val="20"/>
                <w:color w:val="auto"/>
              </w:rPr>
            </w:pPr>
            <w:r>
              <w:rPr>
                <w:rFonts w:ascii="Arial" w:cs="Arial" w:eastAsia="Arial" w:hAnsi="Arial"/>
                <w:sz w:val="18"/>
                <w:szCs w:val="18"/>
                <w:color w:val="auto"/>
              </w:rPr>
              <w:t>Base Salary</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Attract and retain</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executive talent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3200" w:type="dxa"/>
            <w:vAlign w:val="bottom"/>
          </w:tcPr>
          <w:p>
            <w:pPr>
              <w:spacing w:after="0"/>
              <w:rPr>
                <w:sz w:val="9"/>
                <w:szCs w:val="9"/>
                <w:color w:val="auto"/>
              </w:rPr>
            </w:pPr>
          </w:p>
        </w:tc>
        <w:tc>
          <w:tcPr>
            <w:tcW w:w="260" w:type="dxa"/>
            <w:vAlign w:val="bottom"/>
            <w:tcBorders>
              <w:bottom w:val="single" w:sz="8" w:color="E2E6F4"/>
            </w:tcBorders>
          </w:tcPr>
          <w:p>
            <w:pPr>
              <w:spacing w:after="0"/>
              <w:rPr>
                <w:sz w:val="9"/>
                <w:szCs w:val="9"/>
                <w:color w:val="auto"/>
              </w:rPr>
            </w:pPr>
          </w:p>
        </w:tc>
        <w:tc>
          <w:tcPr>
            <w:tcW w:w="2400" w:type="dxa"/>
            <w:vAlign w:val="bottom"/>
            <w:tcBorders>
              <w:bottom w:val="single" w:sz="8" w:color="E2E6F4"/>
            </w:tcBorders>
          </w:tcPr>
          <w:p>
            <w:pPr>
              <w:spacing w:after="0"/>
              <w:rPr>
                <w:sz w:val="9"/>
                <w:szCs w:val="9"/>
                <w:color w:val="auto"/>
              </w:rPr>
            </w:pPr>
          </w:p>
        </w:tc>
        <w:tc>
          <w:tcPr>
            <w:tcW w:w="280" w:type="dxa"/>
            <w:vAlign w:val="bottom"/>
            <w:tcBorders>
              <w:bottom w:val="single" w:sz="8" w:color="E2E6F4"/>
            </w:tcBorders>
          </w:tcPr>
          <w:p>
            <w:pPr>
              <w:spacing w:after="0"/>
              <w:rPr>
                <w:sz w:val="9"/>
                <w:szCs w:val="9"/>
                <w:color w:val="auto"/>
              </w:rPr>
            </w:pPr>
          </w:p>
        </w:tc>
        <w:tc>
          <w:tcPr>
            <w:tcW w:w="1680" w:type="dxa"/>
            <w:vAlign w:val="bottom"/>
            <w:tcBorders>
              <w:bottom w:val="single" w:sz="8" w:color="E2E6F4"/>
            </w:tcBorders>
          </w:tcPr>
          <w:p>
            <w:pPr>
              <w:spacing w:after="0"/>
              <w:rPr>
                <w:sz w:val="9"/>
                <w:szCs w:val="9"/>
                <w:color w:val="auto"/>
              </w:rPr>
            </w:pPr>
          </w:p>
        </w:tc>
        <w:tc>
          <w:tcPr>
            <w:tcW w:w="1000" w:type="dxa"/>
            <w:vAlign w:val="bottom"/>
            <w:tcBorders>
              <w:bottom w:val="single" w:sz="8" w:color="E2E6F4"/>
            </w:tcBorders>
          </w:tcPr>
          <w:p>
            <w:pPr>
              <w:spacing w:after="0"/>
              <w:rPr>
                <w:sz w:val="9"/>
                <w:szCs w:val="9"/>
                <w:color w:val="auto"/>
              </w:rPr>
            </w:pPr>
          </w:p>
        </w:tc>
        <w:tc>
          <w:tcPr>
            <w:tcW w:w="2420" w:type="dxa"/>
            <w:vAlign w:val="bottom"/>
            <w:tcBorders>
              <w:bottom w:val="single" w:sz="8" w:color="E2E6F4"/>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Short-Term Variable Cash Incentive</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Reward our executive</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50%: year-over-year</w:t>
            </w:r>
          </w:p>
        </w:tc>
        <w:tc>
          <w:tcPr>
            <w:tcW w:w="0" w:type="dxa"/>
            <w:vAlign w:val="bottom"/>
          </w:tcPr>
          <w:p>
            <w:pPr>
              <w:spacing w:after="0"/>
              <w:rPr>
                <w:sz w:val="1"/>
                <w:szCs w:val="1"/>
                <w:color w:val="auto"/>
              </w:rPr>
            </w:pPr>
          </w:p>
        </w:tc>
      </w:tr>
      <w:tr>
        <w:trPr>
          <w:trHeight w:val="139"/>
        </w:trPr>
        <w:tc>
          <w:tcPr>
            <w:tcW w:w="3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officers for achieving short-</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vMerge w:val="restart"/>
          </w:tcPr>
          <w:p>
            <w:pPr>
              <w:ind w:left="80"/>
              <w:spacing w:after="0"/>
              <w:rPr>
                <w:sz w:val="20"/>
                <w:szCs w:val="20"/>
                <w:color w:val="auto"/>
              </w:rPr>
            </w:pPr>
            <w:r>
              <w:rPr>
                <w:rFonts w:ascii="Arial" w:cs="Arial" w:eastAsia="Arial" w:hAnsi="Arial"/>
                <w:sz w:val="18"/>
                <w:szCs w:val="18"/>
                <w:color w:val="auto"/>
              </w:rPr>
              <w:t>revenue growth</w:t>
            </w: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term company financial</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(measured quarterly)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objectives aligned with</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 quarterly OPBT margin</w:t>
            </w: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shareholder value creation</w:t>
            </w: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Minimum OPBT margin</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0204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ind w:left="8900"/>
        <w:spacing w:after="0"/>
        <w:rPr>
          <w:sz w:val="20"/>
          <w:szCs w:val="20"/>
          <w:color w:val="auto"/>
        </w:rPr>
      </w:pPr>
      <w:r>
        <w:rPr>
          <w:rFonts w:ascii="Arial" w:cs="Arial" w:eastAsia="Arial" w:hAnsi="Arial"/>
          <w:sz w:val="18"/>
          <w:szCs w:val="18"/>
          <w:color w:val="auto"/>
        </w:rPr>
        <w:t>required for payout</w:t>
      </w:r>
    </w:p>
    <w:p>
      <w:pPr>
        <w:sectPr>
          <w:pgSz w:w="11900" w:h="16838" w:orient="portrait"/>
          <w:cols w:equalWidth="0" w:num="1">
            <w:col w:w="11240"/>
          </w:cols>
          <w:pgMar w:left="320" w:top="1240" w:right="339" w:bottom="1440" w:gutter="0" w:footer="0" w:header="0"/>
        </w:sectPr>
      </w:pP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Long-</w:t>
            </w: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CEO</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w w:val="97"/>
              </w:rPr>
              <w:t>Other NEOs</w:t>
            </w:r>
          </w:p>
        </w:tc>
        <w:tc>
          <w:tcPr>
            <w:tcW w:w="0" w:type="dxa"/>
            <w:vAlign w:val="bottom"/>
          </w:tcPr>
          <w:p>
            <w:pPr>
              <w:spacing w:after="0"/>
              <w:rPr>
                <w:sz w:val="1"/>
                <w:szCs w:val="1"/>
                <w:color w:val="auto"/>
              </w:rPr>
            </w:pPr>
          </w:p>
        </w:tc>
      </w:tr>
      <w:tr>
        <w:trPr>
          <w:trHeight w:val="131"/>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Term</w:t>
            </w: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rPr>
              <w:t>Relative TSR PRSUs</w:t>
            </w: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0"/>
                <w:szCs w:val="20"/>
                <w:color w:val="auto"/>
              </w:rPr>
            </w:pPr>
            <w:r>
              <w:rPr>
                <w:rFonts w:ascii="Arial" w:cs="Arial" w:eastAsia="Arial" w:hAnsi="Arial"/>
                <w:sz w:val="18"/>
                <w:szCs w:val="18"/>
                <w:b w:val="1"/>
                <w:bCs w:val="1"/>
                <w:color w:val="auto"/>
              </w:rPr>
              <w:t>Incentives</w:t>
            </w: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14605</wp:posOffset>
            </wp:positionV>
            <wp:extent cx="394335" cy="3943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-10160</wp:posOffset>
            </wp:positionV>
            <wp:extent cx="394335" cy="394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Metric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146050</wp:posOffset>
            </wp:positionV>
            <wp:extent cx="394335" cy="3943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120650</wp:posOffset>
            </wp:positionV>
            <wp:extent cx="394335" cy="3943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3"/>
                <w:szCs w:val="13"/>
                <w:color w:val="0067B3"/>
              </w:rPr>
              <w:t>u</w:t>
            </w:r>
          </w:p>
        </w:tc>
        <w:tc>
          <w:tcPr>
            <w:tcW w:w="2460" w:type="dxa"/>
            <w:vAlign w:val="bottom"/>
          </w:tcPr>
          <w:p>
            <w:pPr>
              <w:ind w:left="40"/>
              <w:spacing w:after="0"/>
              <w:rPr>
                <w:sz w:val="20"/>
                <w:szCs w:val="20"/>
                <w:color w:val="auto"/>
              </w:rPr>
            </w:pPr>
            <w:r>
              <w:rPr>
                <w:rFonts w:ascii="Arial" w:cs="Arial" w:eastAsia="Arial" w:hAnsi="Arial"/>
                <w:sz w:val="18"/>
                <w:szCs w:val="18"/>
                <w:color w:val="auto"/>
              </w:rPr>
              <w:t>Align executive officer and</w:t>
            </w:r>
          </w:p>
        </w:tc>
        <w:tc>
          <w:tcPr>
            <w:tcW w:w="220" w:type="dxa"/>
            <w:vAlign w:val="bottom"/>
          </w:tcPr>
          <w:p>
            <w:pPr>
              <w:ind w:left="100"/>
              <w:spacing w:after="0"/>
              <w:rPr>
                <w:sz w:val="20"/>
                <w:szCs w:val="20"/>
                <w:color w:val="auto"/>
              </w:rPr>
            </w:pPr>
            <w:r>
              <w:rPr>
                <w:rFonts w:ascii="Arial" w:cs="Arial" w:eastAsia="Arial" w:hAnsi="Arial"/>
                <w:sz w:val="13"/>
                <w:szCs w:val="13"/>
                <w:color w:val="0067B3"/>
              </w:rPr>
              <w:t>u</w:t>
            </w:r>
          </w:p>
        </w:tc>
        <w:tc>
          <w:tcPr>
            <w:tcW w:w="2380" w:type="dxa"/>
            <w:vAlign w:val="bottom"/>
          </w:tcPr>
          <w:p>
            <w:pPr>
              <w:ind w:left="40"/>
              <w:spacing w:after="0"/>
              <w:rPr>
                <w:sz w:val="20"/>
                <w:szCs w:val="20"/>
                <w:color w:val="auto"/>
              </w:rPr>
            </w:pPr>
            <w:r>
              <w:rPr>
                <w:rFonts w:ascii="Arial" w:cs="Arial" w:eastAsia="Arial" w:hAnsi="Arial"/>
                <w:sz w:val="18"/>
                <w:szCs w:val="18"/>
                <w:color w:val="auto"/>
              </w:rPr>
              <w:t>Cumulative three-year</w:t>
            </w:r>
          </w:p>
        </w:tc>
        <w:tc>
          <w:tcPr>
            <w:tcW w:w="300" w:type="dxa"/>
            <w:vAlign w:val="bottom"/>
          </w:tcPr>
          <w:p>
            <w:pPr>
              <w:ind w:left="180"/>
              <w:spacing w:after="0"/>
              <w:rPr>
                <w:sz w:val="20"/>
                <w:szCs w:val="20"/>
                <w:color w:val="auto"/>
              </w:rPr>
            </w:pPr>
            <w:r>
              <w:rPr>
                <w:rFonts w:ascii="Arial" w:cs="Arial" w:eastAsia="Arial" w:hAnsi="Arial"/>
                <w:sz w:val="13"/>
                <w:szCs w:val="13"/>
                <w:color w:val="0067B3"/>
              </w:rPr>
              <w:t>u</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9"/>
              </w:rPr>
              <w:t>Relative TSR compared to</w:t>
            </w:r>
          </w:p>
        </w:tc>
      </w:tr>
      <w:tr>
        <w:trPr>
          <w:trHeight w:val="216"/>
        </w:trPr>
        <w:tc>
          <w:tcPr>
            <w:tcW w:w="1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Arial" w:cs="Arial" w:eastAsia="Arial" w:hAnsi="Arial"/>
                <w:sz w:val="18"/>
                <w:szCs w:val="18"/>
                <w:color w:val="auto"/>
              </w:rPr>
              <w:t>shareholder interest to drive</w:t>
            </w:r>
          </w:p>
        </w:tc>
        <w:tc>
          <w:tcPr>
            <w:tcW w:w="22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performance period</w:t>
            </w:r>
          </w:p>
        </w:tc>
        <w:tc>
          <w:tcPr>
            <w:tcW w:w="30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w w:val="99"/>
              </w:rPr>
              <w:t>comparator group, targeting</w:t>
            </w:r>
          </w:p>
        </w:tc>
      </w:tr>
      <w:tr>
        <w:trPr>
          <w:trHeight w:val="239"/>
        </w:trPr>
        <w:tc>
          <w:tcPr>
            <w:tcW w:w="10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Arial" w:cs="Arial" w:eastAsia="Arial" w:hAnsi="Arial"/>
                <w:sz w:val="18"/>
                <w:szCs w:val="18"/>
                <w:color w:val="auto"/>
              </w:rPr>
              <w:t>superior relative TSR results</w:t>
            </w: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w w:val="99"/>
              </w:rPr>
              <w:t>above-median performance</w:t>
            </w:r>
          </w:p>
        </w:tc>
      </w:tr>
      <w:tr>
        <w:trPr>
          <w:trHeight w:val="274"/>
        </w:trPr>
        <w:tc>
          <w:tcPr>
            <w:tcW w:w="1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0067B3"/>
              </w:rPr>
              <w:t>u</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Payouts capped at target if</w:t>
            </w:r>
          </w:p>
        </w:tc>
      </w:tr>
      <w:tr>
        <w:trPr>
          <w:trHeight w:val="239"/>
        </w:trPr>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jc w:val="center"/>
              <w:ind w:right="50"/>
              <w:spacing w:after="0"/>
              <w:rPr>
                <w:sz w:val="20"/>
                <w:szCs w:val="20"/>
                <w:color w:val="auto"/>
              </w:rPr>
            </w:pPr>
            <w:r>
              <w:rPr>
                <w:rFonts w:ascii="Arial" w:cs="Arial" w:eastAsia="Arial" w:hAnsi="Arial"/>
                <w:sz w:val="18"/>
                <w:szCs w:val="18"/>
                <w:color w:val="auto"/>
                <w:w w:val="99"/>
              </w:rPr>
              <w:t>absolute TSR is negative</w:t>
            </w:r>
          </w:p>
        </w:tc>
      </w:tr>
      <w:tr>
        <w:trPr>
          <w:trHeight w:val="814"/>
        </w:trPr>
        <w:tc>
          <w:tcPr>
            <w:tcW w:w="100" w:type="dxa"/>
            <w:vAlign w:val="bottom"/>
          </w:tcPr>
          <w:p>
            <w:pPr>
              <w:spacing w:after="0"/>
              <w:rPr>
                <w:sz w:val="20"/>
                <w:szCs w:val="20"/>
                <w:color w:val="auto"/>
              </w:rPr>
            </w:pPr>
            <w:r>
              <w:rPr>
                <w:rFonts w:ascii="Arial" w:cs="Arial" w:eastAsia="Arial" w:hAnsi="Arial"/>
                <w:sz w:val="13"/>
                <w:szCs w:val="13"/>
                <w:color w:val="0067B3"/>
              </w:rPr>
              <w:t>u</w:t>
            </w:r>
          </w:p>
        </w:tc>
        <w:tc>
          <w:tcPr>
            <w:tcW w:w="2460" w:type="dxa"/>
            <w:vAlign w:val="bottom"/>
          </w:tcPr>
          <w:p>
            <w:pPr>
              <w:ind w:left="40"/>
              <w:spacing w:after="0"/>
              <w:rPr>
                <w:sz w:val="20"/>
                <w:szCs w:val="20"/>
                <w:color w:val="auto"/>
              </w:rPr>
            </w:pPr>
            <w:r>
              <w:rPr>
                <w:rFonts w:ascii="Arial" w:cs="Arial" w:eastAsia="Arial" w:hAnsi="Arial"/>
                <w:sz w:val="18"/>
                <w:szCs w:val="18"/>
                <w:color w:val="auto"/>
              </w:rPr>
              <w:t>Align executive officer and</w:t>
            </w:r>
          </w:p>
        </w:tc>
        <w:tc>
          <w:tcPr>
            <w:tcW w:w="220" w:type="dxa"/>
            <w:vAlign w:val="bottom"/>
          </w:tcPr>
          <w:p>
            <w:pPr>
              <w:ind w:left="100"/>
              <w:spacing w:after="0"/>
              <w:rPr>
                <w:sz w:val="20"/>
                <w:szCs w:val="20"/>
                <w:color w:val="auto"/>
              </w:rPr>
            </w:pPr>
            <w:r>
              <w:rPr>
                <w:rFonts w:ascii="Arial" w:cs="Arial" w:eastAsia="Arial" w:hAnsi="Arial"/>
                <w:sz w:val="13"/>
                <w:szCs w:val="13"/>
                <w:color w:val="0067B3"/>
              </w:rPr>
              <w:t>u</w:t>
            </w:r>
          </w:p>
        </w:tc>
        <w:tc>
          <w:tcPr>
            <w:tcW w:w="2380" w:type="dxa"/>
            <w:vAlign w:val="bottom"/>
          </w:tcPr>
          <w:p>
            <w:pPr>
              <w:ind w:left="40"/>
              <w:spacing w:after="0"/>
              <w:rPr>
                <w:sz w:val="20"/>
                <w:szCs w:val="20"/>
                <w:color w:val="auto"/>
              </w:rPr>
            </w:pPr>
            <w:r>
              <w:rPr>
                <w:rFonts w:ascii="Arial" w:cs="Arial" w:eastAsia="Arial" w:hAnsi="Arial"/>
                <w:sz w:val="18"/>
                <w:szCs w:val="18"/>
                <w:color w:val="auto"/>
              </w:rPr>
              <w:t>One-year, two-year</w:t>
            </w:r>
          </w:p>
        </w:tc>
        <w:tc>
          <w:tcPr>
            <w:tcW w:w="300" w:type="dxa"/>
            <w:vAlign w:val="bottom"/>
          </w:tcPr>
          <w:p>
            <w:pPr>
              <w:ind w:left="180"/>
              <w:spacing w:after="0"/>
              <w:rPr>
                <w:sz w:val="20"/>
                <w:szCs w:val="20"/>
                <w:color w:val="auto"/>
              </w:rPr>
            </w:pPr>
            <w:r>
              <w:rPr>
                <w:rFonts w:ascii="Arial" w:cs="Arial" w:eastAsia="Arial" w:hAnsi="Arial"/>
                <w:sz w:val="13"/>
                <w:szCs w:val="13"/>
                <w:color w:val="0067B3"/>
              </w:rPr>
              <w:t>u</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Non-GAAP operating profit</w:t>
            </w:r>
          </w:p>
        </w:tc>
      </w:tr>
      <w:tr>
        <w:trPr>
          <w:trHeight w:val="216"/>
        </w:trPr>
        <w:tc>
          <w:tcPr>
            <w:tcW w:w="1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Arial" w:cs="Arial" w:eastAsia="Arial" w:hAnsi="Arial"/>
                <w:sz w:val="18"/>
                <w:szCs w:val="18"/>
                <w:color w:val="auto"/>
              </w:rPr>
              <w:t>shareholder interests with</w:t>
            </w:r>
          </w:p>
        </w:tc>
        <w:tc>
          <w:tcPr>
            <w:tcW w:w="22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cumulative, and three-year</w:t>
            </w: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Arial" w:cs="Arial" w:eastAsia="Arial" w:hAnsi="Arial"/>
                <w:sz w:val="18"/>
                <w:szCs w:val="18"/>
                <w:color w:val="auto"/>
              </w:rPr>
              <w:t>long-term profitability</w:t>
            </w:r>
          </w:p>
        </w:tc>
        <w:tc>
          <w:tcPr>
            <w:tcW w:w="22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cumulative</w:t>
            </w: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9"/>
        </w:trPr>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performance periods</w:t>
            </w: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140" w:space="220"/>
            <w:col w:w="7880"/>
          </w:cols>
          <w:pgMar w:left="320" w:top="1240" w:right="339" w:bottom="1440" w:gutter="0" w:footer="0" w:header="0"/>
          <w:type w:val="continuous"/>
        </w:sectPr>
      </w:pPr>
    </w:p>
    <w:p>
      <w:pPr>
        <w:spacing w:after="0" w:line="182" w:lineRule="exact"/>
        <w:rPr>
          <w:sz w:val="20"/>
          <w:szCs w:val="20"/>
          <w:color w:val="auto"/>
        </w:rPr>
      </w:pPr>
    </w:p>
    <w:p>
      <w:pPr>
        <w:ind w:left="1860"/>
        <w:spacing w:after="0"/>
        <w:tabs>
          <w:tab w:leader="none" w:pos="3340" w:val="left"/>
          <w:tab w:leader="none" w:pos="6000" w:val="left"/>
          <w:tab w:leader="none" w:pos="868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Attract and retain</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Four-year graded vesting</w:t>
      </w:r>
      <w:r>
        <w:rPr>
          <w:sz w:val="20"/>
          <w:szCs w:val="20"/>
          <w:color w:val="auto"/>
        </w:rPr>
        <w:tab/>
      </w:r>
      <w:r>
        <w:rPr>
          <w:rFonts w:ascii="Arial" w:cs="Arial" w:eastAsia="Arial" w:hAnsi="Arial"/>
          <w:sz w:val="13"/>
          <w:szCs w:val="13"/>
          <w:color w:val="0067B3"/>
        </w:rPr>
        <w:t xml:space="preserve">u </w:t>
      </w:r>
      <w:r>
        <w:rPr>
          <w:rFonts w:ascii="Arial" w:cs="Arial" w:eastAsia="Arial" w:hAnsi="Arial"/>
          <w:sz w:val="17"/>
          <w:szCs w:val="17"/>
          <w:color w:val="000000"/>
        </w:rPr>
        <w:t>None</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-1905</wp:posOffset>
            </wp:positionV>
            <wp:extent cx="394335" cy="394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-27305</wp:posOffset>
            </wp:positionV>
            <wp:extent cx="394335" cy="3943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OPBT = Operating Profit Before Taxes</w:t>
      </w:r>
      <w:r>
        <w:rPr>
          <w:sz w:val="20"/>
          <w:szCs w:val="20"/>
          <w:color w:val="auto"/>
        </w:rPr>
        <w:tab/>
      </w:r>
      <w:r>
        <w:rPr>
          <w:rFonts w:ascii="Arial" w:cs="Arial" w:eastAsia="Arial" w:hAnsi="Arial"/>
          <w:sz w:val="16"/>
          <w:szCs w:val="16"/>
          <w:color w:val="auto"/>
        </w:rPr>
        <w:t>TSR = Total Shareholder Return</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Pay and Governance Best Practices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pay and governance practices are designed to align our executive officers’ interests with those of our shareholders.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21602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p>
      <w:pPr>
        <w:spacing w:after="0" w:line="23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FFFFFF"/>
        </w:rPr>
        <w:t>WHAT WE DO</w:t>
      </w:r>
    </w:p>
    <w:p>
      <w:pPr>
        <w:spacing w:after="0" w:line="158" w:lineRule="exact"/>
        <w:rPr>
          <w:sz w:val="20"/>
          <w:szCs w:val="20"/>
          <w:color w:val="auto"/>
        </w:rPr>
      </w:pPr>
    </w:p>
    <w:p>
      <w:pPr>
        <w:ind w:left="180" w:hanging="154"/>
        <w:spacing w:after="0"/>
        <w:tabs>
          <w:tab w:leader="none" w:pos="180"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Review compensation practices of peers aligned with ADI’s business</w:t>
      </w:r>
    </w:p>
    <w:p>
      <w:pPr>
        <w:spacing w:after="0" w:line="63" w:lineRule="exact"/>
        <w:rPr>
          <w:rFonts w:ascii="Arial" w:cs="Arial" w:eastAsia="Arial" w:hAnsi="Arial"/>
          <w:sz w:val="13"/>
          <w:szCs w:val="13"/>
          <w:color w:val="0067B3"/>
        </w:rPr>
      </w:pPr>
    </w:p>
    <w:p>
      <w:pPr>
        <w:ind w:left="180" w:hanging="154"/>
        <w:spacing w:after="0"/>
        <w:tabs>
          <w:tab w:leader="none" w:pos="180"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Provide for annual cash incentives that are based solely on our financial performance</w:t>
      </w:r>
    </w:p>
    <w:p>
      <w:pPr>
        <w:spacing w:after="0" w:line="63" w:lineRule="exact"/>
        <w:rPr>
          <w:rFonts w:ascii="Arial" w:cs="Arial" w:eastAsia="Arial" w:hAnsi="Arial"/>
          <w:sz w:val="13"/>
          <w:szCs w:val="13"/>
          <w:color w:val="0067B3"/>
        </w:rPr>
      </w:pPr>
    </w:p>
    <w:p>
      <w:pPr>
        <w:ind w:left="220" w:right="120" w:hanging="194"/>
        <w:spacing w:after="0" w:line="271" w:lineRule="auto"/>
        <w:tabs>
          <w:tab w:leader="none" w:pos="177"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Design compensation programs to align a significant portion of equity awards to long-term performance achievement</w:t>
      </w:r>
    </w:p>
    <w:p>
      <w:pPr>
        <w:spacing w:after="0" w:line="5" w:lineRule="exact"/>
        <w:rPr>
          <w:rFonts w:ascii="Arial" w:cs="Arial" w:eastAsia="Arial" w:hAnsi="Arial"/>
          <w:sz w:val="13"/>
          <w:szCs w:val="13"/>
          <w:color w:val="0067B3"/>
        </w:rPr>
      </w:pPr>
    </w:p>
    <w:p>
      <w:pPr>
        <w:ind w:left="180" w:hanging="154"/>
        <w:spacing w:after="0"/>
        <w:tabs>
          <w:tab w:leader="none" w:pos="180" w:val="left"/>
        </w:tabs>
        <w:numPr>
          <w:ilvl w:val="0"/>
          <w:numId w:val="86"/>
        </w:numPr>
        <w:rPr>
          <w:rFonts w:ascii="Arial" w:cs="Arial" w:eastAsia="Arial" w:hAnsi="Arial"/>
          <w:sz w:val="12"/>
          <w:szCs w:val="12"/>
          <w:color w:val="0067B3"/>
        </w:rPr>
      </w:pPr>
      <w:r>
        <w:rPr>
          <w:rFonts w:ascii="Arial" w:cs="Arial" w:eastAsia="Arial" w:hAnsi="Arial"/>
          <w:sz w:val="17"/>
          <w:szCs w:val="17"/>
          <w:color w:val="auto"/>
        </w:rPr>
        <w:t>Tie incentive awards to challenging performance targets aligned with our corporate strategy</w:t>
      </w:r>
    </w:p>
    <w:p>
      <w:pPr>
        <w:spacing w:after="0" w:line="74" w:lineRule="exact"/>
        <w:rPr>
          <w:rFonts w:ascii="Arial" w:cs="Arial" w:eastAsia="Arial" w:hAnsi="Arial"/>
          <w:sz w:val="12"/>
          <w:szCs w:val="12"/>
          <w:color w:val="0067B3"/>
        </w:rPr>
      </w:pPr>
    </w:p>
    <w:p>
      <w:pPr>
        <w:ind w:left="220" w:right="280" w:hanging="194"/>
        <w:spacing w:after="0" w:line="256" w:lineRule="auto"/>
        <w:tabs>
          <w:tab w:leader="none" w:pos="177"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Cap payouts for relative TSR-based awards for instances of negative absolute TSR and provide for target performance at above median relative TSR performance</w:t>
      </w:r>
    </w:p>
    <w:p>
      <w:pPr>
        <w:spacing w:after="0" w:line="30" w:lineRule="exact"/>
        <w:rPr>
          <w:rFonts w:ascii="Arial" w:cs="Arial" w:eastAsia="Arial" w:hAnsi="Arial"/>
          <w:sz w:val="13"/>
          <w:szCs w:val="13"/>
          <w:color w:val="0067B3"/>
        </w:rPr>
      </w:pPr>
    </w:p>
    <w:p>
      <w:pPr>
        <w:ind w:left="180" w:hanging="154"/>
        <w:spacing w:after="0"/>
        <w:tabs>
          <w:tab w:leader="none" w:pos="180"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Provide for compensation clawbacks pursuant to a clawback policy for our CEO and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officers</w:t>
      </w:r>
    </w:p>
    <w:p>
      <w:pPr>
        <w:spacing w:after="0" w:line="45" w:lineRule="exact"/>
        <w:rPr>
          <w:sz w:val="20"/>
          <w:szCs w:val="20"/>
          <w:color w:val="auto"/>
        </w:rPr>
      </w:pPr>
    </w:p>
    <w:p>
      <w:pPr>
        <w:ind w:left="220" w:right="440" w:hanging="194"/>
        <w:spacing w:after="0" w:line="271" w:lineRule="auto"/>
        <w:tabs>
          <w:tab w:leader="none" w:pos="177" w:val="left"/>
        </w:tabs>
        <w:numPr>
          <w:ilvl w:val="0"/>
          <w:numId w:val="87"/>
        </w:numPr>
        <w:rPr>
          <w:rFonts w:ascii="Arial" w:cs="Arial" w:eastAsia="Arial" w:hAnsi="Arial"/>
          <w:sz w:val="13"/>
          <w:szCs w:val="13"/>
          <w:color w:val="0067B3"/>
        </w:rPr>
      </w:pPr>
      <w:r>
        <w:rPr>
          <w:rFonts w:ascii="Arial" w:cs="Arial" w:eastAsia="Arial" w:hAnsi="Arial"/>
          <w:sz w:val="18"/>
          <w:szCs w:val="18"/>
          <w:color w:val="auto"/>
        </w:rPr>
        <w:t>Require significant share ownership by executive officers pursuant to stock ownership guidelines</w:t>
      </w:r>
    </w:p>
    <w:p>
      <w:pPr>
        <w:spacing w:after="0" w:line="5" w:lineRule="exact"/>
        <w:rPr>
          <w:rFonts w:ascii="Arial" w:cs="Arial" w:eastAsia="Arial" w:hAnsi="Arial"/>
          <w:sz w:val="13"/>
          <w:szCs w:val="13"/>
          <w:color w:val="0067B3"/>
        </w:rPr>
      </w:pPr>
    </w:p>
    <w:p>
      <w:pPr>
        <w:ind w:left="180" w:hanging="154"/>
        <w:spacing w:after="0"/>
        <w:tabs>
          <w:tab w:leader="none" w:pos="180" w:val="left"/>
        </w:tabs>
        <w:numPr>
          <w:ilvl w:val="0"/>
          <w:numId w:val="87"/>
        </w:numPr>
        <w:rPr>
          <w:rFonts w:ascii="Arial" w:cs="Arial" w:eastAsia="Arial" w:hAnsi="Arial"/>
          <w:sz w:val="13"/>
          <w:szCs w:val="13"/>
          <w:color w:val="0067B3"/>
        </w:rPr>
      </w:pPr>
      <w:r>
        <w:rPr>
          <w:rFonts w:ascii="Arial" w:cs="Arial" w:eastAsia="Arial" w:hAnsi="Arial"/>
          <w:sz w:val="18"/>
          <w:szCs w:val="18"/>
          <w:color w:val="auto"/>
        </w:rPr>
        <w:t>Conduct an annual “say-on-pay” vote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82"/>
        <w:spacing w:after="0"/>
        <w:rPr>
          <w:sz w:val="20"/>
          <w:szCs w:val="20"/>
          <w:color w:val="auto"/>
        </w:rPr>
      </w:pPr>
      <w:r>
        <w:rPr>
          <w:rFonts w:ascii="Arial" w:cs="Arial" w:eastAsia="Arial" w:hAnsi="Arial"/>
          <w:sz w:val="18"/>
          <w:szCs w:val="18"/>
          <w:b w:val="1"/>
          <w:bCs w:val="1"/>
          <w:color w:val="FFFFFF"/>
        </w:rPr>
        <w:t>WHAT WE DON’T DO</w:t>
      </w:r>
    </w:p>
    <w:p>
      <w:pPr>
        <w:spacing w:after="0" w:line="158" w:lineRule="exact"/>
        <w:rPr>
          <w:sz w:val="20"/>
          <w:szCs w:val="20"/>
          <w:color w:val="auto"/>
        </w:rPr>
      </w:pPr>
    </w:p>
    <w:p>
      <w:pPr>
        <w:ind w:left="202" w:right="820" w:hanging="202"/>
        <w:spacing w:after="0" w:line="271" w:lineRule="auto"/>
        <w:tabs>
          <w:tab w:leader="none" w:pos="158" w:val="left"/>
        </w:tabs>
        <w:numPr>
          <w:ilvl w:val="0"/>
          <w:numId w:val="88"/>
        </w:numPr>
        <w:rPr>
          <w:rFonts w:ascii="Arial" w:cs="Arial" w:eastAsia="Arial" w:hAnsi="Arial"/>
          <w:sz w:val="13"/>
          <w:szCs w:val="13"/>
          <w:color w:val="0067B3"/>
        </w:rPr>
      </w:pPr>
      <w:r>
        <w:rPr>
          <w:rFonts w:ascii="Arial" w:cs="Arial" w:eastAsia="Arial" w:hAnsi="Arial"/>
          <w:sz w:val="18"/>
          <w:szCs w:val="18"/>
          <w:color w:val="auto"/>
        </w:rPr>
        <w:t>No hedging and pledging of ADI securities</w:t>
      </w:r>
    </w:p>
    <w:p>
      <w:pPr>
        <w:spacing w:after="0" w:line="5" w:lineRule="exact"/>
        <w:rPr>
          <w:rFonts w:ascii="Arial" w:cs="Arial" w:eastAsia="Arial" w:hAnsi="Arial"/>
          <w:sz w:val="13"/>
          <w:szCs w:val="13"/>
          <w:color w:val="0067B3"/>
        </w:rPr>
      </w:pPr>
    </w:p>
    <w:p>
      <w:pPr>
        <w:ind w:left="202" w:right="540" w:hanging="202"/>
        <w:spacing w:after="0" w:line="256" w:lineRule="auto"/>
        <w:tabs>
          <w:tab w:leader="none" w:pos="158" w:val="left"/>
        </w:tabs>
        <w:numPr>
          <w:ilvl w:val="0"/>
          <w:numId w:val="88"/>
        </w:numPr>
        <w:rPr>
          <w:rFonts w:ascii="Arial" w:cs="Arial" w:eastAsia="Arial" w:hAnsi="Arial"/>
          <w:sz w:val="13"/>
          <w:szCs w:val="13"/>
          <w:color w:val="0067B3"/>
        </w:rPr>
      </w:pPr>
      <w:r>
        <w:rPr>
          <w:rFonts w:ascii="Arial" w:cs="Arial" w:eastAsia="Arial" w:hAnsi="Arial"/>
          <w:sz w:val="18"/>
          <w:szCs w:val="18"/>
          <w:color w:val="auto"/>
        </w:rPr>
        <w:t>No excessive perquisites to our executive officers</w:t>
      </w:r>
    </w:p>
    <w:p>
      <w:pPr>
        <w:spacing w:after="0" w:line="17" w:lineRule="exact"/>
        <w:rPr>
          <w:rFonts w:ascii="Arial" w:cs="Arial" w:eastAsia="Arial" w:hAnsi="Arial"/>
          <w:sz w:val="13"/>
          <w:szCs w:val="13"/>
          <w:color w:val="0067B3"/>
        </w:rPr>
      </w:pPr>
    </w:p>
    <w:p>
      <w:pPr>
        <w:ind w:left="202" w:right="40" w:hanging="202"/>
        <w:spacing w:after="0" w:line="253" w:lineRule="auto"/>
        <w:tabs>
          <w:tab w:leader="none" w:pos="158" w:val="left"/>
        </w:tabs>
        <w:numPr>
          <w:ilvl w:val="0"/>
          <w:numId w:val="88"/>
        </w:numPr>
        <w:rPr>
          <w:rFonts w:ascii="Arial" w:cs="Arial" w:eastAsia="Arial" w:hAnsi="Arial"/>
          <w:sz w:val="13"/>
          <w:szCs w:val="13"/>
          <w:color w:val="0067B3"/>
        </w:rPr>
      </w:pPr>
      <w:r>
        <w:rPr>
          <w:rFonts w:ascii="Arial" w:cs="Arial" w:eastAsia="Arial" w:hAnsi="Arial"/>
          <w:sz w:val="18"/>
          <w:szCs w:val="18"/>
          <w:color w:val="auto"/>
        </w:rPr>
        <w:t>No gross-ups or compensation paid to officers or directors for any income tax owed for approved travel</w:t>
      </w:r>
    </w:p>
    <w:p>
      <w:pPr>
        <w:spacing w:after="0" w:line="1534" w:lineRule="exact"/>
        <w:rPr>
          <w:sz w:val="20"/>
          <w:szCs w:val="20"/>
          <w:color w:val="auto"/>
        </w:rPr>
      </w:pPr>
    </w:p>
    <w:p>
      <w:pPr>
        <w:sectPr>
          <w:pgSz w:w="11900" w:h="16838" w:orient="portrait"/>
          <w:cols w:equalWidth="0" w:num="2">
            <w:col w:w="7440" w:space="618"/>
            <w:col w:w="3182"/>
          </w:cols>
          <w:pgMar w:left="320" w:top="1240" w:right="339" w:bottom="1440" w:gutter="0" w:footer="0" w:header="0"/>
          <w:type w:val="continuous"/>
        </w:sectPr>
      </w:pPr>
    </w:p>
    <w:p>
      <w:pPr>
        <w:spacing w:after="0" w:line="18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32"/>
          <w:szCs w:val="32"/>
          <w:b w:val="1"/>
          <w:bCs w:val="1"/>
          <w:color w:val="auto"/>
        </w:rPr>
        <w:t>Process for Determining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Roles and Responsibilities</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part of its annual review of our executive compensation program, including NEO compensation, our Compensation and Talent Committee solicits the input of Mr. Roche and its independent compensation consultant, Pearl Meyer and Partners. Pearl Meyer reports directly to our Compensation and Talent Committee. The roles of our Compensation and Talent Committee, Pearl Meyer, and management in setting our fiscal year 2023 executive compensation program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2459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176" w:lineRule="exact"/>
        <w:rPr>
          <w:sz w:val="20"/>
          <w:szCs w:val="20"/>
          <w:color w:val="auto"/>
        </w:rPr>
      </w:pPr>
    </w:p>
    <w:p>
      <w:pPr>
        <w:ind w:left="100" w:right="500"/>
        <w:spacing w:after="0" w:line="273" w:lineRule="auto"/>
        <w:rPr>
          <w:sz w:val="20"/>
          <w:szCs w:val="20"/>
          <w:color w:val="auto"/>
        </w:rPr>
      </w:pPr>
      <w:r>
        <w:rPr>
          <w:rFonts w:ascii="Arial" w:cs="Arial" w:eastAsia="Arial" w:hAnsi="Arial"/>
          <w:sz w:val="18"/>
          <w:szCs w:val="18"/>
          <w:b w:val="1"/>
          <w:bCs w:val="1"/>
          <w:color w:val="FFFFFF"/>
        </w:rPr>
        <w:t>Role of the Compensation Consultant</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Role of Management</w:t>
      </w:r>
    </w:p>
    <w:p>
      <w:pPr>
        <w:spacing w:after="0" w:line="200" w:lineRule="exact"/>
        <w:rPr>
          <w:sz w:val="20"/>
          <w:szCs w:val="20"/>
          <w:color w:val="auto"/>
        </w:rPr>
      </w:pPr>
    </w:p>
    <w:p>
      <w:pPr>
        <w:spacing w:after="0" w:line="347" w:lineRule="exact"/>
        <w:rPr>
          <w:sz w:val="20"/>
          <w:szCs w:val="20"/>
          <w:color w:val="auto"/>
        </w:rPr>
      </w:pPr>
    </w:p>
    <w:p>
      <w:pPr>
        <w:ind w:left="100" w:right="140"/>
        <w:spacing w:after="0" w:line="296" w:lineRule="auto"/>
        <w:rPr>
          <w:sz w:val="20"/>
          <w:szCs w:val="20"/>
          <w:color w:val="auto"/>
        </w:rPr>
      </w:pPr>
      <w:r>
        <w:rPr>
          <w:rFonts w:ascii="Arial" w:cs="Arial" w:eastAsia="Arial" w:hAnsi="Arial"/>
          <w:sz w:val="17"/>
          <w:szCs w:val="17"/>
          <w:b w:val="1"/>
          <w:bCs w:val="1"/>
          <w:color w:val="FFFFFF"/>
        </w:rPr>
        <w:t>Role of the Compensation and Talent Committee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98" w:right="240" w:hanging="198"/>
        <w:spacing w:after="0" w:line="262" w:lineRule="auto"/>
        <w:tabs>
          <w:tab w:leader="none" w:pos="155"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In June 2022, Pearl Meyer recommended a peer group of companies for the purpose of assessing our executive compensation program, which was approved by the Compensation and Talent Committee. Pearl Meyer then gathered compensation information of these companies and provided market-based findings on pay levels and practices to the Compensation and Talent Committee.</w:t>
      </w:r>
    </w:p>
    <w:p>
      <w:pPr>
        <w:spacing w:after="0" w:line="270" w:lineRule="exact"/>
        <w:rPr>
          <w:rFonts w:ascii="Arial" w:cs="Arial" w:eastAsia="Arial" w:hAnsi="Arial"/>
          <w:sz w:val="13"/>
          <w:szCs w:val="13"/>
          <w:color w:val="0067B3"/>
        </w:rPr>
      </w:pPr>
    </w:p>
    <w:p>
      <w:pPr>
        <w:ind w:left="198" w:right="420" w:hanging="198"/>
        <w:spacing w:after="0" w:line="318" w:lineRule="auto"/>
        <w:tabs>
          <w:tab w:leader="none" w:pos="155" w:val="left"/>
        </w:tabs>
        <w:numPr>
          <w:ilvl w:val="0"/>
          <w:numId w:val="89"/>
        </w:numPr>
        <w:rPr>
          <w:rFonts w:ascii="Arial" w:cs="Arial" w:eastAsia="Arial" w:hAnsi="Arial"/>
          <w:sz w:val="12"/>
          <w:szCs w:val="12"/>
          <w:color w:val="0067B3"/>
        </w:rPr>
      </w:pPr>
      <w:r>
        <w:rPr>
          <w:rFonts w:ascii="Arial" w:cs="Arial" w:eastAsia="Arial" w:hAnsi="Arial"/>
          <w:sz w:val="17"/>
          <w:szCs w:val="17"/>
          <w:color w:val="auto"/>
        </w:rPr>
        <w:t>Mr. Roche reviewed the competitive market data for our NEOs, other than himself, as well as their performance in preparing recommendations for the Compensation and Talent Committee’s consideration.</w:t>
      </w:r>
    </w:p>
    <w:p>
      <w:pPr>
        <w:spacing w:after="0" w:line="224" w:lineRule="exact"/>
        <w:rPr>
          <w:rFonts w:ascii="Arial" w:cs="Arial" w:eastAsia="Arial" w:hAnsi="Arial"/>
          <w:sz w:val="12"/>
          <w:szCs w:val="12"/>
          <w:color w:val="0067B3"/>
        </w:rPr>
      </w:pPr>
    </w:p>
    <w:p>
      <w:pPr>
        <w:ind w:left="198" w:right="60" w:hanging="198"/>
        <w:spacing w:after="0" w:line="257" w:lineRule="auto"/>
        <w:tabs>
          <w:tab w:leader="none" w:pos="155"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The Compensation and Talent Committee considered Pearl Meyer’s advice, Mr. Roche’s recommendations for those executive officers reporting to him, and management’s proposed fiscal year 2023 performance goals prior to making its final and sole decision on all fiscal year 2023 executive compensation. At the Compensation and Talent Committee’s direction, Pearl Meyer provided a risk analysis of our executive compensation program. Finally, the Compensation and Talent Committee also certified performance-based compensation payouts for the applicable periods ended in fiscal year 2023.</w:t>
      </w:r>
    </w:p>
    <w:p>
      <w:pPr>
        <w:spacing w:after="0" w:line="200" w:lineRule="exact"/>
        <w:rPr>
          <w:sz w:val="20"/>
          <w:szCs w:val="20"/>
          <w:color w:val="auto"/>
        </w:rPr>
      </w:pPr>
    </w:p>
    <w:p>
      <w:pPr>
        <w:sectPr>
          <w:pgSz w:w="11900" w:h="16838" w:orient="portrait"/>
          <w:cols w:equalWidth="0" w:num="2">
            <w:col w:w="1860" w:space="402"/>
            <w:col w:w="8978"/>
          </w:cols>
          <w:pgMar w:left="320" w:top="1149"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and Talent Committee Consultants</w:t>
      </w:r>
    </w:p>
    <w:p>
      <w:pPr>
        <w:spacing w:after="0" w:line="15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Compensation and Talent Committee has the authority, in its sole discretion, to retain or obtain the advice of any independent legal, accounting, or other advisors it deems necessary or appropriate to carry out its responsibilities. The Compensation and Talent Committee is empowered, without further action by the Board of Directors, to cause ADI to pay the compensation of these advisors as established by the Compensation and Talent Committee. The Compensation and Talent Committee continued to use Pearl Meyer as its independent compensation consultant for fiscal year 2023 because of Pearl Meyer’s experience working with our Compensation and Talent Committee and with compensation committees at other technology companies.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annual process, the Compensation and Talent Committee considered the independence factors that are identified in the Nasdaq Rules when selecting and retaining its advisors. Specifically, with respect to Pearl Meyer, when our Compensation and Talent Committee appointed Pearl Meyer for fiscal year 2023, it analyzed whether Pearl Meyer’s role raised any conflicts of interest by considering the following factors: (i) Pearl Meyer does not provide any services directly to ADI (although we pay Pearl Meyer on the Compensation and Talent Committee’s behalf), (ii) the percentage of Pearl Meyer’s total revenue resulting from fees paid by us on the Compensation and Talent Committee’s behalf, (iii) Pearl Meyer’s conflict of interest policies and procedures, (iv) any business or personal relationship between Pearl Meyer and an executive officer, or between Pearl Meyer’s individual compensation advisors and an executive officer or any member of our Compensation and Talent Committee, and (v) any ADI stock owned by Pearl Meyer or its individual compensation advisors. After considering these factors, the Compensation and Talent Committee determined that Pearl Meyer’s work did not create any conflicts of interest.</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Pearl Meyer reports directly to the Compensation and Talent Committee and assists the Compensation and Talent Committee in evaluating and designing our executive and director compensation program and policies. In connection with its work for the Compensation and Talent Committee, Pearl Meyer is invited to attend the Compensation and Talent Committee’s meetings and, upon request of the Compensation and Talent Committee, attends executive sessions of the Compensation and Talent Committee. For fiscal year 2023, Pearl Meyer assisted the Compensation and Talent Committee with matters, including:</w:t>
      </w:r>
    </w:p>
    <w:p>
      <w:pPr>
        <w:spacing w:after="0" w:line="71" w:lineRule="exact"/>
        <w:rPr>
          <w:sz w:val="20"/>
          <w:szCs w:val="20"/>
          <w:color w:val="auto"/>
        </w:rPr>
      </w:pPr>
    </w:p>
    <w:p>
      <w:pPr>
        <w:ind w:left="160" w:hanging="152"/>
        <w:spacing w:after="0"/>
        <w:tabs>
          <w:tab w:leader="none" w:pos="160"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Defining a peer group of companies;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Reviewing and validating the appropriateness of executive performance incentive plan goals;</w:t>
      </w:r>
    </w:p>
    <w:p>
      <w:pPr>
        <w:spacing w:after="0" w:line="76" w:lineRule="exact"/>
        <w:rPr>
          <w:rFonts w:ascii="Arial" w:cs="Arial" w:eastAsia="Arial" w:hAnsi="Arial"/>
          <w:sz w:val="13"/>
          <w:szCs w:val="13"/>
          <w:color w:val="0067B3"/>
        </w:rPr>
      </w:pPr>
    </w:p>
    <w:p>
      <w:pPr>
        <w:ind w:left="200" w:right="640" w:hanging="192"/>
        <w:spacing w:after="0" w:line="287" w:lineRule="auto"/>
        <w:tabs>
          <w:tab w:leader="none" w:pos="157"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17" w:lineRule="exact"/>
        <w:rPr>
          <w:rFonts w:ascii="Arial" w:cs="Arial" w:eastAsia="Arial" w:hAnsi="Arial"/>
          <w:sz w:val="13"/>
          <w:szCs w:val="13"/>
          <w:color w:val="0067B3"/>
        </w:rPr>
      </w:pPr>
    </w:p>
    <w:p>
      <w:pPr>
        <w:ind w:left="200" w:right="380" w:hanging="192"/>
        <w:spacing w:after="0" w:line="287" w:lineRule="auto"/>
        <w:tabs>
          <w:tab w:leader="none" w:pos="157"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Conducting a detailed analysis of the competitiveness and appropriateness of ADI’s total executive compensation opportunity and total director compensation opportunity in comparison to our defined peer group;</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Conducting a risk assessment of our executive compensation program; and</w:t>
      </w:r>
    </w:p>
    <w:p>
      <w:pPr>
        <w:spacing w:after="0" w:line="76" w:lineRule="exact"/>
        <w:rPr>
          <w:rFonts w:ascii="Arial" w:cs="Arial" w:eastAsia="Arial" w:hAnsi="Arial"/>
          <w:sz w:val="13"/>
          <w:szCs w:val="13"/>
          <w:color w:val="0067B3"/>
        </w:rPr>
      </w:pPr>
    </w:p>
    <w:p>
      <w:pPr>
        <w:ind w:left="200" w:right="320" w:hanging="192"/>
        <w:spacing w:after="0" w:line="287" w:lineRule="auto"/>
        <w:tabs>
          <w:tab w:leader="none" w:pos="157" w:val="left"/>
        </w:tabs>
        <w:numPr>
          <w:ilvl w:val="0"/>
          <w:numId w:val="90"/>
        </w:numPr>
        <w:rPr>
          <w:rFonts w:ascii="Arial" w:cs="Arial" w:eastAsia="Arial" w:hAnsi="Arial"/>
          <w:sz w:val="13"/>
          <w:szCs w:val="13"/>
          <w:color w:val="0067B3"/>
        </w:rPr>
      </w:pPr>
      <w:r>
        <w:rPr>
          <w:rFonts w:ascii="Arial" w:cs="Arial" w:eastAsia="Arial" w:hAnsi="Arial"/>
          <w:sz w:val="18"/>
          <w:szCs w:val="18"/>
          <w:color w:val="auto"/>
        </w:rPr>
        <w:t>Advising on regulatory changes and their potential impact on our executive compensation programs along with any other aspects of our compensation programs.</w:t>
      </w:r>
    </w:p>
    <w:p>
      <w:pPr>
        <w:sectPr>
          <w:pgSz w:w="11900" w:h="16838" w:orient="portrait"/>
          <w:cols w:equalWidth="0" w:num="1">
            <w:col w:w="11240"/>
          </w:cols>
          <w:pgMar w:left="320" w:top="1149"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480" w:hanging="454"/>
        <w:spacing w:after="0"/>
        <w:tabs>
          <w:tab w:leader="none" w:pos="480" w:val="left"/>
        </w:tabs>
        <w:numPr>
          <w:ilvl w:val="0"/>
          <w:numId w:val="91"/>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27"/>
          <w:szCs w:val="27"/>
          <w:b w:val="1"/>
          <w:bCs w:val="1"/>
          <w:color w:val="0067B3"/>
        </w:rPr>
        <w:t>Market Compensation Data</w:t>
      </w:r>
    </w:p>
    <w:p>
      <w:pPr>
        <w:spacing w:after="0" w:line="1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Compensation and Talent Committee has sought to select peer group companies that are publicly traded, are headquartered in the United States, compete with us for talent, and are similar to ADI in their product and services offerings, business model, revenue size, and market capitalization.</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expenditures as ADI, include peers of peers and peers of other companies in our sector, and often compete with ADI for talent. Based on review and consultation with Pearl Meyer, for fiscal year 2023, the Compensation and Talent Committee determined to make no changes to the peer group from the prior year.</w:t>
      </w:r>
    </w:p>
    <w:p>
      <w:pPr>
        <w:spacing w:after="0" w:line="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In fiscal year 2023, the peer group companies used by the Compensation and Talent Committee to evaluate executive compensation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2023 Peer Group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Advanced Micro Devices, Inc.</w:t>
            </w:r>
          </w:p>
        </w:tc>
        <w:tc>
          <w:tcPr>
            <w:tcW w:w="3940" w:type="dxa"/>
            <w:vAlign w:val="bottom"/>
          </w:tcPr>
          <w:p>
            <w:pPr>
              <w:ind w:left="660"/>
              <w:spacing w:after="0"/>
              <w:rPr>
                <w:sz w:val="20"/>
                <w:szCs w:val="20"/>
                <w:color w:val="auto"/>
              </w:rPr>
            </w:pPr>
            <w:r>
              <w:rPr>
                <w:rFonts w:ascii="Arial" w:cs="Arial" w:eastAsia="Arial" w:hAnsi="Arial"/>
                <w:sz w:val="18"/>
                <w:szCs w:val="18"/>
                <w:color w:val="auto"/>
              </w:rPr>
              <w:t>KLA Corporation</w:t>
            </w:r>
          </w:p>
        </w:tc>
        <w:tc>
          <w:tcPr>
            <w:tcW w:w="4140" w:type="dxa"/>
            <w:vAlign w:val="bottom"/>
          </w:tcPr>
          <w:p>
            <w:pPr>
              <w:ind w:left="480"/>
              <w:spacing w:after="0"/>
              <w:rPr>
                <w:sz w:val="20"/>
                <w:szCs w:val="20"/>
                <w:color w:val="auto"/>
              </w:rPr>
            </w:pPr>
            <w:r>
              <w:rPr>
                <w:rFonts w:ascii="Arial" w:cs="Arial" w:eastAsia="Arial" w:hAnsi="Arial"/>
                <w:sz w:val="18"/>
                <w:szCs w:val="18"/>
                <w:color w:val="auto"/>
              </w:rPr>
              <w:t>NVIDIA Corporation</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Agilent Technologies, Inc.</w:t>
            </w:r>
          </w:p>
        </w:tc>
        <w:tc>
          <w:tcPr>
            <w:tcW w:w="3940" w:type="dxa"/>
            <w:vAlign w:val="bottom"/>
          </w:tcPr>
          <w:p>
            <w:pPr>
              <w:ind w:left="660"/>
              <w:spacing w:after="0"/>
              <w:rPr>
                <w:sz w:val="20"/>
                <w:szCs w:val="20"/>
                <w:color w:val="auto"/>
              </w:rPr>
            </w:pPr>
            <w:r>
              <w:rPr>
                <w:rFonts w:ascii="Arial" w:cs="Arial" w:eastAsia="Arial" w:hAnsi="Arial"/>
                <w:sz w:val="18"/>
                <w:szCs w:val="18"/>
                <w:color w:val="auto"/>
              </w:rPr>
              <w:t>Lam Research Corporation</w:t>
            </w:r>
          </w:p>
        </w:tc>
        <w:tc>
          <w:tcPr>
            <w:tcW w:w="4140" w:type="dxa"/>
            <w:vAlign w:val="bottom"/>
          </w:tcPr>
          <w:p>
            <w:pPr>
              <w:ind w:left="480"/>
              <w:spacing w:after="0"/>
              <w:rPr>
                <w:sz w:val="20"/>
                <w:szCs w:val="20"/>
                <w:color w:val="auto"/>
              </w:rPr>
            </w:pPr>
            <w:r>
              <w:rPr>
                <w:rFonts w:ascii="Arial" w:cs="Arial" w:eastAsia="Arial" w:hAnsi="Arial"/>
                <w:sz w:val="18"/>
                <w:szCs w:val="18"/>
                <w:color w:val="auto"/>
              </w:rPr>
              <w:t>NXP Semiconductors N.V.</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Applied Materials, Inc.</w:t>
            </w:r>
          </w:p>
        </w:tc>
        <w:tc>
          <w:tcPr>
            <w:tcW w:w="3940" w:type="dxa"/>
            <w:vAlign w:val="bottom"/>
          </w:tcPr>
          <w:p>
            <w:pPr>
              <w:ind w:left="660"/>
              <w:spacing w:after="0"/>
              <w:rPr>
                <w:sz w:val="20"/>
                <w:szCs w:val="20"/>
                <w:color w:val="auto"/>
              </w:rPr>
            </w:pPr>
            <w:r>
              <w:rPr>
                <w:rFonts w:ascii="Arial" w:cs="Arial" w:eastAsia="Arial" w:hAnsi="Arial"/>
                <w:sz w:val="18"/>
                <w:szCs w:val="18"/>
                <w:color w:val="auto"/>
              </w:rPr>
              <w:t>Marvell Technology, Inc.</w:t>
            </w:r>
          </w:p>
        </w:tc>
        <w:tc>
          <w:tcPr>
            <w:tcW w:w="4140" w:type="dxa"/>
            <w:vAlign w:val="bottom"/>
          </w:tcPr>
          <w:p>
            <w:pPr>
              <w:ind w:left="480"/>
              <w:spacing w:after="0"/>
              <w:rPr>
                <w:sz w:val="20"/>
                <w:szCs w:val="20"/>
                <w:color w:val="auto"/>
              </w:rPr>
            </w:pPr>
            <w:r>
              <w:rPr>
                <w:rFonts w:ascii="Arial" w:cs="Arial" w:eastAsia="Arial" w:hAnsi="Arial"/>
                <w:sz w:val="18"/>
                <w:szCs w:val="18"/>
                <w:color w:val="auto"/>
              </w:rPr>
              <w:t>QUALCOMM Incorporated</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Boston Scientific Corporation</w:t>
            </w:r>
          </w:p>
        </w:tc>
        <w:tc>
          <w:tcPr>
            <w:tcW w:w="3940" w:type="dxa"/>
            <w:vAlign w:val="bottom"/>
          </w:tcPr>
          <w:p>
            <w:pPr>
              <w:ind w:left="660"/>
              <w:spacing w:after="0"/>
              <w:rPr>
                <w:sz w:val="20"/>
                <w:szCs w:val="20"/>
                <w:color w:val="auto"/>
              </w:rPr>
            </w:pPr>
            <w:r>
              <w:rPr>
                <w:rFonts w:ascii="Arial" w:cs="Arial" w:eastAsia="Arial" w:hAnsi="Arial"/>
                <w:sz w:val="18"/>
                <w:szCs w:val="18"/>
                <w:color w:val="auto"/>
              </w:rPr>
              <w:t>Microchip Technology Incorporated</w:t>
            </w:r>
          </w:p>
        </w:tc>
        <w:tc>
          <w:tcPr>
            <w:tcW w:w="4140" w:type="dxa"/>
            <w:vAlign w:val="bottom"/>
          </w:tcPr>
          <w:p>
            <w:pPr>
              <w:ind w:left="480"/>
              <w:spacing w:after="0"/>
              <w:rPr>
                <w:sz w:val="20"/>
                <w:szCs w:val="20"/>
                <w:color w:val="auto"/>
              </w:rPr>
            </w:pPr>
            <w:r>
              <w:rPr>
                <w:rFonts w:ascii="Arial" w:cs="Arial" w:eastAsia="Arial" w:hAnsi="Arial"/>
                <w:sz w:val="18"/>
                <w:szCs w:val="18"/>
                <w:color w:val="auto"/>
              </w:rPr>
              <w:t>Skyworks Solutions, Inc.</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Broadcom Inc.</w:t>
            </w:r>
          </w:p>
        </w:tc>
        <w:tc>
          <w:tcPr>
            <w:tcW w:w="3940" w:type="dxa"/>
            <w:vAlign w:val="bottom"/>
          </w:tcPr>
          <w:p>
            <w:pPr>
              <w:ind w:left="660"/>
              <w:spacing w:after="0"/>
              <w:rPr>
                <w:sz w:val="20"/>
                <w:szCs w:val="20"/>
                <w:color w:val="auto"/>
              </w:rPr>
            </w:pPr>
            <w:r>
              <w:rPr>
                <w:rFonts w:ascii="Arial" w:cs="Arial" w:eastAsia="Arial" w:hAnsi="Arial"/>
                <w:sz w:val="18"/>
                <w:szCs w:val="18"/>
                <w:color w:val="auto"/>
              </w:rPr>
              <w:t>Micron Technology, Inc.</w:t>
            </w:r>
          </w:p>
        </w:tc>
        <w:tc>
          <w:tcPr>
            <w:tcW w:w="4140" w:type="dxa"/>
            <w:vAlign w:val="bottom"/>
          </w:tcPr>
          <w:p>
            <w:pPr>
              <w:ind w:left="480"/>
              <w:spacing w:after="0"/>
              <w:rPr>
                <w:sz w:val="20"/>
                <w:szCs w:val="20"/>
                <w:color w:val="auto"/>
              </w:rPr>
            </w:pPr>
            <w:r>
              <w:rPr>
                <w:rFonts w:ascii="Arial" w:cs="Arial" w:eastAsia="Arial" w:hAnsi="Arial"/>
                <w:sz w:val="18"/>
                <w:szCs w:val="18"/>
                <w:color w:val="auto"/>
              </w:rPr>
              <w:t>Texas Instruments Incorporated</w:t>
            </w:r>
          </w:p>
        </w:tc>
      </w:tr>
      <w:tr>
        <w:trPr>
          <w:trHeight w:val="239"/>
        </w:trPr>
        <w:tc>
          <w:tcPr>
            <w:tcW w:w="3160" w:type="dxa"/>
            <w:vAlign w:val="bottom"/>
          </w:tcPr>
          <w:p>
            <w:pPr>
              <w:ind w:left="100"/>
              <w:spacing w:after="0"/>
              <w:rPr>
                <w:sz w:val="20"/>
                <w:szCs w:val="20"/>
                <w:color w:val="auto"/>
              </w:rPr>
            </w:pPr>
            <w:r>
              <w:rPr>
                <w:rFonts w:ascii="Arial" w:cs="Arial" w:eastAsia="Arial" w:hAnsi="Arial"/>
                <w:sz w:val="18"/>
                <w:szCs w:val="18"/>
                <w:color w:val="auto"/>
              </w:rPr>
              <w:t>Intel Corporation</w:t>
            </w:r>
          </w:p>
        </w:tc>
        <w:tc>
          <w:tcPr>
            <w:tcW w:w="39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131"/>
        </w:trPr>
        <w:tc>
          <w:tcPr>
            <w:tcW w:w="3160" w:type="dxa"/>
            <w:vAlign w:val="bottom"/>
            <w:tcBorders>
              <w:bottom w:val="single" w:sz="8" w:color="0067B3"/>
            </w:tcBorders>
          </w:tcPr>
          <w:p>
            <w:pPr>
              <w:spacing w:after="0"/>
              <w:rPr>
                <w:sz w:val="11"/>
                <w:szCs w:val="11"/>
                <w:color w:val="auto"/>
              </w:rPr>
            </w:pPr>
          </w:p>
        </w:tc>
        <w:tc>
          <w:tcPr>
            <w:tcW w:w="3940" w:type="dxa"/>
            <w:vAlign w:val="bottom"/>
            <w:tcBorders>
              <w:bottom w:val="single" w:sz="8" w:color="0067B3"/>
            </w:tcBorders>
          </w:tcPr>
          <w:p>
            <w:pPr>
              <w:spacing w:after="0"/>
              <w:rPr>
                <w:sz w:val="11"/>
                <w:szCs w:val="11"/>
                <w:color w:val="auto"/>
              </w:rPr>
            </w:pPr>
          </w:p>
        </w:tc>
        <w:tc>
          <w:tcPr>
            <w:tcW w:w="4140" w:type="dxa"/>
            <w:vAlign w:val="bottom"/>
            <w:tcBorders>
              <w:bottom w:val="single" w:sz="8" w:color="0067B3"/>
            </w:tcBorders>
          </w:tcPr>
          <w:p>
            <w:pPr>
              <w:spacing w:after="0"/>
              <w:rPr>
                <w:sz w:val="11"/>
                <w:szCs w:val="11"/>
                <w:color w:val="auto"/>
              </w:rPr>
            </w:pPr>
          </w:p>
        </w:tc>
      </w:tr>
    </w:tbl>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16 selected peers, at the time of the annual peer group review, ADI had a higher estimated fiscal year 2022 revenue than 5 of the peer companies, and a market capitalization higher than 9 of the peer companies. Although ADI was smaller in terms of estimated fiscal year 2022 revenue and market capitalization than some of the peer companies, ADI regularly competes for talent with larger peer companies in terms of revenue and market capitalization. For example, in March 2022, Gregory Bryant joined ADI as Executive Vice President and President of Business Units from Intel Corporation. The Compensation and Talent Committee believes it is critical to ADI’s performance to hire highly talented, specialized, and experienced employees, and these individuals typically join ADI from larger technology companies.</w:t>
      </w:r>
    </w:p>
    <w:p>
      <w:pPr>
        <w:spacing w:after="0" w:line="7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executive officers in positions for which the fiscal year 2023 peer group companies do not publicly disclose compensation data, the Compensation and Talent Committee reviewed data collected from Radford’s Global Technology Survey. This survey depicts executive compensation levels across a wide spectrum of technology sector companies comparable to ADI in annual revenue and market capitalization.</w:t>
      </w:r>
    </w:p>
    <w:p>
      <w:pPr>
        <w:spacing w:after="0" w:line="32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65" w:name="page66"/>
    <w:bookmarkEnd w:id="65"/>
    <w:p>
      <w:pPr>
        <w:spacing w:after="0"/>
        <w:rPr>
          <w:sz w:val="20"/>
          <w:szCs w:val="20"/>
          <w:color w:val="auto"/>
        </w:rPr>
      </w:pPr>
      <w:r>
        <w:rPr>
          <w:rFonts w:ascii="Arial" w:cs="Arial" w:eastAsia="Arial" w:hAnsi="Arial"/>
          <w:sz w:val="27"/>
          <w:szCs w:val="27"/>
          <w:b w:val="1"/>
          <w:bCs w:val="1"/>
          <w:color w:val="0067B3"/>
        </w:rPr>
        <w:t>Risks We Consider in Our Compensation Program</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fiscal year 2023, our Compensation and Talent Committee reviewed our incentive compensation programs, discussed the concept of risk as it relates to our compensation program, considered various mitigating factors, and reviewed these items with its independent consultant, Pearl Meyer. In addition, our Compensation and Talent Committee asked Pearl Meyer to conduct an independent risk assessment of our executive compensation program. Based on these reviews and discussions, the Compensation and Talent Committee does not believe that any risks arising from our employee compensation policies and practices are reasonably likely to have a material adverse effect on ADI. Our Compensation and Talent Committee believes that any such risks are mitigated by the following factors, among others: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640" w:type="dxa"/>
            <w:vAlign w:val="bottom"/>
            <w:tcBorders>
              <w:top w:val="single" w:sz="8" w:color="0067B3"/>
            </w:tcBorders>
            <w:shd w:val="clear" w:color="auto" w:fill="0067B3"/>
          </w:tcPr>
          <w:p>
            <w:pPr>
              <w:ind w:left="80"/>
              <w:spacing w:after="0"/>
              <w:rPr>
                <w:sz w:val="20"/>
                <w:szCs w:val="20"/>
                <w:color w:val="auto"/>
              </w:rPr>
            </w:pPr>
            <w:r>
              <w:rPr>
                <w:rFonts w:ascii="Arial" w:cs="Arial" w:eastAsia="Arial" w:hAnsi="Arial"/>
                <w:sz w:val="18"/>
                <w:szCs w:val="18"/>
                <w:b w:val="1"/>
                <w:bCs w:val="1"/>
                <w:color w:val="FFFFFF"/>
              </w:rPr>
              <w:t>Pay Mix /</w:t>
            </w:r>
          </w:p>
        </w:tc>
        <w:tc>
          <w:tcPr>
            <w:tcW w:w="9600" w:type="dxa"/>
            <w:vAlign w:val="bottom"/>
            <w:tcBorders>
              <w:top w:val="single" w:sz="8" w:color="0067B3"/>
            </w:tcBorders>
          </w:tcPr>
          <w:p>
            <w:pPr>
              <w:ind w:left="100"/>
              <w:spacing w:after="0"/>
              <w:rPr>
                <w:sz w:val="20"/>
                <w:szCs w:val="20"/>
                <w:color w:val="auto"/>
              </w:rPr>
            </w:pPr>
            <w:r>
              <w:rPr>
                <w:rFonts w:ascii="Arial" w:cs="Arial" w:eastAsia="Arial" w:hAnsi="Arial"/>
                <w:sz w:val="18"/>
                <w:szCs w:val="18"/>
                <w:color w:val="auto"/>
              </w:rPr>
              <w:t>We structure our pay to consist of both fixed and variable compensation with short- and long-term horizons. We believe</w:t>
            </w:r>
          </w:p>
        </w:tc>
      </w:tr>
      <w:tr>
        <w:trPr>
          <w:trHeight w:val="216"/>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Structure</w:t>
            </w:r>
          </w:p>
        </w:tc>
        <w:tc>
          <w:tcPr>
            <w:tcW w:w="9600" w:type="dxa"/>
            <w:vAlign w:val="bottom"/>
          </w:tcPr>
          <w:p>
            <w:pPr>
              <w:ind w:left="100"/>
              <w:spacing w:after="0"/>
              <w:rPr>
                <w:sz w:val="20"/>
                <w:szCs w:val="20"/>
                <w:color w:val="auto"/>
              </w:rPr>
            </w:pPr>
            <w:r>
              <w:rPr>
                <w:rFonts w:ascii="Arial" w:cs="Arial" w:eastAsia="Arial" w:hAnsi="Arial"/>
                <w:sz w:val="18"/>
                <w:szCs w:val="18"/>
                <w:color w:val="auto"/>
              </w:rPr>
              <w:t>that the variable elements of compensation, which represented 95% and 91% of the total target compensation for our</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CEO and other NEOs, respectively, excluding new-hire equity awards, for fiscal year 2023, are a sufficient percentage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of overall compensation to motivate executives to produce superior short- and long-term corporate results and to</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achieve company goals, while the fixed element is also sufficiently high that the executives are not encouraged to take</w:t>
            </w:r>
          </w:p>
        </w:tc>
      </w:tr>
      <w:tr>
        <w:trPr>
          <w:trHeight w:val="239"/>
        </w:trPr>
        <w:tc>
          <w:tcPr>
            <w:tcW w:w="1640" w:type="dxa"/>
            <w:vAlign w:val="bottom"/>
            <w:shd w:val="clear" w:color="auto" w:fill="0067B3"/>
          </w:tcPr>
          <w:p>
            <w:pPr>
              <w:spacing w:after="0"/>
              <w:rPr>
                <w:sz w:val="20"/>
                <w:szCs w:val="20"/>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unnecessary or excessive risks in doing so.</w:t>
            </w:r>
          </w:p>
        </w:tc>
      </w:tr>
      <w:tr>
        <w:trPr>
          <w:trHeight w:val="117"/>
        </w:trPr>
        <w:tc>
          <w:tcPr>
            <w:tcW w:w="1640" w:type="dxa"/>
            <w:vAlign w:val="bottom"/>
            <w:tcBorders>
              <w:bottom w:val="single" w:sz="8" w:color="0067B3"/>
            </w:tcBorders>
            <w:shd w:val="clear" w:color="auto" w:fill="0067B3"/>
          </w:tcPr>
          <w:p>
            <w:pPr>
              <w:spacing w:after="0"/>
              <w:rPr>
                <w:sz w:val="10"/>
                <w:szCs w:val="10"/>
                <w:color w:val="auto"/>
              </w:rPr>
            </w:pPr>
          </w:p>
        </w:tc>
        <w:tc>
          <w:tcPr>
            <w:tcW w:w="9600" w:type="dxa"/>
            <w:vAlign w:val="bottom"/>
            <w:tcBorders>
              <w:bottom w:val="single" w:sz="8" w:color="939598"/>
            </w:tcBorders>
          </w:tcPr>
          <w:p>
            <w:pPr>
              <w:spacing w:after="0"/>
              <w:rPr>
                <w:sz w:val="10"/>
                <w:szCs w:val="10"/>
                <w:color w:val="auto"/>
              </w:rPr>
            </w:pPr>
          </w:p>
        </w:tc>
      </w:tr>
      <w:tr>
        <w:trPr>
          <w:trHeight w:val="299"/>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Metrics</w:t>
            </w:r>
          </w:p>
        </w:tc>
        <w:tc>
          <w:tcPr>
            <w:tcW w:w="9600" w:type="dxa"/>
            <w:vAlign w:val="bottom"/>
          </w:tcPr>
          <w:p>
            <w:pPr>
              <w:ind w:left="100"/>
              <w:spacing w:after="0"/>
              <w:rPr>
                <w:sz w:val="20"/>
                <w:szCs w:val="20"/>
                <w:color w:val="auto"/>
              </w:rPr>
            </w:pPr>
            <w:r>
              <w:rPr>
                <w:rFonts w:ascii="Arial" w:cs="Arial" w:eastAsia="Arial" w:hAnsi="Arial"/>
                <w:sz w:val="18"/>
                <w:szCs w:val="18"/>
                <w:color w:val="auto"/>
              </w:rPr>
              <w:t>We believe that our focus on both OPBT margin and year-over-year revenue growth through our executive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performance incentive plan, and non-GAAP operating profit and stock price performance through our equity</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compensation program, provides a check on excessive short-term risk taking. That is, even if our executives could</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inappropriately increase OPBT margin or revenue by excessively reducing expenses or adding new revenue sources</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that are inconsistent with our business model, this could ultimately harm our stock price and the value of their equity</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awards. Conversely, if our executives were to add revenue sources at low margins in order to generate a higher growth</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multiple and increased stock prices, it could decrease OPBT margin and the value of their variable cash incentive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payments. Our OPBT margin and year-over-year revenue growth targets are applicable to our executives and</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employees alike, which we believe encourages consistent behavior across the organization, and reflects goals that are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challenging, but not so high that they require performance outside of what the Compensation and Talent Committee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believes is reasonable for us or could motivate our executives and employees to take actions in which we assume</w:t>
            </w:r>
          </w:p>
        </w:tc>
      </w:tr>
      <w:tr>
        <w:trPr>
          <w:trHeight w:val="239"/>
        </w:trPr>
        <w:tc>
          <w:tcPr>
            <w:tcW w:w="1640" w:type="dxa"/>
            <w:vAlign w:val="bottom"/>
            <w:shd w:val="clear" w:color="auto" w:fill="0067B3"/>
          </w:tcPr>
          <w:p>
            <w:pPr>
              <w:spacing w:after="0"/>
              <w:rPr>
                <w:sz w:val="20"/>
                <w:szCs w:val="20"/>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unreasonable levels of risk.</w:t>
            </w:r>
          </w:p>
        </w:tc>
      </w:tr>
      <w:tr>
        <w:trPr>
          <w:trHeight w:val="118"/>
        </w:trPr>
        <w:tc>
          <w:tcPr>
            <w:tcW w:w="1640" w:type="dxa"/>
            <w:vAlign w:val="bottom"/>
            <w:tcBorders>
              <w:bottom w:val="single" w:sz="8" w:color="0067B3"/>
            </w:tcBorders>
            <w:shd w:val="clear" w:color="auto" w:fill="0067B3"/>
          </w:tcPr>
          <w:p>
            <w:pPr>
              <w:spacing w:after="0"/>
              <w:rPr>
                <w:sz w:val="10"/>
                <w:szCs w:val="10"/>
                <w:color w:val="auto"/>
              </w:rPr>
            </w:pPr>
          </w:p>
        </w:tc>
        <w:tc>
          <w:tcPr>
            <w:tcW w:w="9600" w:type="dxa"/>
            <w:vAlign w:val="bottom"/>
            <w:tcBorders>
              <w:bottom w:val="single" w:sz="8" w:color="939598"/>
            </w:tcBorders>
          </w:tcPr>
          <w:p>
            <w:pPr>
              <w:spacing w:after="0"/>
              <w:rPr>
                <w:sz w:val="10"/>
                <w:szCs w:val="10"/>
                <w:color w:val="auto"/>
              </w:rPr>
            </w:pPr>
          </w:p>
        </w:tc>
      </w:tr>
      <w:tr>
        <w:trPr>
          <w:trHeight w:val="299"/>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Driving</w:t>
            </w:r>
          </w:p>
        </w:tc>
        <w:tc>
          <w:tcPr>
            <w:tcW w:w="9600" w:type="dxa"/>
            <w:vAlign w:val="bottom"/>
          </w:tcPr>
          <w:p>
            <w:pPr>
              <w:ind w:left="100"/>
              <w:spacing w:after="0"/>
              <w:rPr>
                <w:sz w:val="20"/>
                <w:szCs w:val="20"/>
                <w:color w:val="auto"/>
              </w:rPr>
            </w:pPr>
            <w:r>
              <w:rPr>
                <w:rFonts w:ascii="Arial" w:cs="Arial" w:eastAsia="Arial" w:hAnsi="Arial"/>
                <w:sz w:val="18"/>
                <w:szCs w:val="18"/>
                <w:color w:val="auto"/>
              </w:rPr>
              <w:t>We cap our variable cash incentive payout factors. Even if we dramatically exceed our OPBT margin or year-over-year</w:t>
            </w:r>
          </w:p>
        </w:tc>
      </w:tr>
      <w:tr>
        <w:trPr>
          <w:trHeight w:val="216"/>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Profitability</w:t>
            </w:r>
          </w:p>
        </w:tc>
        <w:tc>
          <w:tcPr>
            <w:tcW w:w="9600" w:type="dxa"/>
            <w:vAlign w:val="bottom"/>
          </w:tcPr>
          <w:p>
            <w:pPr>
              <w:ind w:left="100"/>
              <w:spacing w:after="0"/>
              <w:rPr>
                <w:sz w:val="20"/>
                <w:szCs w:val="20"/>
                <w:color w:val="auto"/>
              </w:rPr>
            </w:pPr>
            <w:r>
              <w:rPr>
                <w:rFonts w:ascii="Arial" w:cs="Arial" w:eastAsia="Arial" w:hAnsi="Arial"/>
                <w:sz w:val="18"/>
                <w:szCs w:val="18"/>
                <w:color w:val="auto"/>
              </w:rPr>
              <w:t>revenue growth targets, variable cash incentive payments are limited. In fiscal year 2023, the variable cash incentive</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payment factor cap was 300% of target. Conversely, we also have a floor on the OPBT margin target so that</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profitability at or below a certain level will result in no variable cash incentive payments for that performance period,</w:t>
            </w:r>
          </w:p>
        </w:tc>
      </w:tr>
      <w:tr>
        <w:trPr>
          <w:trHeight w:val="216"/>
        </w:trPr>
        <w:tc>
          <w:tcPr>
            <w:tcW w:w="1640" w:type="dxa"/>
            <w:vAlign w:val="bottom"/>
            <w:shd w:val="clear" w:color="auto" w:fill="0067B3"/>
          </w:tcPr>
          <w:p>
            <w:pPr>
              <w:spacing w:after="0"/>
              <w:rPr>
                <w:sz w:val="18"/>
                <w:szCs w:val="18"/>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regardless of revenue growth levels. We believe this avoids incentivizing management to drive revenue levels without</w:t>
            </w:r>
          </w:p>
        </w:tc>
      </w:tr>
      <w:tr>
        <w:trPr>
          <w:trHeight w:val="239"/>
        </w:trPr>
        <w:tc>
          <w:tcPr>
            <w:tcW w:w="1640" w:type="dxa"/>
            <w:vAlign w:val="bottom"/>
            <w:shd w:val="clear" w:color="auto" w:fill="0067B3"/>
          </w:tcPr>
          <w:p>
            <w:pPr>
              <w:spacing w:after="0"/>
              <w:rPr>
                <w:sz w:val="20"/>
                <w:szCs w:val="20"/>
                <w:color w:val="auto"/>
              </w:rPr>
            </w:pPr>
          </w:p>
        </w:tc>
        <w:tc>
          <w:tcPr>
            <w:tcW w:w="9600" w:type="dxa"/>
            <w:vAlign w:val="bottom"/>
          </w:tcPr>
          <w:p>
            <w:pPr>
              <w:ind w:left="100"/>
              <w:spacing w:after="0"/>
              <w:rPr>
                <w:sz w:val="20"/>
                <w:szCs w:val="20"/>
                <w:color w:val="auto"/>
              </w:rPr>
            </w:pPr>
            <w:r>
              <w:rPr>
                <w:rFonts w:ascii="Arial" w:cs="Arial" w:eastAsia="Arial" w:hAnsi="Arial"/>
                <w:sz w:val="18"/>
                <w:szCs w:val="18"/>
                <w:color w:val="auto"/>
              </w:rPr>
              <w:t>regard to profitability.</w:t>
            </w:r>
          </w:p>
        </w:tc>
      </w:tr>
      <w:tr>
        <w:trPr>
          <w:trHeight w:val="118"/>
        </w:trPr>
        <w:tc>
          <w:tcPr>
            <w:tcW w:w="1640" w:type="dxa"/>
            <w:vAlign w:val="bottom"/>
            <w:tcBorders>
              <w:bottom w:val="single" w:sz="8" w:color="0067B3"/>
            </w:tcBorders>
            <w:shd w:val="clear" w:color="auto" w:fill="0067B3"/>
          </w:tcPr>
          <w:p>
            <w:pPr>
              <w:spacing w:after="0"/>
              <w:rPr>
                <w:sz w:val="10"/>
                <w:szCs w:val="10"/>
                <w:color w:val="auto"/>
              </w:rPr>
            </w:pPr>
          </w:p>
        </w:tc>
        <w:tc>
          <w:tcPr>
            <w:tcW w:w="9600" w:type="dxa"/>
            <w:vAlign w:val="bottom"/>
            <w:tcBorders>
              <w:bottom w:val="single" w:sz="8" w:color="939598"/>
            </w:tcBorders>
          </w:tcPr>
          <w:p>
            <w:pPr>
              <w:spacing w:after="0"/>
              <w:rPr>
                <w:sz w:val="10"/>
                <w:szCs w:val="10"/>
                <w:color w:val="auto"/>
              </w:rPr>
            </w:pPr>
          </w:p>
        </w:tc>
      </w:tr>
      <w:tr>
        <w:trPr>
          <w:trHeight w:val="299"/>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Stock Ownership</w:t>
            </w:r>
          </w:p>
        </w:tc>
        <w:tc>
          <w:tcPr>
            <w:tcW w:w="9600" w:type="dxa"/>
            <w:vAlign w:val="bottom"/>
          </w:tcPr>
          <w:p>
            <w:pPr>
              <w:ind w:left="100"/>
              <w:spacing w:after="0"/>
              <w:rPr>
                <w:sz w:val="20"/>
                <w:szCs w:val="20"/>
                <w:color w:val="auto"/>
              </w:rPr>
            </w:pPr>
            <w:r>
              <w:rPr>
                <w:rFonts w:ascii="Arial" w:cs="Arial" w:eastAsia="Arial" w:hAnsi="Arial"/>
                <w:sz w:val="18"/>
                <w:szCs w:val="18"/>
                <w:color w:val="auto"/>
              </w:rPr>
              <w:t>Our stock ownership guidelines provide an incentive for management to consider ADI’s long-term interests because a</w:t>
            </w:r>
          </w:p>
        </w:tc>
      </w:tr>
      <w:tr>
        <w:trPr>
          <w:trHeight w:val="247"/>
        </w:trPr>
        <w:tc>
          <w:tcPr>
            <w:tcW w:w="1640" w:type="dxa"/>
            <w:vAlign w:val="bottom"/>
            <w:shd w:val="clear" w:color="auto" w:fill="0067B3"/>
          </w:tcPr>
          <w:p>
            <w:pPr>
              <w:ind w:left="80"/>
              <w:spacing w:after="0"/>
              <w:rPr>
                <w:sz w:val="20"/>
                <w:szCs w:val="20"/>
                <w:color w:val="auto"/>
              </w:rPr>
            </w:pPr>
            <w:r>
              <w:rPr>
                <w:rFonts w:ascii="Arial" w:cs="Arial" w:eastAsia="Arial" w:hAnsi="Arial"/>
                <w:sz w:val="18"/>
                <w:szCs w:val="18"/>
                <w:b w:val="1"/>
                <w:bCs w:val="1"/>
                <w:color w:val="FFFFFF"/>
              </w:rPr>
              <w:t>Guidelines</w:t>
            </w:r>
          </w:p>
        </w:tc>
        <w:tc>
          <w:tcPr>
            <w:tcW w:w="9600" w:type="dxa"/>
            <w:vAlign w:val="bottom"/>
          </w:tcPr>
          <w:p>
            <w:pPr>
              <w:ind w:left="100"/>
              <w:spacing w:after="0"/>
              <w:rPr>
                <w:sz w:val="20"/>
                <w:szCs w:val="20"/>
                <w:color w:val="auto"/>
              </w:rPr>
            </w:pPr>
            <w:r>
              <w:rPr>
                <w:rFonts w:ascii="Arial" w:cs="Arial" w:eastAsia="Arial" w:hAnsi="Arial"/>
                <w:sz w:val="18"/>
                <w:szCs w:val="18"/>
                <w:color w:val="auto"/>
              </w:rPr>
              <w:t>portion of their personal investment portfolio consists of ADI stock.</w:t>
            </w:r>
          </w:p>
        </w:tc>
      </w:tr>
      <w:tr>
        <w:trPr>
          <w:trHeight w:val="812"/>
        </w:trPr>
        <w:tc>
          <w:tcPr>
            <w:tcW w:w="1640" w:type="dxa"/>
            <w:vAlign w:val="bottom"/>
            <w:tcBorders>
              <w:bottom w:val="single" w:sz="8" w:color="0067B3"/>
            </w:tcBorders>
            <w:shd w:val="clear" w:color="auto" w:fill="0067B3"/>
          </w:tcPr>
          <w:p>
            <w:pPr>
              <w:spacing w:after="0"/>
              <w:rPr>
                <w:sz w:val="24"/>
                <w:szCs w:val="24"/>
                <w:color w:val="auto"/>
              </w:rPr>
            </w:pPr>
          </w:p>
        </w:tc>
        <w:tc>
          <w:tcPr>
            <w:tcW w:w="9600" w:type="dxa"/>
            <w:vAlign w:val="bottom"/>
            <w:tcBorders>
              <w:bottom w:val="single" w:sz="8" w:color="0067B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10369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-1859915</wp:posOffset>
            </wp:positionV>
            <wp:extent cx="10369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-3660140</wp:posOffset>
            </wp:positionV>
            <wp:extent cx="10369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-4217035</wp:posOffset>
            </wp:positionV>
            <wp:extent cx="240030" cy="2400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-3368675</wp:posOffset>
            </wp:positionV>
            <wp:extent cx="240030" cy="2400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-1439545</wp:posOffset>
            </wp:positionV>
            <wp:extent cx="240030"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-462280</wp:posOffset>
            </wp:positionV>
            <wp:extent cx="240030" cy="2489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0030" cy="24892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Consideration of 2023 Say-on-Pay Votes</w:t>
      </w:r>
    </w:p>
    <w:p>
      <w:pPr>
        <w:spacing w:after="0" w:line="13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At our 2023 annual meeting of shareholders, our say-on-pay support was 80.7%, representing a slight increase from the prior year, but lower than our historical support levels. Our Compensation and Talent Committee carefully considers the results of our “say-on-pay” votes.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and following our 2023 annual meeting of shareholders, as part of our annual outreach program, we reached out to shareholders collectively representing approximately 48% of our total shares outstanding and proxy advisory firms, with an invitation to have discussions with their corporate governance teams. Shareholders representing approximately 33% of our total shares outstanding, as well as proxy advisory firms, accepted our engagement invitation. These meetings included members of our legal, ESG, compensation, diversity, equity, and inclusion, and investor relations organizations. In addition, the Chair of our Compensation and Talent Committee participated in meetings with shareholders representing approximately 22% of our total shares outstanding and in meetings with proxy advisory firms.</w:t>
      </w:r>
    </w:p>
    <w:p>
      <w:pPr>
        <w:sectPr>
          <w:pgSz w:w="11900" w:h="16838" w:orient="portrait"/>
          <w:cols w:equalWidth="0" w:num="1">
            <w:col w:w="11240"/>
          </w:cols>
          <w:pgMar w:left="320" w:top="127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480" w:hanging="454"/>
        <w:spacing w:after="0"/>
        <w:tabs>
          <w:tab w:leader="none" w:pos="480" w:val="left"/>
        </w:tabs>
        <w:numPr>
          <w:ilvl w:val="0"/>
          <w:numId w:val="9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66" w:name="page67"/>
    <w:bookmarkEnd w:id="66"/>
    <w:p>
      <w:pPr>
        <w:spacing w:after="0" w:line="255" w:lineRule="auto"/>
        <w:rPr>
          <w:sz w:val="20"/>
          <w:szCs w:val="20"/>
          <w:color w:val="auto"/>
        </w:rPr>
      </w:pPr>
      <w:r>
        <w:rPr>
          <w:rFonts w:ascii="Arial" w:cs="Arial" w:eastAsia="Arial" w:hAnsi="Arial"/>
          <w:sz w:val="18"/>
          <w:szCs w:val="18"/>
          <w:color w:val="auto"/>
        </w:rPr>
        <w:t>During these engagement meetings, we heard from some shareholders that opposed our 2022 say-on-pay advisory vote primarily due to legacy concerns around historical compensation determinations and the new hire award that we granted to Gregory Bryant, our Executive Vice President and President of Business Units, when recruiting him from Intel Corporation during fiscal year 2022. Most shareholders indicated that they understood the rationale behind the new hire award given that Mr. Bryant joined us from Intel Corporation and were generally pleased with the overall design and framework of our executive compensation program. Given the varied feedback we heard and in light of our say-on-pay vote receiving the support from holders of a significant majority of our outstanding shares, the Compensation and Talent Committee determined not to make significant changes to the overall design and framework of our executive compensation program in fiscal year 2023.</w:t>
      </w:r>
    </w:p>
    <w:p>
      <w:pPr>
        <w:spacing w:after="0" w:line="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However, in response to shareholder feedback the Compensation and Talent Committee determined that for future new hire awards for incoming executives the company would work to provide enhanced disclosure. Additionally in response to feedback from shareholders, the Compensation and Talent Committee acted to make the target performance of our Relative TSR PRSUs more challenging. As a result, we increased target performance of our Relative TSR PRSUs from the 50th to the 55th percentile, beginning with the Relative TSR PRSUs granted in fiscal year 2023, such that target payout of our Relative TSR PRSUs is achieved when ADI’s TSR is at the 55th percentile of the TSRs of the companies in the S&amp;P 500 Index.</w:t>
      </w:r>
    </w:p>
    <w:p>
      <w:pPr>
        <w:spacing w:after="0" w:line="74"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 xml:space="preserve">For additional information about the feedback we received from shareholders and the actions we took in response, please see the </w:t>
      </w:r>
      <w:r>
        <w:rPr>
          <w:rFonts w:ascii="Arial" w:cs="Arial" w:eastAsia="Arial" w:hAnsi="Arial"/>
          <w:sz w:val="18"/>
          <w:szCs w:val="18"/>
          <w:i w:val="1"/>
          <w:iCs w:val="1"/>
          <w:color w:val="auto"/>
        </w:rPr>
        <w:t xml:space="preserve">Shareholder Engagement </w:t>
      </w:r>
      <w:r>
        <w:rPr>
          <w:rFonts w:ascii="Arial" w:cs="Arial" w:eastAsia="Arial" w:hAnsi="Arial"/>
          <w:sz w:val="18"/>
          <w:szCs w:val="18"/>
          <w:color w:val="auto"/>
        </w:rPr>
        <w:t>section beginning on page 37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12305" cy="2451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12305" cy="2451735"/>
                    </a:xfrm>
                    <a:prstGeom prst="rect">
                      <a:avLst/>
                    </a:prstGeom>
                    <a:noFill/>
                  </pic:spPr>
                </pic:pic>
              </a:graphicData>
            </a:graphic>
          </wp:anchor>
        </w:drawing>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Best Practices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annual cash incentives are based solely on our financial performance</w:t>
      </w:r>
    </w:p>
    <w:p>
      <w:pPr>
        <w:spacing w:after="0" w:line="77" w:lineRule="exact"/>
        <w:rPr>
          <w:sz w:val="20"/>
          <w:szCs w:val="20"/>
          <w:color w:val="auto"/>
        </w:rPr>
      </w:pPr>
    </w:p>
    <w:p>
      <w:pPr>
        <w:ind w:left="520" w:right="3060" w:hanging="9"/>
        <w:spacing w:after="0" w:line="336" w:lineRule="auto"/>
        <w:rPr>
          <w:sz w:val="20"/>
          <w:szCs w:val="20"/>
          <w:color w:val="auto"/>
        </w:rPr>
      </w:pPr>
      <w:r>
        <w:rPr>
          <w:rFonts w:ascii="Arial" w:cs="Arial" w:eastAsia="Arial" w:hAnsi="Arial"/>
          <w:sz w:val="18"/>
          <w:szCs w:val="18"/>
          <w:color w:val="auto"/>
        </w:rPr>
        <w:t>A majority of equity awards for NEOs are contingent upon long-term performance achievement Incentive awards are tied to challenging performance targets aligned with our corporate strategy</w:t>
      </w:r>
    </w:p>
    <w:p>
      <w:pPr>
        <w:spacing w:after="0" w:line="1" w:lineRule="exact"/>
        <w:rPr>
          <w:sz w:val="20"/>
          <w:szCs w:val="20"/>
          <w:color w:val="auto"/>
        </w:rPr>
      </w:pPr>
    </w:p>
    <w:p>
      <w:pPr>
        <w:ind w:left="500" w:right="620" w:firstLine="26"/>
        <w:spacing w:after="0" w:line="287" w:lineRule="auto"/>
        <w:rPr>
          <w:sz w:val="20"/>
          <w:szCs w:val="20"/>
          <w:color w:val="auto"/>
        </w:rPr>
      </w:pPr>
      <w:r>
        <w:rPr>
          <w:rFonts w:ascii="Arial" w:cs="Arial" w:eastAsia="Arial" w:hAnsi="Arial"/>
          <w:sz w:val="18"/>
          <w:szCs w:val="18"/>
          <w:color w:val="auto"/>
        </w:rPr>
        <w:t>Payout for relative TSR-based awards are capped at target for instances of negative absolute TSR and target payout is earned for performance above median of the comparator group</w:t>
      </w:r>
    </w:p>
    <w:p>
      <w:pPr>
        <w:spacing w:after="0" w:line="4" w:lineRule="exact"/>
        <w:rPr>
          <w:sz w:val="20"/>
          <w:szCs w:val="20"/>
          <w:color w:val="auto"/>
        </w:rPr>
      </w:pPr>
    </w:p>
    <w:p>
      <w:pPr>
        <w:ind w:left="500" w:right="1280" w:firstLine="26"/>
        <w:spacing w:after="0" w:line="287" w:lineRule="auto"/>
        <w:rPr>
          <w:sz w:val="20"/>
          <w:szCs w:val="20"/>
          <w:color w:val="auto"/>
        </w:rPr>
      </w:pPr>
      <w:r>
        <w:rPr>
          <w:rFonts w:ascii="Arial" w:cs="Arial" w:eastAsia="Arial" w:hAnsi="Arial"/>
          <w:sz w:val="18"/>
          <w:szCs w:val="18"/>
          <w:color w:val="auto"/>
        </w:rPr>
        <w:t>Clawback policy for our CEO and other officers (as defined in Rule 16a-1(f) under the Exchange Act) in the event of an accounting restatement</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 policy regarding the grant dates of equity awards for our directors, executive officers, and employees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ownership guidelines for our Leadership Team and directors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Prohibit hedging and pledging of ADI securities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“say-on-pay” vote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Components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2023, compensation for our executive officers, including our NEOs,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15175" cy="4457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p>
      <w:pPr>
        <w:spacing w:after="0" w:line="3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82" w:lineRule="exact"/>
        <w:rPr>
          <w:sz w:val="20"/>
          <w:szCs w:val="20"/>
          <w:color w:val="auto"/>
        </w:rPr>
      </w:pPr>
    </w:p>
    <w:p>
      <w:pPr>
        <w:ind w:left="220" w:right="695" w:hanging="194"/>
        <w:spacing w:after="0" w:line="318" w:lineRule="auto"/>
        <w:tabs>
          <w:tab w:leader="none" w:pos="177" w:val="left"/>
        </w:tabs>
        <w:numPr>
          <w:ilvl w:val="0"/>
          <w:numId w:val="93"/>
        </w:numPr>
        <w:rPr>
          <w:rFonts w:ascii="Arial" w:cs="Arial" w:eastAsia="Arial" w:hAnsi="Arial"/>
          <w:sz w:val="12"/>
          <w:szCs w:val="12"/>
          <w:color w:val="0067B3"/>
        </w:rPr>
      </w:pPr>
      <w:r>
        <w:rPr>
          <w:rFonts w:ascii="Arial" w:cs="Arial" w:eastAsia="Arial" w:hAnsi="Arial"/>
          <w:sz w:val="17"/>
          <w:szCs w:val="17"/>
          <w:color w:val="auto"/>
        </w:rPr>
        <w:t>Attract and retain executive talent</w:t>
      </w:r>
    </w:p>
    <w:p>
      <w:pPr>
        <w:spacing w:after="0" w:line="21" w:lineRule="exact"/>
        <w:rPr>
          <w:rFonts w:ascii="Arial" w:cs="Arial" w:eastAsia="Arial" w:hAnsi="Arial"/>
          <w:sz w:val="12"/>
          <w:szCs w:val="12"/>
          <w:color w:val="0067B3"/>
        </w:rPr>
      </w:pPr>
    </w:p>
    <w:p>
      <w:pPr>
        <w:ind w:left="220" w:right="335" w:hanging="194"/>
        <w:spacing w:after="0" w:line="287" w:lineRule="auto"/>
        <w:tabs>
          <w:tab w:leader="none" w:pos="177" w:val="left"/>
        </w:tabs>
        <w:numPr>
          <w:ilvl w:val="0"/>
          <w:numId w:val="93"/>
        </w:numPr>
        <w:rPr>
          <w:rFonts w:ascii="Arial" w:cs="Arial" w:eastAsia="Arial" w:hAnsi="Arial"/>
          <w:sz w:val="13"/>
          <w:szCs w:val="13"/>
          <w:color w:val="0067B3"/>
        </w:rPr>
      </w:pPr>
      <w:r>
        <w:rPr>
          <w:rFonts w:ascii="Arial" w:cs="Arial" w:eastAsia="Arial" w:hAnsi="Arial"/>
          <w:sz w:val="18"/>
          <w:szCs w:val="18"/>
          <w:color w:val="auto"/>
        </w:rPr>
        <w:t>Provide stable source of income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124"/>
        <w:spacing w:after="0" w:line="328" w:lineRule="auto"/>
        <w:rPr>
          <w:sz w:val="20"/>
          <w:szCs w:val="20"/>
          <w:color w:val="auto"/>
        </w:rPr>
      </w:pPr>
      <w:r>
        <w:rPr>
          <w:rFonts w:ascii="Arial" w:cs="Arial" w:eastAsia="Arial" w:hAnsi="Arial"/>
          <w:sz w:val="17"/>
          <w:szCs w:val="17"/>
          <w:b w:val="1"/>
          <w:bCs w:val="1"/>
          <w:color w:val="0067B3"/>
        </w:rPr>
        <w:t>SHORT-TERM VARIABLE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31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3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42" w:lineRule="exact"/>
        <w:rPr>
          <w:sz w:val="20"/>
          <w:szCs w:val="20"/>
          <w:color w:val="auto"/>
        </w:rPr>
      </w:pPr>
    </w:p>
    <w:p>
      <w:pPr>
        <w:jc w:val="both"/>
        <w:ind w:left="185" w:right="220" w:hanging="185"/>
        <w:spacing w:after="0" w:line="287" w:lineRule="auto"/>
        <w:tabs>
          <w:tab w:leader="none" w:pos="141" w:val="left"/>
        </w:tabs>
        <w:numPr>
          <w:ilvl w:val="0"/>
          <w:numId w:val="94"/>
        </w:numPr>
        <w:rPr>
          <w:rFonts w:ascii="Arial" w:cs="Arial" w:eastAsia="Arial" w:hAnsi="Arial"/>
          <w:sz w:val="13"/>
          <w:szCs w:val="13"/>
          <w:color w:val="0067B3"/>
        </w:rPr>
      </w:pPr>
      <w:r>
        <w:rPr>
          <w:rFonts w:ascii="Arial" w:cs="Arial" w:eastAsia="Arial" w:hAnsi="Arial"/>
          <w:sz w:val="18"/>
          <w:szCs w:val="18"/>
          <w:color w:val="auto"/>
        </w:rPr>
        <w:t>Link pay and short-term company performance</w:t>
      </w:r>
    </w:p>
    <w:p>
      <w:pPr>
        <w:spacing w:after="0" w:line="44" w:lineRule="exact"/>
        <w:rPr>
          <w:rFonts w:ascii="Arial" w:cs="Arial" w:eastAsia="Arial" w:hAnsi="Arial"/>
          <w:sz w:val="13"/>
          <w:szCs w:val="13"/>
          <w:color w:val="0067B3"/>
        </w:rPr>
      </w:pPr>
    </w:p>
    <w:p>
      <w:pPr>
        <w:ind w:left="185" w:right="260" w:hanging="185"/>
        <w:spacing w:after="0" w:line="259" w:lineRule="auto"/>
        <w:tabs>
          <w:tab w:leader="none" w:pos="141" w:val="left"/>
        </w:tabs>
        <w:numPr>
          <w:ilvl w:val="0"/>
          <w:numId w:val="94"/>
        </w:numPr>
        <w:rPr>
          <w:rFonts w:ascii="Arial" w:cs="Arial" w:eastAsia="Arial" w:hAnsi="Arial"/>
          <w:sz w:val="13"/>
          <w:szCs w:val="13"/>
          <w:color w:val="0067B3"/>
        </w:rPr>
      </w:pPr>
      <w:r>
        <w:rPr>
          <w:rFonts w:ascii="Arial" w:cs="Arial" w:eastAsia="Arial" w:hAnsi="Arial"/>
          <w:sz w:val="18"/>
          <w:szCs w:val="18"/>
          <w:color w:val="auto"/>
        </w:rPr>
        <w:t>Reward executives for achieving short-term company financial objectives aligned with value creation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7"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EQUITY</w:t>
      </w:r>
    </w:p>
    <w:p>
      <w:pPr>
        <w:spacing w:after="0" w:line="9"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INCENTIVES</w:t>
      </w:r>
    </w:p>
    <w:p>
      <w:pPr>
        <w:spacing w:after="0" w:line="248" w:lineRule="exact"/>
        <w:rPr>
          <w:sz w:val="20"/>
          <w:szCs w:val="20"/>
          <w:color w:val="auto"/>
        </w:rPr>
      </w:pPr>
    </w:p>
    <w:p>
      <w:pPr>
        <w:jc w:val="both"/>
        <w:ind w:left="195" w:right="340" w:hanging="195"/>
        <w:spacing w:after="0" w:line="318" w:lineRule="auto"/>
        <w:tabs>
          <w:tab w:leader="none" w:pos="152" w:val="left"/>
        </w:tabs>
        <w:numPr>
          <w:ilvl w:val="0"/>
          <w:numId w:val="95"/>
        </w:numPr>
        <w:rPr>
          <w:rFonts w:ascii="Arial" w:cs="Arial" w:eastAsia="Arial" w:hAnsi="Arial"/>
          <w:sz w:val="12"/>
          <w:szCs w:val="12"/>
          <w:color w:val="0067B3"/>
        </w:rPr>
      </w:pPr>
      <w:r>
        <w:rPr>
          <w:rFonts w:ascii="Arial" w:cs="Arial" w:eastAsia="Arial" w:hAnsi="Arial"/>
          <w:sz w:val="17"/>
          <w:szCs w:val="17"/>
          <w:color w:val="auto"/>
        </w:rPr>
        <w:t>Link pay and long-term company performance</w:t>
      </w:r>
    </w:p>
    <w:p>
      <w:pPr>
        <w:spacing w:after="0" w:line="21" w:lineRule="exact"/>
        <w:rPr>
          <w:rFonts w:ascii="Arial" w:cs="Arial" w:eastAsia="Arial" w:hAnsi="Arial"/>
          <w:sz w:val="12"/>
          <w:szCs w:val="12"/>
          <w:color w:val="0067B3"/>
        </w:rPr>
      </w:pPr>
    </w:p>
    <w:p>
      <w:pPr>
        <w:ind w:left="195" w:hanging="195"/>
        <w:spacing w:after="0" w:line="255" w:lineRule="auto"/>
        <w:tabs>
          <w:tab w:leader="none" w:pos="152" w:val="left"/>
        </w:tabs>
        <w:numPr>
          <w:ilvl w:val="0"/>
          <w:numId w:val="95"/>
        </w:numPr>
        <w:rPr>
          <w:rFonts w:ascii="Arial" w:cs="Arial" w:eastAsia="Arial" w:hAnsi="Arial"/>
          <w:sz w:val="13"/>
          <w:szCs w:val="13"/>
          <w:color w:val="0067B3"/>
        </w:rPr>
      </w:pPr>
      <w:r>
        <w:rPr>
          <w:rFonts w:ascii="Arial" w:cs="Arial" w:eastAsia="Arial" w:hAnsi="Arial"/>
          <w:sz w:val="18"/>
          <w:szCs w:val="18"/>
          <w:color w:val="auto"/>
        </w:rPr>
        <w:t>Align the interests of executives with shareholders by rewarding long-term stock</w:t>
      </w:r>
    </w:p>
    <w:p>
      <w:pPr>
        <w:spacing w:after="0" w:line="2" w:lineRule="exact"/>
        <w:rPr>
          <w:rFonts w:ascii="Arial" w:cs="Arial" w:eastAsia="Arial" w:hAnsi="Arial"/>
          <w:sz w:val="13"/>
          <w:szCs w:val="13"/>
          <w:color w:val="0067B3"/>
        </w:rPr>
      </w:pPr>
    </w:p>
    <w:p>
      <w:pPr>
        <w:ind w:left="195"/>
        <w:spacing w:after="0"/>
        <w:rPr>
          <w:rFonts w:ascii="Arial" w:cs="Arial" w:eastAsia="Arial" w:hAnsi="Arial"/>
          <w:sz w:val="13"/>
          <w:szCs w:val="13"/>
          <w:color w:val="0067B3"/>
        </w:rPr>
      </w:pPr>
      <w:r>
        <w:rPr>
          <w:rFonts w:ascii="Arial" w:cs="Arial" w:eastAsia="Arial" w:hAnsi="Arial"/>
          <w:sz w:val="18"/>
          <w:szCs w:val="18"/>
          <w:color w:val="auto"/>
        </w:rPr>
        <w:t>price appreciation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left="-185" w:right="40"/>
        <w:spacing w:after="0" w:line="273" w:lineRule="auto"/>
        <w:rPr>
          <w:sz w:val="20"/>
          <w:szCs w:val="20"/>
          <w:color w:val="auto"/>
        </w:rPr>
      </w:pPr>
      <w:r>
        <w:rPr>
          <w:rFonts w:ascii="Arial" w:cs="Arial" w:eastAsia="Arial" w:hAnsi="Arial"/>
          <w:sz w:val="18"/>
          <w:szCs w:val="18"/>
          <w:b w:val="1"/>
          <w:bCs w:val="1"/>
          <w:color w:val="FFFFFF"/>
        </w:rPr>
        <w:t>RETIREMENT AND OTHER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78" w:lineRule="exact"/>
        <w:rPr>
          <w:sz w:val="20"/>
          <w:szCs w:val="20"/>
          <w:color w:val="auto"/>
        </w:rPr>
      </w:pPr>
    </w:p>
    <w:p>
      <w:pPr>
        <w:ind w:left="186" w:right="200" w:hanging="186"/>
        <w:spacing w:after="0" w:line="268" w:lineRule="auto"/>
        <w:tabs>
          <w:tab w:leader="none" w:pos="142" w:val="left"/>
        </w:tabs>
        <w:numPr>
          <w:ilvl w:val="0"/>
          <w:numId w:val="96"/>
        </w:numPr>
        <w:rPr>
          <w:rFonts w:ascii="Arial" w:cs="Arial" w:eastAsia="Arial" w:hAnsi="Arial"/>
          <w:sz w:val="13"/>
          <w:szCs w:val="13"/>
          <w:color w:val="0067B3"/>
        </w:rPr>
      </w:pPr>
      <w:r>
        <w:rPr>
          <w:rFonts w:ascii="Arial" w:cs="Arial" w:eastAsia="Arial" w:hAnsi="Arial"/>
          <w:sz w:val="18"/>
          <w:szCs w:val="18"/>
          <w:color w:val="auto"/>
        </w:rPr>
        <w:t>Retain executive talent by providing financial protection and security</w:t>
      </w:r>
    </w:p>
    <w:p>
      <w:pPr>
        <w:spacing w:after="0" w:line="1163" w:lineRule="exact"/>
        <w:rPr>
          <w:sz w:val="20"/>
          <w:szCs w:val="20"/>
          <w:color w:val="auto"/>
        </w:rPr>
      </w:pPr>
    </w:p>
    <w:p>
      <w:pPr>
        <w:sectPr>
          <w:pgSz w:w="11900" w:h="16838" w:orient="portrait"/>
          <w:cols w:equalWidth="0" w:num="4">
            <w:col w:w="2235" w:space="720"/>
            <w:col w:w="2265" w:space="665"/>
            <w:col w:w="2315" w:space="614"/>
            <w:col w:w="2406"/>
          </w:cols>
          <w:pgMar w:left="320" w:top="1174" w:right="359" w:bottom="1440" w:gutter="0" w:footer="0" w:header="0"/>
          <w:type w:val="continuous"/>
        </w:sectPr>
      </w:pPr>
    </w:p>
    <w:p>
      <w:pPr>
        <w:spacing w:after="0" w:line="35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7"/>
          <w:szCs w:val="27"/>
          <w:b w:val="1"/>
          <w:bCs w:val="1"/>
          <w:color w:val="0067B3"/>
        </w:rPr>
        <w:t>Base Salary</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use salaries for similar positions within our peer group companies as an important factor in setting the base salaries of our executive officers at a level designed to attract and retain talent. When setting the fiscal year 2023 base salary for each individual executive officer, the Compensation and Talent Committee also considered other factors, including the scope of the role and the performance and experience of the individual.</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Performance Incentive Plan</w:t>
      </w:r>
    </w:p>
    <w:p>
      <w:pPr>
        <w:spacing w:after="0" w:line="14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September 2022, the Compensation and Talent Committee approved the terms of our executive performance incentive plan for fiscal year 2023. The plan is designed to be variable, depending on ADI’s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All executive officers, including our NEOs, participated in our fiscal year 2023 executive performance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calculated and made variable cash incentive payments under the plan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shd w:val="clear" w:color="auto" w:fill="BCBEC0"/>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INDIVIDUAL</w:t>
            </w:r>
          </w:p>
        </w:tc>
        <w:tc>
          <w:tcPr>
            <w:tcW w:w="500" w:type="dxa"/>
            <w:vAlign w:val="bottom"/>
          </w:tcPr>
          <w:p>
            <w:pPr>
              <w:spacing w:after="0"/>
              <w:rPr>
                <w:sz w:val="19"/>
                <w:szCs w:val="19"/>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520" w:type="dxa"/>
            <w:vAlign w:val="bottom"/>
          </w:tcPr>
          <w:p>
            <w:pPr>
              <w:spacing w:after="0"/>
              <w:rPr>
                <w:sz w:val="19"/>
                <w:szCs w:val="19"/>
                <w:color w:val="auto"/>
              </w:rPr>
            </w:pPr>
          </w:p>
        </w:tc>
        <w:tc>
          <w:tcPr>
            <w:tcW w:w="2420" w:type="dxa"/>
            <w:vAlign w:val="bottom"/>
            <w:shd w:val="clear" w:color="auto" w:fill="0067B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vMerge w:val="restart"/>
            <w:shd w:val="clear" w:color="auto" w:fill="BCBEC0"/>
          </w:tcPr>
          <w:p>
            <w:pPr>
              <w:ind w:left="580"/>
              <w:spacing w:after="0"/>
              <w:rPr>
                <w:sz w:val="20"/>
                <w:szCs w:val="20"/>
                <w:color w:val="auto"/>
              </w:rPr>
            </w:pPr>
            <w:r>
              <w:rPr>
                <w:rFonts w:ascii="Arial" w:cs="Arial" w:eastAsia="Arial" w:hAnsi="Arial"/>
                <w:sz w:val="18"/>
                <w:szCs w:val="18"/>
                <w:b w:val="1"/>
                <w:bCs w:val="1"/>
                <w:color w:val="auto"/>
              </w:rPr>
              <w:t>BASE SALARY</w:t>
            </w:r>
          </w:p>
        </w:tc>
        <w:tc>
          <w:tcPr>
            <w:tcW w:w="520" w:type="dxa"/>
            <w:vAlign w:val="bottom"/>
          </w:tcPr>
          <w:p>
            <w:pPr>
              <w:spacing w:after="0"/>
              <w:rPr>
                <w:sz w:val="18"/>
                <w:szCs w:val="18"/>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TARGET VARIABLE CASH</w:t>
            </w:r>
          </w:p>
        </w:tc>
        <w:tc>
          <w:tcPr>
            <w:tcW w:w="500" w:type="dxa"/>
            <w:vAlign w:val="bottom"/>
          </w:tcPr>
          <w:p>
            <w:pPr>
              <w:spacing w:after="0"/>
              <w:rPr>
                <w:sz w:val="18"/>
                <w:szCs w:val="18"/>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520" w:type="dxa"/>
            <w:vAlign w:val="bottom"/>
          </w:tcPr>
          <w:p>
            <w:pPr>
              <w:spacing w:after="0"/>
              <w:rPr>
                <w:sz w:val="18"/>
                <w:szCs w:val="18"/>
                <w:color w:val="auto"/>
              </w:rPr>
            </w:pPr>
          </w:p>
        </w:tc>
        <w:tc>
          <w:tcPr>
            <w:tcW w:w="242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0" w:type="dxa"/>
            <w:vAlign w:val="bottom"/>
          </w:tcPr>
          <w:p>
            <w:pPr>
              <w:spacing w:after="0"/>
              <w:rPr>
                <w:sz w:val="1"/>
                <w:szCs w:val="1"/>
                <w:color w:val="auto"/>
              </w:rPr>
            </w:pPr>
          </w:p>
        </w:tc>
      </w:tr>
      <w:tr>
        <w:trPr>
          <w:trHeight w:val="139"/>
        </w:trPr>
        <w:tc>
          <w:tcPr>
            <w:tcW w:w="2420" w:type="dxa"/>
            <w:vAlign w:val="bottom"/>
            <w:vMerge w:val="continue"/>
            <w:shd w:val="clear" w:color="auto" w:fill="BCBEC0"/>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vMerge w:val="restart"/>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INCENTIVE</w:t>
            </w:r>
          </w:p>
        </w:tc>
        <w:tc>
          <w:tcPr>
            <w:tcW w:w="500" w:type="dxa"/>
            <w:vAlign w:val="bottom"/>
          </w:tcPr>
          <w:p>
            <w:pPr>
              <w:spacing w:after="0"/>
              <w:rPr>
                <w:sz w:val="12"/>
                <w:szCs w:val="12"/>
                <w:color w:val="auto"/>
              </w:rPr>
            </w:pPr>
          </w:p>
        </w:tc>
        <w:tc>
          <w:tcPr>
            <w:tcW w:w="2420" w:type="dxa"/>
            <w:vAlign w:val="bottom"/>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5"/>
              </w:rPr>
              <w:t>PAYOUT</w:t>
            </w:r>
          </w:p>
        </w:tc>
        <w:tc>
          <w:tcPr>
            <w:tcW w:w="520" w:type="dxa"/>
            <w:vAlign w:val="bottom"/>
          </w:tcPr>
          <w:p>
            <w:pPr>
              <w:spacing w:after="0"/>
              <w:rPr>
                <w:sz w:val="12"/>
                <w:szCs w:val="12"/>
                <w:color w:val="auto"/>
              </w:rPr>
            </w:pPr>
          </w:p>
        </w:tc>
        <w:tc>
          <w:tcPr>
            <w:tcW w:w="242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7"/>
              </w:rPr>
              <w:t>INCENTIVE PAYOUT</w:t>
            </w:r>
          </w:p>
        </w:tc>
        <w:tc>
          <w:tcPr>
            <w:tcW w:w="0" w:type="dxa"/>
            <w:vAlign w:val="bottom"/>
          </w:tcPr>
          <w:p>
            <w:pPr>
              <w:spacing w:after="0"/>
              <w:rPr>
                <w:sz w:val="1"/>
                <w:szCs w:val="1"/>
                <w:color w:val="auto"/>
              </w:rPr>
            </w:pPr>
          </w:p>
        </w:tc>
      </w:tr>
      <w:tr>
        <w:trPr>
          <w:trHeight w:val="77"/>
        </w:trPr>
        <w:tc>
          <w:tcPr>
            <w:tcW w:w="2420" w:type="dxa"/>
            <w:vAlign w:val="bottom"/>
            <w:shd w:val="clear" w:color="auto" w:fill="BCBEC0"/>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E2E6F4"/>
          </w:tcPr>
          <w:p>
            <w:pPr>
              <w:spacing w:after="0"/>
              <w:rPr>
                <w:sz w:val="6"/>
                <w:szCs w:val="6"/>
                <w:color w:val="auto"/>
              </w:rPr>
            </w:pPr>
          </w:p>
        </w:tc>
        <w:tc>
          <w:tcPr>
            <w:tcW w:w="500" w:type="dxa"/>
            <w:vAlign w:val="bottom"/>
          </w:tcPr>
          <w:p>
            <w:pPr>
              <w:spacing w:after="0"/>
              <w:rPr>
                <w:sz w:val="6"/>
                <w:szCs w:val="6"/>
                <w:color w:val="auto"/>
              </w:rPr>
            </w:pPr>
          </w:p>
        </w:tc>
        <w:tc>
          <w:tcPr>
            <w:tcW w:w="2420" w:type="dxa"/>
            <w:vAlign w:val="bottom"/>
            <w:vMerge w:val="continue"/>
            <w:shd w:val="clear" w:color="auto" w:fill="7292CB"/>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0067B3"/>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420" w:type="dxa"/>
            <w:vAlign w:val="bottom"/>
            <w:shd w:val="clear" w:color="auto" w:fill="BCBEC0"/>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PERCENTAGE</w:t>
            </w:r>
          </w:p>
        </w:tc>
        <w:tc>
          <w:tcPr>
            <w:tcW w:w="500" w:type="dxa"/>
            <w:vAlign w:val="bottom"/>
          </w:tcPr>
          <w:p>
            <w:pPr>
              <w:spacing w:after="0"/>
              <w:rPr>
                <w:sz w:val="22"/>
                <w:szCs w:val="22"/>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520" w:type="dxa"/>
            <w:vAlign w:val="bottom"/>
          </w:tcPr>
          <w:p>
            <w:pPr>
              <w:spacing w:after="0"/>
              <w:rPr>
                <w:sz w:val="22"/>
                <w:szCs w:val="22"/>
                <w:color w:val="auto"/>
              </w:rPr>
            </w:pPr>
          </w:p>
        </w:tc>
        <w:tc>
          <w:tcPr>
            <w:tcW w:w="2420" w:type="dxa"/>
            <w:vAlign w:val="bottom"/>
            <w:shd w:val="clear" w:color="auto" w:fill="0067B3"/>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-402590</wp:posOffset>
            </wp:positionV>
            <wp:extent cx="16256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-402590</wp:posOffset>
            </wp:positionV>
            <wp:extent cx="162560"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-402590</wp:posOffset>
            </wp:positionV>
            <wp:extent cx="162560"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Individual Target Variable Cash Incentive Percentage</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fiscal year 2023, the Compensation and Talent Committee set target variable cash incentive percentages at 200% of base salary for our CEO and ranging from 125% to 150% for each of our NEOs other than our CEO, as part of our fiscal year 2023 compensation cycle. The Compensation and Talent Committee selected these target variable cash incentive percentages to ensure that a substantial portion of each executive officer’s cash compensation is performance-based and linked directly to our business performance, and to ensure that total compensation is competitive with those in similar positions within our peer group companies. Setting our CEO’s target at 200% also ties the majority of his cash compensation directly to company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Variable Cash Incentive Payout Factor</w:t>
      </w:r>
    </w:p>
    <w:p>
      <w:pPr>
        <w:spacing w:after="0" w:line="1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Compensation and Talent Committee reviews and approves our performance targets, and historically these targets have not been re-set during the performance period, regardless of company performance or economic conditions. We believe that this approach fosters accountability for our business results and aligns with our core belief that variable compensation expense, which increases when our performance is good and contracts when it is poor, gives us maximum flexibility to operate our business.</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The Compensation and Talent Committee strives to set challenging growth targets that will remain in place for more than one year, are not adjusted once set, and are aligned with our long-term strategy. Based on our evaluation of these factors, the Compensation and Talent Committee determined that our fiscal year 2023 OPBT margin and year-over-year revenue growth targets would remain the same as those from the second half of fiscal year 2022 and that these quarterly performance targets were challenging and consistent with our long-term strategy, incentivizing continued strong profit margins and long-term growth. These long-term targets are focused on factors that do not quickly become obsolete and thus drive long-term results.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fiscal year 2023, we based the variable cash incentive payout factor for the applicable quarterly variable cash incentive period on our OPBT margin and year-over-year revenue growth compared to the same quarter in the prior year. While our executive performance incentive plan contains quarterly performance targets, the Compensation and Talent Committee designed this plan to drive long -term performance. The targets are directly linked to our long-term corporate strategy of profitable growth, which drives shareholder value creation. We believe this combination ensures that we encourage a long-term focus on our business objectives, while measuring and rewarding progress against those objectives on a quarterly basis.</w:t>
      </w:r>
    </w:p>
    <w:p>
      <w:pPr>
        <w:spacing w:after="0" w:line="200" w:lineRule="exact"/>
        <w:rPr>
          <w:sz w:val="20"/>
          <w:szCs w:val="20"/>
          <w:color w:val="auto"/>
        </w:rPr>
      </w:pPr>
    </w:p>
    <w:p>
      <w:pPr>
        <w:spacing w:after="0" w:line="296" w:lineRule="exact"/>
        <w:rPr>
          <w:sz w:val="20"/>
          <w:szCs w:val="20"/>
          <w:color w:val="auto"/>
        </w:rPr>
      </w:pPr>
    </w:p>
    <w:p>
      <w:pPr>
        <w:ind w:left="480" w:hanging="454"/>
        <w:spacing w:after="0"/>
        <w:tabs>
          <w:tab w:leader="none" w:pos="480" w:val="left"/>
        </w:tabs>
        <w:numPr>
          <w:ilvl w:val="0"/>
          <w:numId w:val="97"/>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bookmarkStart w:id="68" w:name="page69"/>
    <w:bookmarkEnd w:id="68"/>
    <w:p>
      <w:pPr>
        <w:ind w:right="480"/>
        <w:spacing w:after="0" w:line="287" w:lineRule="auto"/>
        <w:rPr>
          <w:sz w:val="20"/>
          <w:szCs w:val="20"/>
          <w:color w:val="auto"/>
        </w:rPr>
      </w:pPr>
      <w:r>
        <w:rPr>
          <w:rFonts w:ascii="Arial" w:cs="Arial" w:eastAsia="Arial" w:hAnsi="Arial"/>
          <w:sz w:val="18"/>
          <w:szCs w:val="18"/>
          <w:color w:val="auto"/>
        </w:rPr>
        <w:t>The Compensation and Talent Committee implemented the following targets for the executive performance incentive plan for fiscal year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gridSpan w:val="2"/>
            <w:shd w:val="clear" w:color="auto" w:fill="0067B3"/>
          </w:tcPr>
          <w:p>
            <w:pPr>
              <w:ind w:left="2240"/>
              <w:spacing w:after="0"/>
              <w:rPr>
                <w:sz w:val="20"/>
                <w:szCs w:val="20"/>
                <w:color w:val="auto"/>
              </w:rPr>
            </w:pPr>
            <w:r>
              <w:rPr>
                <w:rFonts w:ascii="Arial" w:cs="Arial" w:eastAsia="Arial" w:hAnsi="Arial"/>
                <w:sz w:val="16"/>
                <w:szCs w:val="16"/>
                <w:color w:val="FFFFFF"/>
              </w:rPr>
              <w:t>OPBT Margin</w:t>
            </w:r>
          </w:p>
        </w:tc>
        <w:tc>
          <w:tcPr>
            <w:tcW w:w="340" w:type="dxa"/>
            <w:vAlign w:val="bottom"/>
          </w:tcPr>
          <w:p>
            <w:pPr>
              <w:spacing w:after="0"/>
              <w:rPr>
                <w:sz w:val="21"/>
                <w:szCs w:val="21"/>
                <w:color w:val="auto"/>
              </w:rPr>
            </w:pPr>
          </w:p>
        </w:tc>
        <w:tc>
          <w:tcPr>
            <w:tcW w:w="5460" w:type="dxa"/>
            <w:vAlign w:val="bottom"/>
            <w:gridSpan w:val="2"/>
            <w:shd w:val="clear" w:color="auto" w:fill="0067B3"/>
          </w:tcPr>
          <w:p>
            <w:pPr>
              <w:ind w:left="2400"/>
              <w:spacing w:after="0"/>
              <w:rPr>
                <w:sz w:val="20"/>
                <w:szCs w:val="20"/>
                <w:color w:val="auto"/>
              </w:rPr>
            </w:pPr>
            <w:r>
              <w:rPr>
                <w:rFonts w:ascii="Arial" w:cs="Arial" w:eastAsia="Arial" w:hAnsi="Arial"/>
                <w:sz w:val="16"/>
                <w:szCs w:val="16"/>
                <w:color w:val="FFFFFF"/>
              </w:rPr>
              <w:t>Revenue</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0067B3"/>
          </w:tcPr>
          <w:p>
            <w:pPr>
              <w:spacing w:after="0"/>
              <w:rPr>
                <w:sz w:val="18"/>
                <w:szCs w:val="18"/>
                <w:color w:val="auto"/>
              </w:rPr>
            </w:pPr>
          </w:p>
        </w:tc>
        <w:tc>
          <w:tcPr>
            <w:tcW w:w="2600" w:type="dxa"/>
            <w:vAlign w:val="bottom"/>
            <w:shd w:val="clear" w:color="auto" w:fill="0067B3"/>
          </w:tcPr>
          <w:p>
            <w:pPr>
              <w:jc w:val="center"/>
              <w:ind w:right="13"/>
              <w:spacing w:after="0"/>
              <w:rPr>
                <w:sz w:val="20"/>
                <w:szCs w:val="20"/>
                <w:color w:val="auto"/>
              </w:rPr>
            </w:pPr>
            <w:r>
              <w:rPr>
                <w:rFonts w:ascii="Arial" w:cs="Arial" w:eastAsia="Arial" w:hAnsi="Arial"/>
                <w:sz w:val="16"/>
                <w:szCs w:val="16"/>
                <w:color w:val="FFFFFF"/>
              </w:rPr>
              <w:t>Variable Cash Incentive Payout</w:t>
            </w:r>
          </w:p>
        </w:tc>
        <w:tc>
          <w:tcPr>
            <w:tcW w:w="340" w:type="dxa"/>
            <w:vAlign w:val="bottom"/>
          </w:tcPr>
          <w:p>
            <w:pPr>
              <w:spacing w:after="0"/>
              <w:rPr>
                <w:sz w:val="18"/>
                <w:szCs w:val="18"/>
                <w:color w:val="auto"/>
              </w:rPr>
            </w:pPr>
          </w:p>
        </w:tc>
        <w:tc>
          <w:tcPr>
            <w:tcW w:w="2840" w:type="dxa"/>
            <w:vAlign w:val="bottom"/>
            <w:shd w:val="clear" w:color="auto" w:fill="0067B3"/>
          </w:tcPr>
          <w:p>
            <w:pPr>
              <w:spacing w:after="0"/>
              <w:rPr>
                <w:sz w:val="18"/>
                <w:szCs w:val="18"/>
                <w:color w:val="auto"/>
              </w:rPr>
            </w:pPr>
          </w:p>
        </w:tc>
        <w:tc>
          <w:tcPr>
            <w:tcW w:w="2620" w:type="dxa"/>
            <w:vAlign w:val="bottom"/>
            <w:shd w:val="clear" w:color="auto" w:fill="0067B3"/>
          </w:tcPr>
          <w:p>
            <w:pPr>
              <w:jc w:val="center"/>
              <w:ind w:right="13"/>
              <w:spacing w:after="0"/>
              <w:rPr>
                <w:sz w:val="20"/>
                <w:szCs w:val="20"/>
                <w:color w:val="auto"/>
              </w:rPr>
            </w:pPr>
            <w:r>
              <w:rPr>
                <w:rFonts w:ascii="Arial" w:cs="Arial" w:eastAsia="Arial" w:hAnsi="Arial"/>
                <w:sz w:val="16"/>
                <w:szCs w:val="16"/>
                <w:color w:val="FFFFFF"/>
              </w:rPr>
              <w:t>Variable Cash Incentive Payout</w:t>
            </w:r>
          </w:p>
        </w:tc>
        <w:tc>
          <w:tcPr>
            <w:tcW w:w="0" w:type="dxa"/>
            <w:vAlign w:val="bottom"/>
          </w:tcPr>
          <w:p>
            <w:pPr>
              <w:spacing w:after="0"/>
              <w:rPr>
                <w:sz w:val="1"/>
                <w:szCs w:val="1"/>
                <w:color w:val="auto"/>
              </w:rPr>
            </w:pPr>
          </w:p>
        </w:tc>
      </w:tr>
      <w:tr>
        <w:trPr>
          <w:trHeight w:val="230"/>
        </w:trPr>
        <w:tc>
          <w:tcPr>
            <w:tcW w:w="2840" w:type="dxa"/>
            <w:vAlign w:val="bottom"/>
            <w:shd w:val="clear" w:color="auto" w:fill="0067B3"/>
          </w:tcPr>
          <w:p>
            <w:pPr>
              <w:jc w:val="right"/>
              <w:ind w:right="633"/>
              <w:spacing w:after="0"/>
              <w:rPr>
                <w:sz w:val="20"/>
                <w:szCs w:val="20"/>
                <w:color w:val="auto"/>
              </w:rPr>
            </w:pPr>
            <w:r>
              <w:rPr>
                <w:rFonts w:ascii="Arial" w:cs="Arial" w:eastAsia="Arial" w:hAnsi="Arial"/>
                <w:sz w:val="16"/>
                <w:szCs w:val="16"/>
                <w:color w:val="FFFFFF"/>
              </w:rPr>
              <w:t>OPBT Margin by Qtr.</w:t>
            </w:r>
          </w:p>
        </w:tc>
        <w:tc>
          <w:tcPr>
            <w:tcW w:w="2600" w:type="dxa"/>
            <w:vAlign w:val="bottom"/>
            <w:shd w:val="clear" w:color="auto" w:fill="0067B3"/>
          </w:tcPr>
          <w:p>
            <w:pPr>
              <w:jc w:val="center"/>
              <w:ind w:right="13"/>
              <w:spacing w:after="0"/>
              <w:rPr>
                <w:sz w:val="20"/>
                <w:szCs w:val="20"/>
                <w:color w:val="auto"/>
              </w:rPr>
            </w:pPr>
            <w:r>
              <w:rPr>
                <w:rFonts w:ascii="Arial" w:cs="Arial" w:eastAsia="Arial" w:hAnsi="Arial"/>
                <w:sz w:val="16"/>
                <w:szCs w:val="16"/>
                <w:color w:val="FFFFFF"/>
              </w:rPr>
              <w:t>Factor</w:t>
            </w:r>
          </w:p>
        </w:tc>
        <w:tc>
          <w:tcPr>
            <w:tcW w:w="340" w:type="dxa"/>
            <w:vAlign w:val="bottom"/>
          </w:tcPr>
          <w:p>
            <w:pPr>
              <w:spacing w:after="0"/>
              <w:rPr>
                <w:sz w:val="20"/>
                <w:szCs w:val="20"/>
                <w:color w:val="auto"/>
              </w:rPr>
            </w:pPr>
          </w:p>
        </w:tc>
        <w:tc>
          <w:tcPr>
            <w:tcW w:w="2840" w:type="dxa"/>
            <w:vAlign w:val="bottom"/>
            <w:shd w:val="clear" w:color="auto" w:fill="0067B3"/>
          </w:tcPr>
          <w:p>
            <w:pPr>
              <w:jc w:val="right"/>
              <w:ind w:right="673"/>
              <w:spacing w:after="0"/>
              <w:rPr>
                <w:sz w:val="20"/>
                <w:szCs w:val="20"/>
                <w:color w:val="auto"/>
              </w:rPr>
            </w:pPr>
            <w:r>
              <w:rPr>
                <w:rFonts w:ascii="Arial" w:cs="Arial" w:eastAsia="Arial" w:hAnsi="Arial"/>
                <w:sz w:val="16"/>
                <w:szCs w:val="16"/>
                <w:color w:val="FFFFFF"/>
              </w:rPr>
              <w:t>YTY Growth by Qtr.</w:t>
            </w:r>
          </w:p>
        </w:tc>
        <w:tc>
          <w:tcPr>
            <w:tcW w:w="2620" w:type="dxa"/>
            <w:vAlign w:val="bottom"/>
            <w:shd w:val="clear" w:color="auto" w:fill="0067B3"/>
          </w:tcPr>
          <w:p>
            <w:pPr>
              <w:jc w:val="center"/>
              <w:spacing w:after="0"/>
              <w:rPr>
                <w:sz w:val="20"/>
                <w:szCs w:val="20"/>
                <w:color w:val="auto"/>
              </w:rPr>
            </w:pPr>
            <w:r>
              <w:rPr>
                <w:rFonts w:ascii="Arial" w:cs="Arial" w:eastAsia="Arial" w:hAnsi="Arial"/>
                <w:sz w:val="16"/>
                <w:szCs w:val="16"/>
                <w:color w:val="FFFFFF"/>
              </w:rPr>
              <w:t>Factor</w:t>
            </w:r>
          </w:p>
        </w:tc>
        <w:tc>
          <w:tcPr>
            <w:tcW w:w="0" w:type="dxa"/>
            <w:vAlign w:val="bottom"/>
          </w:tcPr>
          <w:p>
            <w:pPr>
              <w:spacing w:after="0"/>
              <w:rPr>
                <w:sz w:val="1"/>
                <w:szCs w:val="1"/>
                <w:color w:val="auto"/>
              </w:rPr>
            </w:pPr>
          </w:p>
        </w:tc>
      </w:tr>
      <w:tr>
        <w:trPr>
          <w:trHeight w:val="368"/>
        </w:trPr>
        <w:tc>
          <w:tcPr>
            <w:tcW w:w="2840" w:type="dxa"/>
            <w:vAlign w:val="bottom"/>
            <w:shd w:val="clear" w:color="auto" w:fill="E6E7E8"/>
          </w:tcPr>
          <w:p>
            <w:pPr>
              <w:jc w:val="right"/>
              <w:ind w:right="53"/>
              <w:spacing w:after="0"/>
              <w:rPr>
                <w:sz w:val="20"/>
                <w:szCs w:val="20"/>
                <w:color w:val="auto"/>
              </w:rPr>
            </w:pPr>
            <w:r>
              <w:rPr>
                <w:rFonts w:ascii="Arial" w:cs="Arial" w:eastAsia="Arial" w:hAnsi="Arial"/>
                <w:sz w:val="18"/>
                <w:szCs w:val="18"/>
                <w:color w:val="auto"/>
              </w:rPr>
              <w:t>≤ 40.0%</w:t>
            </w:r>
          </w:p>
        </w:tc>
        <w:tc>
          <w:tcPr>
            <w:tcW w:w="260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24"/>
                <w:szCs w:val="24"/>
                <w:color w:val="auto"/>
              </w:rPr>
            </w:pPr>
          </w:p>
        </w:tc>
        <w:tc>
          <w:tcPr>
            <w:tcW w:w="2840" w:type="dxa"/>
            <w:vAlign w:val="bottom"/>
            <w:vMerge w:val="restart"/>
            <w:shd w:val="clear" w:color="auto" w:fill="E6E7E8"/>
          </w:tcPr>
          <w:p>
            <w:pPr>
              <w:jc w:val="right"/>
              <w:ind w:right="33"/>
              <w:spacing w:after="0"/>
              <w:rPr>
                <w:sz w:val="20"/>
                <w:szCs w:val="20"/>
                <w:color w:val="auto"/>
              </w:rPr>
            </w:pPr>
            <w:r>
              <w:rPr>
                <w:rFonts w:ascii="Arial" w:cs="Arial" w:eastAsia="Arial" w:hAnsi="Arial"/>
                <w:sz w:val="18"/>
                <w:szCs w:val="18"/>
                <w:color w:val="auto"/>
              </w:rPr>
              <w:t>≤ 0%</w:t>
            </w:r>
          </w:p>
        </w:tc>
        <w:tc>
          <w:tcPr>
            <w:tcW w:w="262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11"/>
        </w:trPr>
        <w:tc>
          <w:tcPr>
            <w:tcW w:w="2840" w:type="dxa"/>
            <w:vAlign w:val="bottom"/>
            <w:tcBorders>
              <w:bottom w:val="single" w:sz="8" w:color="E6E7E8"/>
            </w:tcBorders>
            <w:shd w:val="clear" w:color="auto" w:fill="E6E7E8"/>
          </w:tcPr>
          <w:p>
            <w:pPr>
              <w:spacing w:after="0"/>
              <w:rPr>
                <w:sz w:val="9"/>
                <w:szCs w:val="9"/>
                <w:color w:val="auto"/>
              </w:rPr>
            </w:pPr>
          </w:p>
        </w:tc>
        <w:tc>
          <w:tcPr>
            <w:tcW w:w="2600" w:type="dxa"/>
            <w:vAlign w:val="bottom"/>
            <w:tcBorders>
              <w:bottom w:val="single" w:sz="8" w:color="E6E7E8"/>
            </w:tcBorders>
            <w:vMerge w:val="continue"/>
            <w:shd w:val="clear" w:color="auto" w:fill="E6E7E8"/>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Borders>
              <w:bottom w:val="single" w:sz="8" w:color="E6E7E8"/>
            </w:tcBorders>
            <w:vMerge w:val="continue"/>
            <w:shd w:val="clear" w:color="auto" w:fill="E6E7E8"/>
          </w:tcPr>
          <w:p>
            <w:pPr>
              <w:spacing w:after="0"/>
              <w:rPr>
                <w:sz w:val="9"/>
                <w:szCs w:val="9"/>
                <w:color w:val="auto"/>
              </w:rPr>
            </w:pPr>
          </w:p>
        </w:tc>
        <w:tc>
          <w:tcPr>
            <w:tcW w:w="2620" w:type="dxa"/>
            <w:vAlign w:val="bottom"/>
            <w:tcBorders>
              <w:bottom w:val="single" w:sz="8" w:color="E6E7E8"/>
            </w:tcBorders>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2840" w:type="dxa"/>
            <w:vAlign w:val="bottom"/>
            <w:shd w:val="clear" w:color="auto" w:fill="CAD3EC"/>
          </w:tcPr>
          <w:p>
            <w:pPr>
              <w:jc w:val="right"/>
              <w:ind w:right="53"/>
              <w:spacing w:after="0"/>
              <w:rPr>
                <w:sz w:val="20"/>
                <w:szCs w:val="20"/>
                <w:color w:val="auto"/>
              </w:rPr>
            </w:pPr>
            <w:r>
              <w:rPr>
                <w:rFonts w:ascii="Arial" w:cs="Arial" w:eastAsia="Arial" w:hAnsi="Arial"/>
                <w:sz w:val="18"/>
                <w:szCs w:val="18"/>
                <w:b w:val="1"/>
                <w:bCs w:val="1"/>
                <w:color w:val="auto"/>
              </w:rPr>
              <w:t>42.0%</w:t>
            </w:r>
          </w:p>
        </w:tc>
        <w:tc>
          <w:tcPr>
            <w:tcW w:w="2600" w:type="dxa"/>
            <w:vAlign w:val="bottom"/>
            <w:vMerge w:val="restart"/>
            <w:shd w:val="clear" w:color="auto" w:fill="CAD3EC"/>
          </w:tcPr>
          <w:p>
            <w:pPr>
              <w:jc w:val="center"/>
              <w:ind w:right="13"/>
              <w:spacing w:after="0"/>
              <w:rPr>
                <w:sz w:val="20"/>
                <w:szCs w:val="20"/>
                <w:color w:val="auto"/>
              </w:rPr>
            </w:pPr>
            <w:r>
              <w:rPr>
                <w:rFonts w:ascii="Arial" w:cs="Arial" w:eastAsia="Arial" w:hAnsi="Arial"/>
                <w:sz w:val="18"/>
                <w:szCs w:val="18"/>
                <w:b w:val="1"/>
                <w:bCs w:val="1"/>
                <w:color w:val="auto"/>
                <w:w w:val="96"/>
              </w:rPr>
              <w:t>1.0x</w:t>
            </w:r>
          </w:p>
        </w:tc>
        <w:tc>
          <w:tcPr>
            <w:tcW w:w="340" w:type="dxa"/>
            <w:vAlign w:val="bottom"/>
          </w:tcPr>
          <w:p>
            <w:pPr>
              <w:spacing w:after="0"/>
              <w:rPr>
                <w:sz w:val="24"/>
                <w:szCs w:val="24"/>
                <w:color w:val="auto"/>
              </w:rPr>
            </w:pPr>
          </w:p>
        </w:tc>
        <w:tc>
          <w:tcPr>
            <w:tcW w:w="2840" w:type="dxa"/>
            <w:vAlign w:val="bottom"/>
            <w:shd w:val="clear" w:color="auto" w:fill="CAD3EC"/>
          </w:tcPr>
          <w:p>
            <w:pPr>
              <w:jc w:val="right"/>
              <w:ind w:right="33"/>
              <w:spacing w:after="0"/>
              <w:rPr>
                <w:sz w:val="20"/>
                <w:szCs w:val="20"/>
                <w:color w:val="auto"/>
              </w:rPr>
            </w:pPr>
            <w:r>
              <w:rPr>
                <w:rFonts w:ascii="Arial" w:cs="Arial" w:eastAsia="Arial" w:hAnsi="Arial"/>
                <w:sz w:val="18"/>
                <w:szCs w:val="18"/>
                <w:b w:val="1"/>
                <w:bCs w:val="1"/>
                <w:color w:val="auto"/>
              </w:rPr>
              <w:t>8.0%</w:t>
            </w:r>
          </w:p>
        </w:tc>
        <w:tc>
          <w:tcPr>
            <w:tcW w:w="2620" w:type="dxa"/>
            <w:vAlign w:val="bottom"/>
            <w:vMerge w:val="restart"/>
            <w:shd w:val="clear" w:color="auto" w:fill="CAD3EC"/>
          </w:tcPr>
          <w:p>
            <w:pPr>
              <w:jc w:val="center"/>
              <w:ind w:right="13"/>
              <w:spacing w:after="0"/>
              <w:rPr>
                <w:sz w:val="20"/>
                <w:szCs w:val="20"/>
                <w:color w:val="auto"/>
              </w:rPr>
            </w:pPr>
            <w:r>
              <w:rPr>
                <w:rFonts w:ascii="Arial" w:cs="Arial" w:eastAsia="Arial" w:hAnsi="Arial"/>
                <w:sz w:val="18"/>
                <w:szCs w:val="18"/>
                <w:b w:val="1"/>
                <w:bCs w:val="1"/>
                <w:color w:val="auto"/>
              </w:rPr>
              <w:t>1.0x</w:t>
            </w:r>
          </w:p>
        </w:tc>
        <w:tc>
          <w:tcPr>
            <w:tcW w:w="0" w:type="dxa"/>
            <w:vAlign w:val="bottom"/>
          </w:tcPr>
          <w:p>
            <w:pPr>
              <w:spacing w:after="0"/>
              <w:rPr>
                <w:sz w:val="1"/>
                <w:szCs w:val="1"/>
                <w:color w:val="auto"/>
              </w:rPr>
            </w:pPr>
          </w:p>
        </w:tc>
      </w:tr>
      <w:tr>
        <w:trPr>
          <w:trHeight w:val="123"/>
        </w:trPr>
        <w:tc>
          <w:tcPr>
            <w:tcW w:w="2840" w:type="dxa"/>
            <w:vAlign w:val="bottom"/>
            <w:shd w:val="clear" w:color="auto" w:fill="CAD3EC"/>
          </w:tcPr>
          <w:p>
            <w:pPr>
              <w:spacing w:after="0"/>
              <w:rPr>
                <w:sz w:val="10"/>
                <w:szCs w:val="10"/>
                <w:color w:val="auto"/>
              </w:rPr>
            </w:pPr>
          </w:p>
        </w:tc>
        <w:tc>
          <w:tcPr>
            <w:tcW w:w="2600" w:type="dxa"/>
            <w:vAlign w:val="bottom"/>
            <w:vMerge w:val="continue"/>
            <w:shd w:val="clear" w:color="auto" w:fill="CAD3EC"/>
          </w:tcPr>
          <w:p>
            <w:pPr>
              <w:spacing w:after="0"/>
              <w:rPr>
                <w:sz w:val="10"/>
                <w:szCs w:val="10"/>
                <w:color w:val="auto"/>
              </w:rPr>
            </w:pPr>
          </w:p>
        </w:tc>
        <w:tc>
          <w:tcPr>
            <w:tcW w:w="340" w:type="dxa"/>
            <w:vAlign w:val="bottom"/>
          </w:tcPr>
          <w:p>
            <w:pPr>
              <w:spacing w:after="0"/>
              <w:rPr>
                <w:sz w:val="10"/>
                <w:szCs w:val="10"/>
                <w:color w:val="auto"/>
              </w:rPr>
            </w:pPr>
          </w:p>
        </w:tc>
        <w:tc>
          <w:tcPr>
            <w:tcW w:w="2840" w:type="dxa"/>
            <w:vAlign w:val="bottom"/>
            <w:shd w:val="clear" w:color="auto" w:fill="CAD3EC"/>
          </w:tcPr>
          <w:p>
            <w:pPr>
              <w:spacing w:after="0"/>
              <w:rPr>
                <w:sz w:val="10"/>
                <w:szCs w:val="10"/>
                <w:color w:val="auto"/>
              </w:rPr>
            </w:pPr>
          </w:p>
        </w:tc>
        <w:tc>
          <w:tcPr>
            <w:tcW w:w="2620" w:type="dxa"/>
            <w:vAlign w:val="bottom"/>
            <w:vMerge w:val="continue"/>
            <w:shd w:val="clear" w:color="auto" w:fill="CAD3EC"/>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840" w:type="dxa"/>
            <w:vAlign w:val="bottom"/>
            <w:shd w:val="clear" w:color="auto" w:fill="E6E7E8"/>
          </w:tcPr>
          <w:p>
            <w:pPr>
              <w:jc w:val="right"/>
              <w:ind w:right="53"/>
              <w:spacing w:after="0"/>
              <w:rPr>
                <w:sz w:val="20"/>
                <w:szCs w:val="20"/>
                <w:color w:val="auto"/>
              </w:rPr>
            </w:pPr>
            <w:r>
              <w:rPr>
                <w:rFonts w:ascii="Arial" w:cs="Arial" w:eastAsia="Arial" w:hAnsi="Arial"/>
                <w:sz w:val="18"/>
                <w:szCs w:val="18"/>
                <w:color w:val="auto"/>
              </w:rPr>
              <w:t>45.0%</w:t>
            </w:r>
          </w:p>
        </w:tc>
        <w:tc>
          <w:tcPr>
            <w:tcW w:w="2600" w:type="dxa"/>
            <w:vAlign w:val="bottom"/>
            <w:vMerge w:val="restart"/>
            <w:shd w:val="clear" w:color="auto" w:fill="E6E7E8"/>
          </w:tcPr>
          <w:p>
            <w:pPr>
              <w:jc w:val="center"/>
              <w:ind w:right="13"/>
              <w:spacing w:after="0"/>
              <w:rPr>
                <w:sz w:val="20"/>
                <w:szCs w:val="20"/>
                <w:color w:val="auto"/>
              </w:rPr>
            </w:pPr>
            <w:r>
              <w:rPr>
                <w:rFonts w:ascii="Arial" w:cs="Arial" w:eastAsia="Arial" w:hAnsi="Arial"/>
                <w:sz w:val="18"/>
                <w:szCs w:val="18"/>
                <w:color w:val="auto"/>
                <w:w w:val="99"/>
              </w:rPr>
              <w:t>2.0x</w:t>
            </w:r>
          </w:p>
        </w:tc>
        <w:tc>
          <w:tcPr>
            <w:tcW w:w="340" w:type="dxa"/>
            <w:vAlign w:val="bottom"/>
          </w:tcPr>
          <w:p>
            <w:pPr>
              <w:spacing w:after="0"/>
              <w:rPr>
                <w:sz w:val="24"/>
                <w:szCs w:val="24"/>
                <w:color w:val="auto"/>
              </w:rPr>
            </w:pPr>
          </w:p>
        </w:tc>
        <w:tc>
          <w:tcPr>
            <w:tcW w:w="2840" w:type="dxa"/>
            <w:vAlign w:val="bottom"/>
            <w:shd w:val="clear" w:color="auto" w:fill="E6E7E8"/>
          </w:tcPr>
          <w:p>
            <w:pPr>
              <w:jc w:val="right"/>
              <w:ind w:right="33"/>
              <w:spacing w:after="0"/>
              <w:rPr>
                <w:sz w:val="20"/>
                <w:szCs w:val="20"/>
                <w:color w:val="auto"/>
              </w:rPr>
            </w:pPr>
            <w:r>
              <w:rPr>
                <w:rFonts w:ascii="Arial" w:cs="Arial" w:eastAsia="Arial" w:hAnsi="Arial"/>
                <w:sz w:val="18"/>
                <w:szCs w:val="18"/>
                <w:color w:val="auto"/>
              </w:rPr>
              <w:t>15.0%</w:t>
            </w:r>
          </w:p>
        </w:tc>
        <w:tc>
          <w:tcPr>
            <w:tcW w:w="262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2.0x</w:t>
            </w:r>
          </w:p>
        </w:tc>
        <w:tc>
          <w:tcPr>
            <w:tcW w:w="0" w:type="dxa"/>
            <w:vAlign w:val="bottom"/>
          </w:tcPr>
          <w:p>
            <w:pPr>
              <w:spacing w:after="0"/>
              <w:rPr>
                <w:sz w:val="1"/>
                <w:szCs w:val="1"/>
                <w:color w:val="auto"/>
              </w:rPr>
            </w:pPr>
          </w:p>
        </w:tc>
      </w:tr>
      <w:tr>
        <w:trPr>
          <w:trHeight w:val="111"/>
        </w:trPr>
        <w:tc>
          <w:tcPr>
            <w:tcW w:w="2840" w:type="dxa"/>
            <w:vAlign w:val="bottom"/>
            <w:tcBorders>
              <w:bottom w:val="single" w:sz="8" w:color="E6E7E8"/>
            </w:tcBorders>
            <w:shd w:val="clear" w:color="auto" w:fill="E6E7E8"/>
          </w:tcPr>
          <w:p>
            <w:pPr>
              <w:spacing w:after="0"/>
              <w:rPr>
                <w:sz w:val="9"/>
                <w:szCs w:val="9"/>
                <w:color w:val="auto"/>
              </w:rPr>
            </w:pPr>
          </w:p>
        </w:tc>
        <w:tc>
          <w:tcPr>
            <w:tcW w:w="2600" w:type="dxa"/>
            <w:vAlign w:val="bottom"/>
            <w:tcBorders>
              <w:bottom w:val="single" w:sz="8" w:color="E6E7E8"/>
            </w:tcBorders>
            <w:vMerge w:val="continue"/>
            <w:shd w:val="clear" w:color="auto" w:fill="E6E7E8"/>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Borders>
              <w:bottom w:val="single" w:sz="8" w:color="E6E7E8"/>
            </w:tcBorders>
            <w:shd w:val="clear" w:color="auto" w:fill="E6E7E8"/>
          </w:tcPr>
          <w:p>
            <w:pPr>
              <w:spacing w:after="0"/>
              <w:rPr>
                <w:sz w:val="9"/>
                <w:szCs w:val="9"/>
                <w:color w:val="auto"/>
              </w:rPr>
            </w:pPr>
          </w:p>
        </w:tc>
        <w:tc>
          <w:tcPr>
            <w:tcW w:w="2620" w:type="dxa"/>
            <w:vAlign w:val="bottom"/>
            <w:tcBorders>
              <w:bottom w:val="single" w:sz="8" w:color="E6E7E8"/>
            </w:tcBorders>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2840" w:type="dxa"/>
            <w:vAlign w:val="bottom"/>
            <w:shd w:val="clear" w:color="auto" w:fill="BCBEC0"/>
          </w:tcPr>
          <w:p>
            <w:pPr>
              <w:jc w:val="right"/>
              <w:ind w:right="53"/>
              <w:spacing w:after="0"/>
              <w:rPr>
                <w:sz w:val="20"/>
                <w:szCs w:val="20"/>
                <w:color w:val="auto"/>
              </w:rPr>
            </w:pPr>
            <w:r>
              <w:rPr>
                <w:rFonts w:ascii="Arial" w:cs="Arial" w:eastAsia="Arial" w:hAnsi="Arial"/>
                <w:sz w:val="18"/>
                <w:szCs w:val="18"/>
                <w:color w:val="auto"/>
              </w:rPr>
              <w:t>≥ 50.0%</w:t>
            </w:r>
          </w:p>
        </w:tc>
        <w:tc>
          <w:tcPr>
            <w:tcW w:w="2600" w:type="dxa"/>
            <w:vAlign w:val="bottom"/>
            <w:vMerge w:val="restart"/>
            <w:shd w:val="clear" w:color="auto" w:fill="BCBEC0"/>
          </w:tcPr>
          <w:p>
            <w:pPr>
              <w:jc w:val="center"/>
              <w:ind w:right="13"/>
              <w:spacing w:after="0"/>
              <w:rPr>
                <w:sz w:val="20"/>
                <w:szCs w:val="20"/>
                <w:color w:val="auto"/>
              </w:rPr>
            </w:pPr>
            <w:r>
              <w:rPr>
                <w:rFonts w:ascii="Arial" w:cs="Arial" w:eastAsia="Arial" w:hAnsi="Arial"/>
                <w:sz w:val="18"/>
                <w:szCs w:val="18"/>
                <w:color w:val="auto"/>
                <w:w w:val="99"/>
              </w:rPr>
              <w:t>3.0x</w:t>
            </w:r>
          </w:p>
        </w:tc>
        <w:tc>
          <w:tcPr>
            <w:tcW w:w="340" w:type="dxa"/>
            <w:vAlign w:val="bottom"/>
          </w:tcPr>
          <w:p>
            <w:pPr>
              <w:spacing w:after="0"/>
              <w:rPr>
                <w:sz w:val="24"/>
                <w:szCs w:val="24"/>
                <w:color w:val="auto"/>
              </w:rPr>
            </w:pPr>
          </w:p>
        </w:tc>
        <w:tc>
          <w:tcPr>
            <w:tcW w:w="2840" w:type="dxa"/>
            <w:vAlign w:val="bottom"/>
            <w:shd w:val="clear" w:color="auto" w:fill="BCBEC0"/>
          </w:tcPr>
          <w:p>
            <w:pPr>
              <w:jc w:val="right"/>
              <w:ind w:right="33"/>
              <w:spacing w:after="0"/>
              <w:rPr>
                <w:sz w:val="20"/>
                <w:szCs w:val="20"/>
                <w:color w:val="auto"/>
              </w:rPr>
            </w:pPr>
            <w:r>
              <w:rPr>
                <w:rFonts w:ascii="Arial" w:cs="Arial" w:eastAsia="Arial" w:hAnsi="Arial"/>
                <w:sz w:val="18"/>
                <w:szCs w:val="18"/>
                <w:color w:val="auto"/>
              </w:rPr>
              <w:t>≥ 22%</w:t>
            </w:r>
          </w:p>
        </w:tc>
        <w:tc>
          <w:tcPr>
            <w:tcW w:w="2620" w:type="dxa"/>
            <w:vAlign w:val="bottom"/>
            <w:vMerge w:val="restart"/>
            <w:shd w:val="clear" w:color="auto" w:fill="BCBEC0"/>
          </w:tcPr>
          <w:p>
            <w:pPr>
              <w:jc w:val="center"/>
              <w:spacing w:after="0"/>
              <w:rPr>
                <w:sz w:val="20"/>
                <w:szCs w:val="20"/>
                <w:color w:val="auto"/>
              </w:rPr>
            </w:pPr>
            <w:r>
              <w:rPr>
                <w:rFonts w:ascii="Arial" w:cs="Arial" w:eastAsia="Arial" w:hAnsi="Arial"/>
                <w:sz w:val="18"/>
                <w:szCs w:val="18"/>
                <w:color w:val="auto"/>
                <w:w w:val="99"/>
              </w:rPr>
              <w:t>3.0x</w:t>
            </w:r>
          </w:p>
        </w:tc>
        <w:tc>
          <w:tcPr>
            <w:tcW w:w="0" w:type="dxa"/>
            <w:vAlign w:val="bottom"/>
          </w:tcPr>
          <w:p>
            <w:pPr>
              <w:spacing w:after="0"/>
              <w:rPr>
                <w:sz w:val="1"/>
                <w:szCs w:val="1"/>
                <w:color w:val="auto"/>
              </w:rPr>
            </w:pPr>
          </w:p>
        </w:tc>
      </w:tr>
      <w:tr>
        <w:trPr>
          <w:trHeight w:val="111"/>
        </w:trPr>
        <w:tc>
          <w:tcPr>
            <w:tcW w:w="2840" w:type="dxa"/>
            <w:vAlign w:val="bottom"/>
            <w:tcBorders>
              <w:bottom w:val="single" w:sz="8" w:color="BCBEC0"/>
            </w:tcBorders>
            <w:shd w:val="clear" w:color="auto" w:fill="BCBEC0"/>
          </w:tcPr>
          <w:p>
            <w:pPr>
              <w:spacing w:after="0"/>
              <w:rPr>
                <w:sz w:val="9"/>
                <w:szCs w:val="9"/>
                <w:color w:val="auto"/>
              </w:rPr>
            </w:pPr>
          </w:p>
        </w:tc>
        <w:tc>
          <w:tcPr>
            <w:tcW w:w="2600" w:type="dxa"/>
            <w:vAlign w:val="bottom"/>
            <w:tcBorders>
              <w:bottom w:val="single" w:sz="8" w:color="BCBEC0"/>
            </w:tcBorders>
            <w:vMerge w:val="continue"/>
            <w:shd w:val="clear" w:color="auto" w:fill="BCBEC0"/>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Borders>
              <w:bottom w:val="single" w:sz="8" w:color="BCBEC0"/>
            </w:tcBorders>
            <w:shd w:val="clear" w:color="auto" w:fill="BCBEC0"/>
          </w:tcPr>
          <w:p>
            <w:pPr>
              <w:spacing w:after="0"/>
              <w:rPr>
                <w:sz w:val="9"/>
                <w:szCs w:val="9"/>
                <w:color w:val="auto"/>
              </w:rPr>
            </w:pPr>
          </w:p>
        </w:tc>
        <w:tc>
          <w:tcPr>
            <w:tcW w:w="2620" w:type="dxa"/>
            <w:vAlign w:val="bottom"/>
            <w:tcBorders>
              <w:bottom w:val="single" w:sz="8" w:color="BCBEC0"/>
            </w:tcBorders>
            <w:vMerge w:val="continue"/>
            <w:shd w:val="clear" w:color="auto" w:fill="BCBEC0"/>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67B3"/>
          </w:tcPr>
          <w:p>
            <w:pPr>
              <w:spacing w:after="0" w:line="20" w:lineRule="exact"/>
              <w:rPr>
                <w:sz w:val="1"/>
                <w:szCs w:val="1"/>
                <w:color w:val="auto"/>
              </w:rPr>
            </w:pPr>
          </w:p>
        </w:tc>
        <w:tc>
          <w:tcPr>
            <w:tcW w:w="2600" w:type="dxa"/>
            <w:vAlign w:val="bottom"/>
            <w:shd w:val="clear" w:color="auto" w:fill="0067B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shd w:val="clear" w:color="auto" w:fill="0067B3"/>
          </w:tcPr>
          <w:p>
            <w:pPr>
              <w:spacing w:after="0" w:line="20" w:lineRule="exact"/>
              <w:rPr>
                <w:sz w:val="1"/>
                <w:szCs w:val="1"/>
                <w:color w:val="auto"/>
              </w:rPr>
            </w:pPr>
          </w:p>
        </w:tc>
        <w:tc>
          <w:tcPr>
            <w:tcW w:w="26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560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OPBT margin &lt;=40% the entire variable cash incentive will pay at 0% regardless of revenue attainment</w:t>
      </w:r>
    </w:p>
    <w:p>
      <w:pPr>
        <w:spacing w:after="0" w:line="351" w:lineRule="exact"/>
        <w:rPr>
          <w:sz w:val="20"/>
          <w:szCs w:val="20"/>
          <w:color w:val="auto"/>
        </w:rPr>
      </w:pPr>
    </w:p>
    <w:p>
      <w:pPr>
        <w:ind w:left="200" w:right="20" w:hanging="192"/>
        <w:spacing w:after="0" w:line="246" w:lineRule="auto"/>
        <w:tabs>
          <w:tab w:leader="none" w:pos="215"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OPBT margin is equivalent to our Adjusted Operating Margin as reported in our annual and quarterly earnings releases. The Compensation and Talent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and Talent Committee may, in its discretion, exclude these items in order to prevent payments under the plan from being adversely or advantageously affected by special items. For purposes of determining the variable cash incentive payout factor for each quarter of fiscal year 2023, OPBT margin was adjusted to exclude acquisition-related expenses, acquisition-related transaction costs, and special charges, consistent with the non-GAAP adjustments included in our quarterly earnings releases.</w:t>
      </w:r>
    </w:p>
    <w:p>
      <w:pPr>
        <w:spacing w:after="0" w:line="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While the OPBT margin and year-over-year revenue growth targets are typically set annually, we measure performance against those targets on a quarterly basis, applying the corresponding variable cash incentive payout factor to base salary for that quarter, and pay the variable cash incentive amounts to our executive officers on a semi-annual basis following the end of the second and fourth fiscal quarters.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 floor on the OPBT margin target so that profitability at or below the minimum listed OPBT margin will result in no variable cash incentive payments for that performance period, regardless of revenue growth levels. The variable cash incentive payout factor is determined using linear interpolation between the values specified in the tables above.</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For fiscal year 2023, the calculated OPBT margin, year-over-year revenue growth, and variable cash incentive payout factor under our executive performance incentive plan for each quarter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80" w:type="dxa"/>
            <w:vAlign w:val="bottom"/>
            <w:shd w:val="clear" w:color="auto" w:fill="0067B3"/>
          </w:tcPr>
          <w:p>
            <w:pPr>
              <w:spacing w:after="0"/>
              <w:rPr>
                <w:sz w:val="21"/>
                <w:szCs w:val="21"/>
                <w:color w:val="auto"/>
              </w:rPr>
            </w:pPr>
          </w:p>
        </w:tc>
        <w:tc>
          <w:tcPr>
            <w:tcW w:w="3420" w:type="dxa"/>
            <w:vAlign w:val="bottom"/>
            <w:gridSpan w:val="2"/>
            <w:shd w:val="clear" w:color="auto" w:fill="0067B3"/>
          </w:tcPr>
          <w:p>
            <w:pPr>
              <w:ind w:left="580"/>
              <w:spacing w:after="0"/>
              <w:rPr>
                <w:sz w:val="20"/>
                <w:szCs w:val="20"/>
                <w:color w:val="auto"/>
              </w:rPr>
            </w:pPr>
            <w:r>
              <w:rPr>
                <w:rFonts w:ascii="Arial" w:cs="Arial" w:eastAsia="Arial" w:hAnsi="Arial"/>
                <w:sz w:val="16"/>
                <w:szCs w:val="16"/>
                <w:b w:val="1"/>
                <w:bCs w:val="1"/>
                <w:color w:val="FFFFFF"/>
              </w:rPr>
              <w:t>OPBT Margin (50% weight)</w:t>
            </w:r>
          </w:p>
        </w:tc>
        <w:tc>
          <w:tcPr>
            <w:tcW w:w="3440" w:type="dxa"/>
            <w:vAlign w:val="bottom"/>
            <w:gridSpan w:val="2"/>
            <w:shd w:val="clear" w:color="auto" w:fill="0067B3"/>
          </w:tcPr>
          <w:p>
            <w:pPr>
              <w:ind w:left="700"/>
              <w:spacing w:after="0"/>
              <w:rPr>
                <w:sz w:val="20"/>
                <w:szCs w:val="20"/>
                <w:color w:val="auto"/>
              </w:rPr>
            </w:pPr>
            <w:r>
              <w:rPr>
                <w:rFonts w:ascii="Arial" w:cs="Arial" w:eastAsia="Arial" w:hAnsi="Arial"/>
                <w:sz w:val="16"/>
                <w:szCs w:val="16"/>
                <w:b w:val="1"/>
                <w:bCs w:val="1"/>
                <w:color w:val="FFFFFF"/>
              </w:rPr>
              <w:t>Revenue Growth (50% weight)</w:t>
            </w:r>
          </w:p>
        </w:tc>
        <w:tc>
          <w:tcPr>
            <w:tcW w:w="200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0067B3"/>
          </w:tcPr>
          <w:p>
            <w:pPr>
              <w:spacing w:after="0"/>
              <w:rPr>
                <w:sz w:val="19"/>
                <w:szCs w:val="19"/>
                <w:color w:val="auto"/>
              </w:rPr>
            </w:pPr>
          </w:p>
        </w:tc>
        <w:tc>
          <w:tcPr>
            <w:tcW w:w="1520" w:type="dxa"/>
            <w:vAlign w:val="bottom"/>
            <w:vMerge w:val="restart"/>
            <w:shd w:val="clear" w:color="auto" w:fill="0067B3"/>
          </w:tcPr>
          <w:p>
            <w:pPr>
              <w:jc w:val="center"/>
              <w:ind w:left="34"/>
              <w:spacing w:after="0"/>
              <w:rPr>
                <w:sz w:val="20"/>
                <w:szCs w:val="20"/>
                <w:color w:val="auto"/>
              </w:rPr>
            </w:pPr>
            <w:r>
              <w:rPr>
                <w:rFonts w:ascii="Arial" w:cs="Arial" w:eastAsia="Arial" w:hAnsi="Arial"/>
                <w:sz w:val="16"/>
                <w:szCs w:val="16"/>
                <w:b w:val="1"/>
                <w:bCs w:val="1"/>
                <w:color w:val="FFFFFF"/>
              </w:rPr>
              <w:t>OPBT Margin</w:t>
            </w: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Variable Cash</w:t>
            </w:r>
          </w:p>
        </w:tc>
        <w:tc>
          <w:tcPr>
            <w:tcW w:w="1840" w:type="dxa"/>
            <w:vAlign w:val="bottom"/>
            <w:vMerge w:val="restart"/>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YOY Revenue</w:t>
            </w:r>
          </w:p>
        </w:tc>
        <w:tc>
          <w:tcPr>
            <w:tcW w:w="16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Variable Cash</w:t>
            </w:r>
          </w:p>
        </w:tc>
        <w:tc>
          <w:tcPr>
            <w:tcW w:w="20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Quarterly Variable Cash</w:t>
            </w:r>
          </w:p>
        </w:tc>
        <w:tc>
          <w:tcPr>
            <w:tcW w:w="0" w:type="dxa"/>
            <w:vAlign w:val="bottom"/>
          </w:tcPr>
          <w:p>
            <w:pPr>
              <w:spacing w:after="0"/>
              <w:rPr>
                <w:sz w:val="1"/>
                <w:szCs w:val="1"/>
                <w:color w:val="auto"/>
              </w:rPr>
            </w:pPr>
          </w:p>
        </w:tc>
      </w:tr>
      <w:tr>
        <w:trPr>
          <w:trHeight w:val="189"/>
        </w:trPr>
        <w:tc>
          <w:tcPr>
            <w:tcW w:w="2380" w:type="dxa"/>
            <w:vAlign w:val="bottom"/>
            <w:shd w:val="clear" w:color="auto" w:fill="0067B3"/>
          </w:tcPr>
          <w:p>
            <w:pPr>
              <w:spacing w:after="0"/>
              <w:rPr>
                <w:sz w:val="16"/>
                <w:szCs w:val="16"/>
                <w:color w:val="auto"/>
              </w:rPr>
            </w:pPr>
          </w:p>
        </w:tc>
        <w:tc>
          <w:tcPr>
            <w:tcW w:w="1520" w:type="dxa"/>
            <w:vAlign w:val="bottom"/>
            <w:vMerge w:val="continue"/>
            <w:shd w:val="clear" w:color="auto" w:fill="0067B3"/>
          </w:tcPr>
          <w:p>
            <w:pPr>
              <w:spacing w:after="0"/>
              <w:rPr>
                <w:sz w:val="16"/>
                <w:szCs w:val="16"/>
                <w:color w:val="auto"/>
              </w:rPr>
            </w:pP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 Payout</w:t>
            </w:r>
          </w:p>
        </w:tc>
        <w:tc>
          <w:tcPr>
            <w:tcW w:w="1840" w:type="dxa"/>
            <w:vAlign w:val="bottom"/>
            <w:vMerge w:val="continue"/>
            <w:shd w:val="clear" w:color="auto" w:fill="0067B3"/>
          </w:tcPr>
          <w:p>
            <w:pPr>
              <w:spacing w:after="0"/>
              <w:rPr>
                <w:sz w:val="16"/>
                <w:szCs w:val="16"/>
                <w:color w:val="auto"/>
              </w:rPr>
            </w:pPr>
          </w:p>
        </w:tc>
        <w:tc>
          <w:tcPr>
            <w:tcW w:w="16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 Payout</w:t>
            </w:r>
          </w:p>
        </w:tc>
        <w:tc>
          <w:tcPr>
            <w:tcW w:w="20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30"/>
        </w:trPr>
        <w:tc>
          <w:tcPr>
            <w:tcW w:w="23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Quarter</w:t>
            </w:r>
          </w:p>
        </w:tc>
        <w:tc>
          <w:tcPr>
            <w:tcW w:w="1520" w:type="dxa"/>
            <w:vAlign w:val="bottom"/>
            <w:shd w:val="clear" w:color="auto" w:fill="0067B3"/>
          </w:tcPr>
          <w:p>
            <w:pPr>
              <w:jc w:val="center"/>
              <w:ind w:left="54"/>
              <w:spacing w:after="0"/>
              <w:rPr>
                <w:sz w:val="20"/>
                <w:szCs w:val="20"/>
                <w:color w:val="auto"/>
              </w:rPr>
            </w:pPr>
            <w:r>
              <w:rPr>
                <w:rFonts w:ascii="Arial" w:cs="Arial" w:eastAsia="Arial" w:hAnsi="Arial"/>
                <w:sz w:val="16"/>
                <w:szCs w:val="16"/>
                <w:b w:val="1"/>
                <w:bCs w:val="1"/>
                <w:color w:val="FFFFFF"/>
              </w:rPr>
              <w:t>(by quarter)</w:t>
            </w: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1840" w:type="dxa"/>
            <w:vAlign w:val="bottom"/>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Growth (by quarter)</w:t>
            </w:r>
          </w:p>
        </w:tc>
        <w:tc>
          <w:tcPr>
            <w:tcW w:w="16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20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Payout Factor (average)</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Q1</w:t>
            </w:r>
          </w:p>
        </w:tc>
        <w:tc>
          <w:tcPr>
            <w:tcW w:w="1520" w:type="dxa"/>
            <w:vAlign w:val="bottom"/>
            <w:tcBorders>
              <w:bottom w:val="single" w:sz="8" w:color="E2E6F4"/>
            </w:tcBorders>
            <w:shd w:val="clear" w:color="auto" w:fill="E2E6F4"/>
          </w:tcPr>
          <w:p>
            <w:pPr>
              <w:jc w:val="center"/>
              <w:ind w:left="34"/>
              <w:spacing w:after="0"/>
              <w:rPr>
                <w:sz w:val="20"/>
                <w:szCs w:val="20"/>
                <w:color w:val="auto"/>
              </w:rPr>
            </w:pPr>
            <w:r>
              <w:rPr>
                <w:rFonts w:ascii="Arial" w:cs="Arial" w:eastAsia="Arial" w:hAnsi="Arial"/>
                <w:sz w:val="18"/>
                <w:szCs w:val="18"/>
                <w:color w:val="auto"/>
              </w:rPr>
              <w:t>51.1%</w:t>
            </w:r>
          </w:p>
        </w:tc>
        <w:tc>
          <w:tcPr>
            <w:tcW w:w="19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300%</w:t>
            </w:r>
          </w:p>
        </w:tc>
        <w:tc>
          <w:tcPr>
            <w:tcW w:w="1840" w:type="dxa"/>
            <w:vAlign w:val="bottom"/>
            <w:tcBorders>
              <w:bottom w:val="single" w:sz="8" w:color="E2E6F4"/>
            </w:tcBorders>
            <w:shd w:val="clear" w:color="auto" w:fill="E2E6F4"/>
          </w:tcPr>
          <w:p>
            <w:pPr>
              <w:jc w:val="center"/>
              <w:ind w:left="94"/>
              <w:spacing w:after="0"/>
              <w:rPr>
                <w:sz w:val="20"/>
                <w:szCs w:val="20"/>
                <w:color w:val="auto"/>
              </w:rPr>
            </w:pPr>
            <w:r>
              <w:rPr>
                <w:rFonts w:ascii="Arial" w:cs="Arial" w:eastAsia="Arial" w:hAnsi="Arial"/>
                <w:sz w:val="18"/>
                <w:szCs w:val="18"/>
                <w:color w:val="auto"/>
                <w:w w:val="97"/>
              </w:rPr>
              <w:t>21.1%</w:t>
            </w:r>
          </w:p>
        </w:tc>
        <w:tc>
          <w:tcPr>
            <w:tcW w:w="16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287%</w:t>
            </w:r>
          </w:p>
        </w:tc>
        <w:tc>
          <w:tcPr>
            <w:tcW w:w="20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293%</w:t>
            </w:r>
          </w:p>
        </w:tc>
        <w:tc>
          <w:tcPr>
            <w:tcW w:w="0" w:type="dxa"/>
            <w:vAlign w:val="bottom"/>
          </w:tcPr>
          <w:p>
            <w:pPr>
              <w:spacing w:after="0"/>
              <w:rPr>
                <w:sz w:val="1"/>
                <w:szCs w:val="1"/>
                <w:color w:val="auto"/>
              </w:rPr>
            </w:pPr>
          </w:p>
        </w:tc>
      </w:tr>
      <w:tr>
        <w:trPr>
          <w:trHeight w:val="247"/>
        </w:trPr>
        <w:tc>
          <w:tcPr>
            <w:tcW w:w="2380" w:type="dxa"/>
            <w:vAlign w:val="bottom"/>
          </w:tcPr>
          <w:p>
            <w:pPr>
              <w:ind w:left="20"/>
              <w:spacing w:after="0"/>
              <w:rPr>
                <w:sz w:val="20"/>
                <w:szCs w:val="20"/>
                <w:color w:val="auto"/>
              </w:rPr>
            </w:pPr>
            <w:r>
              <w:rPr>
                <w:rFonts w:ascii="Arial" w:cs="Arial" w:eastAsia="Arial" w:hAnsi="Arial"/>
                <w:sz w:val="18"/>
                <w:szCs w:val="18"/>
                <w:color w:val="auto"/>
              </w:rPr>
              <w:t>Q2</w:t>
            </w:r>
          </w:p>
        </w:tc>
        <w:tc>
          <w:tcPr>
            <w:tcW w:w="1520" w:type="dxa"/>
            <w:vAlign w:val="bottom"/>
          </w:tcPr>
          <w:p>
            <w:pPr>
              <w:jc w:val="center"/>
              <w:ind w:left="34"/>
              <w:spacing w:after="0"/>
              <w:rPr>
                <w:sz w:val="20"/>
                <w:szCs w:val="20"/>
                <w:color w:val="auto"/>
              </w:rPr>
            </w:pPr>
            <w:r>
              <w:rPr>
                <w:rFonts w:ascii="Arial" w:cs="Arial" w:eastAsia="Arial" w:hAnsi="Arial"/>
                <w:sz w:val="18"/>
                <w:szCs w:val="18"/>
                <w:color w:val="auto"/>
              </w:rPr>
              <w:t>51.2%</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300%</w:t>
            </w:r>
          </w:p>
        </w:tc>
        <w:tc>
          <w:tcPr>
            <w:tcW w:w="1840" w:type="dxa"/>
            <w:vAlign w:val="bottom"/>
          </w:tcPr>
          <w:p>
            <w:pPr>
              <w:jc w:val="center"/>
              <w:ind w:left="94"/>
              <w:spacing w:after="0"/>
              <w:rPr>
                <w:sz w:val="20"/>
                <w:szCs w:val="20"/>
                <w:color w:val="auto"/>
              </w:rPr>
            </w:pPr>
            <w:r>
              <w:rPr>
                <w:rFonts w:ascii="Arial" w:cs="Arial" w:eastAsia="Arial" w:hAnsi="Arial"/>
                <w:sz w:val="18"/>
                <w:szCs w:val="18"/>
                <w:color w:val="auto"/>
              </w:rPr>
              <w:t>9.8%</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126%</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213%</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Q3</w:t>
            </w:r>
          </w:p>
        </w:tc>
        <w:tc>
          <w:tcPr>
            <w:tcW w:w="1520" w:type="dxa"/>
            <w:vAlign w:val="bottom"/>
            <w:tcBorders>
              <w:bottom w:val="single" w:sz="8" w:color="E2E6F4"/>
            </w:tcBorders>
            <w:shd w:val="clear" w:color="auto" w:fill="E2E6F4"/>
          </w:tcPr>
          <w:p>
            <w:pPr>
              <w:jc w:val="center"/>
              <w:ind w:left="34"/>
              <w:spacing w:after="0"/>
              <w:rPr>
                <w:sz w:val="20"/>
                <w:szCs w:val="20"/>
                <w:color w:val="auto"/>
              </w:rPr>
            </w:pPr>
            <w:r>
              <w:rPr>
                <w:rFonts w:ascii="Arial" w:cs="Arial" w:eastAsia="Arial" w:hAnsi="Arial"/>
                <w:sz w:val="18"/>
                <w:szCs w:val="18"/>
                <w:color w:val="auto"/>
              </w:rPr>
              <w:t>47.8%</w:t>
            </w:r>
          </w:p>
        </w:tc>
        <w:tc>
          <w:tcPr>
            <w:tcW w:w="19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257%</w:t>
            </w:r>
          </w:p>
        </w:tc>
        <w:tc>
          <w:tcPr>
            <w:tcW w:w="1840" w:type="dxa"/>
            <w:vAlign w:val="bottom"/>
            <w:tcBorders>
              <w:bottom w:val="single" w:sz="8" w:color="E2E6F4"/>
            </w:tcBorders>
            <w:shd w:val="clear" w:color="auto" w:fill="E2E6F4"/>
          </w:tcPr>
          <w:p>
            <w:pPr>
              <w:jc w:val="center"/>
              <w:ind w:left="94"/>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47"/>
        </w:trPr>
        <w:tc>
          <w:tcPr>
            <w:tcW w:w="2380" w:type="dxa"/>
            <w:vAlign w:val="bottom"/>
          </w:tcPr>
          <w:p>
            <w:pPr>
              <w:ind w:left="20"/>
              <w:spacing w:after="0"/>
              <w:rPr>
                <w:sz w:val="20"/>
                <w:szCs w:val="20"/>
                <w:color w:val="auto"/>
              </w:rPr>
            </w:pPr>
            <w:r>
              <w:rPr>
                <w:rFonts w:ascii="Arial" w:cs="Arial" w:eastAsia="Arial" w:hAnsi="Arial"/>
                <w:sz w:val="18"/>
                <w:szCs w:val="18"/>
                <w:color w:val="auto"/>
              </w:rPr>
              <w:t>Q4</w:t>
            </w:r>
          </w:p>
        </w:tc>
        <w:tc>
          <w:tcPr>
            <w:tcW w:w="1520" w:type="dxa"/>
            <w:vAlign w:val="bottom"/>
          </w:tcPr>
          <w:p>
            <w:pPr>
              <w:jc w:val="center"/>
              <w:ind w:left="34"/>
              <w:spacing w:after="0"/>
              <w:rPr>
                <w:sz w:val="20"/>
                <w:szCs w:val="20"/>
                <w:color w:val="auto"/>
              </w:rPr>
            </w:pPr>
            <w:r>
              <w:rPr>
                <w:rFonts w:ascii="Arial" w:cs="Arial" w:eastAsia="Arial" w:hAnsi="Arial"/>
                <w:sz w:val="18"/>
                <w:szCs w:val="18"/>
                <w:color w:val="auto"/>
              </w:rPr>
              <w:t>44.7%</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190%</w:t>
            </w:r>
          </w:p>
        </w:tc>
        <w:tc>
          <w:tcPr>
            <w:tcW w:w="1840" w:type="dxa"/>
            <w:vAlign w:val="bottom"/>
          </w:tcPr>
          <w:p>
            <w:pPr>
              <w:jc w:val="center"/>
              <w:ind w:left="94"/>
              <w:spacing w:after="0"/>
              <w:rPr>
                <w:sz w:val="20"/>
                <w:szCs w:val="20"/>
                <w:color w:val="auto"/>
              </w:rPr>
            </w:pPr>
            <w:r>
              <w:rPr>
                <w:rFonts w:ascii="Arial" w:cs="Arial" w:eastAsia="Arial" w:hAnsi="Arial"/>
                <w:sz w:val="18"/>
                <w:szCs w:val="18"/>
                <w:color w:val="auto"/>
                <w:w w:val="98"/>
              </w:rPr>
              <w:t>(16.4)%</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r>
        <w:trPr>
          <w:trHeight w:val="23"/>
        </w:trPr>
        <w:tc>
          <w:tcPr>
            <w:tcW w:w="2380" w:type="dxa"/>
            <w:vAlign w:val="bottom"/>
            <w:tcBorders>
              <w:bottom w:val="single" w:sz="8" w:color="0067B3"/>
            </w:tcBorders>
          </w:tcPr>
          <w:p>
            <w:pPr>
              <w:spacing w:after="0"/>
              <w:rPr>
                <w:sz w:val="2"/>
                <w:szCs w:val="2"/>
                <w:color w:val="auto"/>
              </w:rPr>
            </w:pPr>
          </w:p>
        </w:tc>
        <w:tc>
          <w:tcPr>
            <w:tcW w:w="1520" w:type="dxa"/>
            <w:vAlign w:val="bottom"/>
            <w:tcBorders>
              <w:bottom w:val="single" w:sz="8" w:color="0067B3"/>
            </w:tcBorders>
          </w:tcPr>
          <w:p>
            <w:pPr>
              <w:spacing w:after="0"/>
              <w:rPr>
                <w:sz w:val="2"/>
                <w:szCs w:val="2"/>
                <w:color w:val="auto"/>
              </w:rPr>
            </w:pPr>
          </w:p>
        </w:tc>
        <w:tc>
          <w:tcPr>
            <w:tcW w:w="1900" w:type="dxa"/>
            <w:vAlign w:val="bottom"/>
            <w:tcBorders>
              <w:bottom w:val="single" w:sz="8" w:color="0067B3"/>
            </w:tcBorders>
          </w:tcPr>
          <w:p>
            <w:pPr>
              <w:spacing w:after="0"/>
              <w:rPr>
                <w:sz w:val="2"/>
                <w:szCs w:val="2"/>
                <w:color w:val="auto"/>
              </w:rPr>
            </w:pPr>
          </w:p>
        </w:tc>
        <w:tc>
          <w:tcPr>
            <w:tcW w:w="1840" w:type="dxa"/>
            <w:vAlign w:val="bottom"/>
            <w:tcBorders>
              <w:bottom w:val="single" w:sz="8" w:color="0067B3"/>
            </w:tcBorders>
          </w:tcPr>
          <w:p>
            <w:pPr>
              <w:spacing w:after="0"/>
              <w:rPr>
                <w:sz w:val="2"/>
                <w:szCs w:val="2"/>
                <w:color w:val="auto"/>
              </w:rPr>
            </w:pPr>
          </w:p>
        </w:tc>
        <w:tc>
          <w:tcPr>
            <w:tcW w:w="1600" w:type="dxa"/>
            <w:vAlign w:val="bottom"/>
            <w:tcBorders>
              <w:bottom w:val="single" w:sz="8" w:color="0067B3"/>
            </w:tcBorders>
          </w:tcPr>
          <w:p>
            <w:pPr>
              <w:spacing w:after="0"/>
              <w:rPr>
                <w:sz w:val="2"/>
                <w:szCs w:val="2"/>
                <w:color w:val="auto"/>
              </w:rPr>
            </w:pPr>
          </w:p>
        </w:tc>
        <w:tc>
          <w:tcPr>
            <w:tcW w:w="200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-1104900</wp:posOffset>
            </wp:positionV>
            <wp:extent cx="43891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fiscal year 2023, we delivered strong revenue performance. As a result the full year variable cash incentive payout factor under our executive performance incentive plan was 182% of target in fiscal year 2023, compared to 293% in fiscal year 2022 and 253% in fiscal year 2021.</w:t>
      </w:r>
    </w:p>
    <w:p>
      <w:pPr>
        <w:spacing w:after="0" w:line="328"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9" w:name="page70"/>
    <w:bookmarkEnd w:id="69"/>
    <w:p>
      <w:pPr>
        <w:spacing w:after="0"/>
        <w:rPr>
          <w:sz w:val="20"/>
          <w:szCs w:val="20"/>
          <w:color w:val="auto"/>
        </w:rPr>
      </w:pPr>
      <w:r>
        <w:rPr>
          <w:rFonts w:ascii="Arial" w:cs="Arial" w:eastAsia="Arial" w:hAnsi="Arial"/>
          <w:sz w:val="23"/>
          <w:szCs w:val="23"/>
          <w:b w:val="1"/>
          <w:bCs w:val="1"/>
          <w:color w:val="auto"/>
        </w:rPr>
        <w:t>Base Salary and Individual Target Variable Cash Incentive Percentages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April 2023, as part of our standard annual review cycle, the Compensation and Talent Committee reviewed the base salaries and individual target variable cash incentive percentages for Mr. Roche and our other executive officers, including our NEOs. They considered several factors, including each executive officer’s performance, experience, tenure, job responsibilities, and market benchmark information from our peer group. As a result of this review, the Compensation and Talent Committee increased the base salary for each of our NEOs except for Mr. Bryant in fiscal year 2023, effective April 23, 2023, but determined to make no changes to target variable cash incentive percentages for any of our NEOs in fiscal year 2023. Following a robust review of market and performance factors, the Compensation and Talent Committee determined to increase Mr. Roche’s base salary by 9.1% to align target total cash compensation at market competitive levels in recognition of Mr. Roche’s strong leadership. The increase provided to Mr. Roche was specifically to align his salary with the peer group median. For more information regarding Mr. Roche’s 2023 target compensation, see the </w:t>
      </w:r>
      <w:r>
        <w:rPr>
          <w:rFonts w:ascii="Arial" w:cs="Arial" w:eastAsia="Arial" w:hAnsi="Arial"/>
          <w:sz w:val="18"/>
          <w:szCs w:val="18"/>
          <w:i w:val="1"/>
          <w:iCs w:val="1"/>
          <w:color w:val="auto"/>
        </w:rPr>
        <w:t>Determining Fiscal Year 2023 Target Compensation</w:t>
      </w:r>
      <w:r>
        <w:rPr>
          <w:rFonts w:ascii="Arial" w:cs="Arial" w:eastAsia="Arial" w:hAnsi="Arial"/>
          <w:sz w:val="18"/>
          <w:szCs w:val="18"/>
          <w:color w:val="auto"/>
        </w:rPr>
        <w:t>–</w:t>
      </w:r>
      <w:r>
        <w:rPr>
          <w:rFonts w:ascii="Arial" w:cs="Arial" w:eastAsia="Arial" w:hAnsi="Arial"/>
          <w:sz w:val="18"/>
          <w:szCs w:val="18"/>
          <w:i w:val="1"/>
          <w:iCs w:val="1"/>
          <w:color w:val="auto"/>
        </w:rPr>
        <w:t>CEO and Chair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Determination Process </w:t>
      </w:r>
      <w:r>
        <w:rPr>
          <w:rFonts w:ascii="Arial" w:cs="Arial" w:eastAsia="Arial" w:hAnsi="Arial"/>
          <w:sz w:val="18"/>
          <w:szCs w:val="18"/>
          <w:color w:val="auto"/>
        </w:rPr>
        <w:t>section of this Proxy Statement.</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Compensation and Talent Committee approved base salaries and target variable cash incentive percentages for our NEOs during fiscal year 2023 as specified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shd w:val="clear" w:color="auto" w:fill="0067B3"/>
          </w:tcPr>
          <w:p>
            <w:pPr>
              <w:spacing w:after="0"/>
              <w:rPr>
                <w:sz w:val="18"/>
                <w:szCs w:val="18"/>
                <w:color w:val="auto"/>
              </w:rPr>
            </w:pPr>
          </w:p>
        </w:tc>
        <w:tc>
          <w:tcPr>
            <w:tcW w:w="340" w:type="dxa"/>
            <w:vAlign w:val="bottom"/>
            <w:shd w:val="clear" w:color="auto" w:fill="0067B3"/>
          </w:tcPr>
          <w:p>
            <w:pPr>
              <w:spacing w:after="0"/>
              <w:rPr>
                <w:sz w:val="18"/>
                <w:szCs w:val="18"/>
                <w:color w:val="auto"/>
              </w:rPr>
            </w:pPr>
          </w:p>
        </w:tc>
        <w:tc>
          <w:tcPr>
            <w:tcW w:w="960" w:type="dxa"/>
            <w:vAlign w:val="bottom"/>
            <w:shd w:val="clear" w:color="auto" w:fill="0067B3"/>
          </w:tcPr>
          <w:p>
            <w:pPr>
              <w:spacing w:after="0"/>
              <w:rPr>
                <w:sz w:val="18"/>
                <w:szCs w:val="18"/>
                <w:color w:val="auto"/>
              </w:rPr>
            </w:pPr>
          </w:p>
        </w:tc>
        <w:tc>
          <w:tcPr>
            <w:tcW w:w="200" w:type="dxa"/>
            <w:vAlign w:val="bottom"/>
            <w:shd w:val="clear" w:color="auto" w:fill="0067B3"/>
          </w:tcPr>
          <w:p>
            <w:pPr>
              <w:spacing w:after="0"/>
              <w:rPr>
                <w:sz w:val="18"/>
                <w:szCs w:val="18"/>
                <w:color w:val="auto"/>
              </w:rPr>
            </w:pPr>
          </w:p>
        </w:tc>
        <w:tc>
          <w:tcPr>
            <w:tcW w:w="1080" w:type="dxa"/>
            <w:vAlign w:val="bottom"/>
            <w:shd w:val="clear" w:color="auto" w:fill="0067B3"/>
          </w:tcPr>
          <w:p>
            <w:pPr>
              <w:spacing w:after="0"/>
              <w:rPr>
                <w:sz w:val="18"/>
                <w:szCs w:val="18"/>
                <w:color w:val="auto"/>
              </w:rPr>
            </w:pPr>
          </w:p>
        </w:tc>
        <w:tc>
          <w:tcPr>
            <w:tcW w:w="980" w:type="dxa"/>
            <w:vAlign w:val="bottom"/>
            <w:shd w:val="clear" w:color="auto" w:fill="0067B3"/>
          </w:tcPr>
          <w:p>
            <w:pPr>
              <w:spacing w:after="0"/>
              <w:rPr>
                <w:sz w:val="18"/>
                <w:szCs w:val="18"/>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Fiscal Year</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Fiscal Year</w:t>
            </w:r>
          </w:p>
        </w:tc>
        <w:tc>
          <w:tcPr>
            <w:tcW w:w="900" w:type="dxa"/>
            <w:vAlign w:val="bottom"/>
            <w:shd w:val="clear" w:color="auto" w:fill="0067B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2022</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2023</w:t>
            </w:r>
          </w:p>
        </w:tc>
        <w:tc>
          <w:tcPr>
            <w:tcW w:w="90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0067B3"/>
          </w:tcPr>
          <w:p>
            <w:pPr>
              <w:spacing w:after="0"/>
              <w:rPr>
                <w:sz w:val="17"/>
                <w:szCs w:val="17"/>
                <w:color w:val="auto"/>
              </w:rPr>
            </w:pPr>
          </w:p>
        </w:tc>
        <w:tc>
          <w:tcPr>
            <w:tcW w:w="340" w:type="dxa"/>
            <w:vAlign w:val="bottom"/>
            <w:shd w:val="clear" w:color="auto" w:fill="0067B3"/>
          </w:tcPr>
          <w:p>
            <w:pPr>
              <w:spacing w:after="0"/>
              <w:rPr>
                <w:sz w:val="17"/>
                <w:szCs w:val="17"/>
                <w:color w:val="auto"/>
              </w:rPr>
            </w:pPr>
          </w:p>
        </w:tc>
        <w:tc>
          <w:tcPr>
            <w:tcW w:w="960" w:type="dxa"/>
            <w:vAlign w:val="bottom"/>
            <w:vMerge w:val="restart"/>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w w:val="99"/>
              </w:rPr>
              <w:t>Fiscal Year</w:t>
            </w:r>
          </w:p>
        </w:tc>
        <w:tc>
          <w:tcPr>
            <w:tcW w:w="200" w:type="dxa"/>
            <w:vAlign w:val="bottom"/>
            <w:shd w:val="clear" w:color="auto" w:fill="0067B3"/>
          </w:tcPr>
          <w:p>
            <w:pPr>
              <w:spacing w:after="0"/>
              <w:rPr>
                <w:sz w:val="17"/>
                <w:szCs w:val="17"/>
                <w:color w:val="auto"/>
              </w:rPr>
            </w:pPr>
          </w:p>
        </w:tc>
        <w:tc>
          <w:tcPr>
            <w:tcW w:w="1080" w:type="dxa"/>
            <w:vAlign w:val="bottom"/>
            <w:vMerge w:val="restart"/>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w w:val="99"/>
              </w:rPr>
              <w:t>Fiscal Year</w:t>
            </w:r>
          </w:p>
        </w:tc>
        <w:tc>
          <w:tcPr>
            <w:tcW w:w="980" w:type="dxa"/>
            <w:vAlign w:val="bottom"/>
            <w:shd w:val="clear" w:color="auto" w:fill="0067B3"/>
          </w:tcPr>
          <w:p>
            <w:pPr>
              <w:spacing w:after="0"/>
              <w:rPr>
                <w:sz w:val="17"/>
                <w:szCs w:val="17"/>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Individual</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Individual</w:t>
            </w:r>
          </w:p>
        </w:tc>
        <w:tc>
          <w:tcPr>
            <w:tcW w:w="900" w:type="dxa"/>
            <w:vAlign w:val="bottom"/>
            <w:shd w:val="clear" w:color="auto" w:fill="0067B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vMerge w:val="continue"/>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1080" w:type="dxa"/>
            <w:vAlign w:val="bottom"/>
            <w:vMerge w:val="continue"/>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Target Variable</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Target Variable</w:t>
            </w:r>
          </w:p>
        </w:tc>
        <w:tc>
          <w:tcPr>
            <w:tcW w:w="90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2022</w:t>
            </w:r>
          </w:p>
        </w:tc>
        <w:tc>
          <w:tcPr>
            <w:tcW w:w="200" w:type="dxa"/>
            <w:vAlign w:val="bottom"/>
            <w:shd w:val="clear" w:color="auto" w:fill="0067B3"/>
          </w:tcPr>
          <w:p>
            <w:pPr>
              <w:spacing w:after="0"/>
              <w:rPr>
                <w:sz w:val="16"/>
                <w:szCs w:val="16"/>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2023</w:t>
            </w:r>
          </w:p>
        </w:tc>
        <w:tc>
          <w:tcPr>
            <w:tcW w:w="980" w:type="dxa"/>
            <w:vAlign w:val="bottom"/>
            <w:shd w:val="clear" w:color="auto" w:fill="0067B3"/>
          </w:tcPr>
          <w:p>
            <w:pPr>
              <w:spacing w:after="0"/>
              <w:rPr>
                <w:sz w:val="16"/>
                <w:szCs w:val="16"/>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Cash Incentive</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Cash Incentive</w:t>
            </w:r>
          </w:p>
        </w:tc>
        <w:tc>
          <w:tcPr>
            <w:tcW w:w="90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0067B3"/>
          </w:tcPr>
          <w:p>
            <w:pPr>
              <w:spacing w:after="0"/>
              <w:rPr>
                <w:sz w:val="17"/>
                <w:szCs w:val="17"/>
                <w:color w:val="auto"/>
              </w:rPr>
            </w:pPr>
          </w:p>
        </w:tc>
        <w:tc>
          <w:tcPr>
            <w:tcW w:w="340" w:type="dxa"/>
            <w:vAlign w:val="bottom"/>
            <w:shd w:val="clear" w:color="auto" w:fill="0067B3"/>
          </w:tcPr>
          <w:p>
            <w:pPr>
              <w:spacing w:after="0"/>
              <w:rPr>
                <w:sz w:val="17"/>
                <w:szCs w:val="17"/>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Base</w:t>
            </w:r>
          </w:p>
        </w:tc>
        <w:tc>
          <w:tcPr>
            <w:tcW w:w="200" w:type="dxa"/>
            <w:vAlign w:val="bottom"/>
            <w:shd w:val="clear" w:color="auto" w:fill="0067B3"/>
          </w:tcPr>
          <w:p>
            <w:pPr>
              <w:spacing w:after="0"/>
              <w:rPr>
                <w:sz w:val="17"/>
                <w:szCs w:val="17"/>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Base</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as % of</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as % of</w:t>
            </w:r>
          </w:p>
        </w:tc>
        <w:tc>
          <w:tcPr>
            <w:tcW w:w="9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30"/>
        </w:trPr>
        <w:tc>
          <w:tcPr>
            <w:tcW w:w="3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of Executive</w:t>
            </w:r>
          </w:p>
        </w:tc>
        <w:tc>
          <w:tcPr>
            <w:tcW w:w="340" w:type="dxa"/>
            <w:vAlign w:val="bottom"/>
            <w:shd w:val="clear" w:color="auto" w:fill="0067B3"/>
          </w:tcPr>
          <w:p>
            <w:pPr>
              <w:spacing w:after="0"/>
              <w:rPr>
                <w:sz w:val="20"/>
                <w:szCs w:val="20"/>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Salary</w:t>
            </w:r>
          </w:p>
        </w:tc>
        <w:tc>
          <w:tcPr>
            <w:tcW w:w="200" w:type="dxa"/>
            <w:vAlign w:val="bottom"/>
            <w:shd w:val="clear" w:color="auto" w:fill="0067B3"/>
          </w:tcPr>
          <w:p>
            <w:pPr>
              <w:spacing w:after="0"/>
              <w:rPr>
                <w:sz w:val="20"/>
                <w:szCs w:val="20"/>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Salary</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Increase</w:t>
            </w: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Base Salary</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Base Salary</w:t>
            </w:r>
          </w:p>
        </w:tc>
        <w:tc>
          <w:tcPr>
            <w:tcW w:w="9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Increase</w:t>
            </w:r>
          </w:p>
        </w:tc>
        <w:tc>
          <w:tcPr>
            <w:tcW w:w="0" w:type="dxa"/>
            <w:vAlign w:val="bottom"/>
          </w:tcPr>
          <w:p>
            <w:pPr>
              <w:spacing w:after="0"/>
              <w:rPr>
                <w:sz w:val="1"/>
                <w:szCs w:val="1"/>
                <w:color w:val="auto"/>
              </w:rPr>
            </w:pPr>
          </w:p>
        </w:tc>
      </w:tr>
      <w:tr>
        <w:trPr>
          <w:trHeight w:val="224"/>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w w:val="97"/>
              </w:rPr>
              <w:t>1,100,000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w w:val="97"/>
              </w:rPr>
              <w:t>1,200,000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9.09 %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200 %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200 %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and</w:t>
            </w:r>
          </w:p>
        </w:tc>
        <w:tc>
          <w:tcPr>
            <w:tcW w:w="34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Chair of the Board of Directors</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line="224" w:lineRule="exact"/>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color w:val="0067B3"/>
                <w:vertAlign w:val="superscript"/>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670,000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700,000</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4.48 %</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125 %</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Former Executive Vice President,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color w:val="auto"/>
              </w:rPr>
              <w:t>Finance and Chief Financial Officer</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rPr>
              <w:t>750,000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150 %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150 %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Executive Vice President and President of</w:t>
            </w:r>
          </w:p>
        </w:tc>
        <w:tc>
          <w:tcPr>
            <w:tcW w:w="34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Business Units</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625,000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650,000</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4.00 %</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125 %</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Executive Vice President of Global Operations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color w:val="auto"/>
              </w:rPr>
              <w:t>and Technology</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rPr>
              <w:t>625,000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4.17 %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125 %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Executive Vice President and Chief Customer</w:t>
            </w:r>
          </w:p>
        </w:tc>
        <w:tc>
          <w:tcPr>
            <w:tcW w:w="34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Officer</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0067B3"/>
          </w:tcPr>
          <w:p>
            <w:pPr>
              <w:spacing w:after="0" w:line="20" w:lineRule="exact"/>
              <w:rPr>
                <w:sz w:val="1"/>
                <w:szCs w:val="1"/>
                <w:color w:val="auto"/>
              </w:rPr>
            </w:pPr>
          </w:p>
        </w:tc>
        <w:tc>
          <w:tcPr>
            <w:tcW w:w="34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20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1380" w:type="dxa"/>
            <w:vAlign w:val="bottom"/>
            <w:shd w:val="clear" w:color="auto" w:fill="0067B3"/>
          </w:tcPr>
          <w:p>
            <w:pPr>
              <w:spacing w:after="0" w:line="20" w:lineRule="exact"/>
              <w:rPr>
                <w:sz w:val="1"/>
                <w:szCs w:val="1"/>
                <w:color w:val="auto"/>
              </w:rPr>
            </w:pPr>
          </w:p>
        </w:tc>
        <w:tc>
          <w:tcPr>
            <w:tcW w:w="146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17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Long-Term Equity Incentives</w:t>
      </w:r>
    </w:p>
    <w:p>
      <w:pPr>
        <w:spacing w:after="0" w:line="14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executive officers, and directors and to align their interests with those of our shareholders. We believe that our equity program is critical to our efforts to hire and retain the best talent in the extremely competitive semiconductor industry. All equity awards granted to our executive officers, including our NEOs, in fiscal year 2023 were made under the 2020 Plan.</w:t>
      </w:r>
    </w:p>
    <w:p>
      <w:pPr>
        <w:spacing w:after="0" w:line="200" w:lineRule="exact"/>
        <w:rPr>
          <w:sz w:val="20"/>
          <w:szCs w:val="20"/>
          <w:color w:val="auto"/>
        </w:rPr>
      </w:pPr>
    </w:p>
    <w:p>
      <w:pPr>
        <w:spacing w:after="0" w:line="290" w:lineRule="exact"/>
        <w:rPr>
          <w:sz w:val="20"/>
          <w:szCs w:val="20"/>
          <w:color w:val="auto"/>
        </w:rPr>
      </w:pPr>
    </w:p>
    <w:p>
      <w:pPr>
        <w:ind w:left="480" w:hanging="454"/>
        <w:spacing w:after="0"/>
        <w:tabs>
          <w:tab w:leader="none" w:pos="480" w:val="left"/>
        </w:tabs>
        <w:numPr>
          <w:ilvl w:val="0"/>
          <w:numId w:val="10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70" w:name="page71"/>
    <w:bookmarkEnd w:id="70"/>
    <w:p>
      <w:pPr>
        <w:spacing w:after="0"/>
        <w:rPr>
          <w:sz w:val="20"/>
          <w:szCs w:val="20"/>
          <w:color w:val="auto"/>
        </w:rPr>
      </w:pPr>
      <w:r>
        <w:rPr>
          <w:rFonts w:ascii="Arial" w:cs="Arial" w:eastAsia="Arial" w:hAnsi="Arial"/>
          <w:sz w:val="23"/>
          <w:szCs w:val="23"/>
          <w:b w:val="1"/>
          <w:bCs w:val="1"/>
          <w:color w:val="auto"/>
        </w:rPr>
        <w:t>Equity Mix</w:t>
      </w:r>
    </w:p>
    <w:p>
      <w:pPr>
        <w:spacing w:after="0" w:line="14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most significant portion of our executive officers’, including our NEOs’, total compensation is in the form of equity awards, the value of which is directly tied to our financial and stock price performance over the long term. In fiscal year 2023, approximately 80% of the average total target compensation of our NEOs was in the form of equity. This percentage and equity mix results in a strong alignment between executive officers’ compensation and the interests of our shareholders.</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Compensation and Talent Committee, in consultation with its independent compensation consultant, determined to increase Mr. Roche’s target total compensation package in fiscal year 2023, following a robust evaluation of our recent and long-term performance, the strategic direction of ADI, and peer compensation benchmarking and practices. To further incentivize Mr. Roche to continue driving future long-term growth and consistent with feedback we received from shareholders, the Compensation and Talent Committee also increased the weighting of Mr. Roche’s annual long-term incentive compensation that is tied to challenging long-term performance goals. As a result, the equity mix for Mr. Roche in fiscal year 2023 is 75% PRSUs and 25% time-based RSUs, compared to 65% PRSUs and 35% RSUs in fiscal year 2022. The equity mix for our other named executive officers in fiscal year 2023 remains 65% PRSUs and 35% RSUs, reflecting no changes from fiscal year 2022. For more information regarding Mr. Roche’s contributions to ADI and the Compensation and Talent Committee’s rationale for the increase, see the </w:t>
      </w:r>
      <w:r>
        <w:rPr>
          <w:rFonts w:ascii="Arial" w:cs="Arial" w:eastAsia="Arial" w:hAnsi="Arial"/>
          <w:sz w:val="18"/>
          <w:szCs w:val="18"/>
          <w:i w:val="1"/>
          <w:iCs w:val="1"/>
          <w:color w:val="auto"/>
        </w:rPr>
        <w:t>Determining Fiscal Year 2023 Target Compensation</w:t>
      </w:r>
      <w:r>
        <w:rPr>
          <w:rFonts w:ascii="Arial" w:cs="Arial" w:eastAsia="Arial" w:hAnsi="Arial"/>
          <w:sz w:val="18"/>
          <w:szCs w:val="18"/>
          <w:color w:val="auto"/>
        </w:rPr>
        <w:t>–</w:t>
      </w:r>
      <w:r>
        <w:rPr>
          <w:rFonts w:ascii="Arial" w:cs="Arial" w:eastAsia="Arial" w:hAnsi="Arial"/>
          <w:sz w:val="18"/>
          <w:szCs w:val="18"/>
          <w:i w:val="1"/>
          <w:iCs w:val="1"/>
          <w:color w:val="auto"/>
        </w:rPr>
        <w:t>CEO and Chair Compensation Determination Process</w:t>
      </w:r>
      <w:r>
        <w:rPr>
          <w:rFonts w:ascii="Arial" w:cs="Arial" w:eastAsia="Arial" w:hAnsi="Arial"/>
          <w:sz w:val="18"/>
          <w:szCs w:val="18"/>
          <w:color w:val="auto"/>
        </w:rPr>
        <w:t xml:space="preserve"> section of this Proxy Statement.</w:t>
      </w:r>
    </w:p>
    <w:p>
      <w:pPr>
        <w:spacing w:after="0" w:line="7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a result, for fiscal year 2023, the form and mix of equity awards delivered as part of our annual equity award program for our executive officers, including our Chief Executive Officer and other NEOs,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1100" w:type="dxa"/>
            <w:vAlign w:val="bottom"/>
            <w:shd w:val="clear" w:color="auto" w:fill="0067B3"/>
          </w:tcPr>
          <w:p>
            <w:pPr>
              <w:spacing w:after="0"/>
              <w:rPr>
                <w:sz w:val="24"/>
                <w:szCs w:val="24"/>
                <w:color w:val="auto"/>
              </w:rPr>
            </w:pPr>
          </w:p>
        </w:tc>
        <w:tc>
          <w:tcPr>
            <w:tcW w:w="1340" w:type="dxa"/>
            <w:vAlign w:val="bottom"/>
            <w:vMerge w:val="restart"/>
            <w:shd w:val="clear" w:color="auto" w:fill="0067B3"/>
          </w:tcPr>
          <w:p>
            <w:pPr>
              <w:ind w:left="180"/>
              <w:spacing w:after="0"/>
              <w:rPr>
                <w:sz w:val="20"/>
                <w:szCs w:val="20"/>
                <w:color w:val="auto"/>
              </w:rPr>
            </w:pPr>
            <w:r>
              <w:rPr>
                <w:rFonts w:ascii="Arial" w:cs="Arial" w:eastAsia="Arial" w:hAnsi="Arial"/>
                <w:sz w:val="16"/>
                <w:szCs w:val="16"/>
                <w:b w:val="1"/>
                <w:bCs w:val="1"/>
                <w:color w:val="FFFFFF"/>
              </w:rPr>
              <w:t>Percentage of</w:t>
            </w:r>
          </w:p>
        </w:tc>
        <w:tc>
          <w:tcPr>
            <w:tcW w:w="124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Percentage of</w:t>
            </w:r>
          </w:p>
        </w:tc>
        <w:tc>
          <w:tcPr>
            <w:tcW w:w="1460" w:type="dxa"/>
            <w:vAlign w:val="bottom"/>
            <w:shd w:val="clear" w:color="auto" w:fill="0067B3"/>
          </w:tcPr>
          <w:p>
            <w:pPr>
              <w:spacing w:after="0"/>
              <w:rPr>
                <w:sz w:val="24"/>
                <w:szCs w:val="24"/>
                <w:color w:val="auto"/>
              </w:rPr>
            </w:pPr>
          </w:p>
        </w:tc>
        <w:tc>
          <w:tcPr>
            <w:tcW w:w="2260" w:type="dxa"/>
            <w:vAlign w:val="bottom"/>
            <w:shd w:val="clear" w:color="auto" w:fill="0067B3"/>
          </w:tcPr>
          <w:p>
            <w:pPr>
              <w:spacing w:after="0"/>
              <w:rPr>
                <w:sz w:val="24"/>
                <w:szCs w:val="24"/>
                <w:color w:val="auto"/>
              </w:rPr>
            </w:pPr>
          </w:p>
        </w:tc>
        <w:tc>
          <w:tcPr>
            <w:tcW w:w="1940" w:type="dxa"/>
            <w:vAlign w:val="bottom"/>
            <w:shd w:val="clear" w:color="auto" w:fill="0067B3"/>
          </w:tcPr>
          <w:p>
            <w:pPr>
              <w:spacing w:after="0"/>
              <w:rPr>
                <w:sz w:val="24"/>
                <w:szCs w:val="24"/>
                <w:color w:val="auto"/>
              </w:rPr>
            </w:pPr>
          </w:p>
        </w:tc>
        <w:tc>
          <w:tcPr>
            <w:tcW w:w="1900" w:type="dxa"/>
            <w:vAlign w:val="bottom"/>
            <w:shd w:val="clear" w:color="auto" w:fill="0067B3"/>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0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Equity</w:t>
            </w:r>
          </w:p>
        </w:tc>
        <w:tc>
          <w:tcPr>
            <w:tcW w:w="1340" w:type="dxa"/>
            <w:vAlign w:val="bottom"/>
            <w:vMerge w:val="continue"/>
            <w:shd w:val="clear" w:color="auto" w:fill="0067B3"/>
          </w:tcPr>
          <w:p>
            <w:pPr>
              <w:spacing w:after="0"/>
              <w:rPr>
                <w:sz w:val="14"/>
                <w:szCs w:val="14"/>
                <w:color w:val="auto"/>
              </w:rPr>
            </w:pPr>
          </w:p>
        </w:tc>
        <w:tc>
          <w:tcPr>
            <w:tcW w:w="1240" w:type="dxa"/>
            <w:vAlign w:val="bottom"/>
            <w:shd w:val="clear" w:color="auto" w:fill="0067B3"/>
          </w:tcPr>
          <w:p>
            <w:pPr>
              <w:ind w:left="80"/>
              <w:spacing w:after="0" w:line="163" w:lineRule="exact"/>
              <w:rPr>
                <w:sz w:val="20"/>
                <w:szCs w:val="20"/>
                <w:color w:val="auto"/>
              </w:rPr>
            </w:pPr>
            <w:r>
              <w:rPr>
                <w:rFonts w:ascii="Arial" w:cs="Arial" w:eastAsia="Arial" w:hAnsi="Arial"/>
                <w:sz w:val="16"/>
                <w:szCs w:val="16"/>
                <w:b w:val="1"/>
                <w:bCs w:val="1"/>
                <w:color w:val="FFFFFF"/>
              </w:rPr>
              <w:t>Other NEO</w:t>
            </w:r>
          </w:p>
        </w:tc>
        <w:tc>
          <w:tcPr>
            <w:tcW w:w="1460" w:type="dxa"/>
            <w:vAlign w:val="bottom"/>
            <w:shd w:val="clear" w:color="auto" w:fill="0067B3"/>
          </w:tcPr>
          <w:p>
            <w:pPr>
              <w:spacing w:after="0"/>
              <w:rPr>
                <w:sz w:val="14"/>
                <w:szCs w:val="14"/>
                <w:color w:val="auto"/>
              </w:rPr>
            </w:pPr>
          </w:p>
        </w:tc>
        <w:tc>
          <w:tcPr>
            <w:tcW w:w="2260" w:type="dxa"/>
            <w:vAlign w:val="bottom"/>
            <w:shd w:val="clear" w:color="auto" w:fill="0067B3"/>
          </w:tcPr>
          <w:p>
            <w:pPr>
              <w:spacing w:after="0"/>
              <w:rPr>
                <w:sz w:val="14"/>
                <w:szCs w:val="14"/>
                <w:color w:val="auto"/>
              </w:rPr>
            </w:pPr>
          </w:p>
        </w:tc>
        <w:tc>
          <w:tcPr>
            <w:tcW w:w="1940" w:type="dxa"/>
            <w:vAlign w:val="bottom"/>
            <w:vMerge w:val="restart"/>
            <w:shd w:val="clear" w:color="auto" w:fill="0067B3"/>
          </w:tcPr>
          <w:p>
            <w:pPr>
              <w:ind w:left="600"/>
              <w:spacing w:after="0"/>
              <w:rPr>
                <w:sz w:val="20"/>
                <w:szCs w:val="20"/>
                <w:color w:val="auto"/>
              </w:rPr>
            </w:pPr>
            <w:r>
              <w:rPr>
                <w:rFonts w:ascii="Arial" w:cs="Arial" w:eastAsia="Arial" w:hAnsi="Arial"/>
                <w:sz w:val="16"/>
                <w:szCs w:val="16"/>
                <w:b w:val="1"/>
                <w:bCs w:val="1"/>
                <w:color w:val="FFFFFF"/>
              </w:rPr>
              <w:t>Performance</w:t>
            </w:r>
          </w:p>
        </w:tc>
        <w:tc>
          <w:tcPr>
            <w:tcW w:w="1900" w:type="dxa"/>
            <w:vAlign w:val="bottom"/>
            <w:shd w:val="clear" w:color="auto" w:fill="0067B3"/>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shd w:val="clear" w:color="auto" w:fill="0067B3"/>
          </w:tcPr>
          <w:p>
            <w:pPr>
              <w:spacing w:after="0"/>
              <w:rPr>
                <w:sz w:val="11"/>
                <w:szCs w:val="11"/>
                <w:color w:val="auto"/>
              </w:rPr>
            </w:pPr>
          </w:p>
        </w:tc>
        <w:tc>
          <w:tcPr>
            <w:tcW w:w="1340" w:type="dxa"/>
            <w:vAlign w:val="bottom"/>
            <w:shd w:val="clear" w:color="auto" w:fill="0067B3"/>
          </w:tcPr>
          <w:p>
            <w:pPr>
              <w:ind w:left="180"/>
              <w:spacing w:after="0" w:line="134" w:lineRule="exact"/>
              <w:rPr>
                <w:sz w:val="20"/>
                <w:szCs w:val="20"/>
                <w:color w:val="auto"/>
              </w:rPr>
            </w:pPr>
            <w:r>
              <w:rPr>
                <w:rFonts w:ascii="Arial" w:cs="Arial" w:eastAsia="Arial" w:hAnsi="Arial"/>
                <w:sz w:val="15"/>
                <w:szCs w:val="15"/>
                <w:b w:val="1"/>
                <w:bCs w:val="1"/>
                <w:color w:val="FFFFFF"/>
              </w:rPr>
              <w:t>CEO Annual</w:t>
            </w:r>
          </w:p>
        </w:tc>
        <w:tc>
          <w:tcPr>
            <w:tcW w:w="1240" w:type="dxa"/>
            <w:vAlign w:val="bottom"/>
            <w:vMerge w:val="restart"/>
            <w:shd w:val="clear" w:color="auto" w:fill="0067B3"/>
          </w:tcPr>
          <w:p>
            <w:pPr>
              <w:ind w:left="80"/>
              <w:spacing w:after="0"/>
              <w:rPr>
                <w:sz w:val="20"/>
                <w:szCs w:val="20"/>
                <w:color w:val="auto"/>
              </w:rPr>
            </w:pPr>
            <w:r>
              <w:rPr>
                <w:rFonts w:ascii="Arial" w:cs="Arial" w:eastAsia="Arial" w:hAnsi="Arial"/>
                <w:sz w:val="16"/>
                <w:szCs w:val="16"/>
                <w:b w:val="1"/>
                <w:bCs w:val="1"/>
                <w:color w:val="FFFFFF"/>
              </w:rPr>
              <w:t>Annual Grant</w:t>
            </w:r>
          </w:p>
        </w:tc>
        <w:tc>
          <w:tcPr>
            <w:tcW w:w="1460" w:type="dxa"/>
            <w:vAlign w:val="bottom"/>
            <w:shd w:val="clear" w:color="auto" w:fill="0067B3"/>
          </w:tcPr>
          <w:p>
            <w:pPr>
              <w:spacing w:after="0"/>
              <w:rPr>
                <w:sz w:val="11"/>
                <w:szCs w:val="11"/>
                <w:color w:val="auto"/>
              </w:rPr>
            </w:pPr>
          </w:p>
        </w:tc>
        <w:tc>
          <w:tcPr>
            <w:tcW w:w="2260" w:type="dxa"/>
            <w:vAlign w:val="bottom"/>
            <w:shd w:val="clear" w:color="auto" w:fill="0067B3"/>
          </w:tcPr>
          <w:p>
            <w:pPr>
              <w:spacing w:after="0"/>
              <w:rPr>
                <w:sz w:val="11"/>
                <w:szCs w:val="11"/>
                <w:color w:val="auto"/>
              </w:rPr>
            </w:pPr>
          </w:p>
        </w:tc>
        <w:tc>
          <w:tcPr>
            <w:tcW w:w="1940" w:type="dxa"/>
            <w:vAlign w:val="bottom"/>
            <w:vMerge w:val="continue"/>
            <w:shd w:val="clear" w:color="auto" w:fill="0067B3"/>
          </w:tcPr>
          <w:p>
            <w:pPr>
              <w:spacing w:after="0"/>
              <w:rPr>
                <w:sz w:val="11"/>
                <w:szCs w:val="11"/>
                <w:color w:val="auto"/>
              </w:rPr>
            </w:pPr>
          </w:p>
        </w:tc>
        <w:tc>
          <w:tcPr>
            <w:tcW w:w="1900" w:type="dxa"/>
            <w:vAlign w:val="bottom"/>
            <w:shd w:val="clear" w:color="auto" w:fill="0067B3"/>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0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Award Type</w:t>
            </w:r>
          </w:p>
        </w:tc>
        <w:tc>
          <w:tcPr>
            <w:tcW w:w="1340" w:type="dxa"/>
            <w:vAlign w:val="bottom"/>
            <w:vMerge w:val="restart"/>
            <w:shd w:val="clear" w:color="auto" w:fill="0067B3"/>
          </w:tcPr>
          <w:p>
            <w:pPr>
              <w:ind w:left="180"/>
              <w:spacing w:after="0"/>
              <w:rPr>
                <w:sz w:val="20"/>
                <w:szCs w:val="20"/>
                <w:color w:val="auto"/>
              </w:rPr>
            </w:pPr>
            <w:r>
              <w:rPr>
                <w:rFonts w:ascii="Arial" w:cs="Arial" w:eastAsia="Arial" w:hAnsi="Arial"/>
                <w:sz w:val="16"/>
                <w:szCs w:val="16"/>
                <w:b w:val="1"/>
                <w:bCs w:val="1"/>
                <w:color w:val="FFFFFF"/>
              </w:rPr>
              <w:t>Grant</w:t>
            </w:r>
          </w:p>
        </w:tc>
        <w:tc>
          <w:tcPr>
            <w:tcW w:w="1240" w:type="dxa"/>
            <w:vAlign w:val="bottom"/>
            <w:vMerge w:val="continue"/>
            <w:shd w:val="clear" w:color="auto" w:fill="0067B3"/>
          </w:tcPr>
          <w:p>
            <w:pPr>
              <w:spacing w:after="0"/>
              <w:rPr>
                <w:sz w:val="9"/>
                <w:szCs w:val="9"/>
                <w:color w:val="auto"/>
              </w:rPr>
            </w:pPr>
          </w:p>
        </w:tc>
        <w:tc>
          <w:tcPr>
            <w:tcW w:w="1460" w:type="dxa"/>
            <w:vAlign w:val="bottom"/>
            <w:vMerge w:val="restart"/>
            <w:shd w:val="clear" w:color="auto" w:fill="0067B3"/>
          </w:tcPr>
          <w:p>
            <w:pPr>
              <w:ind w:left="80"/>
              <w:spacing w:after="0"/>
              <w:rPr>
                <w:sz w:val="20"/>
                <w:szCs w:val="20"/>
                <w:color w:val="auto"/>
              </w:rPr>
            </w:pPr>
            <w:r>
              <w:rPr>
                <w:rFonts w:ascii="Arial" w:cs="Arial" w:eastAsia="Arial" w:hAnsi="Arial"/>
                <w:sz w:val="16"/>
                <w:szCs w:val="16"/>
                <w:b w:val="1"/>
                <w:bCs w:val="1"/>
                <w:color w:val="FFFFFF"/>
              </w:rPr>
              <w:t>Purpose</w:t>
            </w:r>
          </w:p>
        </w:tc>
        <w:tc>
          <w:tcPr>
            <w:tcW w:w="2260" w:type="dxa"/>
            <w:vAlign w:val="bottom"/>
            <w:vMerge w:val="restart"/>
            <w:shd w:val="clear" w:color="auto" w:fill="0067B3"/>
          </w:tcPr>
          <w:p>
            <w:pPr>
              <w:ind w:left="740"/>
              <w:spacing w:after="0"/>
              <w:rPr>
                <w:sz w:val="20"/>
                <w:szCs w:val="20"/>
                <w:color w:val="auto"/>
              </w:rPr>
            </w:pPr>
            <w:r>
              <w:rPr>
                <w:rFonts w:ascii="Arial" w:cs="Arial" w:eastAsia="Arial" w:hAnsi="Arial"/>
                <w:sz w:val="16"/>
                <w:szCs w:val="16"/>
                <w:b w:val="1"/>
                <w:bCs w:val="1"/>
                <w:color w:val="FFFFFF"/>
              </w:rPr>
              <w:t>Time Period</w:t>
            </w:r>
          </w:p>
        </w:tc>
        <w:tc>
          <w:tcPr>
            <w:tcW w:w="1940" w:type="dxa"/>
            <w:vAlign w:val="bottom"/>
            <w:vMerge w:val="restart"/>
            <w:shd w:val="clear" w:color="auto" w:fill="0067B3"/>
          </w:tcPr>
          <w:p>
            <w:pPr>
              <w:ind w:left="600"/>
              <w:spacing w:after="0"/>
              <w:rPr>
                <w:sz w:val="20"/>
                <w:szCs w:val="20"/>
                <w:color w:val="auto"/>
              </w:rPr>
            </w:pPr>
            <w:r>
              <w:rPr>
                <w:rFonts w:ascii="Arial" w:cs="Arial" w:eastAsia="Arial" w:hAnsi="Arial"/>
                <w:sz w:val="16"/>
                <w:szCs w:val="16"/>
                <w:b w:val="1"/>
                <w:bCs w:val="1"/>
                <w:color w:val="FFFFFF"/>
              </w:rPr>
              <w:t>Metrics</w:t>
            </w:r>
          </w:p>
        </w:tc>
        <w:tc>
          <w:tcPr>
            <w:tcW w:w="1900" w:type="dxa"/>
            <w:vAlign w:val="bottom"/>
            <w:vMerge w:val="restart"/>
            <w:shd w:val="clear" w:color="auto" w:fill="0067B3"/>
          </w:tcPr>
          <w:p>
            <w:pPr>
              <w:ind w:left="34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115"/>
        </w:trPr>
        <w:tc>
          <w:tcPr>
            <w:tcW w:w="1100" w:type="dxa"/>
            <w:vAlign w:val="bottom"/>
            <w:vMerge w:val="continue"/>
            <w:shd w:val="clear" w:color="auto" w:fill="0067B3"/>
          </w:tcPr>
          <w:p>
            <w:pPr>
              <w:spacing w:after="0"/>
              <w:rPr>
                <w:sz w:val="10"/>
                <w:szCs w:val="10"/>
                <w:color w:val="auto"/>
              </w:rPr>
            </w:pPr>
          </w:p>
        </w:tc>
        <w:tc>
          <w:tcPr>
            <w:tcW w:w="1340" w:type="dxa"/>
            <w:vAlign w:val="bottom"/>
            <w:vMerge w:val="continue"/>
            <w:shd w:val="clear" w:color="auto" w:fill="0067B3"/>
          </w:tcPr>
          <w:p>
            <w:pPr>
              <w:spacing w:after="0"/>
              <w:rPr>
                <w:sz w:val="10"/>
                <w:szCs w:val="10"/>
                <w:color w:val="auto"/>
              </w:rPr>
            </w:pPr>
          </w:p>
        </w:tc>
        <w:tc>
          <w:tcPr>
            <w:tcW w:w="1240" w:type="dxa"/>
            <w:vAlign w:val="bottom"/>
            <w:shd w:val="clear" w:color="auto" w:fill="0067B3"/>
          </w:tcPr>
          <w:p>
            <w:pPr>
              <w:spacing w:after="0"/>
              <w:rPr>
                <w:sz w:val="10"/>
                <w:szCs w:val="10"/>
                <w:color w:val="auto"/>
              </w:rPr>
            </w:pPr>
          </w:p>
        </w:tc>
        <w:tc>
          <w:tcPr>
            <w:tcW w:w="1460" w:type="dxa"/>
            <w:vAlign w:val="bottom"/>
            <w:vMerge w:val="continue"/>
            <w:shd w:val="clear" w:color="auto" w:fill="0067B3"/>
          </w:tcPr>
          <w:p>
            <w:pPr>
              <w:spacing w:after="0"/>
              <w:rPr>
                <w:sz w:val="10"/>
                <w:szCs w:val="10"/>
                <w:color w:val="auto"/>
              </w:rPr>
            </w:pPr>
          </w:p>
        </w:tc>
        <w:tc>
          <w:tcPr>
            <w:tcW w:w="2260" w:type="dxa"/>
            <w:vAlign w:val="bottom"/>
            <w:vMerge w:val="continue"/>
            <w:shd w:val="clear" w:color="auto" w:fill="0067B3"/>
          </w:tcPr>
          <w:p>
            <w:pPr>
              <w:spacing w:after="0"/>
              <w:rPr>
                <w:sz w:val="10"/>
                <w:szCs w:val="10"/>
                <w:color w:val="auto"/>
              </w:rPr>
            </w:pPr>
          </w:p>
        </w:tc>
        <w:tc>
          <w:tcPr>
            <w:tcW w:w="1940" w:type="dxa"/>
            <w:vAlign w:val="bottom"/>
            <w:vMerge w:val="continue"/>
            <w:shd w:val="clear" w:color="auto" w:fill="0067B3"/>
          </w:tcPr>
          <w:p>
            <w:pPr>
              <w:spacing w:after="0"/>
              <w:rPr>
                <w:sz w:val="10"/>
                <w:szCs w:val="10"/>
                <w:color w:val="auto"/>
              </w:rPr>
            </w:pPr>
          </w:p>
        </w:tc>
        <w:tc>
          <w:tcPr>
            <w:tcW w:w="1900" w:type="dxa"/>
            <w:vAlign w:val="bottom"/>
            <w:vMerge w:val="continue"/>
            <w:shd w:val="clear" w:color="auto" w:fill="0067B3"/>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40" w:right="339" w:bottom="1440" w:gutter="0" w:footer="0" w:header="0"/>
        </w:sectPr>
      </w:pPr>
    </w:p>
    <w:p>
      <w:pPr>
        <w:spacing w:after="0" w:line="277" w:lineRule="exact"/>
        <w:rPr>
          <w:sz w:val="20"/>
          <w:szCs w:val="20"/>
          <w:color w:val="auto"/>
        </w:rPr>
      </w:pPr>
    </w:p>
    <w:p>
      <w:pPr>
        <w:ind w:left="20" w:right="2020"/>
        <w:spacing w:after="0" w:line="301" w:lineRule="auto"/>
        <w:rPr>
          <w:sz w:val="20"/>
          <w:szCs w:val="20"/>
          <w:color w:val="auto"/>
        </w:rPr>
      </w:pPr>
      <w:r>
        <w:rPr>
          <w:rFonts w:ascii="Arial" w:cs="Arial" w:eastAsia="Arial" w:hAnsi="Arial"/>
          <w:sz w:val="17"/>
          <w:szCs w:val="17"/>
          <w:color w:val="auto"/>
        </w:rPr>
        <w:t>Relative TSR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-418465</wp:posOffset>
            </wp:positionV>
            <wp:extent cx="436880" cy="4457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688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line="197" w:lineRule="exact"/>
              <w:rPr>
                <w:sz w:val="20"/>
                <w:szCs w:val="20"/>
                <w:color w:val="auto"/>
              </w:rPr>
            </w:pPr>
            <w:r>
              <w:rPr>
                <w:rFonts w:ascii="Arial" w:cs="Arial" w:eastAsia="Arial" w:hAnsi="Arial"/>
                <w:sz w:val="18"/>
                <w:szCs w:val="18"/>
                <w:color w:val="auto"/>
              </w:rPr>
              <w:t>Align executive officers’</w:t>
            </w:r>
          </w:p>
        </w:tc>
        <w:tc>
          <w:tcPr>
            <w:tcW w:w="1960" w:type="dxa"/>
            <w:vAlign w:val="bottom"/>
          </w:tcPr>
          <w:p>
            <w:pPr>
              <w:ind w:left="120"/>
              <w:spacing w:after="0" w:line="197" w:lineRule="exact"/>
              <w:rPr>
                <w:sz w:val="20"/>
                <w:szCs w:val="20"/>
                <w:color w:val="auto"/>
              </w:rPr>
            </w:pPr>
            <w:r>
              <w:rPr>
                <w:rFonts w:ascii="Arial" w:cs="Arial" w:eastAsia="Arial" w:hAnsi="Arial"/>
                <w:sz w:val="18"/>
                <w:szCs w:val="18"/>
                <w:color w:val="auto"/>
              </w:rPr>
              <w:t>3-year performance</w:t>
            </w:r>
          </w:p>
        </w:tc>
        <w:tc>
          <w:tcPr>
            <w:tcW w:w="2620" w:type="dxa"/>
            <w:vAlign w:val="bottom"/>
          </w:tcPr>
          <w:p>
            <w:pPr>
              <w:ind w:left="280"/>
              <w:spacing w:after="0" w:line="197" w:lineRule="exact"/>
              <w:rPr>
                <w:sz w:val="20"/>
                <w:szCs w:val="20"/>
                <w:color w:val="auto"/>
              </w:rPr>
            </w:pPr>
            <w:r>
              <w:rPr>
                <w:rFonts w:ascii="Arial" w:cs="Arial" w:eastAsia="Arial" w:hAnsi="Arial"/>
                <w:sz w:val="18"/>
                <w:szCs w:val="18"/>
                <w:color w:val="auto"/>
              </w:rPr>
              <w:t>ADI’s 3-year TSR   0–200%</w:t>
            </w:r>
          </w:p>
        </w:tc>
      </w:tr>
      <w:tr>
        <w:trPr>
          <w:trHeight w:val="207"/>
        </w:trPr>
        <w:tc>
          <w:tcPr>
            <w:tcW w:w="2000" w:type="dxa"/>
            <w:vAlign w:val="bottom"/>
          </w:tcPr>
          <w:p>
            <w:pPr>
              <w:spacing w:after="0"/>
              <w:rPr>
                <w:sz w:val="20"/>
                <w:szCs w:val="20"/>
                <w:color w:val="auto"/>
              </w:rPr>
            </w:pPr>
            <w:r>
              <w:rPr>
                <w:rFonts w:ascii="Arial" w:cs="Arial" w:eastAsia="Arial" w:hAnsi="Arial"/>
                <w:sz w:val="18"/>
                <w:szCs w:val="18"/>
                <w:color w:val="auto"/>
              </w:rPr>
              <w:t>and shareholders’</w:t>
            </w:r>
          </w:p>
        </w:tc>
        <w:tc>
          <w:tcPr>
            <w:tcW w:w="1960" w:type="dxa"/>
            <w:vAlign w:val="bottom"/>
          </w:tcPr>
          <w:p>
            <w:pPr>
              <w:ind w:left="120"/>
              <w:spacing w:after="0"/>
              <w:rPr>
                <w:sz w:val="20"/>
                <w:szCs w:val="20"/>
                <w:color w:val="auto"/>
              </w:rPr>
            </w:pPr>
            <w:r>
              <w:rPr>
                <w:rFonts w:ascii="Arial" w:cs="Arial" w:eastAsia="Arial" w:hAnsi="Arial"/>
                <w:sz w:val="18"/>
                <w:szCs w:val="18"/>
                <w:color w:val="auto"/>
              </w:rPr>
              <w:t>period</w:t>
            </w:r>
          </w:p>
        </w:tc>
        <w:tc>
          <w:tcPr>
            <w:tcW w:w="2620" w:type="dxa"/>
            <w:vAlign w:val="bottom"/>
          </w:tcPr>
          <w:p>
            <w:pPr>
              <w:ind w:left="280"/>
              <w:spacing w:after="0"/>
              <w:rPr>
                <w:sz w:val="20"/>
                <w:szCs w:val="20"/>
                <w:color w:val="auto"/>
              </w:rPr>
            </w:pPr>
            <w:r>
              <w:rPr>
                <w:rFonts w:ascii="Arial" w:cs="Arial" w:eastAsia="Arial" w:hAnsi="Arial"/>
                <w:sz w:val="18"/>
                <w:szCs w:val="18"/>
                <w:color w:val="auto"/>
              </w:rPr>
              <w:t>compared to a</w:t>
            </w:r>
          </w:p>
        </w:tc>
      </w:tr>
      <w:tr>
        <w:trPr>
          <w:trHeight w:val="184"/>
        </w:trPr>
        <w:tc>
          <w:tcPr>
            <w:tcW w:w="2000" w:type="dxa"/>
            <w:vAlign w:val="bottom"/>
          </w:tcPr>
          <w:p>
            <w:pPr>
              <w:spacing w:after="0" w:line="184" w:lineRule="exact"/>
              <w:rPr>
                <w:sz w:val="20"/>
                <w:szCs w:val="20"/>
                <w:color w:val="auto"/>
              </w:rPr>
            </w:pPr>
            <w:r>
              <w:rPr>
                <w:rFonts w:ascii="Arial" w:cs="Arial" w:eastAsia="Arial" w:hAnsi="Arial"/>
                <w:sz w:val="18"/>
                <w:szCs w:val="18"/>
                <w:color w:val="auto"/>
              </w:rPr>
              <w:t>interests to drive</w:t>
            </w:r>
          </w:p>
        </w:tc>
        <w:tc>
          <w:tcPr>
            <w:tcW w:w="1960" w:type="dxa"/>
            <w:vAlign w:val="bottom"/>
          </w:tcPr>
          <w:p>
            <w:pPr>
              <w:spacing w:after="0"/>
              <w:rPr>
                <w:sz w:val="16"/>
                <w:szCs w:val="16"/>
                <w:color w:val="auto"/>
              </w:rPr>
            </w:pPr>
          </w:p>
        </w:tc>
        <w:tc>
          <w:tcPr>
            <w:tcW w:w="2620" w:type="dxa"/>
            <w:vAlign w:val="bottom"/>
          </w:tcPr>
          <w:p>
            <w:pPr>
              <w:ind w:left="280"/>
              <w:spacing w:after="0" w:line="184" w:lineRule="exact"/>
              <w:rPr>
                <w:sz w:val="20"/>
                <w:szCs w:val="20"/>
                <w:color w:val="auto"/>
              </w:rPr>
            </w:pPr>
            <w:r>
              <w:rPr>
                <w:rFonts w:ascii="Arial" w:cs="Arial" w:eastAsia="Arial" w:hAnsi="Arial"/>
                <w:sz w:val="18"/>
                <w:szCs w:val="18"/>
                <w:color w:val="auto"/>
              </w:rPr>
              <w:t>comparator group</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superior TSR relative to</w:t>
            </w:r>
          </w:p>
        </w:tc>
        <w:tc>
          <w:tcPr>
            <w:tcW w:w="196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9"/>
        </w:trPr>
        <w:tc>
          <w:tcPr>
            <w:tcW w:w="2000" w:type="dxa"/>
            <w:vAlign w:val="bottom"/>
          </w:tcPr>
          <w:p>
            <w:pPr>
              <w:spacing w:after="0"/>
              <w:rPr>
                <w:sz w:val="20"/>
                <w:szCs w:val="20"/>
                <w:color w:val="auto"/>
              </w:rPr>
            </w:pPr>
            <w:r>
              <w:rPr>
                <w:rFonts w:ascii="Arial" w:cs="Arial" w:eastAsia="Arial" w:hAnsi="Arial"/>
                <w:sz w:val="18"/>
                <w:szCs w:val="18"/>
                <w:color w:val="auto"/>
              </w:rPr>
              <w:t>comparator group</w:t>
            </w:r>
          </w:p>
        </w:tc>
        <w:tc>
          <w:tcPr>
            <w:tcW w:w="19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6350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-559435</wp:posOffset>
            </wp:positionV>
            <wp:extent cx="411480" cy="4114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040" w:space="720"/>
            <w:col w:w="7480"/>
          </w:cols>
          <w:pgMar w:left="320" w:top="1240"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20" w:right="1880"/>
        <w:spacing w:after="0" w:line="271" w:lineRule="auto"/>
        <w:rPr>
          <w:sz w:val="20"/>
          <w:szCs w:val="20"/>
          <w:color w:val="auto"/>
        </w:rPr>
      </w:pPr>
      <w:r>
        <w:rPr>
          <w:rFonts w:ascii="Arial" w:cs="Arial" w:eastAsia="Arial" w:hAnsi="Arial"/>
          <w:sz w:val="18"/>
          <w:szCs w:val="18"/>
          <w:color w:val="auto"/>
        </w:rPr>
        <w:t>Financial Metric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-404495</wp:posOffset>
            </wp:positionV>
            <wp:extent cx="436880" cy="4457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688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18"/>
          <w:szCs w:val="18"/>
          <w:color w:val="auto"/>
        </w:rPr>
        <w:t>Align executive officers’ and shareholders’ interests in long-term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-363855</wp:posOffset>
            </wp:positionV>
            <wp:extent cx="411480" cy="4114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1-year, 2-year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cumulative, and 3-year cumulative performance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periods; earned shares (if any) vest on 3rd anniversary of grant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date. 3-year cliff vesting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1-year, 2-year</w:t>
            </w:r>
          </w:p>
        </w:tc>
        <w:tc>
          <w:tcPr>
            <w:tcW w:w="940" w:type="dxa"/>
            <w:vAlign w:val="bottom"/>
          </w:tcPr>
          <w:p>
            <w:pPr>
              <w:ind w:left="280"/>
              <w:spacing w:after="0"/>
              <w:rPr>
                <w:sz w:val="20"/>
                <w:szCs w:val="20"/>
                <w:color w:val="auto"/>
              </w:rPr>
            </w:pPr>
            <w:r>
              <w:rPr>
                <w:rFonts w:ascii="Arial" w:cs="Arial" w:eastAsia="Arial" w:hAnsi="Arial"/>
                <w:sz w:val="18"/>
                <w:szCs w:val="18"/>
                <w:color w:val="auto"/>
                <w:w w:val="96"/>
              </w:rPr>
              <w:t>0–200%</w:t>
            </w:r>
          </w:p>
        </w:tc>
      </w:tr>
    </w:tbl>
    <w:p>
      <w:pPr>
        <w:spacing w:after="0" w:line="219" w:lineRule="auto"/>
        <w:rPr>
          <w:sz w:val="20"/>
          <w:szCs w:val="20"/>
          <w:color w:val="auto"/>
        </w:rPr>
      </w:pPr>
      <w:r>
        <w:rPr>
          <w:rFonts w:ascii="Arial" w:cs="Arial" w:eastAsia="Arial" w:hAnsi="Arial"/>
          <w:sz w:val="18"/>
          <w:szCs w:val="18"/>
          <w:color w:val="auto"/>
        </w:rPr>
        <w:t>cumulative, and 3-</w:t>
      </w:r>
    </w:p>
    <w:p>
      <w:pPr>
        <w:spacing w:after="0" w:line="234" w:lineRule="auto"/>
        <w:rPr>
          <w:sz w:val="20"/>
          <w:szCs w:val="20"/>
          <w:color w:val="auto"/>
        </w:rPr>
      </w:pPr>
      <w:r>
        <w:rPr>
          <w:rFonts w:ascii="Arial" w:cs="Arial" w:eastAsia="Arial" w:hAnsi="Arial"/>
          <w:sz w:val="18"/>
          <w:szCs w:val="18"/>
          <w:color w:val="auto"/>
        </w:rPr>
        <w:t>year cumulative</w:t>
      </w:r>
    </w:p>
    <w:p>
      <w:pPr>
        <w:spacing w:after="0" w:line="220" w:lineRule="auto"/>
        <w:rPr>
          <w:sz w:val="20"/>
          <w:szCs w:val="20"/>
          <w:color w:val="auto"/>
        </w:rPr>
      </w:pPr>
      <w:r>
        <w:rPr>
          <w:rFonts w:ascii="Arial" w:cs="Arial" w:eastAsia="Arial" w:hAnsi="Arial"/>
          <w:sz w:val="18"/>
          <w:szCs w:val="18"/>
          <w:color w:val="auto"/>
        </w:rPr>
        <w:t>non-GAAP</w:t>
      </w:r>
    </w:p>
    <w:p>
      <w:pPr>
        <w:spacing w:after="0" w:line="219" w:lineRule="auto"/>
        <w:rPr>
          <w:sz w:val="20"/>
          <w:szCs w:val="20"/>
          <w:color w:val="auto"/>
        </w:rPr>
      </w:pPr>
      <w:r>
        <w:rPr>
          <w:rFonts w:ascii="Arial" w:cs="Arial" w:eastAsia="Arial" w:hAnsi="Arial"/>
          <w:sz w:val="18"/>
          <w:szCs w:val="18"/>
          <w:color w:val="auto"/>
        </w:rPr>
        <w:t>operating profit</w:t>
      </w:r>
    </w:p>
    <w:p>
      <w:pPr>
        <w:spacing w:after="0"/>
        <w:rPr>
          <w:sz w:val="20"/>
          <w:szCs w:val="20"/>
          <w:color w:val="auto"/>
        </w:rPr>
      </w:pPr>
      <w:r>
        <w:rPr>
          <w:rFonts w:ascii="Arial" w:cs="Arial" w:eastAsia="Arial" w:hAnsi="Arial"/>
          <w:sz w:val="18"/>
          <w:szCs w:val="18"/>
          <w:color w:val="auto"/>
        </w:rPr>
        <w:t>(in dollars)</w:t>
      </w:r>
    </w:p>
    <w:p>
      <w:pPr>
        <w:spacing w:after="0" w:line="215" w:lineRule="exact"/>
        <w:rPr>
          <w:sz w:val="20"/>
          <w:szCs w:val="20"/>
          <w:color w:val="auto"/>
        </w:rPr>
      </w:pPr>
    </w:p>
    <w:p>
      <w:pPr>
        <w:sectPr>
          <w:pgSz w:w="11900" w:h="16838" w:orient="portrait"/>
          <w:cols w:equalWidth="0" w:num="4">
            <w:col w:w="3040" w:space="720"/>
            <w:col w:w="1880" w:space="240"/>
            <w:col w:w="1920" w:space="200"/>
            <w:col w:w="3240"/>
          </w:cols>
          <w:pgMar w:left="320" w:top="1240"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380" w:type="dxa"/>
            <w:vAlign w:val="bottom"/>
            <w:tcBorders>
              <w:top w:val="single" w:sz="8" w:color="939598"/>
            </w:tcBorders>
          </w:tcPr>
          <w:p>
            <w:pPr>
              <w:spacing w:after="0"/>
              <w:rPr>
                <w:sz w:val="17"/>
                <w:szCs w:val="17"/>
                <w:color w:val="auto"/>
              </w:rPr>
            </w:pPr>
          </w:p>
        </w:tc>
        <w:tc>
          <w:tcPr>
            <w:tcW w:w="3300" w:type="dxa"/>
            <w:vAlign w:val="bottom"/>
            <w:tcBorders>
              <w:top w:val="single" w:sz="8" w:color="939598"/>
            </w:tcBorders>
          </w:tcPr>
          <w:p>
            <w:pPr>
              <w:ind w:left="1380"/>
              <w:spacing w:after="0" w:line="201" w:lineRule="exact"/>
              <w:rPr>
                <w:sz w:val="20"/>
                <w:szCs w:val="20"/>
                <w:color w:val="auto"/>
              </w:rPr>
            </w:pPr>
            <w:r>
              <w:rPr>
                <w:rFonts w:ascii="Arial" w:cs="Arial" w:eastAsia="Arial" w:hAnsi="Arial"/>
                <w:sz w:val="18"/>
                <w:szCs w:val="18"/>
                <w:color w:val="auto"/>
              </w:rPr>
              <w:t>Attract and retain key</w:t>
            </w:r>
          </w:p>
        </w:tc>
        <w:tc>
          <w:tcPr>
            <w:tcW w:w="2140" w:type="dxa"/>
            <w:vAlign w:val="bottom"/>
            <w:tcBorders>
              <w:top w:val="single" w:sz="8" w:color="939598"/>
            </w:tcBorders>
          </w:tcPr>
          <w:p>
            <w:pPr>
              <w:ind w:left="200"/>
              <w:spacing w:after="0" w:line="201" w:lineRule="exact"/>
              <w:rPr>
                <w:sz w:val="20"/>
                <w:szCs w:val="20"/>
                <w:color w:val="auto"/>
              </w:rPr>
            </w:pPr>
            <w:r>
              <w:rPr>
                <w:rFonts w:ascii="Arial" w:cs="Arial" w:eastAsia="Arial" w:hAnsi="Arial"/>
                <w:sz w:val="18"/>
                <w:szCs w:val="18"/>
                <w:color w:val="auto"/>
              </w:rPr>
              <w:t>4-year graded vesting</w:t>
            </w:r>
          </w:p>
        </w:tc>
        <w:tc>
          <w:tcPr>
            <w:tcW w:w="1240" w:type="dxa"/>
            <w:vAlign w:val="bottom"/>
            <w:tcBorders>
              <w:top w:val="single" w:sz="8" w:color="939598"/>
            </w:tcBorders>
          </w:tcPr>
          <w:p>
            <w:pPr>
              <w:ind w:left="180"/>
              <w:spacing w:after="0" w:line="201" w:lineRule="exact"/>
              <w:rPr>
                <w:sz w:val="20"/>
                <w:szCs w:val="20"/>
                <w:color w:val="auto"/>
              </w:rPr>
            </w:pPr>
            <w:r>
              <w:rPr>
                <w:rFonts w:ascii="Arial" w:cs="Arial" w:eastAsia="Arial" w:hAnsi="Arial"/>
                <w:sz w:val="18"/>
                <w:szCs w:val="18"/>
                <w:color w:val="auto"/>
              </w:rPr>
              <w:t>None</w:t>
            </w:r>
          </w:p>
        </w:tc>
        <w:tc>
          <w:tcPr>
            <w:tcW w:w="2180" w:type="dxa"/>
            <w:vAlign w:val="bottom"/>
            <w:tcBorders>
              <w:top w:val="single" w:sz="8" w:color="939598"/>
            </w:tcBorders>
          </w:tcPr>
          <w:p>
            <w:pPr>
              <w:ind w:left="620"/>
              <w:spacing w:after="0" w:line="201" w:lineRule="exact"/>
              <w:rPr>
                <w:sz w:val="20"/>
                <w:szCs w:val="20"/>
                <w:color w:val="auto"/>
              </w:rPr>
            </w:pPr>
            <w:r>
              <w:rPr>
                <w:rFonts w:ascii="Arial" w:cs="Arial" w:eastAsia="Arial" w:hAnsi="Arial"/>
                <w:sz w:val="18"/>
                <w:szCs w:val="18"/>
                <w:color w:val="auto"/>
              </w:rPr>
              <w:t>100% value in</w:t>
            </w:r>
          </w:p>
        </w:tc>
        <w:tc>
          <w:tcPr>
            <w:tcW w:w="0" w:type="dxa"/>
            <w:vAlign w:val="bottom"/>
          </w:tcPr>
          <w:p>
            <w:pPr>
              <w:spacing w:after="0"/>
              <w:rPr>
                <w:sz w:val="1"/>
                <w:szCs w:val="1"/>
                <w:color w:val="auto"/>
              </w:rPr>
            </w:pPr>
          </w:p>
        </w:tc>
      </w:tr>
      <w:tr>
        <w:trPr>
          <w:trHeight w:val="189"/>
        </w:trPr>
        <w:tc>
          <w:tcPr>
            <w:tcW w:w="2380" w:type="dxa"/>
            <w:vAlign w:val="bottom"/>
            <w:vMerge w:val="restart"/>
          </w:tcPr>
          <w:p>
            <w:pPr>
              <w:ind w:left="20"/>
              <w:spacing w:after="0"/>
              <w:rPr>
                <w:sz w:val="20"/>
                <w:szCs w:val="20"/>
                <w:color w:val="auto"/>
              </w:rPr>
            </w:pPr>
            <w:r>
              <w:rPr>
                <w:rFonts w:ascii="Arial" w:cs="Arial" w:eastAsia="Arial" w:hAnsi="Arial"/>
                <w:sz w:val="18"/>
                <w:szCs w:val="18"/>
                <w:color w:val="auto"/>
              </w:rPr>
              <w:t>Time-Based</w:t>
            </w:r>
          </w:p>
        </w:tc>
        <w:tc>
          <w:tcPr>
            <w:tcW w:w="3300" w:type="dxa"/>
            <w:vAlign w:val="bottom"/>
          </w:tcPr>
          <w:p>
            <w:pPr>
              <w:ind w:left="1380"/>
              <w:spacing w:after="0" w:line="189" w:lineRule="exact"/>
              <w:rPr>
                <w:sz w:val="20"/>
                <w:szCs w:val="20"/>
                <w:color w:val="auto"/>
              </w:rPr>
            </w:pPr>
            <w:r>
              <w:rPr>
                <w:rFonts w:ascii="Arial" w:cs="Arial" w:eastAsia="Arial" w:hAnsi="Arial"/>
                <w:sz w:val="18"/>
                <w:szCs w:val="18"/>
                <w:color w:val="auto"/>
              </w:rPr>
              <w:t>executives</w:t>
            </w:r>
          </w:p>
        </w:tc>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tcPr>
          <w:p>
            <w:pPr>
              <w:ind w:left="620"/>
              <w:spacing w:after="0" w:line="189" w:lineRule="exact"/>
              <w:rPr>
                <w:sz w:val="20"/>
                <w:szCs w:val="20"/>
                <w:color w:val="auto"/>
              </w:rPr>
            </w:pPr>
            <w:r>
              <w:rPr>
                <w:rFonts w:ascii="Arial" w:cs="Arial" w:eastAsia="Arial" w:hAnsi="Arial"/>
                <w:sz w:val="18"/>
                <w:szCs w:val="18"/>
                <w:color w:val="auto"/>
              </w:rPr>
              <w:t>line with stock</w:t>
            </w: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180" w:type="dxa"/>
            <w:vAlign w:val="bottom"/>
            <w:vMerge w:val="restart"/>
          </w:tcPr>
          <w:p>
            <w:pPr>
              <w:ind w:left="620"/>
              <w:spacing w:after="0"/>
              <w:rPr>
                <w:sz w:val="20"/>
                <w:szCs w:val="20"/>
                <w:color w:val="auto"/>
              </w:rPr>
            </w:pPr>
            <w:r>
              <w:rPr>
                <w:rFonts w:ascii="Arial" w:cs="Arial" w:eastAsia="Arial" w:hAnsi="Arial"/>
                <w:sz w:val="18"/>
                <w:szCs w:val="18"/>
                <w:color w:val="auto"/>
              </w:rPr>
              <w:t>price performance</w:t>
            </w:r>
          </w:p>
        </w:tc>
        <w:tc>
          <w:tcPr>
            <w:tcW w:w="0" w:type="dxa"/>
            <w:vAlign w:val="bottom"/>
          </w:tcPr>
          <w:p>
            <w:pPr>
              <w:spacing w:after="0"/>
              <w:rPr>
                <w:sz w:val="1"/>
                <w:szCs w:val="1"/>
                <w:color w:val="auto"/>
              </w:rPr>
            </w:pPr>
          </w:p>
        </w:tc>
      </w:tr>
      <w:tr>
        <w:trPr>
          <w:trHeight w:val="131"/>
        </w:trPr>
        <w:tc>
          <w:tcPr>
            <w:tcW w:w="2380" w:type="dxa"/>
            <w:vAlign w:val="bottom"/>
            <w:vMerge w:val="restart"/>
          </w:tcPr>
          <w:p>
            <w:pPr>
              <w:ind w:left="20"/>
              <w:spacing w:after="0"/>
              <w:rPr>
                <w:sz w:val="20"/>
                <w:szCs w:val="20"/>
                <w:color w:val="auto"/>
              </w:rPr>
            </w:pPr>
            <w:r>
              <w:rPr>
                <w:rFonts w:ascii="Arial" w:cs="Arial" w:eastAsia="Arial" w:hAnsi="Arial"/>
                <w:sz w:val="18"/>
                <w:szCs w:val="18"/>
                <w:color w:val="auto"/>
              </w:rPr>
              <w:t>RSUs</w:t>
            </w:r>
          </w:p>
        </w:tc>
        <w:tc>
          <w:tcPr>
            <w:tcW w:w="33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-379095</wp:posOffset>
            </wp:positionV>
            <wp:extent cx="436880" cy="436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6880" cy="43688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-370840</wp:posOffset>
            </wp:positionV>
            <wp:extent cx="411480" cy="4114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Vehicle Structure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Performance-Based RSUs</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fiscal year 2023, approximately 75% of our annual equity awards to Mr. Roche and approximately 65% of our annual equity awards to our other executive officers, including our other NEOs, were in the form of PRSUs. To ensure that a direct link exists between the value of our long-term incentives and the value that is created for our shareholders, our fiscal year 2023 equity compensation program included two types of PRSUs for our executive officers: Relative TSR PRSUs and Financial Metric PRSUs.</w:t>
      </w:r>
    </w:p>
    <w:p>
      <w:pPr>
        <w:spacing w:after="0" w:line="5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0067B3"/>
        </w:rPr>
        <w:t xml:space="preserve">Relative TSR PRSUs. </w:t>
      </w:r>
      <w:r>
        <w:rPr>
          <w:rFonts w:ascii="Arial" w:cs="Arial" w:eastAsia="Arial" w:hAnsi="Arial"/>
          <w:sz w:val="18"/>
          <w:szCs w:val="18"/>
          <w:color w:val="000000"/>
        </w:rPr>
        <w:t>The number of PRSUs that executive officers, including our NEOs, may earn is based on our TSR performance</w:t>
      </w:r>
      <w:r>
        <w:rPr>
          <w:rFonts w:ascii="Arial" w:cs="Arial" w:eastAsia="Arial" w:hAnsi="Arial"/>
          <w:sz w:val="18"/>
          <w:szCs w:val="18"/>
          <w:b w:val="1"/>
          <w:bCs w:val="1"/>
          <w:color w:val="0067B3"/>
        </w:rPr>
        <w:t xml:space="preserve"> </w:t>
      </w:r>
      <w:r>
        <w:rPr>
          <w:rFonts w:ascii="Arial" w:cs="Arial" w:eastAsia="Arial" w:hAnsi="Arial"/>
          <w:sz w:val="18"/>
          <w:szCs w:val="18"/>
          <w:color w:val="000000"/>
        </w:rPr>
        <w:t>relative to the TSR performance of other companies in a comparator index over a three-year period.</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number of PRSUs that vest is determined by ADI’s TSR performance relative to the TSR of the companies in the S&amp;P 500 Index expressed as a percentile. In response to shareholder feedback and to enhance the difficulty of achieving of our performance goals, in fiscal year 2023 we increased target performance of PRSUs from the 50th percentile to the 55th percentile, beginning with the Relative TSR PRSUs granted in fiscal year 2023, such that target payout of our Relative TSR PRSUs is achieved when ADI’s TSR is at the 55th percentile of the TSRs of the companies in the S&amp;P 500 Index. The actual amount of PRSUs that will be earned can range from 0% to 200% of the target amount, corresponding to the percentile attainment of ADI’s TSR as compared to the companies in the S&amp;P 500 Index. No shares will vest if ADI’s TSR is less than at the 25th percentile. The number of earned shares is capped at 100% if ADI’s TSR performance is negative.</w:t>
      </w:r>
    </w:p>
    <w:p>
      <w:pPr>
        <w:sectPr>
          <w:pgSz w:w="11900" w:h="16838" w:orient="portrait"/>
          <w:cols w:equalWidth="0" w:num="1">
            <w:col w:w="11240"/>
          </w:cols>
          <w:pgMar w:left="320" w:top="1240" w:right="339" w:bottom="1440" w:gutter="0" w:footer="0" w:header="0"/>
          <w:type w:val="continuous"/>
        </w:sectPr>
      </w:pPr>
    </w:p>
    <w:p>
      <w:pPr>
        <w:spacing w:after="0" w:line="31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71" w:name="page72"/>
    <w:bookmarkEnd w:id="71"/>
    <w:p>
      <w:pPr>
        <w:ind w:right="760"/>
        <w:spacing w:after="0" w:line="287" w:lineRule="auto"/>
        <w:rPr>
          <w:sz w:val="20"/>
          <w:szCs w:val="20"/>
          <w:color w:val="auto"/>
        </w:rPr>
      </w:pPr>
      <w:r>
        <w:rPr>
          <w:rFonts w:ascii="Arial" w:cs="Arial" w:eastAsia="Arial" w:hAnsi="Arial"/>
          <w:sz w:val="18"/>
          <w:szCs w:val="18"/>
          <w:color w:val="auto"/>
        </w:rPr>
        <w:t>The following table illustrates the percentage of target PRSUs that could be earned based on ADI’s relative TSR performance to the companies in the S&amp;P 500 Index:</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Percentile Attainment</w:t>
            </w:r>
          </w:p>
        </w:tc>
        <w:tc>
          <w:tcPr>
            <w:tcW w:w="54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PRSU Payout %</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&lt;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0 %</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Pr>
          <w:p>
            <w:pPr>
              <w:jc w:val="right"/>
              <w:spacing w:after="0"/>
              <w:rPr>
                <w:sz w:val="20"/>
                <w:szCs w:val="20"/>
                <w:color w:val="auto"/>
              </w:rPr>
            </w:pPr>
            <w:r>
              <w:rPr>
                <w:rFonts w:ascii="Arial" w:cs="Arial" w:eastAsia="Arial" w:hAnsi="Arial"/>
                <w:sz w:val="18"/>
                <w:szCs w:val="18"/>
                <w:b w:val="1"/>
                <w:bCs w:val="1"/>
                <w:color w:val="auto"/>
              </w:rPr>
              <w:t>50 %</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100 %</w:t>
            </w:r>
          </w:p>
        </w:tc>
      </w:tr>
      <w:tr>
        <w:trPr>
          <w:trHeight w:val="270"/>
        </w:trPr>
        <w:tc>
          <w:tcPr>
            <w:tcW w:w="584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200 %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is subject to interpolation on a linear basis.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2020-2023 TSR PRSUs Payouts. </w:t>
      </w:r>
      <w:r>
        <w:rPr>
          <w:rFonts w:ascii="Arial" w:cs="Arial" w:eastAsia="Arial" w:hAnsi="Arial"/>
          <w:sz w:val="18"/>
          <w:szCs w:val="18"/>
          <w:color w:val="auto"/>
        </w:rPr>
        <w:t>The Relative TSR PRSUs granted on March 11, 2020 had a three-year performance period that 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11, 2023. The comparator group designated by the Compensation and Talent Committee for the relative TSR PRSUs granted in fiscal year 2020 consisted of the companies represented in the Philadelphia Semiconductor Index (SOX Index) as of the grant date that are included in the SOX Index for the entire performance period. The actual amount of PRSUs that could have been earned ranged from</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0%-200% of the target amount, with adjustments upward or downward from the target 100% payout by 1.5% for each percentage point ADI’s TSR is above or below that of the comparator group median TSR. No shares would have vested if ADI’s TSR was 66.67 percentage points lower than the comparator group median TSR. The number of earned shares was capped at 100% if ADI’s TSR performance was negative.</w:t>
      </w:r>
    </w:p>
    <w:p>
      <w:pPr>
        <w:spacing w:after="0" w:line="70"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 following table illustrates the percentage of target PRSUs that could have been earned based on the company’s relative TSR performance to the comparator group median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9980" w:val="left"/>
        </w:tabs>
        <w:rPr>
          <w:sz w:val="20"/>
          <w:szCs w:val="20"/>
          <w:color w:val="auto"/>
        </w:rPr>
      </w:pPr>
      <w:r>
        <w:rPr>
          <w:rFonts w:ascii="Arial" w:cs="Arial" w:eastAsia="Arial" w:hAnsi="Arial"/>
          <w:sz w:val="16"/>
          <w:szCs w:val="16"/>
          <w:b w:val="1"/>
          <w:bCs w:val="1"/>
          <w:color w:val="FFFFFF"/>
        </w:rPr>
        <w:t>ADI TSR</w:t>
      </w:r>
      <w:r>
        <w:rPr>
          <w:sz w:val="20"/>
          <w:szCs w:val="20"/>
          <w:color w:val="auto"/>
        </w:rPr>
        <w:tab/>
      </w:r>
      <w:r>
        <w:rPr>
          <w:rFonts w:ascii="Arial" w:cs="Arial" w:eastAsia="Arial" w:hAnsi="Arial"/>
          <w:sz w:val="16"/>
          <w:szCs w:val="16"/>
          <w:b w:val="1"/>
          <w:bCs w:val="1"/>
          <w:color w:val="FFFFFF"/>
        </w:rPr>
        <w:t>PRSU Payout %</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83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Equal to or greater than 66.67% above the comparator group median TSR</w:t>
            </w:r>
          </w:p>
        </w:tc>
        <w:tc>
          <w:tcPr>
            <w:tcW w:w="2900" w:type="dxa"/>
            <w:vAlign w:val="bottom"/>
            <w:vMerge w:val="restart"/>
            <w:shd w:val="clear" w:color="auto" w:fill="E2E6F4"/>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31"/>
        </w:trPr>
        <w:tc>
          <w:tcPr>
            <w:tcW w:w="8340" w:type="dxa"/>
            <w:vAlign w:val="bottom"/>
            <w:shd w:val="clear" w:color="auto" w:fill="E2E6F4"/>
          </w:tcPr>
          <w:p>
            <w:pPr>
              <w:spacing w:after="0"/>
              <w:rPr>
                <w:sz w:val="11"/>
                <w:szCs w:val="11"/>
                <w:color w:val="auto"/>
              </w:rPr>
            </w:pPr>
          </w:p>
        </w:tc>
        <w:tc>
          <w:tcPr>
            <w:tcW w:w="2900" w:type="dxa"/>
            <w:vAlign w:val="bottom"/>
            <w:vMerge w:val="continue"/>
            <w:shd w:val="clear" w:color="auto" w:fill="E2E6F4"/>
          </w:tcPr>
          <w:p>
            <w:pPr>
              <w:spacing w:after="0"/>
              <w:rPr>
                <w:sz w:val="11"/>
                <w:szCs w:val="11"/>
                <w:color w:val="auto"/>
              </w:rPr>
            </w:pPr>
          </w:p>
        </w:tc>
        <w:tc>
          <w:tcPr>
            <w:tcW w:w="0" w:type="dxa"/>
            <w:vAlign w:val="bottom"/>
          </w:tcPr>
          <w:p>
            <w:pPr>
              <w:spacing w:after="0"/>
              <w:rPr>
                <w:sz w:val="1"/>
                <w:szCs w:val="1"/>
                <w:color w:val="auto"/>
              </w:rPr>
            </w:pPr>
          </w:p>
        </w:tc>
      </w:tr>
      <w:tr>
        <w:trPr>
          <w:trHeight w:val="355"/>
        </w:trPr>
        <w:tc>
          <w:tcPr>
            <w:tcW w:w="8340" w:type="dxa"/>
            <w:vAlign w:val="bottom"/>
          </w:tcPr>
          <w:p>
            <w:pPr>
              <w:ind w:left="20"/>
              <w:spacing w:after="0"/>
              <w:rPr>
                <w:sz w:val="20"/>
                <w:szCs w:val="20"/>
                <w:color w:val="auto"/>
              </w:rPr>
            </w:pPr>
            <w:r>
              <w:rPr>
                <w:rFonts w:ascii="Arial" w:cs="Arial" w:eastAsia="Arial" w:hAnsi="Arial"/>
                <w:sz w:val="18"/>
                <w:szCs w:val="18"/>
                <w:color w:val="auto"/>
              </w:rPr>
              <w:t>Equal to comparator group median TSR</w:t>
            </w:r>
          </w:p>
        </w:tc>
        <w:tc>
          <w:tcPr>
            <w:tcW w:w="2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23"/>
        </w:trPr>
        <w:tc>
          <w:tcPr>
            <w:tcW w:w="834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83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Equal to or less than -66.67% below the comparator group median TSR</w:t>
            </w:r>
          </w:p>
        </w:tc>
        <w:tc>
          <w:tcPr>
            <w:tcW w:w="2900" w:type="dxa"/>
            <w:vAlign w:val="bottom"/>
            <w:vMerge w:val="restart"/>
            <w:shd w:val="clear" w:color="auto" w:fill="E2E6F4"/>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4"/>
        </w:trPr>
        <w:tc>
          <w:tcPr>
            <w:tcW w:w="8340" w:type="dxa"/>
            <w:vAlign w:val="bottom"/>
            <w:tcBorders>
              <w:bottom w:val="single" w:sz="8" w:color="0067B3"/>
            </w:tcBorders>
            <w:shd w:val="clear" w:color="auto" w:fill="E2E6F4"/>
          </w:tcPr>
          <w:p>
            <w:pPr>
              <w:spacing w:after="0"/>
              <w:rPr>
                <w:sz w:val="10"/>
                <w:szCs w:val="10"/>
                <w:color w:val="auto"/>
              </w:rPr>
            </w:pPr>
          </w:p>
        </w:tc>
        <w:tc>
          <w:tcPr>
            <w:tcW w:w="2900" w:type="dxa"/>
            <w:vAlign w:val="bottom"/>
            <w:tcBorders>
              <w:bottom w:val="single" w:sz="8" w:color="0067B3"/>
            </w:tcBorders>
            <w:vMerge w:val="continue"/>
            <w:shd w:val="clear" w:color="auto" w:fill="E2E6F4"/>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was subject to interpolation on a linear basis.</w:t>
      </w:r>
    </w:p>
    <w:p>
      <w:pPr>
        <w:spacing w:after="0" w:line="11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On a three-year cumulative basis, our TSR performance was 78.61%, compared to the comparator group median TSR of 80.21%. This resulted in a 97.60% payout of the awards.</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0067B3"/>
        </w:rPr>
        <w:t xml:space="preserve">Financial Metric PRSUs: </w:t>
      </w:r>
      <w:r>
        <w:rPr>
          <w:rFonts w:ascii="Arial" w:cs="Arial" w:eastAsia="Arial" w:hAnsi="Arial"/>
          <w:sz w:val="18"/>
          <w:szCs w:val="18"/>
          <w:color w:val="000000"/>
        </w:rPr>
        <w:t>Beginning in fiscal year 2019, the Compensation and Talent Committee has included Financial Metric PRSUs as</w:t>
      </w:r>
      <w:r>
        <w:rPr>
          <w:rFonts w:ascii="Arial" w:cs="Arial" w:eastAsia="Arial" w:hAnsi="Arial"/>
          <w:sz w:val="18"/>
          <w:szCs w:val="18"/>
          <w:b w:val="1"/>
          <w:bCs w:val="1"/>
          <w:color w:val="0067B3"/>
        </w:rPr>
        <w:t xml:space="preserve"> </w:t>
      </w:r>
      <w:r>
        <w:rPr>
          <w:rFonts w:ascii="Arial" w:cs="Arial" w:eastAsia="Arial" w:hAnsi="Arial"/>
          <w:sz w:val="18"/>
          <w:szCs w:val="18"/>
          <w:color w:val="000000"/>
        </w:rPr>
        <w:t>part of our annual equity program, based on non-GAAP operating profit in dollars, for our executive officers to incentivize long-term profitable growth measured over one-year, two-year cumulative, and three-year cumulative time periods. Non-GAAP operating profit is equivalent to our Adjusted Operating Income as reported in our annual and quarterly earnings releases.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Compensation and Talent Committee selected this metric because it is a key measure that executives use both internally to drive business decisions and externally when speaking to investors about company results and progress against execution of the company’s strategy. The use of multiple performance periods incentivizes executives to achieve short-term objectives that support our long-term strategy, as well as to focus on long-term financial growth. For each award, the Compensation and Talent Committee reviews and approves challenging targets taking into consideration the company’s long-term financial plan, strategic priorities, and objectives.</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Compensation and Talent Committee does not re-set these targets during the performance period, regardless of company performance or economic conditions.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 of PRSUs an executive officer, including each NEO, may earn ranges from 0% to a maximum of 200% of the target amount based on the company’s performance against the targets of this metric. The Compensation and Talent Committee determines the level of achievement of each tranche of Financial Metric PRSUs after the completion of each of the one-year, two-year cumulative, and three-year cumulative performance periods. After such determination, the number of shares of PRSUs earned by an executive officer remains subject to a time-based service requirement and will cliff vest on the third anniversary of the grant date, subject to the executive’s employment through such date.</w:t>
      </w:r>
    </w:p>
    <w:p>
      <w:pPr>
        <w:spacing w:after="0" w:line="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December 2023, the Compensation and Talent Committee determined the level of achievement of the current Financial Metric PRSUs as described below.</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80" w:hanging="454"/>
        <w:spacing w:after="0"/>
        <w:tabs>
          <w:tab w:leader="none" w:pos="480" w:val="left"/>
        </w:tabs>
        <w:numPr>
          <w:ilvl w:val="0"/>
          <w:numId w:val="101"/>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2021–2023 Financial Metric PRSUs: </w:t>
      </w:r>
      <w:r>
        <w:rPr>
          <w:rFonts w:ascii="Arial" w:cs="Arial" w:eastAsia="Arial" w:hAnsi="Arial"/>
          <w:sz w:val="18"/>
          <w:szCs w:val="18"/>
          <w:color w:val="auto"/>
        </w:rPr>
        <w:t>The targets were set at the beginning of fiscal year 2021, and the awards were granted in March 2021.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and Talent Committee reviewed the achievement of the third tranche of these awards (three-year cumulative time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covering the non-GAAP operating profit for fiscal years 2021, 2022, and 2023, and determined that with a non-GAAP operating profit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$11.367 billion, which was above both the non-GAAP operating profit target attainment level of $7.753 billion and the non-GAAP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 maximum attainment level of $8.141 billion, 200% of the target number of PRSUs subject to the third tranche were earned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executive officers under this incentive compensation vehicle for that period. With all three measurement periods completed,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with the first and second tranches each payable at 200%, the company’s executive officers will earn an aggregate of 200% of the total target</w:t>
      </w:r>
    </w:p>
    <w:p>
      <w:pPr>
        <w:spacing w:after="0"/>
        <w:rPr>
          <w:sz w:val="20"/>
          <w:szCs w:val="20"/>
          <w:color w:val="auto"/>
        </w:rPr>
      </w:pPr>
      <w:r>
        <w:rPr>
          <w:rFonts w:ascii="Arial" w:cs="Arial" w:eastAsia="Arial" w:hAnsi="Arial"/>
          <w:sz w:val="18"/>
          <w:szCs w:val="18"/>
          <w:color w:val="auto"/>
        </w:rPr>
        <w:t>number of PRSUs subject to this incentive compensation vehicle. As the targets were set before we acquired Maxim, the levels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achievement determined by the Compensation and Talent Committee with respect to the 2021-2023 Financial Metric PRSUs do not reconcile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our reported non-GAAP operating profit because the measurement of achievement with respect to these Financial Metric PRSUs excludes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benefits of the additional profit from the Maxim acquisition that occurred after the grant date of these awards.</w:t>
      </w:r>
    </w:p>
    <w:p>
      <w:pPr>
        <w:spacing w:after="0" w:line="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2022–2024 Financial Metric PRSUs: </w:t>
      </w:r>
      <w:r>
        <w:rPr>
          <w:rFonts w:ascii="Arial" w:cs="Arial" w:eastAsia="Arial" w:hAnsi="Arial"/>
          <w:sz w:val="18"/>
          <w:szCs w:val="18"/>
          <w:color w:val="auto"/>
        </w:rPr>
        <w:t>The targets were set at the beginning of fiscal year 2022, and the awards were granted in April 2022.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second tranche of these awards (two-year cumulative time period), covering the two-year non-GAAP operating profit for fiscal year 2022 and fiscal year 2023, and determined that with a non-GAAP operating profit of $11.954 billion, which was above both the non-GAAP operating profit target attainment level of $9.871 billion and the non-GAAP operating profit maximum attainment level of $10.858 billion, 200% of the target number of PRSUs subject to the second tranche were earned by the company’s executive officers under this incentive compensation vehicle for that period. There will be no vesting of these awards until the third and final year of the performance period is completed.</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2023–2025 Financial Metric PRSUs: </w:t>
      </w:r>
      <w:r>
        <w:rPr>
          <w:rFonts w:ascii="Arial" w:cs="Arial" w:eastAsia="Arial" w:hAnsi="Arial"/>
          <w:sz w:val="18"/>
          <w:szCs w:val="18"/>
          <w:color w:val="auto"/>
        </w:rPr>
        <w:t>The targets were set at the beginning of fiscal year 2023, and the awards were granted in April 2023.</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first tranche of these awards, covering the one-year non-GAAP operating profit for fiscal year 2023, and determined that with a non-GAAP operating profit of $6.014 billion, which was below the non-GAAP operating profit target attainment level of $6.163 billion but above the non-GAAP operating profit minimum attainment level of $5.546 billion, 76% of the target number of PRSUs subject to the first tranche were earned by the company’s executive officers under this incentive compensation vehicle for that period. There will be no vesting of these awards until the third and final year of the performance period is completed.</w:t>
      </w:r>
    </w:p>
    <w:p>
      <w:pPr>
        <w:spacing w:after="0" w:line="3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0067B3"/>
        </w:rPr>
        <w:t>Maxim Integration PRSUs</w:t>
      </w:r>
      <w:r>
        <w:rPr>
          <w:rFonts w:ascii="Arial" w:cs="Arial" w:eastAsia="Arial" w:hAnsi="Arial"/>
          <w:sz w:val="18"/>
          <w:szCs w:val="18"/>
          <w:b w:val="1"/>
          <w:bCs w:val="1"/>
          <w:color w:val="000000"/>
        </w:rPr>
        <w:t>:</w:t>
      </w:r>
      <w:r>
        <w:rPr>
          <w:rFonts w:ascii="Arial" w:cs="Arial" w:eastAsia="Arial" w:hAnsi="Arial"/>
          <w:sz w:val="18"/>
          <w:szCs w:val="18"/>
          <w:b w:val="1"/>
          <w:bCs w:val="1"/>
          <w:color w:val="0067B3"/>
        </w:rPr>
        <w:t xml:space="preserve"> </w:t>
      </w:r>
      <w:r>
        <w:rPr>
          <w:rFonts w:ascii="Arial" w:cs="Arial" w:eastAsia="Arial" w:hAnsi="Arial"/>
          <w:sz w:val="18"/>
          <w:szCs w:val="18"/>
          <w:color w:val="000000"/>
        </w:rPr>
        <w:t>As discussed in our proxy statement for our 2022 Annual Meeting of Shareholders, filed with the SEC on</w:t>
      </w:r>
      <w:r>
        <w:rPr>
          <w:rFonts w:ascii="Arial" w:cs="Arial" w:eastAsia="Arial" w:hAnsi="Arial"/>
          <w:sz w:val="18"/>
          <w:szCs w:val="18"/>
          <w:b w:val="1"/>
          <w:bCs w:val="1"/>
          <w:color w:val="0067B3"/>
        </w:rPr>
        <w:t xml:space="preserve"> </w:t>
      </w:r>
      <w:r>
        <w:rPr>
          <w:rFonts w:ascii="Arial" w:cs="Arial" w:eastAsia="Arial" w:hAnsi="Arial"/>
          <w:sz w:val="18"/>
          <w:szCs w:val="18"/>
          <w:color w:val="000000"/>
        </w:rPr>
        <w:t>January 21, 2022, to promote the successful integration of Maxim and the achievement of our synergy goals, in December 2020 (with respect to Mr. Mahendra-Rajah), March 2021 (with respect to Ms. Sacks), and October 2021 (with respect to Mr. Jain), the Compensation and Talent Committee approved the target award of PRSUs, or Maxim Integration PRSUs, to a select group of key employees, including the following NEOs: 19,443 Maxim Integration PRSUs for Mr. Mahendra-Rajah, 11,377 Maxim Integration PRSUs for Ms. Sacks and 11,332 Maxim Integration PRSUs for Mr. Jain. The recipients of the Maxim Integration PRSUs were key decision makers who had a responsibility to drive integration and cost synergy following the acquisition of Maxim. Our CEO, Mr. Roche, was not eligible for and did not receive any Maxim Integration PRSUs.</w:t>
      </w:r>
    </w:p>
    <w:p>
      <w:pPr>
        <w:spacing w:after="0" w:line="3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number of Maxim Integration PRSUs that could have been earned ranged from 0 to a maximum of 200% of the target amount of Maxim Integration PRSUs, or the Target Amount, and was determined according to the achievement of the three performance metrics set forth below. The performance metrics were designed to incentivize the achievement of stretch targets with respect to both the magnitude of cost synergies and the speed of delivery. The performance metrics and payouts achieved are as follows:</w:t>
      </w:r>
    </w:p>
    <w:p>
      <w:pPr>
        <w:spacing w:after="0" w:line="2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Operating Profit Goal</w:t>
      </w:r>
      <w:r>
        <w:rPr>
          <w:rFonts w:ascii="Arial" w:cs="Arial" w:eastAsia="Arial" w:hAnsi="Arial"/>
          <w:sz w:val="18"/>
          <w:szCs w:val="18"/>
          <w:color w:val="auto"/>
        </w:rPr>
        <w:t>: As a gatekeeping hurdle, the combined company had to maintain a minimum average non-GAAP OPBT of 36%</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period from July 30, 2022 to July 29, 2023. The non-GAAP OPBT over such period was 47.8% and exceeded this Operating Profit Goal.</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Synergy Performance Goal</w:t>
      </w:r>
      <w:r>
        <w:rPr>
          <w:rFonts w:ascii="Arial" w:cs="Arial" w:eastAsia="Arial" w:hAnsi="Arial"/>
          <w:sz w:val="18"/>
          <w:szCs w:val="18"/>
          <w:color w:val="auto"/>
        </w:rPr>
        <w:t>: Provided the Operating Profit Goal was attained, a number of Maxim Integration PRSUs ranging from 0 to</w:t>
      </w:r>
      <w:r>
        <w:rPr>
          <w:rFonts w:ascii="Arial" w:cs="Arial" w:eastAsia="Arial" w:hAnsi="Arial"/>
          <w:sz w:val="18"/>
          <w:szCs w:val="18"/>
          <w:b w:val="1"/>
          <w:bCs w:val="1"/>
          <w:color w:val="auto"/>
        </w:rPr>
        <w:t xml:space="preserve"> </w:t>
      </w:r>
      <w:r>
        <w:rPr>
          <w:rFonts w:ascii="Arial" w:cs="Arial" w:eastAsia="Arial" w:hAnsi="Arial"/>
          <w:sz w:val="18"/>
          <w:szCs w:val="18"/>
          <w:color w:val="auto"/>
        </w:rPr>
        <w:t>150% of the Target Amount would vest based on the gross dollar amount of cost synergies attained following the closing date of the Maxim acquisition (Acquisition Date), as represented by the scale set forth below. For cost synergies to be deemed attained, either (i) cost synergies must take effect within the period from December 15, 2020 until the two-year anniversary of the Acquisition Date (Performance Period), or (ii) cost synergies must take effect within the 12-month period following the Performance Period as a result of a firm commitment made during the Performance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Maxim Integration PRSUs that vested was calculated based on linear interpolation between targets.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62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Synergy Performance Goal Attained</w:t>
            </w:r>
          </w:p>
        </w:tc>
        <w:tc>
          <w:tcPr>
            <w:tcW w:w="496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 of Target to Vest</w:t>
            </w:r>
          </w:p>
        </w:tc>
        <w:tc>
          <w:tcPr>
            <w:tcW w:w="0" w:type="dxa"/>
            <w:vAlign w:val="bottom"/>
          </w:tcPr>
          <w:p>
            <w:pPr>
              <w:spacing w:after="0"/>
              <w:rPr>
                <w:sz w:val="1"/>
                <w:szCs w:val="1"/>
                <w:color w:val="auto"/>
              </w:rPr>
            </w:pPr>
          </w:p>
        </w:tc>
      </w:tr>
      <w:tr>
        <w:trPr>
          <w:trHeight w:val="116"/>
        </w:trPr>
        <w:tc>
          <w:tcPr>
            <w:tcW w:w="6280" w:type="dxa"/>
            <w:vAlign w:val="bottom"/>
            <w:shd w:val="clear" w:color="auto" w:fill="0067B3"/>
          </w:tcPr>
          <w:p>
            <w:pPr>
              <w:spacing w:after="0"/>
              <w:rPr>
                <w:sz w:val="10"/>
                <w:szCs w:val="10"/>
                <w:color w:val="auto"/>
              </w:rPr>
            </w:pPr>
          </w:p>
        </w:tc>
        <w:tc>
          <w:tcPr>
            <w:tcW w:w="4960" w:type="dxa"/>
            <w:vAlign w:val="bottom"/>
            <w:vMerge w:val="continue"/>
            <w:shd w:val="clear" w:color="auto" w:fill="0067B3"/>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E2E6F4"/>
          </w:tcPr>
          <w:p>
            <w:pPr>
              <w:ind w:left="20"/>
              <w:spacing w:after="0"/>
              <w:rPr>
                <w:sz w:val="20"/>
                <w:szCs w:val="20"/>
                <w:color w:val="auto"/>
              </w:rPr>
            </w:pPr>
            <w:r>
              <w:rPr>
                <w:rFonts w:ascii="Arial" w:cs="Arial" w:eastAsia="Arial" w:hAnsi="Arial"/>
                <w:sz w:val="18"/>
                <w:szCs w:val="18"/>
                <w:color w:val="auto"/>
              </w:rPr>
              <w:t>$275 million</w:t>
            </w:r>
          </w:p>
        </w:tc>
        <w:tc>
          <w:tcPr>
            <w:tcW w:w="496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$325 million</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71"/>
        </w:trPr>
        <w:tc>
          <w:tcPr>
            <w:tcW w:w="62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color w:val="auto"/>
              </w:rPr>
              <w:t>$375 million</w:t>
            </w:r>
          </w:p>
        </w:tc>
        <w:tc>
          <w:tcPr>
            <w:tcW w:w="49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b w:val="1"/>
                <w:bCs w:val="1"/>
                <w:color w:val="auto"/>
              </w:rPr>
              <w:t>150 %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Between August 26, 2021 and the end of fiscal year 2022, $434 million in synergies were achieved, resulting in 150% of target vesting of the Synergy Performance Goal.</w:t>
      </w:r>
    </w:p>
    <w:p>
      <w:pPr>
        <w:spacing w:after="0" w:line="4" w:lineRule="exact"/>
        <w:rPr>
          <w:sz w:val="20"/>
          <w:szCs w:val="20"/>
          <w:color w:val="auto"/>
        </w:rPr>
      </w:pPr>
    </w:p>
    <w:p>
      <w:pPr>
        <w:jc w:val="both"/>
        <w:ind w:right="400"/>
        <w:spacing w:after="0" w:line="261" w:lineRule="auto"/>
        <w:rPr>
          <w:sz w:val="20"/>
          <w:szCs w:val="20"/>
          <w:color w:val="auto"/>
        </w:rPr>
      </w:pPr>
      <w:r>
        <w:rPr>
          <w:rFonts w:ascii="Arial" w:cs="Arial" w:eastAsia="Arial" w:hAnsi="Arial"/>
          <w:sz w:val="18"/>
          <w:szCs w:val="18"/>
          <w:b w:val="1"/>
          <w:bCs w:val="1"/>
          <w:color w:val="auto"/>
        </w:rPr>
        <w:t>Speed of Delivery Accelerator</w:t>
      </w:r>
      <w:r>
        <w:rPr>
          <w:rFonts w:ascii="Arial" w:cs="Arial" w:eastAsia="Arial" w:hAnsi="Arial"/>
          <w:sz w:val="18"/>
          <w:szCs w:val="18"/>
          <w:color w:val="auto"/>
        </w:rPr>
        <w:t>: If the minimum Synergy Performance Goal was fully realized within 18 months following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then an additional number of Maxim Integration PRSUs equal to 50% of the Target Amount will vest. As of October 29, 2022, $434 million of cost synergies were achieved and this Speed of Delivery Accelerator was achieved.</w:t>
      </w:r>
    </w:p>
    <w:p>
      <w:pPr>
        <w:spacing w:after="0" w:line="4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Based on this performance, in September 2023, the Compensation and Talent Committee approved the payout of the Maxim Integration PRSUs at 200% of target.</w:t>
      </w:r>
    </w:p>
    <w:p>
      <w:pPr>
        <w:sectPr>
          <w:pgSz w:w="11900" w:h="16838" w:orient="portrait"/>
          <w:cols w:equalWidth="0" w:num="1">
            <w:col w:w="11240"/>
          </w:cols>
          <w:pgMar w:left="320" w:top="1174" w:right="339" w:bottom="805" w:gutter="0" w:footer="0" w:header="0"/>
        </w:sectPr>
      </w:pPr>
    </w:p>
    <w:p>
      <w:pPr>
        <w:spacing w:after="0" w:line="22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805"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0067B3"/>
        </w:rPr>
        <w:t>Time-Based RSUs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 volatile stock market, time-based RSUs continue to provide incentive and retentive value when stock options may not, which the Compensation and Talent Committee believes to be useful in retaining talented executives and employees in uncertain economic times. In this way, we use time-based RSUs as a retention tool and to enable our executive officers to accumulate stock ownership in the company. As part of our annual compensation program, time-based RSUs were granted to our NEOs in April 2023, and such awards will vest in equal increments on the first, second, third and fourth anniversaries of March 15,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66BA"/>
        </w:rPr>
        <w:t>Stock Options</w:t>
      </w:r>
    </w:p>
    <w:p>
      <w:pPr>
        <w:spacing w:after="0" w:line="10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Prior to fiscal year 2022, we used stock options as a way to reward long-term value creation. Stock options granted to our executive officers in prior years, including our NEOs, vest in accordance with the vesting dates as described in footnote 1 to the </w:t>
      </w:r>
      <w:r>
        <w:rPr>
          <w:rFonts w:ascii="Arial" w:cs="Arial" w:eastAsia="Arial" w:hAnsi="Arial"/>
          <w:sz w:val="18"/>
          <w:szCs w:val="18"/>
          <w:i w:val="1"/>
          <w:iCs w:val="1"/>
          <w:color w:val="auto"/>
        </w:rPr>
        <w:t>Outstanding Equity Awards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Fiscal Year-End 2023 </w:t>
      </w:r>
      <w:r>
        <w:rPr>
          <w:rFonts w:ascii="Arial" w:cs="Arial" w:eastAsia="Arial" w:hAnsi="Arial"/>
          <w:sz w:val="18"/>
          <w:szCs w:val="18"/>
          <w:color w:val="auto"/>
        </w:rPr>
        <w:t>table and are subject to a 10-year term.</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2020, the Compensation and Talent Committee approved the grant of a special performance stock option award (CEO Performance Stock Option Award) to Mr. Roche. The CEO Performance Stock Option Award is exercisable for up to 460,000 shares of our common stock and vests subject to the satisfaction of certain challenging target stock price thresholds during a five-year period. On April 18, 2023, the Compensation and Talent Committee certified the attainment of the first target stock price threshold as of April 12, 2023. As a result, Mr. Roche received an option to purchase 151,800 shares of common stock, which is exercisable beginning on April 12, 2024.</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 Granted in Fiscal Year 2023</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In fiscal year 2023, the Compensation and Talent Committee granted equity awards to our NEOs as detailed in the table below as part of our annual compensation program. The values below are the target grant values approved by the Compensation and Talent Committee, which are then converted into a number of RSUs or a number of target PRSUs using an approved formula based on stock price. For the accounting grant date fair value of such awards,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shd w:val="clear" w:color="auto" w:fill="0067B3"/>
          </w:tcPr>
          <w:p>
            <w:pPr>
              <w:spacing w:after="0"/>
              <w:rPr>
                <w:sz w:val="18"/>
                <w:szCs w:val="18"/>
                <w:color w:val="auto"/>
              </w:rPr>
            </w:pPr>
          </w:p>
        </w:tc>
        <w:tc>
          <w:tcPr>
            <w:tcW w:w="32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Time-</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Relative</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Financial</w:t>
            </w:r>
          </w:p>
        </w:tc>
        <w:tc>
          <w:tcPr>
            <w:tcW w:w="240" w:type="dxa"/>
            <w:vAlign w:val="bottom"/>
            <w:shd w:val="clear" w:color="auto" w:fill="0067B3"/>
          </w:tcPr>
          <w:p>
            <w:pPr>
              <w:spacing w:after="0"/>
              <w:rPr>
                <w:sz w:val="18"/>
                <w:szCs w:val="18"/>
                <w:color w:val="auto"/>
              </w:rPr>
            </w:pPr>
          </w:p>
        </w:tc>
        <w:tc>
          <w:tcPr>
            <w:tcW w:w="98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w w:val="97"/>
              </w:rPr>
              <w:t>Target Grant</w:t>
            </w:r>
          </w:p>
        </w:tc>
        <w:tc>
          <w:tcPr>
            <w:tcW w:w="0" w:type="dxa"/>
            <w:vAlign w:val="bottom"/>
          </w:tcPr>
          <w:p>
            <w:pPr>
              <w:spacing w:after="0"/>
              <w:rPr>
                <w:sz w:val="1"/>
                <w:szCs w:val="1"/>
                <w:color w:val="auto"/>
              </w:rPr>
            </w:pPr>
          </w:p>
        </w:tc>
      </w:tr>
      <w:tr>
        <w:trPr>
          <w:trHeight w:val="189"/>
        </w:trPr>
        <w:tc>
          <w:tcPr>
            <w:tcW w:w="4900" w:type="dxa"/>
            <w:vAlign w:val="bottom"/>
            <w:shd w:val="clear" w:color="auto" w:fill="0067B3"/>
          </w:tcPr>
          <w:p>
            <w:pPr>
              <w:spacing w:after="0"/>
              <w:rPr>
                <w:sz w:val="16"/>
                <w:szCs w:val="16"/>
                <w:color w:val="auto"/>
              </w:rPr>
            </w:pPr>
          </w:p>
        </w:tc>
        <w:tc>
          <w:tcPr>
            <w:tcW w:w="32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based</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TSR</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Metric</w:t>
            </w:r>
          </w:p>
        </w:tc>
        <w:tc>
          <w:tcPr>
            <w:tcW w:w="240" w:type="dxa"/>
            <w:vAlign w:val="bottom"/>
            <w:shd w:val="clear" w:color="auto" w:fill="0067B3"/>
          </w:tcPr>
          <w:p>
            <w:pPr>
              <w:spacing w:after="0"/>
              <w:rPr>
                <w:sz w:val="16"/>
                <w:szCs w:val="16"/>
                <w:color w:val="auto"/>
              </w:rPr>
            </w:pPr>
          </w:p>
        </w:tc>
        <w:tc>
          <w:tcPr>
            <w:tcW w:w="980" w:type="dxa"/>
            <w:vAlign w:val="bottom"/>
            <w:vMerge w:val="continue"/>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2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RSUs</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PRSUs</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PRSUs</w:t>
            </w:r>
          </w:p>
        </w:tc>
        <w:tc>
          <w:tcPr>
            <w:tcW w:w="240" w:type="dxa"/>
            <w:vAlign w:val="bottom"/>
            <w:shd w:val="clear" w:color="auto" w:fill="0067B3"/>
          </w:tcPr>
          <w:p>
            <w:pPr>
              <w:spacing w:after="0"/>
              <w:rPr>
                <w:sz w:val="20"/>
                <w:szCs w:val="20"/>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270"/>
        </w:trPr>
        <w:tc>
          <w:tcPr>
            <w:tcW w:w="49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20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26,572</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29,113</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42,879</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(1)</w:t>
            </w:r>
          </w:p>
        </w:tc>
        <w:tc>
          <w:tcPr>
            <w:tcW w:w="3200" w:type="dxa"/>
            <w:vAlign w:val="bottom"/>
          </w:tcPr>
          <w:p>
            <w:pPr>
              <w:jc w:val="right"/>
              <w:ind w:right="153"/>
              <w:spacing w:after="0"/>
              <w:rPr>
                <w:sz w:val="20"/>
                <w:szCs w:val="20"/>
                <w:color w:val="auto"/>
              </w:rPr>
            </w:pPr>
            <w:r>
              <w:rPr>
                <w:rFonts w:ascii="Arial" w:cs="Arial" w:eastAsia="Arial" w:hAnsi="Arial"/>
                <w:sz w:val="18"/>
                <w:szCs w:val="18"/>
                <w:color w:val="auto"/>
              </w:rPr>
              <w:t>10,416</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6,987</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10,505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5,600,000</w:t>
            </w:r>
          </w:p>
        </w:tc>
        <w:tc>
          <w:tcPr>
            <w:tcW w:w="0" w:type="dxa"/>
            <w:vAlign w:val="bottom"/>
          </w:tcPr>
          <w:p>
            <w:pPr>
              <w:spacing w:after="0"/>
              <w:rPr>
                <w:sz w:val="1"/>
                <w:szCs w:val="1"/>
                <w:color w:val="auto"/>
              </w:rPr>
            </w:pPr>
          </w:p>
        </w:tc>
      </w:tr>
      <w:tr>
        <w:trPr>
          <w:trHeight w:val="270"/>
        </w:trPr>
        <w:tc>
          <w:tcPr>
            <w:tcW w:w="49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320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14,880</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9,982</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15,008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63"/>
        </w:trPr>
        <w:tc>
          <w:tcPr>
            <w:tcW w:w="49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200" w:type="dxa"/>
            <w:vAlign w:val="bottom"/>
          </w:tcPr>
          <w:p>
            <w:pPr>
              <w:jc w:val="right"/>
              <w:ind w:right="153"/>
              <w:spacing w:after="0"/>
              <w:rPr>
                <w:sz w:val="20"/>
                <w:szCs w:val="20"/>
                <w:color w:val="auto"/>
              </w:rPr>
            </w:pPr>
            <w:r>
              <w:rPr>
                <w:rFonts w:ascii="Arial" w:cs="Arial" w:eastAsia="Arial" w:hAnsi="Arial"/>
                <w:sz w:val="18"/>
                <w:szCs w:val="18"/>
                <w:color w:val="auto"/>
              </w:rPr>
              <w:t>9,765</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6,550</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9,849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71"/>
        </w:trPr>
        <w:tc>
          <w:tcPr>
            <w:tcW w:w="490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3200" w:type="dxa"/>
            <w:vAlign w:val="bottom"/>
            <w:tcBorders>
              <w:bottom w:val="single" w:sz="8" w:color="0067B3"/>
            </w:tcBorders>
            <w:shd w:val="clear" w:color="auto" w:fill="E2E6F4"/>
          </w:tcPr>
          <w:p>
            <w:pPr>
              <w:jc w:val="right"/>
              <w:ind w:right="153"/>
              <w:spacing w:after="0"/>
              <w:rPr>
                <w:sz w:val="20"/>
                <w:szCs w:val="20"/>
                <w:color w:val="auto"/>
              </w:rPr>
            </w:pPr>
            <w:r>
              <w:rPr>
                <w:rFonts w:ascii="Arial" w:cs="Arial" w:eastAsia="Arial" w:hAnsi="Arial"/>
                <w:sz w:val="18"/>
                <w:szCs w:val="18"/>
                <w:color w:val="auto"/>
              </w:rPr>
              <w:t>9,300</w:t>
            </w:r>
          </w:p>
        </w:tc>
        <w:tc>
          <w:tcPr>
            <w:tcW w:w="940" w:type="dxa"/>
            <w:vAlign w:val="bottom"/>
            <w:tcBorders>
              <w:bottom w:val="single" w:sz="8" w:color="0067B3"/>
            </w:tcBorders>
            <w:shd w:val="clear" w:color="auto" w:fill="E2E6F4"/>
          </w:tcPr>
          <w:p>
            <w:pPr>
              <w:jc w:val="right"/>
              <w:ind w:right="133"/>
              <w:spacing w:after="0"/>
              <w:rPr>
                <w:sz w:val="20"/>
                <w:szCs w:val="20"/>
                <w:color w:val="auto"/>
              </w:rPr>
            </w:pPr>
            <w:r>
              <w:rPr>
                <w:rFonts w:ascii="Arial" w:cs="Arial" w:eastAsia="Arial" w:hAnsi="Arial"/>
                <w:sz w:val="18"/>
                <w:szCs w:val="18"/>
                <w:color w:val="auto"/>
              </w:rPr>
              <w:t>6,239</w:t>
            </w:r>
          </w:p>
        </w:tc>
        <w:tc>
          <w:tcPr>
            <w:tcW w:w="98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9,380</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17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Determining Fiscal Year 2023 Target Compensation</w:t>
      </w:r>
    </w:p>
    <w:p>
      <w:pPr>
        <w:spacing w:after="0" w:line="14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executive compensation program is designed to attract and retain top executive talent and align the interests of our executive officers, including our NEOs, and shareholders. The level of compensation for our executive officers is determined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126365</wp:posOffset>
            </wp:positionV>
            <wp:extent cx="7089140" cy="85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89140" cy="857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376"/>
        </w:trPr>
        <w:tc>
          <w:tcPr>
            <w:tcW w:w="58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w w:val="91"/>
              </w:rPr>
              <w:t>1</w:t>
            </w:r>
          </w:p>
        </w:tc>
        <w:tc>
          <w:tcPr>
            <w:tcW w:w="372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 xml:space="preserve">First, we ensure our executive   </w:t>
            </w:r>
            <w:r>
              <w:rPr>
                <w:rFonts w:ascii="Arial" w:cs="Arial" w:eastAsia="Arial" w:hAnsi="Arial"/>
                <w:sz w:val="43"/>
                <w:szCs w:val="43"/>
                <w:b w:val="1"/>
                <w:bCs w:val="1"/>
                <w:color w:val="0067B3"/>
              </w:rPr>
              <w:t>2</w:t>
            </w:r>
          </w:p>
        </w:tc>
        <w:tc>
          <w:tcPr>
            <w:tcW w:w="3100" w:type="dxa"/>
            <w:vAlign w:val="bottom"/>
            <w:vMerge w:val="restart"/>
          </w:tcPr>
          <w:p>
            <w:pPr>
              <w:ind w:left="340"/>
              <w:spacing w:after="0"/>
              <w:rPr>
                <w:sz w:val="20"/>
                <w:szCs w:val="20"/>
                <w:color w:val="auto"/>
              </w:rPr>
            </w:pPr>
            <w:r>
              <w:rPr>
                <w:rFonts w:ascii="Arial" w:cs="Arial" w:eastAsia="Arial" w:hAnsi="Arial"/>
                <w:sz w:val="18"/>
                <w:szCs w:val="18"/>
                <w:b w:val="1"/>
                <w:bCs w:val="1"/>
                <w:color w:val="0067B3"/>
              </w:rPr>
              <w:t>We then consider a variety of</w:t>
            </w:r>
          </w:p>
        </w:tc>
        <w:tc>
          <w:tcPr>
            <w:tcW w:w="66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rPr>
              <w:t>3</w:t>
            </w:r>
          </w:p>
        </w:tc>
        <w:tc>
          <w:tcPr>
            <w:tcW w:w="3000" w:type="dxa"/>
            <w:vAlign w:val="bottom"/>
          </w:tcPr>
          <w:p>
            <w:pPr>
              <w:ind w:left="320"/>
              <w:spacing w:after="0"/>
              <w:rPr>
                <w:sz w:val="20"/>
                <w:szCs w:val="20"/>
                <w:color w:val="auto"/>
              </w:rPr>
            </w:pPr>
            <w:r>
              <w:rPr>
                <w:rFonts w:ascii="Arial" w:cs="Arial" w:eastAsia="Arial" w:hAnsi="Arial"/>
                <w:sz w:val="18"/>
                <w:szCs w:val="18"/>
                <w:b w:val="1"/>
                <w:bCs w:val="1"/>
                <w:color w:val="0067B3"/>
              </w:rPr>
              <w:t>We structure our</w:t>
            </w: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0" w:type="dxa"/>
            <w:vAlign w:val="bottom"/>
          </w:tcPr>
          <w:p>
            <w:pPr>
              <w:ind w:left="320"/>
              <w:spacing w:after="0" w:line="181" w:lineRule="exact"/>
              <w:rPr>
                <w:sz w:val="20"/>
                <w:szCs w:val="20"/>
                <w:color w:val="auto"/>
              </w:rPr>
            </w:pPr>
            <w:r>
              <w:rPr>
                <w:rFonts w:ascii="Arial" w:cs="Arial" w:eastAsia="Arial" w:hAnsi="Arial"/>
                <w:sz w:val="18"/>
                <w:szCs w:val="18"/>
                <w:b w:val="1"/>
                <w:bCs w:val="1"/>
                <w:color w:val="0067B3"/>
                <w:w w:val="99"/>
              </w:rPr>
              <w:t>compensation package to align</w:t>
            </w: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3720" w:type="dxa"/>
            <w:vAlign w:val="bottom"/>
          </w:tcPr>
          <w:p>
            <w:pPr>
              <w:ind w:left="320"/>
              <w:spacing w:after="0" w:line="143" w:lineRule="exact"/>
              <w:rPr>
                <w:sz w:val="20"/>
                <w:szCs w:val="20"/>
                <w:color w:val="auto"/>
              </w:rPr>
            </w:pPr>
            <w:r>
              <w:rPr>
                <w:rFonts w:ascii="Arial" w:cs="Arial" w:eastAsia="Arial" w:hAnsi="Arial"/>
                <w:sz w:val="16"/>
                <w:szCs w:val="16"/>
                <w:b w:val="1"/>
                <w:bCs w:val="1"/>
                <w:color w:val="0067B3"/>
              </w:rPr>
              <w:t>compensation is competitive</w:t>
            </w:r>
          </w:p>
        </w:tc>
        <w:tc>
          <w:tcPr>
            <w:tcW w:w="3100" w:type="dxa"/>
            <w:vAlign w:val="bottom"/>
          </w:tcPr>
          <w:p>
            <w:pPr>
              <w:ind w:left="340"/>
              <w:spacing w:after="0" w:line="143" w:lineRule="exact"/>
              <w:rPr>
                <w:sz w:val="20"/>
                <w:szCs w:val="20"/>
                <w:color w:val="auto"/>
              </w:rPr>
            </w:pPr>
            <w:r>
              <w:rPr>
                <w:rFonts w:ascii="Arial" w:cs="Arial" w:eastAsia="Arial" w:hAnsi="Arial"/>
                <w:sz w:val="16"/>
                <w:szCs w:val="16"/>
                <w:b w:val="1"/>
                <w:bCs w:val="1"/>
                <w:color w:val="0067B3"/>
              </w:rPr>
              <w:t>factors</w:t>
            </w:r>
            <w:r>
              <w:rPr>
                <w:rFonts w:ascii="Arial" w:cs="Arial" w:eastAsia="Arial" w:hAnsi="Arial"/>
                <w:sz w:val="16"/>
                <w:szCs w:val="16"/>
                <w:b w:val="1"/>
                <w:bCs w:val="1"/>
                <w:color w:val="000000"/>
              </w:rPr>
              <w:t>,</w:t>
            </w:r>
            <w:r>
              <w:rPr>
                <w:rFonts w:ascii="Arial" w:cs="Arial" w:eastAsia="Arial" w:hAnsi="Arial"/>
                <w:sz w:val="16"/>
                <w:szCs w:val="16"/>
                <w:b w:val="1"/>
                <w:bCs w:val="1"/>
                <w:color w:val="0067B3"/>
              </w:rPr>
              <w:t xml:space="preserve"> </w:t>
            </w:r>
            <w:r>
              <w:rPr>
                <w:rFonts w:ascii="Arial" w:cs="Arial" w:eastAsia="Arial" w:hAnsi="Arial"/>
                <w:sz w:val="16"/>
                <w:szCs w:val="16"/>
                <w:color w:val="000000"/>
              </w:rPr>
              <w:t>including the scope of</w:t>
            </w:r>
          </w:p>
        </w:tc>
        <w:tc>
          <w:tcPr>
            <w:tcW w:w="660" w:type="dxa"/>
            <w:vAlign w:val="bottom"/>
          </w:tcPr>
          <w:p>
            <w:pPr>
              <w:spacing w:after="0"/>
              <w:rPr>
                <w:sz w:val="12"/>
                <w:szCs w:val="12"/>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our executive officers’</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and attracts and retains top</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the role, tenure in the position,</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interests with those of our</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executive talent by</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and the performance and</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 xml:space="preserve">shareholders </w:t>
            </w:r>
            <w:r>
              <w:rPr>
                <w:rFonts w:ascii="Arial" w:cs="Arial" w:eastAsia="Arial" w:hAnsi="Arial"/>
                <w:sz w:val="18"/>
                <w:szCs w:val="18"/>
                <w:color w:val="000000"/>
              </w:rPr>
              <w:t>by tying a</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understanding how the total</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experience of the individual when</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significant portion of their total</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target compensation (consisting</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deciding how to position each</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compensation directly to ADI’s</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of base salary, variable cash</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executive officer’s total target</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short- and long-term</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incentive compensation, and</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compensation to the total target</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performance. For executive</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annual long-term incentive</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compensation of those in similar</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officers, this is measured by</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compensation) of each of our</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positions within our peer group.</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OPBT, OPBT margin, year-over-</w:t>
            </w: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720" w:type="dxa"/>
            <w:vAlign w:val="bottom"/>
          </w:tcPr>
          <w:p>
            <w:pPr>
              <w:ind w:left="320"/>
              <w:spacing w:after="0" w:line="126" w:lineRule="exact"/>
              <w:rPr>
                <w:sz w:val="20"/>
                <w:szCs w:val="20"/>
                <w:color w:val="auto"/>
              </w:rPr>
            </w:pPr>
            <w:r>
              <w:rPr>
                <w:rFonts w:ascii="Arial" w:cs="Arial" w:eastAsia="Arial" w:hAnsi="Arial"/>
                <w:sz w:val="13"/>
                <w:szCs w:val="13"/>
                <w:color w:val="auto"/>
              </w:rPr>
              <w:t>executive officers compares to</w:t>
            </w:r>
          </w:p>
        </w:tc>
        <w:tc>
          <w:tcPr>
            <w:tcW w:w="3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-1236345</wp:posOffset>
            </wp:positionV>
            <wp:extent cx="360045" cy="274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0045" cy="2743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-1236345</wp:posOffset>
            </wp:positionV>
            <wp:extent cx="334010" cy="3346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-1236345</wp:posOffset>
            </wp:positionV>
            <wp:extent cx="334645" cy="3257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645" cy="32575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8"/>
        </w:trPr>
        <w:tc>
          <w:tcPr>
            <w:tcW w:w="5000" w:type="dxa"/>
            <w:vAlign w:val="bottom"/>
            <w:vMerge w:val="restart"/>
          </w:tcPr>
          <w:p>
            <w:pPr>
              <w:spacing w:after="0"/>
              <w:rPr>
                <w:sz w:val="20"/>
                <w:szCs w:val="20"/>
                <w:color w:val="auto"/>
              </w:rPr>
            </w:pPr>
            <w:r>
              <w:rPr>
                <w:rFonts w:ascii="Arial" w:cs="Arial" w:eastAsia="Arial" w:hAnsi="Arial"/>
                <w:sz w:val="18"/>
                <w:szCs w:val="18"/>
                <w:color w:val="auto"/>
              </w:rPr>
              <w:t>the target total compensation of</w:t>
            </w:r>
          </w:p>
        </w:tc>
        <w:tc>
          <w:tcPr>
            <w:tcW w:w="4920" w:type="dxa"/>
            <w:vAlign w:val="bottom"/>
          </w:tcPr>
          <w:p>
            <w:pPr>
              <w:ind w:left="2480"/>
              <w:spacing w:after="0" w:line="198" w:lineRule="exact"/>
              <w:rPr>
                <w:sz w:val="20"/>
                <w:szCs w:val="20"/>
                <w:color w:val="auto"/>
              </w:rPr>
            </w:pPr>
            <w:r>
              <w:rPr>
                <w:rFonts w:ascii="Arial" w:cs="Arial" w:eastAsia="Arial" w:hAnsi="Arial"/>
                <w:sz w:val="18"/>
                <w:szCs w:val="18"/>
                <w:color w:val="auto"/>
                <w:w w:val="99"/>
              </w:rPr>
              <w:t>year revenue growth, absolute</w:t>
            </w: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stock price appreciation, and</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those in similar positions within</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relative TSR, which all drive</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our peer group.</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000" w:type="dxa"/>
            <w:vAlign w:val="bottom"/>
            <w:vMerge w:val="continue"/>
          </w:tcPr>
          <w:p>
            <w:pPr>
              <w:spacing w:after="0"/>
              <w:rPr>
                <w:sz w:val="11"/>
                <w:szCs w:val="11"/>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shareholder value creation.</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80" w:hanging="454"/>
        <w:spacing w:after="0"/>
        <w:tabs>
          <w:tab w:leader="none" w:pos="480" w:val="left"/>
        </w:tabs>
        <w:numPr>
          <w:ilvl w:val="0"/>
          <w:numId w:val="10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7"/>
          <w:szCs w:val="27"/>
          <w:b w:val="1"/>
          <w:bCs w:val="1"/>
          <w:color w:val="0067B3"/>
        </w:rPr>
        <w:t>Determining Fiscal Year 2023 Target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CEO and Chair Compensation Determination Process</w:t>
      </w:r>
    </w:p>
    <w:p>
      <w:pPr>
        <w:spacing w:after="0" w:line="1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an annual basis, the Compensation and Talent Committee takes a holistic approach to determining a compensation package for our CEO and Chair, completing a robust evaluation of ADI’s recent and long-term performance, the strategic direction of ADI, and peer compensation benchmarking and practices.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Company Performance</w:t>
      </w:r>
      <w:r>
        <w:rPr>
          <w:rFonts w:ascii="Arial" w:cs="Arial" w:eastAsia="Arial" w:hAnsi="Arial"/>
          <w:sz w:val="18"/>
          <w:szCs w:val="18"/>
          <w:color w:val="auto"/>
        </w:rPr>
        <w:t>. When the Compensation and Talent Committee determines executive compensation, including that of Mr. Roche, it</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evaluates ADI’s financial performance and shareholder value creation. The Compensation and Talent Committee considers both historical and go-forward strategic objectives and financial goals.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Key factors considered when determining Mr. Roche’s fiscal year 2023 target compensation included:</w:t>
      </w:r>
    </w:p>
    <w:p>
      <w:pPr>
        <w:spacing w:after="0" w:line="117" w:lineRule="exact"/>
        <w:rPr>
          <w:sz w:val="20"/>
          <w:szCs w:val="20"/>
          <w:color w:val="auto"/>
        </w:rPr>
      </w:pPr>
    </w:p>
    <w:p>
      <w:pPr>
        <w:ind w:left="200" w:right="360" w:hanging="192"/>
        <w:spacing w:after="0" w:line="287" w:lineRule="auto"/>
        <w:tabs>
          <w:tab w:leader="none" w:pos="157" w:val="left"/>
        </w:tabs>
        <w:numPr>
          <w:ilvl w:val="0"/>
          <w:numId w:val="104"/>
        </w:numPr>
        <w:rPr>
          <w:rFonts w:ascii="Arial" w:cs="Arial" w:eastAsia="Arial" w:hAnsi="Arial"/>
          <w:sz w:val="13"/>
          <w:szCs w:val="13"/>
          <w:color w:val="0067B3"/>
        </w:rPr>
      </w:pPr>
      <w:r>
        <w:rPr>
          <w:rFonts w:ascii="Arial" w:cs="Arial" w:eastAsia="Arial" w:hAnsi="Arial"/>
          <w:sz w:val="18"/>
          <w:szCs w:val="18"/>
          <w:color w:val="auto"/>
        </w:rPr>
        <w:t>ADI’s TSR of 40% from the beginning of fiscal year 2020 until the end of fiscal year 2022, compared to 34% for the S&amp;P 500, reflecting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19284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9184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right="960" w:hanging="192"/>
        <w:spacing w:after="0" w:line="287" w:lineRule="auto"/>
        <w:tabs>
          <w:tab w:leader="none" w:pos="157" w:val="left"/>
        </w:tabs>
        <w:numPr>
          <w:ilvl w:val="0"/>
          <w:numId w:val="105"/>
        </w:numPr>
        <w:rPr>
          <w:rFonts w:ascii="Arial" w:cs="Arial" w:eastAsia="Arial" w:hAnsi="Arial"/>
          <w:sz w:val="13"/>
          <w:szCs w:val="13"/>
          <w:color w:val="0067B3"/>
        </w:rPr>
      </w:pPr>
      <w:r>
        <w:rPr>
          <w:rFonts w:ascii="Arial" w:cs="Arial" w:eastAsia="Arial" w:hAnsi="Arial"/>
          <w:sz w:val="18"/>
          <w:szCs w:val="18"/>
          <w:color w:val="auto"/>
        </w:rPr>
        <w:t>ADI’s market cap growth during Mr. Roche’s tenure as our CEO (approximately $15.5 billion as of the end of fiscal year 2013 to approximately $73.8 billion as of the end of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80" w:hanging="221"/>
        <w:spacing w:after="0"/>
        <w:tabs>
          <w:tab w:leader="none" w:pos="3080"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Mr. Roche was appointed as CEO on May 6, 2013.</w:t>
      </w:r>
    </w:p>
    <w:p>
      <w:pPr>
        <w:spacing w:after="0" w:line="78" w:lineRule="exact"/>
        <w:rPr>
          <w:sz w:val="20"/>
          <w:szCs w:val="20"/>
          <w:color w:val="auto"/>
        </w:rPr>
      </w:pPr>
    </w:p>
    <w:p>
      <w:pPr>
        <w:ind w:left="200" w:right="100" w:hanging="192"/>
        <w:spacing w:after="0" w:line="268" w:lineRule="auto"/>
        <w:tabs>
          <w:tab w:leader="none" w:pos="157" w:val="left"/>
        </w:tabs>
        <w:numPr>
          <w:ilvl w:val="0"/>
          <w:numId w:val="107"/>
        </w:numPr>
        <w:rPr>
          <w:rFonts w:ascii="Arial" w:cs="Arial" w:eastAsia="Arial" w:hAnsi="Arial"/>
          <w:sz w:val="13"/>
          <w:szCs w:val="13"/>
          <w:color w:val="0067B3"/>
        </w:rPr>
      </w:pPr>
      <w:r>
        <w:rPr>
          <w:rFonts w:ascii="Arial" w:cs="Arial" w:eastAsia="Arial" w:hAnsi="Arial"/>
          <w:sz w:val="18"/>
          <w:szCs w:val="18"/>
          <w:color w:val="auto"/>
        </w:rPr>
        <w:t>ADI’s quarterly revenue growth of 149% from the quarterly period ended February 1, 2020 through the quarterly period ended October 28, 2022 and over 380% from the quarterly period ended August 3, 2013 through the quarterly period ended October 28, 2022, representing compound average growth rates of approximately 36% and 18%, respectively;</w:t>
      </w:r>
    </w:p>
    <w:p>
      <w:pPr>
        <w:spacing w:after="0" w:line="30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757555</wp:posOffset>
            </wp:positionV>
            <wp:extent cx="3308985" cy="18599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330898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hanging="152"/>
        <w:spacing w:after="0"/>
        <w:tabs>
          <w:tab w:leader="none" w:pos="160" w:val="left"/>
        </w:tabs>
        <w:numPr>
          <w:ilvl w:val="0"/>
          <w:numId w:val="108"/>
        </w:numPr>
        <w:rPr>
          <w:rFonts w:ascii="Arial" w:cs="Arial" w:eastAsia="Arial" w:hAnsi="Arial"/>
          <w:sz w:val="13"/>
          <w:szCs w:val="13"/>
          <w:color w:val="0067B3"/>
        </w:rPr>
      </w:pPr>
      <w:r>
        <w:rPr>
          <w:rFonts w:ascii="Arial" w:cs="Arial" w:eastAsia="Arial" w:hAnsi="Arial"/>
          <w:sz w:val="18"/>
          <w:szCs w:val="18"/>
          <w:color w:val="auto"/>
        </w:rPr>
        <w:t>Completion and integration of key acquisitions, including Maxim and Linear Technology; and</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08"/>
        </w:numPr>
        <w:rPr>
          <w:rFonts w:ascii="Arial" w:cs="Arial" w:eastAsia="Arial" w:hAnsi="Arial"/>
          <w:sz w:val="13"/>
          <w:szCs w:val="13"/>
          <w:color w:val="0067B3"/>
        </w:rPr>
      </w:pPr>
      <w:r>
        <w:rPr>
          <w:rFonts w:ascii="Arial" w:cs="Arial" w:eastAsia="Arial" w:hAnsi="Arial"/>
          <w:sz w:val="18"/>
          <w:szCs w:val="18"/>
          <w:color w:val="auto"/>
        </w:rPr>
        <w:t>GAAP and non-GAAP operating margin increases during Mr. Roche’s tenure.</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ADI’s Strategy. </w:t>
      </w:r>
      <w:r>
        <w:rPr>
          <w:rFonts w:ascii="Arial" w:cs="Arial" w:eastAsia="Arial" w:hAnsi="Arial"/>
          <w:sz w:val="18"/>
          <w:szCs w:val="18"/>
          <w:color w:val="auto"/>
        </w:rPr>
        <w:t>In addition, the Compensation and Talent Committee considers ADI’s strategic direction and the role of the CEO when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compensation. The Committee considered Mr. Roche’s leadership throughout his tenure as CEO, as well as the importance of retaining him to guide ADI through its next chapter of long-term growth. Specifically, the Committee considered:</w:t>
      </w:r>
    </w:p>
    <w:p>
      <w:pPr>
        <w:spacing w:after="0" w:line="22" w:lineRule="exact"/>
        <w:rPr>
          <w:sz w:val="20"/>
          <w:szCs w:val="20"/>
          <w:color w:val="auto"/>
        </w:rPr>
      </w:pPr>
    </w:p>
    <w:p>
      <w:pPr>
        <w:ind w:left="160" w:hanging="152"/>
        <w:spacing w:after="0"/>
        <w:tabs>
          <w:tab w:leader="none" w:pos="160" w:val="left"/>
        </w:tabs>
        <w:numPr>
          <w:ilvl w:val="0"/>
          <w:numId w:val="109"/>
        </w:numPr>
        <w:rPr>
          <w:rFonts w:ascii="Arial" w:cs="Arial" w:eastAsia="Arial" w:hAnsi="Arial"/>
          <w:sz w:val="13"/>
          <w:szCs w:val="13"/>
          <w:color w:val="0067B3"/>
        </w:rPr>
      </w:pPr>
      <w:r>
        <w:rPr>
          <w:rFonts w:ascii="Arial" w:cs="Arial" w:eastAsia="Arial" w:hAnsi="Arial"/>
          <w:sz w:val="18"/>
          <w:szCs w:val="18"/>
          <w:color w:val="auto"/>
        </w:rPr>
        <w:t>Mr. Roche’s exceptional leadership throughout his tenure as CEO, during which he:</w:t>
      </w:r>
    </w:p>
    <w:p>
      <w:pPr>
        <w:spacing w:after="0" w:line="90" w:lineRule="exact"/>
        <w:rPr>
          <w:rFonts w:ascii="Arial" w:cs="Arial" w:eastAsia="Arial" w:hAnsi="Arial"/>
          <w:sz w:val="13"/>
          <w:szCs w:val="13"/>
          <w:color w:val="0067B3"/>
        </w:rPr>
      </w:pPr>
    </w:p>
    <w:p>
      <w:pPr>
        <w:ind w:left="400" w:right="420" w:hanging="194"/>
        <w:spacing w:after="0" w:line="287" w:lineRule="auto"/>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Expanded ADI’s global scale and reach, including completing 13 acquisitions and more than doubling ADI’s customer base to over</w:t>
      </w:r>
      <w:r>
        <w:rPr>
          <w:rFonts w:ascii="Arial" w:cs="Arial" w:eastAsia="Arial" w:hAnsi="Arial"/>
          <w:sz w:val="18"/>
          <w:szCs w:val="18"/>
          <w:color w:val="0067B3"/>
        </w:rPr>
        <w:t xml:space="preserve"> </w:t>
      </w:r>
      <w:r>
        <w:rPr>
          <w:rFonts w:ascii="Arial" w:cs="Arial" w:eastAsia="Arial" w:hAnsi="Arial"/>
          <w:sz w:val="18"/>
          <w:szCs w:val="18"/>
          <w:color w:val="000000"/>
        </w:rPr>
        <w:t>125,000 worldwide;</w:t>
      </w:r>
    </w:p>
    <w:p>
      <w:pPr>
        <w:spacing w:after="0" w:line="4" w:lineRule="exact"/>
        <w:rPr>
          <w:rFonts w:ascii="Arial" w:cs="Arial" w:eastAsia="Arial" w:hAnsi="Arial"/>
          <w:sz w:val="13"/>
          <w:szCs w:val="13"/>
          <w:color w:val="0067B3"/>
        </w:rPr>
      </w:pPr>
    </w:p>
    <w:p>
      <w:pPr>
        <w:ind w:left="400" w:right="1020" w:hanging="194"/>
        <w:spacing w:after="0" w:line="287" w:lineRule="auto"/>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Pioneered innovations that set the standard in semiconductors, establishing industry-leading positions in high-performance</w:t>
      </w:r>
      <w:r>
        <w:rPr>
          <w:rFonts w:ascii="Arial" w:cs="Arial" w:eastAsia="Arial" w:hAnsi="Arial"/>
          <w:sz w:val="18"/>
          <w:szCs w:val="18"/>
          <w:color w:val="0067B3"/>
        </w:rPr>
        <w:t xml:space="preserve"> </w:t>
      </w:r>
      <w:r>
        <w:rPr>
          <w:rFonts w:ascii="Arial" w:cs="Arial" w:eastAsia="Arial" w:hAnsi="Arial"/>
          <w:sz w:val="18"/>
          <w:szCs w:val="18"/>
          <w:color w:val="000000"/>
        </w:rPr>
        <w:t>technology markets;</w:t>
      </w:r>
    </w:p>
    <w:p>
      <w:pPr>
        <w:spacing w:after="0" w:line="4" w:lineRule="exact"/>
        <w:rPr>
          <w:rFonts w:ascii="Arial" w:cs="Arial" w:eastAsia="Arial" w:hAnsi="Arial"/>
          <w:sz w:val="13"/>
          <w:szCs w:val="13"/>
          <w:color w:val="0067B3"/>
        </w:rPr>
      </w:pPr>
    </w:p>
    <w:p>
      <w:pPr>
        <w:ind w:left="400" w:right="720" w:hanging="194"/>
        <w:spacing w:after="0" w:line="287" w:lineRule="auto"/>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Spearheaded ADI’s strategic shift away from the consumer business toward business-to-business (B2B) businesses, including</w:t>
      </w:r>
      <w:r>
        <w:rPr>
          <w:rFonts w:ascii="Arial" w:cs="Arial" w:eastAsia="Arial" w:hAnsi="Arial"/>
          <w:sz w:val="18"/>
          <w:szCs w:val="18"/>
          <w:color w:val="0067B3"/>
        </w:rPr>
        <w:t xml:space="preserve"> </w:t>
      </w:r>
      <w:r>
        <w:rPr>
          <w:rFonts w:ascii="Arial" w:cs="Arial" w:eastAsia="Arial" w:hAnsi="Arial"/>
          <w:sz w:val="18"/>
          <w:szCs w:val="18"/>
          <w:color w:val="000000"/>
        </w:rPr>
        <w:t>industrial, automotive, and communications, to enhance ADI’s resiliency through cycles;</w:t>
      </w:r>
    </w:p>
    <w:p>
      <w:pPr>
        <w:spacing w:after="0" w:line="17" w:lineRule="exact"/>
        <w:rPr>
          <w:rFonts w:ascii="Arial" w:cs="Arial" w:eastAsia="Arial" w:hAnsi="Arial"/>
          <w:sz w:val="13"/>
          <w:szCs w:val="13"/>
          <w:color w:val="0067B3"/>
        </w:rPr>
      </w:pPr>
    </w:p>
    <w:p>
      <w:pPr>
        <w:ind w:left="400" w:right="440" w:hanging="194"/>
        <w:spacing w:after="0" w:line="287" w:lineRule="auto"/>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Increased the breadth and depth of ADI’s hybrid manufacturing model with more than 50 production sites and 20 external partners</w:t>
      </w:r>
      <w:r>
        <w:rPr>
          <w:rFonts w:ascii="Arial" w:cs="Arial" w:eastAsia="Arial" w:hAnsi="Arial"/>
          <w:sz w:val="18"/>
          <w:szCs w:val="18"/>
          <w:color w:val="0067B3"/>
        </w:rPr>
        <w:t xml:space="preserve"> </w:t>
      </w:r>
      <w:r>
        <w:rPr>
          <w:rFonts w:ascii="Arial" w:cs="Arial" w:eastAsia="Arial" w:hAnsi="Arial"/>
          <w:sz w:val="18"/>
          <w:szCs w:val="18"/>
          <w:color w:val="000000"/>
        </w:rPr>
        <w:t>across 10 countries as of the end of fiscal year 2022; and</w:t>
      </w:r>
    </w:p>
    <w:p>
      <w:pPr>
        <w:spacing w:after="0" w:line="4"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Built a more innovative, customer-centric culture.</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09"/>
        </w:numPr>
        <w:rPr>
          <w:rFonts w:ascii="Arial" w:cs="Arial" w:eastAsia="Arial" w:hAnsi="Arial"/>
          <w:sz w:val="13"/>
          <w:szCs w:val="13"/>
          <w:color w:val="0067B3"/>
        </w:rPr>
      </w:pPr>
      <w:r>
        <w:rPr>
          <w:rFonts w:ascii="Arial" w:cs="Arial" w:eastAsia="Arial" w:hAnsi="Arial"/>
          <w:sz w:val="18"/>
          <w:szCs w:val="18"/>
          <w:color w:val="auto"/>
        </w:rPr>
        <w:t>Mr. Roche’s critical role in guiding the company through its next strategic phase, during which he is expected to</w:t>
      </w:r>
    </w:p>
    <w:p>
      <w:pPr>
        <w:spacing w:after="0" w:line="90"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Execute on an aggressive long-term financial model, which includes significant revenue growth and a robust capital allocation strategy;</w:t>
      </w:r>
    </w:p>
    <w:p>
      <w:pPr>
        <w:spacing w:after="0" w:line="76"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Focus on moving up the technology stack to build and empower the Intelligent Edge;</w:t>
      </w:r>
    </w:p>
    <w:p>
      <w:pPr>
        <w:spacing w:after="0" w:line="76"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Expand ADI’s product universe to embed more software and systems;</w:t>
      </w:r>
    </w:p>
    <w:p>
      <w:pPr>
        <w:spacing w:after="0" w:line="90"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Deliver more complete solutions for customers in vertical end markets, including driving business in industries such as healthcare;</w:t>
      </w:r>
    </w:p>
    <w:p>
      <w:pPr>
        <w:spacing w:after="0" w:line="76" w:lineRule="exact"/>
        <w:rPr>
          <w:rFonts w:ascii="Arial" w:cs="Arial" w:eastAsia="Arial" w:hAnsi="Arial"/>
          <w:sz w:val="13"/>
          <w:szCs w:val="13"/>
          <w:color w:val="0067B3"/>
        </w:rPr>
      </w:pPr>
    </w:p>
    <w:p>
      <w:pPr>
        <w:ind w:left="400" w:right="40" w:hanging="194"/>
        <w:spacing w:after="0" w:line="262" w:lineRule="auto"/>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Drive bold sustainability goals for ADI, including Net Zero by 2050 and 100% renewable energy for ADI’s manufacturing facilities by</w:t>
      </w:r>
      <w:r>
        <w:rPr>
          <w:rFonts w:ascii="Arial" w:cs="Arial" w:eastAsia="Arial" w:hAnsi="Arial"/>
          <w:sz w:val="18"/>
          <w:szCs w:val="18"/>
          <w:color w:val="0067B3"/>
        </w:rPr>
        <w:t xml:space="preserve"> </w:t>
      </w:r>
      <w:r>
        <w:rPr>
          <w:rFonts w:ascii="Arial" w:cs="Arial" w:eastAsia="Arial" w:hAnsi="Arial"/>
          <w:sz w:val="18"/>
          <w:szCs w:val="18"/>
          <w:color w:val="000000"/>
        </w:rPr>
        <w:t>2025, a 50% absolute reduction in Scope 1 and 2 greenhouse gas emissions by 2030, and most recently a 50% reduction in total water withdrawn for our operations normalized to fab production output by 2027, which is in addition to ADI’s progress of reaching a 25% water recycling rate in manufacturing facilities; and</w:t>
      </w:r>
    </w:p>
    <w:p>
      <w:pPr>
        <w:spacing w:after="0" w:line="27"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0067B3"/>
        </w:rPr>
        <w:t xml:space="preserve">— </w:t>
      </w:r>
      <w:r>
        <w:rPr>
          <w:rFonts w:ascii="Arial" w:cs="Arial" w:eastAsia="Arial" w:hAnsi="Arial"/>
          <w:sz w:val="18"/>
          <w:szCs w:val="18"/>
          <w:color w:val="000000"/>
        </w:rPr>
        <w:t>Continue to transform the Leadership Team and the Board of Directors to position ADI for continued future long-term growth.</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Compensation and Talent Committee believes that the targets it has set and will continue to set are aligned with our internal operating plan and also consider our long-term financial model. This ambitious plan–and corresponding challenging financial targets underlying our PRSUs–are consistent with our value creation strategy and are designed to generate superior returns for shareholders.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Peer Benchmarking</w:t>
      </w:r>
      <w:r>
        <w:rPr>
          <w:rFonts w:ascii="Arial" w:cs="Arial" w:eastAsia="Arial" w:hAnsi="Arial"/>
          <w:sz w:val="18"/>
          <w:szCs w:val="18"/>
          <w:color w:val="auto"/>
        </w:rPr>
        <w:t>. The Compensation and Talent Committee reviews peer company CEO compensation data with its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consultant, Pearl Meyer, to inform its determination of CEO pay structure and target values. In addition to benchmarking data, Pearl Meyer provides a review of trends in CEO compensation for context and to ensure ADI remains competitive and consistent with the market.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and Talent Committee discussed the peer benchmarking information alone, which, while instructive and helpful, is more meaningful when considered in the context of company performance. For fiscal year 2023, the Compensation and Talent Committee focused on the correlation of CEO compensation with company performance, at both ADI and peer companies, over specified periods. Specifically, the Compensation and Talent Committee reviewed the compensation benchmarking data as compared to market cap, trailing 12-month revenue, free cash flow, EBITDA, and 1- and 3-year TSR measures.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hanging="454"/>
        <w:spacing w:after="0"/>
        <w:tabs>
          <w:tab w:leader="none" w:pos="480" w:val="left"/>
        </w:tabs>
        <w:numPr>
          <w:ilvl w:val="0"/>
          <w:numId w:val="11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3"/>
          <w:szCs w:val="23"/>
          <w:b w:val="1"/>
          <w:bCs w:val="1"/>
          <w:color w:val="auto"/>
        </w:rPr>
        <w:t>Fiscal Year 2023 CEO and Chair Compensation Decisions</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factors listed above and discussions with its independent compensation consultant, the Compensation and Talent Committee determined to increase Mr. Roche’s target total compensation package in fiscal year 2023. To further incentivize Mr. Roche to continue driving future long-term growth and consistent with feedback we received from shareholders, the Compensation and Talent Committee also increased the weighting of Mr. Roche’s annual long-term incentive compensation that is tied to challenging long-term performance goals. The Compensation and Talent Committee considers Mr. Roche’s fiscal year 2023 compensation package to be aligned with the interests of our shareholders and appropriate given his importance in driving ADI’s future success.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cash compensation package, in consideration of the factors listed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shd w:val="clear" w:color="auto" w:fill="0067B3"/>
          </w:tcPr>
          <w:p>
            <w:pPr>
              <w:spacing w:after="0"/>
              <w:rPr>
                <w:sz w:val="18"/>
                <w:szCs w:val="18"/>
                <w:color w:val="auto"/>
              </w:rPr>
            </w:pPr>
          </w:p>
        </w:tc>
        <w:tc>
          <w:tcPr>
            <w:tcW w:w="150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Fiscal Year 2023</w:t>
            </w:r>
          </w:p>
        </w:tc>
        <w:tc>
          <w:tcPr>
            <w:tcW w:w="220" w:type="dxa"/>
            <w:vAlign w:val="bottom"/>
            <w:shd w:val="clear" w:color="auto" w:fill="0067B3"/>
          </w:tcPr>
          <w:p>
            <w:pPr>
              <w:spacing w:after="0"/>
              <w:rPr>
                <w:sz w:val="18"/>
                <w:szCs w:val="18"/>
                <w:color w:val="auto"/>
              </w:rPr>
            </w:pPr>
          </w:p>
        </w:tc>
        <w:tc>
          <w:tcPr>
            <w:tcW w:w="5980" w:type="dxa"/>
            <w:vAlign w:val="bottom"/>
            <w:shd w:val="clear" w:color="auto" w:fill="0067B3"/>
          </w:tcPr>
          <w:p>
            <w:pPr>
              <w:spacing w:after="0"/>
              <w:rPr>
                <w:sz w:val="18"/>
                <w:szCs w:val="18"/>
                <w:color w:val="auto"/>
              </w:rPr>
            </w:pPr>
          </w:p>
        </w:tc>
      </w:tr>
      <w:tr>
        <w:trPr>
          <w:trHeight w:val="230"/>
        </w:trPr>
        <w:tc>
          <w:tcPr>
            <w:tcW w:w="35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Cash Compensation</w:t>
            </w:r>
          </w:p>
        </w:tc>
        <w:tc>
          <w:tcPr>
            <w:tcW w:w="150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Target Value</w:t>
            </w:r>
          </w:p>
        </w:tc>
        <w:tc>
          <w:tcPr>
            <w:tcW w:w="6200" w:type="dxa"/>
            <w:vAlign w:val="bottom"/>
            <w:gridSpan w:val="2"/>
            <w:shd w:val="clear" w:color="auto" w:fill="0067B3"/>
          </w:tcPr>
          <w:p>
            <w:pPr>
              <w:ind w:left="100"/>
              <w:spacing w:after="0"/>
              <w:rPr>
                <w:sz w:val="20"/>
                <w:szCs w:val="20"/>
                <w:color w:val="auto"/>
              </w:rPr>
            </w:pPr>
            <w:r>
              <w:rPr>
                <w:rFonts w:ascii="Arial" w:cs="Arial" w:eastAsia="Arial" w:hAnsi="Arial"/>
                <w:sz w:val="16"/>
                <w:szCs w:val="16"/>
                <w:b w:val="1"/>
                <w:bCs w:val="1"/>
                <w:color w:val="FFFFFF"/>
              </w:rPr>
              <w:t>Rationale</w:t>
            </w:r>
          </w:p>
        </w:tc>
      </w:tr>
      <w:tr>
        <w:trPr>
          <w:trHeight w:val="224"/>
        </w:trPr>
        <w:tc>
          <w:tcPr>
            <w:tcW w:w="3540" w:type="dxa"/>
            <w:vAlign w:val="bottom"/>
            <w:shd w:val="clear" w:color="auto" w:fill="E2E6F4"/>
          </w:tcPr>
          <w:p>
            <w:pPr>
              <w:ind w:left="20"/>
              <w:spacing w:after="0"/>
              <w:rPr>
                <w:sz w:val="20"/>
                <w:szCs w:val="20"/>
                <w:color w:val="auto"/>
              </w:rPr>
            </w:pPr>
            <w:r>
              <w:rPr>
                <w:rFonts w:ascii="Arial" w:cs="Arial" w:eastAsia="Arial" w:hAnsi="Arial"/>
                <w:sz w:val="18"/>
                <w:szCs w:val="18"/>
                <w:color w:val="auto"/>
              </w:rPr>
              <w:t>Base Salary</w:t>
            </w:r>
          </w:p>
        </w:tc>
        <w:tc>
          <w:tcPr>
            <w:tcW w:w="150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$1,200,000</w:t>
            </w:r>
          </w:p>
        </w:tc>
        <w:tc>
          <w:tcPr>
            <w:tcW w:w="220" w:type="dxa"/>
            <w:vAlign w:val="bottom"/>
            <w:shd w:val="clear" w:color="auto" w:fill="E2E6F4"/>
          </w:tcPr>
          <w:p>
            <w:pPr>
              <w:ind w:left="100"/>
              <w:spacing w:after="0"/>
              <w:rPr>
                <w:sz w:val="20"/>
                <w:szCs w:val="20"/>
                <w:color w:val="auto"/>
              </w:rPr>
            </w:pPr>
            <w:r>
              <w:rPr>
                <w:rFonts w:ascii="Arial" w:cs="Arial" w:eastAsia="Arial" w:hAnsi="Arial"/>
                <w:sz w:val="13"/>
                <w:szCs w:val="13"/>
                <w:color w:val="0067B3"/>
              </w:rPr>
              <w:t>u</w:t>
            </w:r>
          </w:p>
        </w:tc>
        <w:tc>
          <w:tcPr>
            <w:tcW w:w="5980" w:type="dxa"/>
            <w:vAlign w:val="bottom"/>
            <w:shd w:val="clear" w:color="auto" w:fill="E2E6F4"/>
          </w:tcPr>
          <w:p>
            <w:pPr>
              <w:ind w:left="40"/>
              <w:spacing w:after="0"/>
              <w:rPr>
                <w:sz w:val="20"/>
                <w:szCs w:val="20"/>
                <w:color w:val="auto"/>
              </w:rPr>
            </w:pPr>
            <w:r>
              <w:rPr>
                <w:rFonts w:ascii="Arial" w:cs="Arial" w:eastAsia="Arial" w:hAnsi="Arial"/>
                <w:sz w:val="18"/>
                <w:szCs w:val="18"/>
                <w:color w:val="auto"/>
              </w:rPr>
              <w:t>Increase of $100,000 (9.1%), to align target total cash compensation at</w:t>
            </w:r>
          </w:p>
        </w:tc>
      </w:tr>
      <w:tr>
        <w:trPr>
          <w:trHeight w:val="242"/>
        </w:trPr>
        <w:tc>
          <w:tcPr>
            <w:tcW w:w="3540" w:type="dxa"/>
            <w:vAlign w:val="bottom"/>
            <w:tcBorders>
              <w:bottom w:val="single" w:sz="8" w:color="E2E6F4"/>
            </w:tcBorders>
            <w:shd w:val="clear" w:color="auto" w:fill="E2E6F4"/>
          </w:tcPr>
          <w:p>
            <w:pPr>
              <w:spacing w:after="0"/>
              <w:rPr>
                <w:sz w:val="21"/>
                <w:szCs w:val="21"/>
                <w:color w:val="auto"/>
              </w:rPr>
            </w:pPr>
          </w:p>
        </w:tc>
        <w:tc>
          <w:tcPr>
            <w:tcW w:w="1500" w:type="dxa"/>
            <w:vAlign w:val="bottom"/>
            <w:tcBorders>
              <w:bottom w:val="single" w:sz="8" w:color="E2E6F4"/>
            </w:tcBorders>
            <w:shd w:val="clear" w:color="auto" w:fill="E2E6F4"/>
          </w:tcPr>
          <w:p>
            <w:pPr>
              <w:spacing w:after="0"/>
              <w:rPr>
                <w:sz w:val="21"/>
                <w:szCs w:val="21"/>
                <w:color w:val="auto"/>
              </w:rPr>
            </w:pPr>
          </w:p>
        </w:tc>
        <w:tc>
          <w:tcPr>
            <w:tcW w:w="220" w:type="dxa"/>
            <w:vAlign w:val="bottom"/>
            <w:tcBorders>
              <w:bottom w:val="single" w:sz="8" w:color="E2E6F4"/>
            </w:tcBorders>
            <w:shd w:val="clear" w:color="auto" w:fill="E2E6F4"/>
          </w:tcPr>
          <w:p>
            <w:pPr>
              <w:spacing w:after="0"/>
              <w:rPr>
                <w:sz w:val="21"/>
                <w:szCs w:val="21"/>
                <w:color w:val="auto"/>
              </w:rPr>
            </w:pPr>
          </w:p>
        </w:tc>
        <w:tc>
          <w:tcPr>
            <w:tcW w:w="5980" w:type="dxa"/>
            <w:vAlign w:val="bottom"/>
            <w:tcBorders>
              <w:bottom w:val="single" w:sz="8" w:color="E2E6F4"/>
            </w:tcBorders>
            <w:shd w:val="clear" w:color="auto" w:fill="E2E6F4"/>
          </w:tcPr>
          <w:p>
            <w:pPr>
              <w:ind w:left="80"/>
              <w:spacing w:after="0"/>
              <w:rPr>
                <w:sz w:val="20"/>
                <w:szCs w:val="20"/>
                <w:color w:val="auto"/>
              </w:rPr>
            </w:pPr>
            <w:r>
              <w:rPr>
                <w:rFonts w:ascii="Arial" w:cs="Arial" w:eastAsia="Arial" w:hAnsi="Arial"/>
                <w:sz w:val="18"/>
                <w:szCs w:val="18"/>
                <w:color w:val="auto"/>
              </w:rPr>
              <w:t>market competitive levels in recognition of Mr. Roche’s strong leadership</w:t>
            </w:r>
          </w:p>
        </w:tc>
      </w:tr>
      <w:tr>
        <w:trPr>
          <w:trHeight w:val="247"/>
        </w:trPr>
        <w:tc>
          <w:tcPr>
            <w:tcW w:w="3540" w:type="dxa"/>
            <w:vAlign w:val="bottom"/>
          </w:tcPr>
          <w:p>
            <w:pPr>
              <w:ind w:left="20"/>
              <w:spacing w:after="0"/>
              <w:rPr>
                <w:sz w:val="20"/>
                <w:szCs w:val="20"/>
                <w:color w:val="auto"/>
              </w:rPr>
            </w:pPr>
            <w:r>
              <w:rPr>
                <w:rFonts w:ascii="Arial" w:cs="Arial" w:eastAsia="Arial" w:hAnsi="Arial"/>
                <w:sz w:val="18"/>
                <w:szCs w:val="18"/>
                <w:color w:val="auto"/>
              </w:rPr>
              <w:t>Variable Cash Incentive Target Percentage</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220" w:type="dxa"/>
            <w:vAlign w:val="bottom"/>
          </w:tcPr>
          <w:p>
            <w:pPr>
              <w:ind w:left="100"/>
              <w:spacing w:after="0"/>
              <w:rPr>
                <w:sz w:val="20"/>
                <w:szCs w:val="20"/>
                <w:color w:val="auto"/>
              </w:rPr>
            </w:pPr>
            <w:r>
              <w:rPr>
                <w:rFonts w:ascii="Arial" w:cs="Arial" w:eastAsia="Arial" w:hAnsi="Arial"/>
                <w:sz w:val="13"/>
                <w:szCs w:val="13"/>
                <w:color w:val="0067B3"/>
              </w:rPr>
              <w:t>u</w:t>
            </w:r>
          </w:p>
        </w:tc>
        <w:tc>
          <w:tcPr>
            <w:tcW w:w="5980" w:type="dxa"/>
            <w:vAlign w:val="bottom"/>
          </w:tcPr>
          <w:p>
            <w:pPr>
              <w:ind w:left="40"/>
              <w:spacing w:after="0"/>
              <w:rPr>
                <w:sz w:val="20"/>
                <w:szCs w:val="20"/>
                <w:color w:val="auto"/>
              </w:rPr>
            </w:pPr>
            <w:r>
              <w:rPr>
                <w:rFonts w:ascii="Arial" w:cs="Arial" w:eastAsia="Arial" w:hAnsi="Arial"/>
                <w:sz w:val="18"/>
                <w:szCs w:val="18"/>
                <w:color w:val="auto"/>
              </w:rPr>
              <w:t>No change from fiscal year 2022</w:t>
            </w:r>
          </w:p>
        </w:tc>
      </w:tr>
      <w:tr>
        <w:trPr>
          <w:trHeight w:val="23"/>
        </w:trPr>
        <w:tc>
          <w:tcPr>
            <w:tcW w:w="3540" w:type="dxa"/>
            <w:vAlign w:val="bottom"/>
            <w:tcBorders>
              <w:bottom w:val="single" w:sz="8" w:color="0067B3"/>
            </w:tcBorders>
          </w:tcPr>
          <w:p>
            <w:pPr>
              <w:spacing w:after="0"/>
              <w:rPr>
                <w:sz w:val="2"/>
                <w:szCs w:val="2"/>
                <w:color w:val="auto"/>
              </w:rPr>
            </w:pPr>
          </w:p>
        </w:tc>
        <w:tc>
          <w:tcPr>
            <w:tcW w:w="1500" w:type="dxa"/>
            <w:vAlign w:val="bottom"/>
            <w:tcBorders>
              <w:bottom w:val="single" w:sz="8" w:color="0067B3"/>
            </w:tcBorders>
          </w:tcPr>
          <w:p>
            <w:pPr>
              <w:spacing w:after="0"/>
              <w:rPr>
                <w:sz w:val="2"/>
                <w:szCs w:val="2"/>
                <w:color w:val="auto"/>
              </w:rPr>
            </w:pPr>
          </w:p>
        </w:tc>
        <w:tc>
          <w:tcPr>
            <w:tcW w:w="220" w:type="dxa"/>
            <w:vAlign w:val="bottom"/>
            <w:tcBorders>
              <w:bottom w:val="single" w:sz="8" w:color="0067B3"/>
            </w:tcBorders>
          </w:tcPr>
          <w:p>
            <w:pPr>
              <w:spacing w:after="0"/>
              <w:rPr>
                <w:sz w:val="2"/>
                <w:szCs w:val="2"/>
                <w:color w:val="auto"/>
              </w:rPr>
            </w:pPr>
          </w:p>
        </w:tc>
        <w:tc>
          <w:tcPr>
            <w:tcW w:w="598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b w:val="1"/>
          <w:bCs w:val="1"/>
          <w:color w:val="auto"/>
        </w:rPr>
        <w:t>The Compensation and Talent Committee felt it was appropriate to increase the total target value of Mr. Roche’s equity compensation for fiscal year 2023 by $5 million, but to reduce both the weighting and the value of time-vested equity (RSUs), increasing only the weighting and value of performance-based equity that vests in connection with both financial-based and relative TSR-based performance goals (PRSUs).</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the Compensation and Talent Committee increased the difficulty of achieving the performance goals underlying these awards, including changing the target performance in the Relative TSR PRSUs from the 50th percentile to the 55th percentile. As a result, Mr. Roche’s total equity package shifted from 65% PRSUs in fiscal year 2022 to 75% PRSUs in fiscal year 2023 to further align with the interests of our shareholders.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equity compensation package, in consideration of the factors listed above: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Equity Compensation</w:t>
            </w:r>
          </w:p>
        </w:tc>
        <w:tc>
          <w:tcPr>
            <w:tcW w:w="2520" w:type="dxa"/>
            <w:vAlign w:val="bottom"/>
            <w:shd w:val="clear" w:color="auto" w:fill="0067B3"/>
          </w:tcPr>
          <w:p>
            <w:pPr>
              <w:ind w:left="260"/>
              <w:spacing w:after="0"/>
              <w:rPr>
                <w:sz w:val="20"/>
                <w:szCs w:val="20"/>
                <w:color w:val="auto"/>
              </w:rPr>
            </w:pPr>
            <w:r>
              <w:rPr>
                <w:rFonts w:ascii="Arial" w:cs="Arial" w:eastAsia="Arial" w:hAnsi="Arial"/>
                <w:sz w:val="16"/>
                <w:szCs w:val="16"/>
                <w:b w:val="1"/>
                <w:bCs w:val="1"/>
                <w:color w:val="FFFFFF"/>
              </w:rPr>
              <w:t>2023 Target Value</w:t>
            </w:r>
          </w:p>
        </w:tc>
        <w:tc>
          <w:tcPr>
            <w:tcW w:w="2340" w:type="dxa"/>
            <w:vAlign w:val="bottom"/>
            <w:shd w:val="clear" w:color="auto" w:fill="0067B3"/>
          </w:tcPr>
          <w:p>
            <w:pPr>
              <w:ind w:left="100"/>
              <w:spacing w:after="0"/>
              <w:rPr>
                <w:sz w:val="20"/>
                <w:szCs w:val="20"/>
                <w:color w:val="auto"/>
              </w:rPr>
            </w:pPr>
            <w:r>
              <w:rPr>
                <w:rFonts w:ascii="Arial" w:cs="Arial" w:eastAsia="Arial" w:hAnsi="Arial"/>
                <w:sz w:val="16"/>
                <w:szCs w:val="16"/>
                <w:b w:val="1"/>
                <w:bCs w:val="1"/>
                <w:color w:val="FFFFFF"/>
              </w:rPr>
              <w:t>Vesting</w:t>
            </w:r>
          </w:p>
        </w:tc>
        <w:tc>
          <w:tcPr>
            <w:tcW w:w="4180" w:type="dxa"/>
            <w:vAlign w:val="bottom"/>
            <w:shd w:val="clear" w:color="auto" w:fill="0067B3"/>
          </w:tcPr>
          <w:p>
            <w:pPr>
              <w:ind w:left="140"/>
              <w:spacing w:after="0"/>
              <w:rPr>
                <w:sz w:val="20"/>
                <w:szCs w:val="20"/>
                <w:color w:val="auto"/>
              </w:rPr>
            </w:pPr>
            <w:r>
              <w:rPr>
                <w:rFonts w:ascii="Arial" w:cs="Arial" w:eastAsia="Arial" w:hAnsi="Arial"/>
                <w:sz w:val="16"/>
                <w:szCs w:val="16"/>
                <w:b w:val="1"/>
                <w:bCs w:val="1"/>
                <w:color w:val="FFFFFF"/>
              </w:rPr>
              <w:t>Rationale</w:t>
            </w:r>
          </w:p>
        </w:tc>
      </w:tr>
      <w:tr>
        <w:trPr>
          <w:trHeight w:val="224"/>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Time-Based RSUs</w:t>
            </w:r>
          </w:p>
        </w:tc>
        <w:tc>
          <w:tcPr>
            <w:tcW w:w="2520" w:type="dxa"/>
            <w:vAlign w:val="bottom"/>
            <w:shd w:val="clear" w:color="auto" w:fill="E2E6F4"/>
          </w:tcPr>
          <w:p>
            <w:pPr>
              <w:ind w:left="260"/>
              <w:spacing w:after="0"/>
              <w:rPr>
                <w:sz w:val="20"/>
                <w:szCs w:val="20"/>
                <w:color w:val="auto"/>
              </w:rPr>
            </w:pPr>
            <w:r>
              <w:rPr>
                <w:rFonts w:ascii="Arial" w:cs="Arial" w:eastAsia="Arial" w:hAnsi="Arial"/>
                <w:sz w:val="18"/>
                <w:szCs w:val="18"/>
                <w:color w:val="auto"/>
              </w:rPr>
              <w:t>$5,000,000 (25% weighting</w:t>
            </w:r>
          </w:p>
        </w:tc>
        <w:tc>
          <w:tcPr>
            <w:tcW w:w="2340" w:type="dxa"/>
            <w:vAlign w:val="bottom"/>
            <w:shd w:val="clear" w:color="auto" w:fill="E2E6F4"/>
          </w:tcPr>
          <w:p>
            <w:pPr>
              <w:ind w:left="100"/>
              <w:spacing w:after="0"/>
              <w:rPr>
                <w:sz w:val="20"/>
                <w:szCs w:val="20"/>
                <w:color w:val="auto"/>
              </w:rPr>
            </w:pPr>
            <w:r>
              <w:rPr>
                <w:rFonts w:ascii="Arial" w:cs="Arial" w:eastAsia="Arial" w:hAnsi="Arial"/>
                <w:sz w:val="18"/>
                <w:szCs w:val="18"/>
                <w:color w:val="auto"/>
              </w:rPr>
              <w:t>Annual installments of a</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Reduced weighting of time-based RSUs while</w:t>
            </w:r>
          </w:p>
        </w:tc>
      </w:tr>
      <w:tr>
        <w:trPr>
          <w:trHeight w:val="216"/>
        </w:trPr>
        <w:tc>
          <w:tcPr>
            <w:tcW w:w="2200" w:type="dxa"/>
            <w:vAlign w:val="bottom"/>
            <w:shd w:val="clear" w:color="auto" w:fill="E2E6F4"/>
          </w:tcPr>
          <w:p>
            <w:pPr>
              <w:spacing w:after="0"/>
              <w:rPr>
                <w:sz w:val="18"/>
                <w:szCs w:val="18"/>
                <w:color w:val="auto"/>
              </w:rPr>
            </w:pPr>
          </w:p>
        </w:tc>
        <w:tc>
          <w:tcPr>
            <w:tcW w:w="2520" w:type="dxa"/>
            <w:vAlign w:val="bottom"/>
            <w:shd w:val="clear" w:color="auto" w:fill="E2E6F4"/>
          </w:tcPr>
          <w:p>
            <w:pPr>
              <w:ind w:left="260"/>
              <w:spacing w:after="0"/>
              <w:rPr>
                <w:sz w:val="20"/>
                <w:szCs w:val="20"/>
                <w:color w:val="auto"/>
              </w:rPr>
            </w:pPr>
            <w:r>
              <w:rPr>
                <w:rFonts w:ascii="Arial" w:cs="Arial" w:eastAsia="Arial" w:hAnsi="Arial"/>
                <w:sz w:val="18"/>
                <w:szCs w:val="18"/>
                <w:color w:val="auto"/>
              </w:rPr>
              <w:t>of long-term incentives)</w:t>
            </w:r>
          </w:p>
        </w:tc>
        <w:tc>
          <w:tcPr>
            <w:tcW w:w="2340" w:type="dxa"/>
            <w:vAlign w:val="bottom"/>
            <w:shd w:val="clear" w:color="auto" w:fill="E2E6F4"/>
          </w:tcPr>
          <w:p>
            <w:pPr>
              <w:ind w:left="100"/>
              <w:spacing w:after="0"/>
              <w:rPr>
                <w:sz w:val="20"/>
                <w:szCs w:val="20"/>
                <w:color w:val="auto"/>
              </w:rPr>
            </w:pPr>
            <w:r>
              <w:rPr>
                <w:rFonts w:ascii="Arial" w:cs="Arial" w:eastAsia="Arial" w:hAnsi="Arial"/>
                <w:sz w:val="18"/>
                <w:szCs w:val="18"/>
                <w:color w:val="auto"/>
              </w:rPr>
              <w:t>4-year period (25%</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continuing to promote retention and leadership</w:t>
            </w:r>
          </w:p>
        </w:tc>
      </w:tr>
      <w:tr>
        <w:trPr>
          <w:trHeight w:val="242"/>
        </w:trPr>
        <w:tc>
          <w:tcPr>
            <w:tcW w:w="2200" w:type="dxa"/>
            <w:vAlign w:val="bottom"/>
            <w:tcBorders>
              <w:bottom w:val="single" w:sz="8" w:color="E2E6F4"/>
            </w:tcBorders>
            <w:shd w:val="clear" w:color="auto" w:fill="E2E6F4"/>
          </w:tcPr>
          <w:p>
            <w:pPr>
              <w:spacing w:after="0"/>
              <w:rPr>
                <w:sz w:val="21"/>
                <w:szCs w:val="21"/>
                <w:color w:val="auto"/>
              </w:rPr>
            </w:pPr>
          </w:p>
        </w:tc>
        <w:tc>
          <w:tcPr>
            <w:tcW w:w="2520" w:type="dxa"/>
            <w:vAlign w:val="bottom"/>
            <w:tcBorders>
              <w:bottom w:val="single" w:sz="8" w:color="E2E6F4"/>
            </w:tcBorders>
            <w:shd w:val="clear" w:color="auto" w:fill="E2E6F4"/>
          </w:tcPr>
          <w:p>
            <w:pPr>
              <w:spacing w:after="0"/>
              <w:rPr>
                <w:sz w:val="21"/>
                <w:szCs w:val="21"/>
                <w:color w:val="auto"/>
              </w:rPr>
            </w:pPr>
          </w:p>
        </w:tc>
        <w:tc>
          <w:tcPr>
            <w:tcW w:w="2340" w:type="dxa"/>
            <w:vAlign w:val="bottom"/>
            <w:tcBorders>
              <w:bottom w:val="single" w:sz="8" w:color="E2E6F4"/>
            </w:tcBorders>
            <w:shd w:val="clear" w:color="auto" w:fill="E2E6F4"/>
          </w:tcPr>
          <w:p>
            <w:pPr>
              <w:ind w:left="100"/>
              <w:spacing w:after="0"/>
              <w:rPr>
                <w:sz w:val="20"/>
                <w:szCs w:val="20"/>
                <w:color w:val="auto"/>
              </w:rPr>
            </w:pPr>
            <w:r>
              <w:rPr>
                <w:rFonts w:ascii="Arial" w:cs="Arial" w:eastAsia="Arial" w:hAnsi="Arial"/>
                <w:sz w:val="18"/>
                <w:szCs w:val="18"/>
                <w:color w:val="auto"/>
              </w:rPr>
              <w:t>per year)</w:t>
            </w:r>
          </w:p>
        </w:tc>
        <w:tc>
          <w:tcPr>
            <w:tcW w:w="4180" w:type="dxa"/>
            <w:vAlign w:val="bottom"/>
            <w:tcBorders>
              <w:bottom w:val="single" w:sz="8" w:color="E2E6F4"/>
            </w:tcBorders>
            <w:shd w:val="clear" w:color="auto" w:fill="E2E6F4"/>
          </w:tcPr>
          <w:p>
            <w:pPr>
              <w:ind w:left="140"/>
              <w:spacing w:after="0"/>
              <w:rPr>
                <w:sz w:val="20"/>
                <w:szCs w:val="20"/>
                <w:color w:val="auto"/>
              </w:rPr>
            </w:pPr>
            <w:r>
              <w:rPr>
                <w:rFonts w:ascii="Arial" w:cs="Arial" w:eastAsia="Arial" w:hAnsi="Arial"/>
                <w:sz w:val="18"/>
                <w:szCs w:val="18"/>
                <w:color w:val="auto"/>
              </w:rPr>
              <w:t>continuity</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Financial Metric PRSUs</w:t>
            </w:r>
          </w:p>
        </w:tc>
        <w:tc>
          <w:tcPr>
            <w:tcW w:w="2520" w:type="dxa"/>
            <w:vAlign w:val="bottom"/>
          </w:tcPr>
          <w:p>
            <w:pPr>
              <w:ind w:left="260"/>
              <w:spacing w:after="0"/>
              <w:rPr>
                <w:sz w:val="20"/>
                <w:szCs w:val="20"/>
                <w:color w:val="auto"/>
              </w:rPr>
            </w:pPr>
            <w:r>
              <w:rPr>
                <w:rFonts w:ascii="Arial" w:cs="Arial" w:eastAsia="Arial" w:hAnsi="Arial"/>
                <w:sz w:val="18"/>
                <w:szCs w:val="18"/>
                <w:color w:val="auto"/>
              </w:rPr>
              <w:t>$8,000,000 (40% weighting</w:t>
            </w:r>
          </w:p>
        </w:tc>
        <w:tc>
          <w:tcPr>
            <w:tcW w:w="2340" w:type="dxa"/>
            <w:vAlign w:val="bottom"/>
          </w:tcPr>
          <w:p>
            <w:pPr>
              <w:ind w:left="100"/>
              <w:spacing w:after="0"/>
              <w:rPr>
                <w:sz w:val="20"/>
                <w:szCs w:val="20"/>
                <w:color w:val="auto"/>
              </w:rPr>
            </w:pPr>
            <w:r>
              <w:rPr>
                <w:rFonts w:ascii="Arial" w:cs="Arial" w:eastAsia="Arial" w:hAnsi="Arial"/>
                <w:sz w:val="18"/>
                <w:szCs w:val="18"/>
                <w:color w:val="auto"/>
              </w:rPr>
              <w:t>Three-year cliff vesting</w:t>
            </w:r>
          </w:p>
        </w:tc>
        <w:tc>
          <w:tcPr>
            <w:tcW w:w="4180" w:type="dxa"/>
            <w:vAlign w:val="bottom"/>
          </w:tcPr>
          <w:p>
            <w:pPr>
              <w:ind w:left="140"/>
              <w:spacing w:after="0"/>
              <w:rPr>
                <w:sz w:val="20"/>
                <w:szCs w:val="20"/>
                <w:color w:val="auto"/>
              </w:rPr>
            </w:pPr>
            <w:r>
              <w:rPr>
                <w:rFonts w:ascii="Arial" w:cs="Arial" w:eastAsia="Arial" w:hAnsi="Arial"/>
                <w:sz w:val="18"/>
                <w:szCs w:val="18"/>
                <w:color w:val="auto"/>
              </w:rPr>
              <w:t>Increased weighting of performance-based</w:t>
            </w:r>
          </w:p>
        </w:tc>
      </w:tr>
      <w:tr>
        <w:trPr>
          <w:trHeight w:val="216"/>
        </w:trPr>
        <w:tc>
          <w:tcPr>
            <w:tcW w:w="2200" w:type="dxa"/>
            <w:vAlign w:val="bottom"/>
          </w:tcPr>
          <w:p>
            <w:pPr>
              <w:spacing w:after="0"/>
              <w:rPr>
                <w:sz w:val="18"/>
                <w:szCs w:val="18"/>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of long-term incentives)</w:t>
            </w:r>
          </w:p>
        </w:tc>
        <w:tc>
          <w:tcPr>
            <w:tcW w:w="2340" w:type="dxa"/>
            <w:vAlign w:val="bottom"/>
          </w:tcPr>
          <w:p>
            <w:pPr>
              <w:ind w:left="100"/>
              <w:spacing w:after="0"/>
              <w:rPr>
                <w:sz w:val="20"/>
                <w:szCs w:val="20"/>
                <w:color w:val="auto"/>
              </w:rPr>
            </w:pPr>
            <w:r>
              <w:rPr>
                <w:rFonts w:ascii="Arial" w:cs="Arial" w:eastAsia="Arial" w:hAnsi="Arial"/>
                <w:sz w:val="18"/>
                <w:szCs w:val="18"/>
                <w:color w:val="auto"/>
              </w:rPr>
              <w:t>based on financial metrics</w:t>
            </w:r>
          </w:p>
        </w:tc>
        <w:tc>
          <w:tcPr>
            <w:tcW w:w="4180" w:type="dxa"/>
            <w:vAlign w:val="bottom"/>
          </w:tcPr>
          <w:p>
            <w:pPr>
              <w:ind w:left="140"/>
              <w:spacing w:after="0"/>
              <w:rPr>
                <w:sz w:val="20"/>
                <w:szCs w:val="20"/>
                <w:color w:val="auto"/>
              </w:rPr>
            </w:pPr>
            <w:r>
              <w:rPr>
                <w:rFonts w:ascii="Arial" w:cs="Arial" w:eastAsia="Arial" w:hAnsi="Arial"/>
                <w:sz w:val="18"/>
                <w:szCs w:val="18"/>
                <w:color w:val="auto"/>
              </w:rPr>
              <w:t>equity to drive continued long-term performance</w:t>
            </w:r>
          </w:p>
        </w:tc>
      </w:tr>
      <w:tr>
        <w:trPr>
          <w:trHeight w:val="239"/>
        </w:trPr>
        <w:tc>
          <w:tcPr>
            <w:tcW w:w="22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aligned to our aggressive strategy</w:t>
            </w:r>
          </w:p>
        </w:tc>
      </w:tr>
      <w:tr>
        <w:trPr>
          <w:trHeight w:val="131"/>
        </w:trPr>
        <w:tc>
          <w:tcPr>
            <w:tcW w:w="2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180" w:type="dxa"/>
            <w:vAlign w:val="bottom"/>
          </w:tcPr>
          <w:p>
            <w:pPr>
              <w:spacing w:after="0"/>
              <w:rPr>
                <w:sz w:val="11"/>
                <w:szCs w:val="11"/>
                <w:color w:val="auto"/>
              </w:rPr>
            </w:pPr>
          </w:p>
        </w:tc>
      </w:tr>
      <w:tr>
        <w:trPr>
          <w:trHeight w:val="224"/>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Relative TSR PRSUs</w:t>
            </w:r>
          </w:p>
        </w:tc>
        <w:tc>
          <w:tcPr>
            <w:tcW w:w="2520" w:type="dxa"/>
            <w:vAlign w:val="bottom"/>
            <w:shd w:val="clear" w:color="auto" w:fill="E2E6F4"/>
          </w:tcPr>
          <w:p>
            <w:pPr>
              <w:ind w:left="260"/>
              <w:spacing w:after="0"/>
              <w:rPr>
                <w:sz w:val="20"/>
                <w:szCs w:val="20"/>
                <w:color w:val="auto"/>
              </w:rPr>
            </w:pPr>
            <w:r>
              <w:rPr>
                <w:rFonts w:ascii="Arial" w:cs="Arial" w:eastAsia="Arial" w:hAnsi="Arial"/>
                <w:sz w:val="18"/>
                <w:szCs w:val="18"/>
                <w:color w:val="auto"/>
              </w:rPr>
              <w:t>$7,000,000 (35% weighting</w:t>
            </w:r>
          </w:p>
        </w:tc>
        <w:tc>
          <w:tcPr>
            <w:tcW w:w="2340" w:type="dxa"/>
            <w:vAlign w:val="bottom"/>
            <w:shd w:val="clear" w:color="auto" w:fill="E2E6F4"/>
          </w:tcPr>
          <w:p>
            <w:pPr>
              <w:ind w:left="100"/>
              <w:spacing w:after="0"/>
              <w:rPr>
                <w:sz w:val="20"/>
                <w:szCs w:val="20"/>
                <w:color w:val="auto"/>
              </w:rPr>
            </w:pPr>
            <w:r>
              <w:rPr>
                <w:rFonts w:ascii="Arial" w:cs="Arial" w:eastAsia="Arial" w:hAnsi="Arial"/>
                <w:sz w:val="18"/>
                <w:szCs w:val="18"/>
                <w:color w:val="auto"/>
              </w:rPr>
              <w:t>Three-year cliff vesting</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Increased relative TSR target performance (for</w:t>
            </w:r>
          </w:p>
        </w:tc>
      </w:tr>
      <w:tr>
        <w:trPr>
          <w:trHeight w:val="216"/>
        </w:trPr>
        <w:tc>
          <w:tcPr>
            <w:tcW w:w="2200" w:type="dxa"/>
            <w:vAlign w:val="bottom"/>
            <w:shd w:val="clear" w:color="auto" w:fill="E2E6F4"/>
          </w:tcPr>
          <w:p>
            <w:pPr>
              <w:spacing w:after="0"/>
              <w:rPr>
                <w:sz w:val="18"/>
                <w:szCs w:val="18"/>
                <w:color w:val="auto"/>
              </w:rPr>
            </w:pPr>
          </w:p>
        </w:tc>
        <w:tc>
          <w:tcPr>
            <w:tcW w:w="2520" w:type="dxa"/>
            <w:vAlign w:val="bottom"/>
            <w:shd w:val="clear" w:color="auto" w:fill="E2E6F4"/>
          </w:tcPr>
          <w:p>
            <w:pPr>
              <w:ind w:left="260"/>
              <w:spacing w:after="0"/>
              <w:rPr>
                <w:sz w:val="20"/>
                <w:szCs w:val="20"/>
                <w:color w:val="auto"/>
              </w:rPr>
            </w:pPr>
            <w:r>
              <w:rPr>
                <w:rFonts w:ascii="Arial" w:cs="Arial" w:eastAsia="Arial" w:hAnsi="Arial"/>
                <w:sz w:val="18"/>
                <w:szCs w:val="18"/>
                <w:color w:val="auto"/>
              </w:rPr>
              <w:t>of long-term incentives)</w:t>
            </w:r>
          </w:p>
        </w:tc>
        <w:tc>
          <w:tcPr>
            <w:tcW w:w="2340" w:type="dxa"/>
            <w:vAlign w:val="bottom"/>
            <w:shd w:val="clear" w:color="auto" w:fill="E2E6F4"/>
          </w:tcPr>
          <w:p>
            <w:pPr>
              <w:ind w:left="100"/>
              <w:spacing w:after="0"/>
              <w:rPr>
                <w:sz w:val="20"/>
                <w:szCs w:val="20"/>
                <w:color w:val="auto"/>
              </w:rPr>
            </w:pPr>
            <w:r>
              <w:rPr>
                <w:rFonts w:ascii="Arial" w:cs="Arial" w:eastAsia="Arial" w:hAnsi="Arial"/>
                <w:sz w:val="18"/>
                <w:szCs w:val="18"/>
                <w:color w:val="auto"/>
              </w:rPr>
              <w:t>based on relative TSR</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100% payout) to the 55th percentile of</w:t>
            </w:r>
          </w:p>
        </w:tc>
      </w:tr>
      <w:tr>
        <w:trPr>
          <w:trHeight w:val="242"/>
        </w:trPr>
        <w:tc>
          <w:tcPr>
            <w:tcW w:w="2200" w:type="dxa"/>
            <w:vAlign w:val="bottom"/>
            <w:tcBorders>
              <w:bottom w:val="single" w:sz="8" w:color="E2E6F4"/>
            </w:tcBorders>
            <w:shd w:val="clear" w:color="auto" w:fill="E2E6F4"/>
          </w:tcPr>
          <w:p>
            <w:pPr>
              <w:spacing w:after="0"/>
              <w:rPr>
                <w:sz w:val="21"/>
                <w:szCs w:val="21"/>
                <w:color w:val="auto"/>
              </w:rPr>
            </w:pPr>
          </w:p>
        </w:tc>
        <w:tc>
          <w:tcPr>
            <w:tcW w:w="2520" w:type="dxa"/>
            <w:vAlign w:val="bottom"/>
            <w:tcBorders>
              <w:bottom w:val="single" w:sz="8" w:color="E2E6F4"/>
            </w:tcBorders>
            <w:shd w:val="clear" w:color="auto" w:fill="E2E6F4"/>
          </w:tcPr>
          <w:p>
            <w:pPr>
              <w:spacing w:after="0"/>
              <w:rPr>
                <w:sz w:val="21"/>
                <w:szCs w:val="21"/>
                <w:color w:val="auto"/>
              </w:rPr>
            </w:pPr>
          </w:p>
        </w:tc>
        <w:tc>
          <w:tcPr>
            <w:tcW w:w="2340" w:type="dxa"/>
            <w:vAlign w:val="bottom"/>
            <w:tcBorders>
              <w:bottom w:val="single" w:sz="8" w:color="E2E6F4"/>
            </w:tcBorders>
            <w:shd w:val="clear" w:color="auto" w:fill="E2E6F4"/>
          </w:tcPr>
          <w:p>
            <w:pPr>
              <w:ind w:left="100"/>
              <w:spacing w:after="0"/>
              <w:rPr>
                <w:sz w:val="20"/>
                <w:szCs w:val="20"/>
                <w:color w:val="auto"/>
              </w:rPr>
            </w:pPr>
            <w:r>
              <w:rPr>
                <w:rFonts w:ascii="Arial" w:cs="Arial" w:eastAsia="Arial" w:hAnsi="Arial"/>
                <w:sz w:val="18"/>
                <w:szCs w:val="18"/>
                <w:color w:val="auto"/>
              </w:rPr>
              <w:t>metrics</w:t>
            </w:r>
          </w:p>
        </w:tc>
        <w:tc>
          <w:tcPr>
            <w:tcW w:w="4180" w:type="dxa"/>
            <w:vAlign w:val="bottom"/>
            <w:tcBorders>
              <w:bottom w:val="single" w:sz="8" w:color="E2E6F4"/>
            </w:tcBorders>
            <w:shd w:val="clear" w:color="auto" w:fill="E2E6F4"/>
          </w:tcPr>
          <w:p>
            <w:pPr>
              <w:ind w:left="140"/>
              <w:spacing w:after="0"/>
              <w:rPr>
                <w:sz w:val="20"/>
                <w:szCs w:val="20"/>
                <w:color w:val="auto"/>
              </w:rPr>
            </w:pPr>
            <w:r>
              <w:rPr>
                <w:rFonts w:ascii="Arial" w:cs="Arial" w:eastAsia="Arial" w:hAnsi="Arial"/>
                <w:sz w:val="18"/>
                <w:szCs w:val="18"/>
                <w:color w:val="auto"/>
              </w:rPr>
              <w:t>comparators</w:t>
            </w:r>
          </w:p>
        </w:tc>
      </w:tr>
      <w:tr>
        <w:trPr>
          <w:trHeight w:val="20"/>
        </w:trPr>
        <w:tc>
          <w:tcPr>
            <w:tcW w:w="2200" w:type="dxa"/>
            <w:vAlign w:val="bottom"/>
            <w:shd w:val="clear" w:color="auto" w:fill="0067B3"/>
          </w:tcPr>
          <w:p>
            <w:pPr>
              <w:spacing w:after="0" w:line="20" w:lineRule="exact"/>
              <w:rPr>
                <w:sz w:val="1"/>
                <w:szCs w:val="1"/>
                <w:color w:val="auto"/>
              </w:rPr>
            </w:pPr>
          </w:p>
        </w:tc>
        <w:tc>
          <w:tcPr>
            <w:tcW w:w="2520" w:type="dxa"/>
            <w:vAlign w:val="bottom"/>
            <w:shd w:val="clear" w:color="auto" w:fill="0067B3"/>
          </w:tcPr>
          <w:p>
            <w:pPr>
              <w:spacing w:after="0" w:line="20" w:lineRule="exact"/>
              <w:rPr>
                <w:sz w:val="1"/>
                <w:szCs w:val="1"/>
                <w:color w:val="auto"/>
              </w:rPr>
            </w:pPr>
          </w:p>
        </w:tc>
        <w:tc>
          <w:tcPr>
            <w:tcW w:w="2340" w:type="dxa"/>
            <w:vAlign w:val="bottom"/>
            <w:shd w:val="clear" w:color="auto" w:fill="0067B3"/>
          </w:tcPr>
          <w:p>
            <w:pPr>
              <w:spacing w:after="0" w:line="20" w:lineRule="exact"/>
              <w:rPr>
                <w:sz w:val="1"/>
                <w:szCs w:val="1"/>
                <w:color w:val="auto"/>
              </w:rPr>
            </w:pPr>
          </w:p>
        </w:tc>
        <w:tc>
          <w:tcPr>
            <w:tcW w:w="4180" w:type="dxa"/>
            <w:vAlign w:val="bottom"/>
            <w:shd w:val="clear" w:color="auto" w:fill="0067B3"/>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Determination for Other NEOs</w:t>
      </w:r>
    </w:p>
    <w:p>
      <w:pPr>
        <w:spacing w:after="0" w:line="1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determining fiscal year 2023 compensation for our NEOs, including base salary levels, annual incentive plan payout targets, and fiscal year 2023 equity grants, the Compensation and Talent Committee considered the executive’s individual responsibilities and other factors including their performance, experience, tenure, and market data and benchmark information from our peer group companies. During fiscal year 2023, the Compensation and Talent Committee determined to moderately increase the total compensation awarded to each of Messrs. Mahendra-Rajah, Bryant, and Jain and Ms. Sacks to align their compensation to the market.</w:t>
      </w:r>
    </w:p>
    <w:p>
      <w:pPr>
        <w:spacing w:after="0" w:line="12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Other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Retirement and Other Employee Benefits</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broad-based benefits for all employees, including medical, dental, and vision insurance, life and disability insurance, and retirement plans. Executive officers, including our NEOs, are eligible to participate in all of our employee benefit plans on the same basis as our other employees. The retirement and other employee benefit components of our executive compensation program are designed to attract excellent candidates by providing financial protection and security, and reward our executives for the total commitment we expect from them in service to ADI.</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maintain a Deferred Compensation Plan (DCP), under which our executive officers and directors, along with a group of senior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ectPr>
          <w:pgSz w:w="11900" w:h="16838" w:orient="portrait"/>
          <w:cols w:equalWidth="0" w:num="1">
            <w:col w:w="11240"/>
          </w:cols>
          <w:pgMar w:left="320" w:top="1240" w:right="339" w:bottom="1440" w:gutter="0" w:footer="0" w:header="0"/>
        </w:sectPr>
      </w:pPr>
    </w:p>
    <w:p>
      <w:pPr>
        <w:spacing w:after="0" w:line="33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77" w:name="page78"/>
    <w:bookmarkEnd w:id="77"/>
    <w:p>
      <w:pPr>
        <w:ind w:right="60"/>
        <w:spacing w:after="0" w:line="256" w:lineRule="auto"/>
        <w:rPr>
          <w:sz w:val="20"/>
          <w:szCs w:val="20"/>
          <w:color w:val="auto"/>
        </w:rPr>
      </w:pPr>
      <w:r>
        <w:rPr>
          <w:rFonts w:ascii="Arial" w:cs="Arial" w:eastAsia="Arial" w:hAnsi="Arial"/>
          <w:sz w:val="18"/>
          <w:szCs w:val="18"/>
          <w:color w:val="auto"/>
        </w:rPr>
        <w:t>In the United States during fiscal year 2023, we contributed to our 401(k) plan on behalf of all eligible employees, including our NEOs, amounts equal to 5% of the employee’s eligible compensation, plus matching contributions up to an additional 3%, subject to Internal Revenue Service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with a taxable cash payment equal to 8% of the employee’s 401(k)-eligible compensation in excess of the IRS limit (TIP Restoration).</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our Post-Retirement Equity Vesting Policy (PREV), eligible stock-based awards, including RSUs (including those that vest based on the achievement of performance goals), restricted stock awards, and stock options continue to vest, subject to the terms of the policy, after an employee’s retirement. Equity awards issued to executive officers, including our NEOs, are eligible for post-employment vesting under the policy. The PREV does not apply to equity awards granted outside ADI’s focal grant cycle, such as off-cycle new-hire, retention, or promotion awards. The PREV is administered by a committee consisting of our Chief Financial Officer, Chief Legal Officer, and Chief People Officer and any retirement under the PREV must be approved by at least two members of the committee, or in the case of any retirement of a member of our executive Leadership Team, must be approved by the Compensation and Talent Committee. The PREV is entirely discretionary and does not confer any right to continue vesting in equity awards following retirement to any employee.</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Amended and Restated 2022 Employee Stock Purchase Plan (ESPP) permits eligible employees to purchase shares of our common stock at a discount during consecutive six-month plan periods. Our Board of Directors, the Compensation and Talent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 Employee contributions are made through payroll deductions or other contributions,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Limited Perquisites</w:t>
      </w:r>
    </w:p>
    <w:p>
      <w:pPr>
        <w:spacing w:after="0" w:line="14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 xml:space="preserve">We do not award extensive perquisites to our executive officers. In fiscal year 2023, we provided cybersecurity protection services, a voluntary health services benefit to executive officers, and reimbursement for financial and tax planning services of up to $15,000 for our CEO and Chair and up to $10,000 for our other executive officers, including our NEOs. These items are detailed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occasion, and with the approval of our CEO and Chair, an executive or director may have his or her family members accompany him or her on the company’s leased airplane when traveling on business. The executive or director may incur taxable income for any such travel in accordance with applicable tax rules. We do not gross-up or in any way compensate the executive or director for any income tax owed for any such travel. Further, in accordance with our policies, our CEO and Chair may use our leased aircraft for personal travel.</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Severance, Retention and Change in Control Benefits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 in Control Benefits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change in control retention agreements (ADI Retention Agreement) with Messrs. Roche, Bryant, and Jain and</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Ms. Sacks and other key employees. All of our NEOs have entered into the same form of ADI Retention Agreement. Mr. Jain entered into an ADI Retention Agreement with us on October 3, 2023. This agreement replaced the Maxim Amended and Restated Change in Control Employee Severance Plan, which was offered to former employees of Maxim, including Mr. Jain, and expired by its terms on August 26, 2023.</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ADI Retention Agreement provides for severance benefits if the employee’s service with us is terminated within 24 months after a change in control (as defined in the ADI Retention Agreement) that was approved by our Board of Directors. We designed the ADI Retention Agreement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 ADI Retention Agreement helps ensure the continued services of our executive officers throughout the change in control transaction by giving them incentives to remain with us rather than seeking alternative employment or being recruited to a competitor during a highly uncertain time. The Compensation and Talent Committee reviewed prevalent market practices in determining the severance amounts and the events that trigger payments under the agreements. The Compensation and Talent Committee determined that the amounts and triggering events were appropriate and designed to encourage decision-making that is in the best interests of ADI. In fiscal year 2023, the Compensation and Talent Committee asked Pearl Meyer, its independent compensation consultant, to review our severance, retention, and change in control arrangements. Pearl Meyer advised, and the Compensation and Talent Committee determined, that those arrangements were competitive with existing market practice in the semiconductor industry and that it was appropriate to maintain the program for fiscal year 2023. Change in control retention agreements entered into between ADI and eligible employees since 2009 do not contain excess parachute payment tax gross-up provisions.</w:t>
      </w:r>
    </w:p>
    <w:p>
      <w:pPr>
        <w:sectPr>
          <w:pgSz w:w="11900" w:h="16838" w:orient="portrait"/>
          <w:cols w:equalWidth="0" w:num="1">
            <w:col w:w="11220"/>
          </w:cols>
          <w:pgMar w:left="320" w:top="1174" w:right="359" w:bottom="1002" w:gutter="0" w:footer="0" w:header="0"/>
        </w:sectPr>
      </w:pPr>
    </w:p>
    <w:p>
      <w:pPr>
        <w:spacing w:after="0" w:line="200" w:lineRule="exact"/>
        <w:rPr>
          <w:sz w:val="20"/>
          <w:szCs w:val="20"/>
          <w:color w:val="auto"/>
        </w:rPr>
      </w:pPr>
    </w:p>
    <w:p>
      <w:pPr>
        <w:spacing w:after="0" w:line="299" w:lineRule="exact"/>
        <w:rPr>
          <w:sz w:val="20"/>
          <w:szCs w:val="20"/>
          <w:color w:val="auto"/>
        </w:rPr>
      </w:pPr>
    </w:p>
    <w:p>
      <w:pPr>
        <w:ind w:left="480" w:hanging="454"/>
        <w:spacing w:after="0"/>
        <w:tabs>
          <w:tab w:leader="none" w:pos="480" w:val="left"/>
        </w:tabs>
        <w:numPr>
          <w:ilvl w:val="0"/>
          <w:numId w:val="111"/>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002" w:gutter="0" w:footer="0" w:header="0"/>
          <w:type w:val="continuous"/>
        </w:sectPr>
      </w:pPr>
    </w:p>
    <w:bookmarkStart w:id="78" w:name="page79"/>
    <w:bookmarkEnd w:id="78"/>
    <w:p>
      <w:pPr>
        <w:ind w:right="40"/>
        <w:spacing w:after="0" w:line="257" w:lineRule="auto"/>
        <w:rPr>
          <w:sz w:val="20"/>
          <w:szCs w:val="20"/>
          <w:color w:val="auto"/>
        </w:rPr>
      </w:pPr>
      <w:r>
        <w:rPr>
          <w:rFonts w:ascii="Arial" w:cs="Arial" w:eastAsia="Arial" w:hAnsi="Arial"/>
          <w:sz w:val="18"/>
          <w:szCs w:val="18"/>
          <w:color w:val="auto"/>
        </w:rPr>
        <w:t>Under our 2020 Plan and our 2006 Plan, in the event of a change in control, all of our employees who continue to remain employed on the closing of the change in control, including our NEOs, would have the vesting of one-half of the shares of common stock subject to their then outstanding unvested equity awards accelerate and become immediately exercisable and free from forfeiture. The remaining one-half of their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plan).</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have provided more detailed information about these benefits, along with estimates of their value under various circumstances, under the caption Potential Payments Upon Change in Control below.</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Severance Benefits</w:t>
      </w:r>
    </w:p>
    <w:p>
      <w:pPr>
        <w:spacing w:after="0" w:line="14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executive officer is entitled to receive the same benefits as any other terminated employee in that geographical location. In the event of involuntary termination without cause or resignation for good reason, Mr. Bryant’s new-hire equity awards granted on March 15, 2022 would continue to vest and be settled on the applicable vesting date, subject to the attainment of applicable performance conditions in the case of the new-hire PRSUs.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Compensation Policies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Stock Ownership Guidelines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Under our guidelines, the target stock ownership levels 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Position</w:t>
            </w:r>
          </w:p>
        </w:tc>
        <w:tc>
          <w:tcPr>
            <w:tcW w:w="6980" w:type="dxa"/>
            <w:vAlign w:val="bottom"/>
            <w:shd w:val="clear" w:color="auto" w:fill="0067B3"/>
          </w:tcPr>
          <w:p>
            <w:pPr>
              <w:ind w:left="740"/>
              <w:spacing w:after="0"/>
              <w:rPr>
                <w:sz w:val="20"/>
                <w:szCs w:val="20"/>
                <w:color w:val="auto"/>
              </w:rPr>
            </w:pPr>
            <w:r>
              <w:rPr>
                <w:rFonts w:ascii="Arial" w:cs="Arial" w:eastAsia="Arial" w:hAnsi="Arial"/>
                <w:sz w:val="16"/>
                <w:szCs w:val="16"/>
                <w:b w:val="1"/>
                <w:bCs w:val="1"/>
                <w:color w:val="FFFFFF"/>
              </w:rPr>
              <w:t>Multiple</w:t>
            </w:r>
          </w:p>
        </w:tc>
      </w:tr>
      <w:tr>
        <w:trPr>
          <w:trHeight w:val="250"/>
        </w:trPr>
        <w:tc>
          <w:tcPr>
            <w:tcW w:w="4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CEO</w:t>
            </w:r>
          </w:p>
        </w:tc>
        <w:tc>
          <w:tcPr>
            <w:tcW w:w="69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8"/>
                <w:szCs w:val="18"/>
                <w:color w:val="auto"/>
              </w:rPr>
              <w:t>5 times annual base salary</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Other members of the Leadership Team</w:t>
            </w:r>
          </w:p>
        </w:tc>
        <w:tc>
          <w:tcPr>
            <w:tcW w:w="6980" w:type="dxa"/>
            <w:vAlign w:val="bottom"/>
          </w:tcPr>
          <w:p>
            <w:pPr>
              <w:ind w:left="740"/>
              <w:spacing w:after="0"/>
              <w:rPr>
                <w:sz w:val="20"/>
                <w:szCs w:val="20"/>
                <w:color w:val="auto"/>
              </w:rPr>
            </w:pPr>
            <w:r>
              <w:rPr>
                <w:rFonts w:ascii="Arial" w:cs="Arial" w:eastAsia="Arial" w:hAnsi="Arial"/>
                <w:sz w:val="18"/>
                <w:szCs w:val="18"/>
                <w:color w:val="auto"/>
              </w:rPr>
              <w:t>3 times annual base salary</w:t>
            </w:r>
          </w:p>
        </w:tc>
      </w:tr>
      <w:tr>
        <w:trPr>
          <w:trHeight w:val="23"/>
        </w:trPr>
        <w:tc>
          <w:tcPr>
            <w:tcW w:w="4260" w:type="dxa"/>
            <w:vAlign w:val="bottom"/>
            <w:tcBorders>
              <w:bottom w:val="single" w:sz="8" w:color="0067B3"/>
            </w:tcBorders>
          </w:tcPr>
          <w:p>
            <w:pPr>
              <w:spacing w:after="0"/>
              <w:rPr>
                <w:sz w:val="2"/>
                <w:szCs w:val="2"/>
                <w:color w:val="auto"/>
              </w:rPr>
            </w:pPr>
          </w:p>
        </w:tc>
        <w:tc>
          <w:tcPr>
            <w:tcW w:w="6980" w:type="dxa"/>
            <w:vAlign w:val="bottom"/>
            <w:tcBorders>
              <w:bottom w:val="single" w:sz="8" w:color="0067B3"/>
            </w:tcBorders>
          </w:tcPr>
          <w:p>
            <w:pPr>
              <w:spacing w:after="0"/>
              <w:rPr>
                <w:sz w:val="2"/>
                <w:szCs w:val="2"/>
                <w:color w:val="auto"/>
              </w:rPr>
            </w:pPr>
          </w:p>
        </w:tc>
      </w:tr>
      <w:tr>
        <w:trPr>
          <w:trHeight w:val="223"/>
        </w:trPr>
        <w:tc>
          <w:tcPr>
            <w:tcW w:w="4260" w:type="dxa"/>
            <w:vAlign w:val="bottom"/>
          </w:tcPr>
          <w:p>
            <w:pPr>
              <w:spacing w:after="0"/>
              <w:rPr>
                <w:sz w:val="19"/>
                <w:szCs w:val="19"/>
                <w:color w:val="auto"/>
              </w:rPr>
            </w:pPr>
          </w:p>
        </w:tc>
        <w:tc>
          <w:tcPr>
            <w:tcW w:w="6980" w:type="dxa"/>
            <w:vAlign w:val="bottom"/>
          </w:tcPr>
          <w:p>
            <w:pPr>
              <w:spacing w:after="0"/>
              <w:rPr>
                <w:sz w:val="19"/>
                <w:szCs w:val="19"/>
                <w:color w:val="auto"/>
              </w:rPr>
            </w:pPr>
          </w:p>
        </w:tc>
      </w:tr>
      <w:tr>
        <w:trPr>
          <w:trHeight w:val="243"/>
        </w:trPr>
        <w:tc>
          <w:tcPr>
            <w:tcW w:w="42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980" w:type="dxa"/>
            <w:vAlign w:val="bottom"/>
            <w:shd w:val="clear" w:color="auto" w:fill="0067B3"/>
          </w:tcPr>
          <w:p>
            <w:pPr>
              <w:ind w:left="74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47"/>
        </w:trPr>
        <w:tc>
          <w:tcPr>
            <w:tcW w:w="4260" w:type="dxa"/>
            <w:vAlign w:val="bottom"/>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Time-based RSUs (whether or not vested)</w:t>
            </w:r>
          </w:p>
        </w:tc>
        <w:tc>
          <w:tcPr>
            <w:tcW w:w="6980" w:type="dxa"/>
            <w:vAlign w:val="bottom"/>
            <w:shd w:val="clear" w:color="auto" w:fill="E2E6F4"/>
          </w:tcPr>
          <w:p>
            <w:pPr>
              <w:ind w:left="7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Shares subject to unexercised options, whether or not vested</w:t>
            </w:r>
          </w:p>
        </w:tc>
      </w:tr>
      <w:tr>
        <w:trPr>
          <w:trHeight w:val="23"/>
        </w:trPr>
        <w:tc>
          <w:tcPr>
            <w:tcW w:w="4260" w:type="dxa"/>
            <w:vAlign w:val="bottom"/>
            <w:shd w:val="clear" w:color="auto" w:fill="E2E6F4"/>
          </w:tcPr>
          <w:p>
            <w:pPr>
              <w:spacing w:after="0"/>
              <w:rPr>
                <w:sz w:val="2"/>
                <w:szCs w:val="2"/>
                <w:color w:val="auto"/>
              </w:rPr>
            </w:pPr>
          </w:p>
        </w:tc>
        <w:tc>
          <w:tcPr>
            <w:tcW w:w="6980" w:type="dxa"/>
            <w:vAlign w:val="bottom"/>
            <w:shd w:val="clear" w:color="auto" w:fill="E2E6F4"/>
          </w:tcPr>
          <w:p>
            <w:pPr>
              <w:spacing w:after="0"/>
              <w:rPr>
                <w:sz w:val="2"/>
                <w:szCs w:val="2"/>
                <w:color w:val="auto"/>
              </w:rPr>
            </w:pPr>
          </w:p>
        </w:tc>
      </w:tr>
    </w:tbl>
    <w:p>
      <w:pPr>
        <w:spacing w:after="0" w:line="8" w:lineRule="exact"/>
        <w:rPr>
          <w:sz w:val="20"/>
          <w:szCs w:val="20"/>
          <w:color w:val="auto"/>
        </w:rPr>
      </w:pPr>
    </w:p>
    <w:p>
      <w:pPr>
        <w:ind w:left="180" w:hanging="154"/>
        <w:spacing w:after="0"/>
        <w:tabs>
          <w:tab w:leader="none" w:pos="180" w:val="left"/>
        </w:tabs>
        <w:numPr>
          <w:ilvl w:val="0"/>
          <w:numId w:val="112"/>
        </w:numPr>
        <w:rPr>
          <w:rFonts w:ascii="Arial" w:cs="Arial" w:eastAsia="Arial" w:hAnsi="Arial"/>
          <w:sz w:val="13"/>
          <w:szCs w:val="13"/>
          <w:color w:val="0067B3"/>
        </w:rPr>
      </w:pPr>
      <w:r>
        <w:rPr>
          <w:rFonts w:ascii="Arial" w:cs="Arial" w:eastAsia="Arial" w:hAnsi="Arial"/>
          <w:sz w:val="18"/>
          <w:szCs w:val="18"/>
          <w:color w:val="auto"/>
        </w:rPr>
        <w:t xml:space="preserve">Unvested PRSUs whose performance has been certified by </w:t>
      </w:r>
      <w:r>
        <w:rPr>
          <w:rFonts w:ascii="Arial" w:cs="Arial" w:eastAsia="Arial" w:hAnsi="Arial"/>
          <w:sz w:val="12"/>
          <w:szCs w:val="12"/>
          <w:color w:val="0067B3"/>
        </w:rPr>
        <w:t>u</w:t>
      </w:r>
      <w:r>
        <w:rPr>
          <w:rFonts w:ascii="Arial" w:cs="Arial" w:eastAsia="Arial" w:hAnsi="Arial"/>
          <w:sz w:val="18"/>
          <w:szCs w:val="18"/>
          <w:color w:val="auto"/>
        </w:rPr>
        <w:t xml:space="preserve"> Unvested PRSUs whose performance have not yet been certified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ind w:left="220"/>
              <w:spacing w:after="0"/>
              <w:rPr>
                <w:sz w:val="20"/>
                <w:szCs w:val="20"/>
                <w:color w:val="auto"/>
              </w:rPr>
            </w:pPr>
            <w:r>
              <w:rPr>
                <w:rFonts w:ascii="Arial" w:cs="Arial" w:eastAsia="Arial" w:hAnsi="Arial"/>
                <w:sz w:val="18"/>
                <w:szCs w:val="18"/>
                <w:color w:val="auto"/>
              </w:rPr>
              <w:t>the Compensation and Talent Committee</w:t>
            </w:r>
          </w:p>
        </w:tc>
        <w:tc>
          <w:tcPr>
            <w:tcW w:w="7000" w:type="dxa"/>
            <w:vAlign w:val="bottom"/>
          </w:tcPr>
          <w:p>
            <w:pPr>
              <w:ind w:left="940"/>
              <w:spacing w:after="0"/>
              <w:rPr>
                <w:sz w:val="20"/>
                <w:szCs w:val="20"/>
                <w:color w:val="auto"/>
              </w:rPr>
            </w:pPr>
            <w:r>
              <w:rPr>
                <w:rFonts w:ascii="Arial" w:cs="Arial" w:eastAsia="Arial" w:hAnsi="Arial"/>
                <w:sz w:val="18"/>
                <w:szCs w:val="18"/>
                <w:color w:val="auto"/>
              </w:rPr>
              <w:t>Compensation and Talent Committee</w:t>
            </w:r>
          </w:p>
        </w:tc>
      </w:tr>
      <w:tr>
        <w:trPr>
          <w:trHeight w:val="253"/>
        </w:trPr>
        <w:tc>
          <w:tcPr>
            <w:tcW w:w="42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Restricted stock (whether or not vested)</w:t>
            </w:r>
          </w:p>
        </w:tc>
        <w:tc>
          <w:tcPr>
            <w:tcW w:w="7000" w:type="dxa"/>
            <w:vAlign w:val="bottom"/>
            <w:tcBorders>
              <w:bottom w:val="single" w:sz="8" w:color="E2E6F4"/>
            </w:tcBorders>
            <w:shd w:val="clear" w:color="auto" w:fill="E2E6F4"/>
          </w:tcPr>
          <w:p>
            <w:pPr>
              <w:ind w:left="76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Any shares that have been pledged as collateral for a loan</w:t>
            </w:r>
          </w:p>
        </w:tc>
      </w:tr>
      <w:tr>
        <w:trPr>
          <w:trHeight w:val="20"/>
        </w:trPr>
        <w:tc>
          <w:tcPr>
            <w:tcW w:w="4240" w:type="dxa"/>
            <w:vAlign w:val="bottom"/>
            <w:shd w:val="clear" w:color="auto" w:fill="0067B3"/>
          </w:tcPr>
          <w:p>
            <w:pPr>
              <w:spacing w:after="0" w:line="20" w:lineRule="exact"/>
              <w:rPr>
                <w:sz w:val="1"/>
                <w:szCs w:val="1"/>
                <w:color w:val="auto"/>
              </w:rPr>
            </w:pPr>
          </w:p>
        </w:tc>
        <w:tc>
          <w:tcPr>
            <w:tcW w:w="7000" w:type="dxa"/>
            <w:vAlign w:val="bottom"/>
            <w:shd w:val="clear" w:color="auto" w:fill="0067B3"/>
          </w:tcPr>
          <w:p>
            <w:pPr>
              <w:spacing w:after="0" w:line="20" w:lineRule="exact"/>
              <w:rPr>
                <w:sz w:val="1"/>
                <w:szCs w:val="1"/>
                <w:color w:val="auto"/>
              </w:rPr>
            </w:pPr>
          </w:p>
        </w:tc>
      </w:tr>
    </w:tbl>
    <w:p>
      <w:pPr>
        <w:spacing w:after="0" w:line="184"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The CEO has four years from the date of his or her appointment as CEO to achieve his or her targeted level. Members of the Leadership Team other than the CEO have five years from the date he or she becomes part of the Leadership Team to achieve his or her targeted level.</w:t>
      </w:r>
    </w:p>
    <w:p>
      <w:pPr>
        <w:spacing w:after="0" w:line="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members of our Leadership Team, other than Mr. Lee, who first joined ADI in fiscal year 2023, are in compliance with our stock ownership guidelines. Mr. Lee is expected to be in compliance with our stock ownership guidelines within the first five years of his appointment to the Leadership Team.</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Compensation Recovery</w:t>
      </w:r>
    </w:p>
    <w:p>
      <w:pPr>
        <w:spacing w:after="0" w:line="13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Under the Sarbanes-Oxley Act, in the event of misconduct that results in an accounting restatement that would have reduced a previously paid incentive amount, we can recoup those improper payments from our CEO and Chief Financial Officer. In addition, in September 2023, our Board of Directors adopted a compensation recovery policy. The policy provides that in the event of an accounting restatement due to the material noncompliance of ADI with any financial reporting requirement under the U.S. federal securities laws, the company will attempt to recover from our CEO and other officers (as defined in Rule 16a-1(f) under the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9" w:name="page80"/>
    <w:bookmarkEnd w:id="79"/>
    <w:p>
      <w:pPr>
        <w:spacing w:after="0"/>
        <w:rPr>
          <w:sz w:val="20"/>
          <w:szCs w:val="20"/>
          <w:color w:val="auto"/>
        </w:rPr>
      </w:pPr>
      <w:r>
        <w:rPr>
          <w:rFonts w:ascii="Arial" w:cs="Arial" w:eastAsia="Arial" w:hAnsi="Arial"/>
          <w:sz w:val="27"/>
          <w:szCs w:val="27"/>
          <w:b w:val="1"/>
          <w:bCs w:val="1"/>
          <w:color w:val="0067B3"/>
        </w:rPr>
        <w:t>Equity Award Grant Date Policy</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Compensation and Talent Committee has adopted specific policies regarding the grant dates equity awards for our executive officers and employees. In each case, the exercise price of stock options equals the closing price of our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8206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82067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New-Hire Grants: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Annual Grants: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Other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right="320"/>
        <w:spacing w:after="0" w:line="328" w:lineRule="auto"/>
        <w:rPr>
          <w:sz w:val="20"/>
          <w:szCs w:val="20"/>
          <w:color w:val="auto"/>
        </w:rPr>
      </w:pPr>
      <w:r>
        <w:rPr>
          <w:rFonts w:ascii="Arial" w:cs="Arial" w:eastAsia="Arial" w:hAnsi="Arial"/>
          <w:sz w:val="17"/>
          <w:szCs w:val="17"/>
          <w:b w:val="1"/>
          <w:bCs w:val="1"/>
          <w:color w:val="FFFFFF"/>
        </w:rPr>
        <w:t>Foreign Registrations:</w:t>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Blackout Periods: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grant date of all awards to newly hired executive officers and employees is the 15th day of the month after the date on which the individual commences employment with us (or the next succeeding business day that Nasdaq is open).</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grant date of all annual awards is the first business day of April that Nasdaq is open (or the next succeeding business day that Nasdaq is open) or such other date as determined by the Compensation and Talent Committee.</w:t>
      </w:r>
    </w:p>
    <w:p>
      <w:pPr>
        <w:spacing w:after="0" w:line="306" w:lineRule="exact"/>
        <w:rPr>
          <w:sz w:val="20"/>
          <w:szCs w:val="20"/>
          <w:color w:val="auto"/>
        </w:rPr>
      </w:pPr>
    </w:p>
    <w:p>
      <w:pPr>
        <w:ind w:right="380" w:firstLine="40"/>
        <w:spacing w:after="0" w:line="268" w:lineRule="auto"/>
        <w:rPr>
          <w:sz w:val="20"/>
          <w:szCs w:val="20"/>
          <w:color w:val="auto"/>
        </w:rPr>
      </w:pPr>
      <w:r>
        <w:rPr>
          <w:rFonts w:ascii="Arial" w:cs="Arial" w:eastAsia="Arial" w:hAnsi="Arial"/>
          <w:sz w:val="18"/>
          <w:szCs w:val="18"/>
          <w:color w:val="auto"/>
        </w:rPr>
        <w:t>All other awards granted to existing executive officers and employees throughout the year (off-cycle awards) have a grant date of the 15th day of the month (or the next succeeding business day that Nasdaq is open) provided the award is approved on or prior to such grant date.</w:t>
      </w:r>
    </w:p>
    <w:p>
      <w:pPr>
        <w:spacing w:after="0" w:line="306"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189"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Our Compensation and Talent Committee does not approve off-cycle awards to our executive officers during the quarterly blackout periods under our insider trading policy.</w:t>
      </w:r>
    </w:p>
    <w:p>
      <w:pPr>
        <w:spacing w:after="0" w:line="200" w:lineRule="exact"/>
        <w:rPr>
          <w:sz w:val="20"/>
          <w:szCs w:val="20"/>
          <w:color w:val="auto"/>
        </w:rPr>
      </w:pPr>
    </w:p>
    <w:p>
      <w:pPr>
        <w:sectPr>
          <w:pgSz w:w="11900" w:h="16838" w:orient="portrait"/>
          <w:cols w:equalWidth="0" w:num="2">
            <w:col w:w="1680" w:space="540"/>
            <w:col w:w="9020"/>
          </w:cols>
          <w:pgMar w:left="320" w:top="1271" w:right="339" w:bottom="1440" w:gutter="0" w:footer="0" w:header="0"/>
          <w:type w:val="continuous"/>
        </w:sectPr>
      </w:pPr>
    </w:p>
    <w:p>
      <w:pPr>
        <w:spacing w:after="0" w:line="74"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 xml:space="preserve">We describe the Equity Award Grant Date Policy for our non-employee directors above under </w:t>
      </w:r>
      <w:r>
        <w:rPr>
          <w:rFonts w:ascii="Arial" w:cs="Arial" w:eastAsia="Arial" w:hAnsi="Arial"/>
          <w:sz w:val="18"/>
          <w:szCs w:val="18"/>
          <w:i w:val="1"/>
          <w:iCs w:val="1"/>
          <w:color w:val="auto"/>
        </w:rPr>
        <w:t>Corporate Governance—Director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and Accounting Considerations</w:t>
      </w:r>
    </w:p>
    <w:p>
      <w:pPr>
        <w:spacing w:after="0" w:line="15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generally entitled to a U.S. federal income tax deduction with respect to compensation income paid to our service providers, subject to limitation under Section 162(m) of the Internal Revenue Code of 1986, as amended, with respect to compensation in excess of $ 1 million paid in any one year to each of certain of our current and former executive officers. The Compensation and Talent Committee uses its judgment to authorize compensation payments that may be subject to the limitation on tax deductibility when the Compensation and Talent Committee believes such payments are appropriate and in the best interest of ADI and our shareholders.</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5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and Talent Committee considers the financial statement impact in determining the amount of, and allocation among the elements of, compensation. We account for stock-based compensation under our 2020 Plan, 2006 Plan, 2010 Plan, and 1996 Plan, as well as all predecessor plans, in accordance with U.S. generally accepted accounting principles.</w:t>
      </w:r>
    </w:p>
    <w:p>
      <w:pPr>
        <w:spacing w:after="0" w:line="24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and Talent Committee Report</w:t>
      </w:r>
    </w:p>
    <w:p>
      <w:pPr>
        <w:spacing w:after="0" w:line="15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The Compensation and Talent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required by Item 402(b) of Regulation S-K with our management. Based on this review and discussion, the Compensation and Talent Committee recommended to our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this Proxy Statement.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067B3"/>
        </w:rPr>
        <w:t>Edward H. Frank,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67B3"/>
        </w:rPr>
        <w:t>Laurie H. Glimcher</w:t>
      </w:r>
    </w:p>
    <w:p>
      <w:pPr>
        <w:spacing w:after="0" w:line="234" w:lineRule="auto"/>
        <w:rPr>
          <w:sz w:val="20"/>
          <w:szCs w:val="20"/>
          <w:color w:val="auto"/>
        </w:rPr>
      </w:pPr>
      <w:r>
        <w:rPr>
          <w:rFonts w:ascii="Arial" w:cs="Arial" w:eastAsia="Arial" w:hAnsi="Arial"/>
          <w:sz w:val="18"/>
          <w:szCs w:val="18"/>
          <w:color w:val="0067B3"/>
        </w:rPr>
        <w:t>Stephen M. Jennings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67B3"/>
        </w:rPr>
        <w:t>Susie Wee</w:t>
      </w:r>
    </w:p>
    <w:p>
      <w:pPr>
        <w:sectPr>
          <w:pgSz w:w="11900" w:h="16838" w:orient="portrait"/>
          <w:cols w:equalWidth="0" w:num="1">
            <w:col w:w="11240"/>
          </w:cols>
          <w:pgMar w:left="320" w:top="1271" w:right="339" w:bottom="1440" w:gutter="0" w:footer="0" w:header="0"/>
          <w:type w:val="continuous"/>
        </w:sectPr>
      </w:pPr>
    </w:p>
    <w:p>
      <w:pPr>
        <w:spacing w:after="0" w:line="399" w:lineRule="exact"/>
        <w:rPr>
          <w:sz w:val="20"/>
          <w:szCs w:val="20"/>
          <w:color w:val="auto"/>
        </w:rPr>
      </w:pPr>
    </w:p>
    <w:p>
      <w:pPr>
        <w:ind w:left="480" w:hanging="454"/>
        <w:spacing w:after="0"/>
        <w:tabs>
          <w:tab w:leader="none" w:pos="480" w:val="left"/>
        </w:tabs>
        <w:numPr>
          <w:ilvl w:val="0"/>
          <w:numId w:val="11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80" w:name="page81"/>
    <w:bookmarkEnd w:id="80"/>
    <w:p>
      <w:pPr>
        <w:ind w:right="1020"/>
        <w:spacing w:after="0" w:line="276" w:lineRule="auto"/>
        <w:rPr>
          <w:sz w:val="20"/>
          <w:szCs w:val="20"/>
          <w:color w:val="auto"/>
        </w:rPr>
      </w:pPr>
      <w:r>
        <w:rPr>
          <w:rFonts w:ascii="Arial" w:cs="Arial" w:eastAsia="Arial" w:hAnsi="Arial"/>
          <w:sz w:val="41"/>
          <w:szCs w:val="41"/>
          <w:b w:val="1"/>
          <w:bCs w:val="1"/>
          <w:color w:val="0067B3"/>
        </w:rPr>
        <w:t>Compensation and Talent Committee Interlocks and Insider Participation</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fiscal year 2023, Drs. Frank, Glimcher, and Wee and Mr. Jennings served as members of our Compensation and Talent Committee. No member of our Compensation and Talent Committee was at any time during fiscal year 2023, or formerly, an officer or employee of ADI or any subsidiary of ADI. No member of our Compensation and Talent Committee had any relationship with us during fiscal year 2023 requiring disclosure under Item 404 of Regulation S-K under the Exchange Act.</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fiscal year 2023, none of our executive officers served as a member of the board of directors or compensation committee (or other committee serving an equivalent function) of any entity that had one or more executive officers serving as a member of our Board of Directors or Compensation and Talent Committee.</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Tables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NEOs earned in fiscal year 2023, fiscal year 2022, and fiscal year 2021. The sum and/or computation of individual numerical amounts disclosed in the following table and related footnotes may not equal the total due to rounding.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shd w:val="clear" w:color="auto" w:fill="0067B3"/>
          </w:tcPr>
          <w:p>
            <w:pPr>
              <w:spacing w:after="0"/>
              <w:rPr>
                <w:sz w:val="18"/>
                <w:szCs w:val="18"/>
                <w:color w:val="auto"/>
              </w:rPr>
            </w:pPr>
          </w:p>
        </w:tc>
        <w:tc>
          <w:tcPr>
            <w:tcW w:w="560" w:type="dxa"/>
            <w:vAlign w:val="bottom"/>
            <w:shd w:val="clear" w:color="auto" w:fill="0067B3"/>
          </w:tcPr>
          <w:p>
            <w:pPr>
              <w:spacing w:after="0"/>
              <w:rPr>
                <w:sz w:val="18"/>
                <w:szCs w:val="18"/>
                <w:color w:val="auto"/>
              </w:rPr>
            </w:pPr>
          </w:p>
        </w:tc>
        <w:tc>
          <w:tcPr>
            <w:tcW w:w="140" w:type="dxa"/>
            <w:vAlign w:val="bottom"/>
            <w:shd w:val="clear" w:color="auto" w:fill="0067B3"/>
          </w:tcPr>
          <w:p>
            <w:pPr>
              <w:spacing w:after="0"/>
              <w:rPr>
                <w:sz w:val="18"/>
                <w:szCs w:val="18"/>
                <w:color w:val="auto"/>
              </w:rPr>
            </w:pPr>
          </w:p>
        </w:tc>
        <w:tc>
          <w:tcPr>
            <w:tcW w:w="120" w:type="dxa"/>
            <w:vAlign w:val="bottom"/>
            <w:shd w:val="clear" w:color="auto" w:fill="0067B3"/>
          </w:tcPr>
          <w:p>
            <w:pPr>
              <w:spacing w:after="0"/>
              <w:rPr>
                <w:sz w:val="18"/>
                <w:szCs w:val="18"/>
                <w:color w:val="auto"/>
              </w:rPr>
            </w:pPr>
          </w:p>
        </w:tc>
        <w:tc>
          <w:tcPr>
            <w:tcW w:w="940" w:type="dxa"/>
            <w:vAlign w:val="bottom"/>
            <w:shd w:val="clear" w:color="auto" w:fill="0067B3"/>
          </w:tcPr>
          <w:p>
            <w:pPr>
              <w:spacing w:after="0"/>
              <w:rPr>
                <w:sz w:val="18"/>
                <w:szCs w:val="18"/>
                <w:color w:val="auto"/>
              </w:rPr>
            </w:pPr>
          </w:p>
        </w:tc>
        <w:tc>
          <w:tcPr>
            <w:tcW w:w="200" w:type="dxa"/>
            <w:vAlign w:val="bottom"/>
            <w:shd w:val="clear" w:color="auto" w:fill="0067B3"/>
          </w:tcPr>
          <w:p>
            <w:pPr>
              <w:spacing w:after="0"/>
              <w:rPr>
                <w:sz w:val="18"/>
                <w:szCs w:val="18"/>
                <w:color w:val="auto"/>
              </w:rPr>
            </w:pPr>
          </w:p>
        </w:tc>
        <w:tc>
          <w:tcPr>
            <w:tcW w:w="760" w:type="dxa"/>
            <w:vAlign w:val="bottom"/>
            <w:shd w:val="clear" w:color="auto" w:fill="0067B3"/>
          </w:tcPr>
          <w:p>
            <w:pPr>
              <w:spacing w:after="0"/>
              <w:rPr>
                <w:sz w:val="18"/>
                <w:szCs w:val="18"/>
                <w:color w:val="auto"/>
              </w:rPr>
            </w:pPr>
          </w:p>
        </w:tc>
        <w:tc>
          <w:tcPr>
            <w:tcW w:w="180" w:type="dxa"/>
            <w:vAlign w:val="bottom"/>
            <w:shd w:val="clear" w:color="auto" w:fill="0067B3"/>
          </w:tcPr>
          <w:p>
            <w:pPr>
              <w:spacing w:after="0"/>
              <w:rPr>
                <w:sz w:val="18"/>
                <w:szCs w:val="18"/>
                <w:color w:val="auto"/>
              </w:rPr>
            </w:pPr>
          </w:p>
        </w:tc>
        <w:tc>
          <w:tcPr>
            <w:tcW w:w="1020" w:type="dxa"/>
            <w:vAlign w:val="bottom"/>
            <w:shd w:val="clear" w:color="auto" w:fill="0067B3"/>
          </w:tcPr>
          <w:p>
            <w:pPr>
              <w:spacing w:after="0"/>
              <w:rPr>
                <w:sz w:val="18"/>
                <w:szCs w:val="18"/>
                <w:color w:val="auto"/>
              </w:rPr>
            </w:pPr>
          </w:p>
        </w:tc>
        <w:tc>
          <w:tcPr>
            <w:tcW w:w="260" w:type="dxa"/>
            <w:vAlign w:val="bottom"/>
            <w:shd w:val="clear" w:color="auto" w:fill="0067B3"/>
          </w:tcPr>
          <w:p>
            <w:pPr>
              <w:spacing w:after="0"/>
              <w:rPr>
                <w:sz w:val="18"/>
                <w:szCs w:val="18"/>
                <w:color w:val="auto"/>
              </w:rPr>
            </w:pPr>
          </w:p>
        </w:tc>
        <w:tc>
          <w:tcPr>
            <w:tcW w:w="280" w:type="dxa"/>
            <w:vAlign w:val="bottom"/>
            <w:shd w:val="clear" w:color="auto" w:fill="0067B3"/>
          </w:tcPr>
          <w:p>
            <w:pPr>
              <w:spacing w:after="0"/>
              <w:rPr>
                <w:sz w:val="18"/>
                <w:szCs w:val="18"/>
                <w:color w:val="auto"/>
              </w:rPr>
            </w:pPr>
          </w:p>
        </w:tc>
        <w:tc>
          <w:tcPr>
            <w:tcW w:w="880" w:type="dxa"/>
            <w:vAlign w:val="bottom"/>
            <w:shd w:val="clear" w:color="auto" w:fill="0067B3"/>
          </w:tcPr>
          <w:p>
            <w:pPr>
              <w:spacing w:after="0"/>
              <w:rPr>
                <w:sz w:val="18"/>
                <w:szCs w:val="18"/>
                <w:color w:val="auto"/>
              </w:rPr>
            </w:pPr>
          </w:p>
        </w:tc>
        <w:tc>
          <w:tcPr>
            <w:tcW w:w="320" w:type="dxa"/>
            <w:vAlign w:val="bottom"/>
            <w:shd w:val="clear" w:color="auto" w:fill="0067B3"/>
          </w:tcPr>
          <w:p>
            <w:pPr>
              <w:spacing w:after="0"/>
              <w:rPr>
                <w:sz w:val="18"/>
                <w:szCs w:val="18"/>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Non-Equity</w:t>
            </w:r>
          </w:p>
        </w:tc>
        <w:tc>
          <w:tcPr>
            <w:tcW w:w="500" w:type="dxa"/>
            <w:vAlign w:val="bottom"/>
            <w:shd w:val="clear" w:color="auto" w:fill="0067B3"/>
          </w:tcPr>
          <w:p>
            <w:pPr>
              <w:spacing w:after="0"/>
              <w:rPr>
                <w:sz w:val="18"/>
                <w:szCs w:val="18"/>
                <w:color w:val="auto"/>
              </w:rPr>
            </w:pPr>
          </w:p>
        </w:tc>
        <w:tc>
          <w:tcPr>
            <w:tcW w:w="800" w:type="dxa"/>
            <w:vAlign w:val="bottom"/>
            <w:shd w:val="clear" w:color="auto" w:fill="0067B3"/>
          </w:tcPr>
          <w:p>
            <w:pPr>
              <w:spacing w:after="0"/>
              <w:rPr>
                <w:sz w:val="18"/>
                <w:szCs w:val="18"/>
                <w:color w:val="auto"/>
              </w:rPr>
            </w:pPr>
          </w:p>
        </w:tc>
        <w:tc>
          <w:tcPr>
            <w:tcW w:w="200" w:type="dxa"/>
            <w:vAlign w:val="bottom"/>
            <w:shd w:val="clear" w:color="auto" w:fill="0067B3"/>
          </w:tcPr>
          <w:p>
            <w:pPr>
              <w:spacing w:after="0"/>
              <w:rPr>
                <w:sz w:val="18"/>
                <w:szCs w:val="18"/>
                <w:color w:val="auto"/>
              </w:rPr>
            </w:pPr>
          </w:p>
        </w:tc>
        <w:tc>
          <w:tcPr>
            <w:tcW w:w="980" w:type="dxa"/>
            <w:vAlign w:val="bottom"/>
            <w:shd w:val="clear" w:color="auto" w:fill="0067B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0067B3"/>
          </w:tcPr>
          <w:p>
            <w:pPr>
              <w:spacing w:after="0"/>
              <w:rPr>
                <w:sz w:val="16"/>
                <w:szCs w:val="16"/>
                <w:color w:val="auto"/>
              </w:rPr>
            </w:pPr>
          </w:p>
        </w:tc>
        <w:tc>
          <w:tcPr>
            <w:tcW w:w="56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20" w:type="dxa"/>
            <w:vAlign w:val="bottom"/>
            <w:shd w:val="clear" w:color="auto" w:fill="0067B3"/>
          </w:tcPr>
          <w:p>
            <w:pPr>
              <w:spacing w:after="0"/>
              <w:rPr>
                <w:sz w:val="16"/>
                <w:szCs w:val="16"/>
                <w:color w:val="auto"/>
              </w:rPr>
            </w:pPr>
          </w:p>
        </w:tc>
        <w:tc>
          <w:tcPr>
            <w:tcW w:w="940" w:type="dxa"/>
            <w:vAlign w:val="bottom"/>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760" w:type="dxa"/>
            <w:vAlign w:val="bottom"/>
            <w:shd w:val="clear" w:color="auto" w:fill="0067B3"/>
          </w:tcPr>
          <w:p>
            <w:pPr>
              <w:spacing w:after="0"/>
              <w:rPr>
                <w:sz w:val="16"/>
                <w:szCs w:val="16"/>
                <w:color w:val="auto"/>
              </w:rPr>
            </w:pPr>
          </w:p>
        </w:tc>
        <w:tc>
          <w:tcPr>
            <w:tcW w:w="1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Stock</w:t>
            </w:r>
          </w:p>
        </w:tc>
        <w:tc>
          <w:tcPr>
            <w:tcW w:w="26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Option</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Incentive Plan</w:t>
            </w:r>
          </w:p>
        </w:tc>
        <w:tc>
          <w:tcPr>
            <w:tcW w:w="500" w:type="dxa"/>
            <w:vAlign w:val="bottom"/>
            <w:shd w:val="clear" w:color="auto" w:fill="0067B3"/>
          </w:tcPr>
          <w:p>
            <w:pPr>
              <w:spacing w:after="0"/>
              <w:rPr>
                <w:sz w:val="16"/>
                <w:szCs w:val="16"/>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All Other</w:t>
            </w:r>
          </w:p>
        </w:tc>
        <w:tc>
          <w:tcPr>
            <w:tcW w:w="20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w:t>
            </w:r>
          </w:p>
        </w:tc>
        <w:tc>
          <w:tcPr>
            <w:tcW w:w="5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Fiscal</w:t>
            </w:r>
          </w:p>
        </w:tc>
        <w:tc>
          <w:tcPr>
            <w:tcW w:w="140" w:type="dxa"/>
            <w:vAlign w:val="bottom"/>
            <w:shd w:val="clear" w:color="auto" w:fill="0067B3"/>
          </w:tcPr>
          <w:p>
            <w:pPr>
              <w:spacing w:after="0"/>
              <w:rPr>
                <w:sz w:val="16"/>
                <w:szCs w:val="16"/>
                <w:color w:val="auto"/>
              </w:rPr>
            </w:pPr>
          </w:p>
        </w:tc>
        <w:tc>
          <w:tcPr>
            <w:tcW w:w="120" w:type="dxa"/>
            <w:vAlign w:val="bottom"/>
            <w:shd w:val="clear" w:color="auto" w:fill="0067B3"/>
          </w:tcPr>
          <w:p>
            <w:pPr>
              <w:spacing w:after="0"/>
              <w:rPr>
                <w:sz w:val="16"/>
                <w:szCs w:val="16"/>
                <w:color w:val="auto"/>
              </w:rPr>
            </w:pP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Salary</w:t>
            </w:r>
          </w:p>
        </w:tc>
        <w:tc>
          <w:tcPr>
            <w:tcW w:w="200" w:type="dxa"/>
            <w:vAlign w:val="bottom"/>
            <w:shd w:val="clear" w:color="auto" w:fill="0067B3"/>
          </w:tcPr>
          <w:p>
            <w:pPr>
              <w:spacing w:after="0"/>
              <w:rPr>
                <w:sz w:val="16"/>
                <w:szCs w:val="16"/>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Bonus</w:t>
            </w:r>
          </w:p>
        </w:tc>
        <w:tc>
          <w:tcPr>
            <w:tcW w:w="1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26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30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20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4"/>
        </w:trPr>
        <w:tc>
          <w:tcPr>
            <w:tcW w:w="2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Principal Position</w:t>
            </w:r>
          </w:p>
        </w:tc>
        <w:tc>
          <w:tcPr>
            <w:tcW w:w="5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40" w:type="dxa"/>
            <w:vAlign w:val="bottom"/>
            <w:shd w:val="clear" w:color="auto" w:fill="0067B3"/>
          </w:tcPr>
          <w:p>
            <w:pPr>
              <w:spacing w:after="0"/>
              <w:rPr>
                <w:sz w:val="21"/>
                <w:szCs w:val="21"/>
                <w:color w:val="auto"/>
              </w:rPr>
            </w:pPr>
          </w:p>
        </w:tc>
        <w:tc>
          <w:tcPr>
            <w:tcW w:w="120" w:type="dxa"/>
            <w:vAlign w:val="bottom"/>
            <w:shd w:val="clear" w:color="auto" w:fill="0067B3"/>
          </w:tcPr>
          <w:p>
            <w:pPr>
              <w:spacing w:after="0"/>
              <w:rPr>
                <w:sz w:val="21"/>
                <w:szCs w:val="21"/>
                <w:color w:val="auto"/>
              </w:rPr>
            </w:pP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21"/>
                <w:szCs w:val="21"/>
                <w:b w:val="1"/>
                <w:bCs w:val="1"/>
                <w:color w:val="FFFFFF"/>
                <w:vertAlign w:val="superscript"/>
              </w:rPr>
              <w:t>(1)</w:t>
            </w:r>
          </w:p>
        </w:tc>
        <w:tc>
          <w:tcPr>
            <w:tcW w:w="200" w:type="dxa"/>
            <w:vAlign w:val="bottom"/>
            <w:shd w:val="clear" w:color="auto" w:fill="0067B3"/>
          </w:tcPr>
          <w:p>
            <w:pPr>
              <w:spacing w:after="0"/>
              <w:rPr>
                <w:sz w:val="21"/>
                <w:szCs w:val="21"/>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80" w:type="dxa"/>
            <w:vAlign w:val="bottom"/>
            <w:shd w:val="clear" w:color="auto" w:fill="0067B3"/>
          </w:tcPr>
          <w:p>
            <w:pPr>
              <w:spacing w:after="0"/>
              <w:rPr>
                <w:sz w:val="21"/>
                <w:szCs w:val="21"/>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260" w:type="dxa"/>
            <w:vAlign w:val="bottom"/>
            <w:shd w:val="clear" w:color="auto" w:fill="0067B3"/>
          </w:tcPr>
          <w:p>
            <w:pPr>
              <w:spacing w:after="0"/>
              <w:rPr>
                <w:sz w:val="21"/>
                <w:szCs w:val="21"/>
                <w:color w:val="auto"/>
              </w:rPr>
            </w:pPr>
          </w:p>
        </w:tc>
        <w:tc>
          <w:tcPr>
            <w:tcW w:w="280" w:type="dxa"/>
            <w:vAlign w:val="bottom"/>
            <w:shd w:val="clear" w:color="auto" w:fill="0067B3"/>
          </w:tcPr>
          <w:p>
            <w:pPr>
              <w:spacing w:after="0"/>
              <w:rPr>
                <w:sz w:val="21"/>
                <w:szCs w:val="21"/>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c>
          <w:tcPr>
            <w:tcW w:w="320" w:type="dxa"/>
            <w:vAlign w:val="bottom"/>
            <w:shd w:val="clear" w:color="auto" w:fill="0067B3"/>
          </w:tcPr>
          <w:p>
            <w:pPr>
              <w:spacing w:after="0"/>
              <w:rPr>
                <w:sz w:val="21"/>
                <w:szCs w:val="21"/>
                <w:color w:val="auto"/>
              </w:rPr>
            </w:pPr>
          </w:p>
        </w:tc>
        <w:tc>
          <w:tcPr>
            <w:tcW w:w="96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c>
          <w:tcPr>
            <w:tcW w:w="500" w:type="dxa"/>
            <w:vAlign w:val="bottom"/>
            <w:shd w:val="clear" w:color="auto" w:fill="0067B3"/>
          </w:tcPr>
          <w:p>
            <w:pPr>
              <w:spacing w:after="0"/>
              <w:rPr>
                <w:sz w:val="21"/>
                <w:szCs w:val="21"/>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(5)</w:t>
            </w:r>
          </w:p>
        </w:tc>
        <w:tc>
          <w:tcPr>
            <w:tcW w:w="20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8"/>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7"/>
              </w:rPr>
              <w:t>1,128,846</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w w:val="97"/>
              </w:rPr>
              <w:t>19,997,672</w:t>
            </w:r>
          </w:p>
        </w:tc>
        <w:tc>
          <w:tcPr>
            <w:tcW w:w="260" w:type="dxa"/>
            <w:vAlign w:val="bottom"/>
            <w:shd w:val="clear" w:color="auto" w:fill="E2E6F4"/>
          </w:tcPr>
          <w:p>
            <w:pPr>
              <w:spacing w:after="0"/>
              <w:rPr>
                <w:sz w:val="23"/>
                <w:szCs w:val="23"/>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4,071,924</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345,193</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25,543,635</w:t>
            </w:r>
          </w:p>
        </w:tc>
        <w:tc>
          <w:tcPr>
            <w:tcW w:w="0" w:type="dxa"/>
            <w:vAlign w:val="bottom"/>
          </w:tcPr>
          <w:p>
            <w:pPr>
              <w:spacing w:after="0"/>
              <w:rPr>
                <w:sz w:val="1"/>
                <w:szCs w:val="1"/>
                <w:color w:val="auto"/>
              </w:rPr>
            </w:pPr>
          </w:p>
        </w:tc>
      </w:tr>
      <w:tr>
        <w:trPr>
          <w:trHeight w:val="280"/>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&amp;</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7"/>
              </w:rPr>
              <w:t>1,075,000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w w:val="97"/>
              </w:rPr>
              <w:t>15,000,172</w:t>
            </w:r>
          </w:p>
        </w:tc>
        <w:tc>
          <w:tcPr>
            <w:tcW w:w="260" w:type="dxa"/>
            <w:vAlign w:val="bottom"/>
            <w:shd w:val="clear" w:color="auto" w:fill="E2E6F4"/>
          </w:tcPr>
          <w:p>
            <w:pPr>
              <w:spacing w:after="0"/>
              <w:rPr>
                <w:sz w:val="24"/>
                <w:szCs w:val="24"/>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5,560,731</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462,392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22,098,295</w:t>
            </w:r>
          </w:p>
        </w:tc>
        <w:tc>
          <w:tcPr>
            <w:tcW w:w="0" w:type="dxa"/>
            <w:vAlign w:val="bottom"/>
          </w:tcPr>
          <w:p>
            <w:pPr>
              <w:spacing w:after="0"/>
              <w:rPr>
                <w:sz w:val="1"/>
                <w:szCs w:val="1"/>
                <w:color w:val="auto"/>
              </w:rPr>
            </w:pPr>
          </w:p>
        </w:tc>
      </w:tr>
      <w:tr>
        <w:trPr>
          <w:trHeight w:val="230"/>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Chair of the Board</w:t>
            </w:r>
          </w:p>
        </w:tc>
        <w:tc>
          <w:tcPr>
            <w:tcW w:w="5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E2E6F4"/>
          </w:tcPr>
          <w:p>
            <w:pPr>
              <w:spacing w:after="0"/>
              <w:rPr>
                <w:sz w:val="19"/>
                <w:szCs w:val="19"/>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w w:val="97"/>
              </w:rPr>
              <w:t>1,050,000</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2E6F4"/>
          </w:tcPr>
          <w:p>
            <w:pPr>
              <w:jc w:val="right"/>
              <w:ind w:right="32"/>
              <w:spacing w:after="0"/>
              <w:rPr>
                <w:sz w:val="20"/>
                <w:szCs w:val="20"/>
                <w:color w:val="auto"/>
              </w:rPr>
            </w:pPr>
            <w:r>
              <w:rPr>
                <w:rFonts w:ascii="Arial" w:cs="Arial" w:eastAsia="Arial" w:hAnsi="Arial"/>
                <w:sz w:val="18"/>
                <w:szCs w:val="18"/>
                <w:color w:val="auto"/>
              </w:rPr>
              <w:t>8,591,204</w:t>
            </w:r>
          </w:p>
        </w:tc>
        <w:tc>
          <w:tcPr>
            <w:tcW w:w="260" w:type="dxa"/>
            <w:vAlign w:val="bottom"/>
            <w:shd w:val="clear" w:color="auto" w:fill="E2E6F4"/>
          </w:tcPr>
          <w:p>
            <w:pPr>
              <w:spacing w:after="0"/>
              <w:rPr>
                <w:sz w:val="19"/>
                <w:szCs w:val="19"/>
                <w:color w:val="auto"/>
              </w:rPr>
            </w:pPr>
          </w:p>
        </w:tc>
        <w:tc>
          <w:tcPr>
            <w:tcW w:w="1160" w:type="dxa"/>
            <w:vAlign w:val="bottom"/>
            <w:gridSpan w:val="2"/>
            <w:vMerge w:val="restart"/>
            <w:shd w:val="clear" w:color="auto" w:fill="E2E6F4"/>
          </w:tcPr>
          <w:p>
            <w:pPr>
              <w:jc w:val="right"/>
              <w:ind w:right="32"/>
              <w:spacing w:after="0"/>
              <w:rPr>
                <w:sz w:val="20"/>
                <w:szCs w:val="20"/>
                <w:color w:val="auto"/>
              </w:rPr>
            </w:pPr>
            <w:r>
              <w:rPr>
                <w:rFonts w:ascii="Arial" w:cs="Arial" w:eastAsia="Arial" w:hAnsi="Arial"/>
                <w:sz w:val="18"/>
                <w:szCs w:val="18"/>
                <w:color w:val="auto"/>
              </w:rPr>
              <w:t>$17,118,004</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3"/>
              <w:spacing w:after="0"/>
              <w:rPr>
                <w:sz w:val="20"/>
                <w:szCs w:val="20"/>
                <w:color w:val="auto"/>
              </w:rPr>
            </w:pPr>
            <w:r>
              <w:rPr>
                <w:rFonts w:ascii="Arial" w:cs="Arial" w:eastAsia="Arial" w:hAnsi="Arial"/>
                <w:sz w:val="18"/>
                <w:szCs w:val="18"/>
                <w:color w:val="auto"/>
                <w:w w:val="99"/>
              </w:rPr>
              <w:t>3,981,115</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84,000</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30,824,323</w:t>
            </w:r>
          </w:p>
        </w:tc>
        <w:tc>
          <w:tcPr>
            <w:tcW w:w="0" w:type="dxa"/>
            <w:vAlign w:val="bottom"/>
          </w:tcPr>
          <w:p>
            <w:pPr>
              <w:spacing w:after="0"/>
              <w:rPr>
                <w:sz w:val="1"/>
                <w:szCs w:val="1"/>
                <w:color w:val="auto"/>
              </w:rPr>
            </w:pPr>
          </w:p>
        </w:tc>
      </w:tr>
      <w:tr>
        <w:trPr>
          <w:trHeight w:val="117"/>
        </w:trPr>
        <w:tc>
          <w:tcPr>
            <w:tcW w:w="214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of Directors</w:t>
            </w:r>
          </w:p>
        </w:tc>
        <w:tc>
          <w:tcPr>
            <w:tcW w:w="560" w:type="dxa"/>
            <w:vAlign w:val="bottom"/>
            <w:vMerge w:val="continue"/>
            <w:shd w:val="clear" w:color="auto" w:fill="E2E6F4"/>
          </w:tcPr>
          <w:p>
            <w:pPr>
              <w:spacing w:after="0"/>
              <w:rPr>
                <w:sz w:val="10"/>
                <w:szCs w:val="10"/>
                <w:color w:val="auto"/>
              </w:rPr>
            </w:pPr>
          </w:p>
        </w:tc>
        <w:tc>
          <w:tcPr>
            <w:tcW w:w="140" w:type="dxa"/>
            <w:vAlign w:val="bottom"/>
            <w:shd w:val="clear" w:color="auto" w:fill="E2E6F4"/>
          </w:tcPr>
          <w:p>
            <w:pPr>
              <w:spacing w:after="0"/>
              <w:rPr>
                <w:sz w:val="10"/>
                <w:szCs w:val="10"/>
                <w:color w:val="auto"/>
              </w:rPr>
            </w:pPr>
          </w:p>
        </w:tc>
        <w:tc>
          <w:tcPr>
            <w:tcW w:w="120" w:type="dxa"/>
            <w:vAlign w:val="bottom"/>
            <w:vMerge w:val="continue"/>
            <w:shd w:val="clear" w:color="auto" w:fill="E2E6F4"/>
          </w:tcPr>
          <w:p>
            <w:pPr>
              <w:spacing w:after="0"/>
              <w:rPr>
                <w:sz w:val="10"/>
                <w:szCs w:val="10"/>
                <w:color w:val="auto"/>
              </w:rPr>
            </w:pPr>
          </w:p>
        </w:tc>
        <w:tc>
          <w:tcPr>
            <w:tcW w:w="940" w:type="dxa"/>
            <w:vAlign w:val="bottom"/>
            <w:vMerge w:val="continue"/>
            <w:shd w:val="clear" w:color="auto" w:fill="E2E6F4"/>
          </w:tcPr>
          <w:p>
            <w:pPr>
              <w:spacing w:after="0"/>
              <w:rPr>
                <w:sz w:val="10"/>
                <w:szCs w:val="10"/>
                <w:color w:val="auto"/>
              </w:rPr>
            </w:pPr>
          </w:p>
        </w:tc>
        <w:tc>
          <w:tcPr>
            <w:tcW w:w="200" w:type="dxa"/>
            <w:vAlign w:val="bottom"/>
            <w:vMerge w:val="continue"/>
            <w:shd w:val="clear" w:color="auto" w:fill="E2E6F4"/>
          </w:tcPr>
          <w:p>
            <w:pPr>
              <w:spacing w:after="0"/>
              <w:rPr>
                <w:sz w:val="10"/>
                <w:szCs w:val="10"/>
                <w:color w:val="auto"/>
              </w:rPr>
            </w:pPr>
          </w:p>
        </w:tc>
        <w:tc>
          <w:tcPr>
            <w:tcW w:w="760" w:type="dxa"/>
            <w:vAlign w:val="bottom"/>
            <w:vMerge w:val="continue"/>
            <w:shd w:val="clear" w:color="auto" w:fill="E2E6F4"/>
          </w:tcPr>
          <w:p>
            <w:pPr>
              <w:spacing w:after="0"/>
              <w:rPr>
                <w:sz w:val="10"/>
                <w:szCs w:val="10"/>
                <w:color w:val="auto"/>
              </w:rPr>
            </w:pPr>
          </w:p>
        </w:tc>
        <w:tc>
          <w:tcPr>
            <w:tcW w:w="180" w:type="dxa"/>
            <w:vAlign w:val="bottom"/>
            <w:vMerge w:val="continue"/>
            <w:shd w:val="clear" w:color="auto" w:fill="E2E6F4"/>
          </w:tcPr>
          <w:p>
            <w:pPr>
              <w:spacing w:after="0"/>
              <w:rPr>
                <w:sz w:val="10"/>
                <w:szCs w:val="10"/>
                <w:color w:val="auto"/>
              </w:rPr>
            </w:pPr>
          </w:p>
        </w:tc>
        <w:tc>
          <w:tcPr>
            <w:tcW w:w="1020" w:type="dxa"/>
            <w:vAlign w:val="bottom"/>
            <w:vMerge w:val="continue"/>
            <w:shd w:val="clear" w:color="auto" w:fill="E2E6F4"/>
          </w:tcPr>
          <w:p>
            <w:pPr>
              <w:spacing w:after="0"/>
              <w:rPr>
                <w:sz w:val="10"/>
                <w:szCs w:val="10"/>
                <w:color w:val="auto"/>
              </w:rPr>
            </w:pPr>
          </w:p>
        </w:tc>
        <w:tc>
          <w:tcPr>
            <w:tcW w:w="260" w:type="dxa"/>
            <w:vAlign w:val="bottom"/>
            <w:shd w:val="clear" w:color="auto" w:fill="E2E6F4"/>
          </w:tcPr>
          <w:p>
            <w:pPr>
              <w:spacing w:after="0"/>
              <w:rPr>
                <w:sz w:val="10"/>
                <w:szCs w:val="10"/>
                <w:color w:val="auto"/>
              </w:rPr>
            </w:pPr>
          </w:p>
        </w:tc>
        <w:tc>
          <w:tcPr>
            <w:tcW w:w="1160" w:type="dxa"/>
            <w:vAlign w:val="bottom"/>
            <w:gridSpan w:val="2"/>
            <w:vMerge w:val="continue"/>
            <w:shd w:val="clear" w:color="auto" w:fill="E2E6F4"/>
          </w:tcPr>
          <w:p>
            <w:pPr>
              <w:spacing w:after="0"/>
              <w:rPr>
                <w:sz w:val="10"/>
                <w:szCs w:val="10"/>
                <w:color w:val="auto"/>
              </w:rPr>
            </w:pPr>
          </w:p>
        </w:tc>
        <w:tc>
          <w:tcPr>
            <w:tcW w:w="320" w:type="dxa"/>
            <w:vAlign w:val="bottom"/>
            <w:vMerge w:val="continue"/>
            <w:shd w:val="clear" w:color="auto" w:fill="E2E6F4"/>
          </w:tcPr>
          <w:p>
            <w:pPr>
              <w:spacing w:after="0"/>
              <w:rPr>
                <w:sz w:val="10"/>
                <w:szCs w:val="10"/>
                <w:color w:val="auto"/>
              </w:rPr>
            </w:pPr>
          </w:p>
        </w:tc>
        <w:tc>
          <w:tcPr>
            <w:tcW w:w="960" w:type="dxa"/>
            <w:vAlign w:val="bottom"/>
            <w:vMerge w:val="continue"/>
            <w:shd w:val="clear" w:color="auto" w:fill="E2E6F4"/>
          </w:tcPr>
          <w:p>
            <w:pPr>
              <w:spacing w:after="0"/>
              <w:rPr>
                <w:sz w:val="10"/>
                <w:szCs w:val="10"/>
                <w:color w:val="auto"/>
              </w:rPr>
            </w:pPr>
          </w:p>
        </w:tc>
        <w:tc>
          <w:tcPr>
            <w:tcW w:w="500" w:type="dxa"/>
            <w:vAlign w:val="bottom"/>
            <w:vMerge w:val="continue"/>
            <w:shd w:val="clear" w:color="auto" w:fill="E2E6F4"/>
          </w:tcPr>
          <w:p>
            <w:pPr>
              <w:spacing w:after="0"/>
              <w:rPr>
                <w:sz w:val="10"/>
                <w:szCs w:val="10"/>
                <w:color w:val="auto"/>
              </w:rPr>
            </w:pPr>
          </w:p>
        </w:tc>
        <w:tc>
          <w:tcPr>
            <w:tcW w:w="800" w:type="dxa"/>
            <w:vAlign w:val="bottom"/>
            <w:vMerge w:val="continue"/>
            <w:shd w:val="clear" w:color="auto" w:fill="E2E6F4"/>
          </w:tcPr>
          <w:p>
            <w:pPr>
              <w:spacing w:after="0"/>
              <w:rPr>
                <w:sz w:val="10"/>
                <w:szCs w:val="10"/>
                <w:color w:val="auto"/>
              </w:rPr>
            </w:pPr>
          </w:p>
        </w:tc>
        <w:tc>
          <w:tcPr>
            <w:tcW w:w="200" w:type="dxa"/>
            <w:vAlign w:val="bottom"/>
            <w:vMerge w:val="continue"/>
            <w:shd w:val="clear" w:color="auto" w:fill="E2E6F4"/>
          </w:tcPr>
          <w:p>
            <w:pPr>
              <w:spacing w:after="0"/>
              <w:rPr>
                <w:sz w:val="10"/>
                <w:szCs w:val="10"/>
                <w:color w:val="auto"/>
              </w:rPr>
            </w:pPr>
          </w:p>
        </w:tc>
        <w:tc>
          <w:tcPr>
            <w:tcW w:w="980" w:type="dxa"/>
            <w:vAlign w:val="bottom"/>
            <w:vMerge w:val="continue"/>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40" w:type="dxa"/>
            <w:vAlign w:val="bottom"/>
            <w:tcBorders>
              <w:bottom w:val="single" w:sz="8" w:color="E2E6F4"/>
            </w:tcBorders>
            <w:vMerge w:val="continue"/>
            <w:shd w:val="clear" w:color="auto" w:fill="E2E6F4"/>
          </w:tcPr>
          <w:p>
            <w:pPr>
              <w:spacing w:after="0"/>
              <w:rPr>
                <w:sz w:val="10"/>
                <w:szCs w:val="10"/>
                <w:color w:val="auto"/>
              </w:rPr>
            </w:pPr>
          </w:p>
        </w:tc>
        <w:tc>
          <w:tcPr>
            <w:tcW w:w="560" w:type="dxa"/>
            <w:vAlign w:val="bottom"/>
            <w:tcBorders>
              <w:bottom w:val="single" w:sz="8" w:color="E2E6F4"/>
            </w:tcBorders>
            <w:shd w:val="clear" w:color="auto" w:fill="E2E6F4"/>
          </w:tcPr>
          <w:p>
            <w:pPr>
              <w:spacing w:after="0"/>
              <w:rPr>
                <w:sz w:val="10"/>
                <w:szCs w:val="10"/>
                <w:color w:val="auto"/>
              </w:rPr>
            </w:pPr>
          </w:p>
        </w:tc>
        <w:tc>
          <w:tcPr>
            <w:tcW w:w="140" w:type="dxa"/>
            <w:vAlign w:val="bottom"/>
            <w:tcBorders>
              <w:bottom w:val="single" w:sz="8" w:color="E2E6F4"/>
            </w:tcBorders>
            <w:shd w:val="clear" w:color="auto" w:fill="E2E6F4"/>
          </w:tcPr>
          <w:p>
            <w:pPr>
              <w:spacing w:after="0"/>
              <w:rPr>
                <w:sz w:val="10"/>
                <w:szCs w:val="10"/>
                <w:color w:val="auto"/>
              </w:rPr>
            </w:pPr>
          </w:p>
        </w:tc>
        <w:tc>
          <w:tcPr>
            <w:tcW w:w="120" w:type="dxa"/>
            <w:vAlign w:val="bottom"/>
            <w:tcBorders>
              <w:bottom w:val="single" w:sz="8" w:color="E2E6F4"/>
            </w:tcBorders>
            <w:shd w:val="clear" w:color="auto" w:fill="E2E6F4"/>
          </w:tcPr>
          <w:p>
            <w:pPr>
              <w:spacing w:after="0"/>
              <w:rPr>
                <w:sz w:val="10"/>
                <w:szCs w:val="10"/>
                <w:color w:val="auto"/>
              </w:rPr>
            </w:pPr>
          </w:p>
        </w:tc>
        <w:tc>
          <w:tcPr>
            <w:tcW w:w="940" w:type="dxa"/>
            <w:vAlign w:val="bottom"/>
            <w:tcBorders>
              <w:bottom w:val="single" w:sz="8" w:color="E2E6F4"/>
            </w:tcBorders>
            <w:shd w:val="clear" w:color="auto" w:fill="E2E6F4"/>
          </w:tcPr>
          <w:p>
            <w:pPr>
              <w:spacing w:after="0"/>
              <w:rPr>
                <w:sz w:val="10"/>
                <w:szCs w:val="10"/>
                <w:color w:val="auto"/>
              </w:rPr>
            </w:pPr>
          </w:p>
        </w:tc>
        <w:tc>
          <w:tcPr>
            <w:tcW w:w="200" w:type="dxa"/>
            <w:vAlign w:val="bottom"/>
            <w:tcBorders>
              <w:bottom w:val="single" w:sz="8" w:color="E2E6F4"/>
            </w:tcBorders>
            <w:shd w:val="clear" w:color="auto" w:fill="E2E6F4"/>
          </w:tcPr>
          <w:p>
            <w:pPr>
              <w:spacing w:after="0"/>
              <w:rPr>
                <w:sz w:val="10"/>
                <w:szCs w:val="10"/>
                <w:color w:val="auto"/>
              </w:rPr>
            </w:pPr>
          </w:p>
        </w:tc>
        <w:tc>
          <w:tcPr>
            <w:tcW w:w="760" w:type="dxa"/>
            <w:vAlign w:val="bottom"/>
            <w:tcBorders>
              <w:bottom w:val="single" w:sz="8" w:color="E2E6F4"/>
            </w:tcBorders>
            <w:shd w:val="clear" w:color="auto" w:fill="E2E6F4"/>
          </w:tcPr>
          <w:p>
            <w:pPr>
              <w:spacing w:after="0"/>
              <w:rPr>
                <w:sz w:val="10"/>
                <w:szCs w:val="10"/>
                <w:color w:val="auto"/>
              </w:rPr>
            </w:pPr>
          </w:p>
        </w:tc>
        <w:tc>
          <w:tcPr>
            <w:tcW w:w="180" w:type="dxa"/>
            <w:vAlign w:val="bottom"/>
            <w:tcBorders>
              <w:bottom w:val="single" w:sz="8" w:color="E2E6F4"/>
            </w:tcBorders>
            <w:shd w:val="clear" w:color="auto" w:fill="E2E6F4"/>
          </w:tcPr>
          <w:p>
            <w:pPr>
              <w:spacing w:after="0"/>
              <w:rPr>
                <w:sz w:val="10"/>
                <w:szCs w:val="10"/>
                <w:color w:val="auto"/>
              </w:rPr>
            </w:pPr>
          </w:p>
        </w:tc>
        <w:tc>
          <w:tcPr>
            <w:tcW w:w="1020" w:type="dxa"/>
            <w:vAlign w:val="bottom"/>
            <w:tcBorders>
              <w:bottom w:val="single" w:sz="8" w:color="E2E6F4"/>
            </w:tcBorders>
            <w:shd w:val="clear" w:color="auto" w:fill="E2E6F4"/>
          </w:tcPr>
          <w:p>
            <w:pPr>
              <w:spacing w:after="0"/>
              <w:rPr>
                <w:sz w:val="10"/>
                <w:szCs w:val="10"/>
                <w:color w:val="auto"/>
              </w:rPr>
            </w:pPr>
          </w:p>
        </w:tc>
        <w:tc>
          <w:tcPr>
            <w:tcW w:w="260" w:type="dxa"/>
            <w:vAlign w:val="bottom"/>
            <w:tcBorders>
              <w:bottom w:val="single" w:sz="8" w:color="E2E6F4"/>
            </w:tcBorders>
            <w:shd w:val="clear" w:color="auto" w:fill="E2E6F4"/>
          </w:tcPr>
          <w:p>
            <w:pPr>
              <w:spacing w:after="0"/>
              <w:rPr>
                <w:sz w:val="10"/>
                <w:szCs w:val="10"/>
                <w:color w:val="auto"/>
              </w:rPr>
            </w:pPr>
          </w:p>
        </w:tc>
        <w:tc>
          <w:tcPr>
            <w:tcW w:w="280" w:type="dxa"/>
            <w:vAlign w:val="bottom"/>
            <w:tcBorders>
              <w:bottom w:val="single" w:sz="8" w:color="E2E6F4"/>
            </w:tcBorders>
            <w:shd w:val="clear" w:color="auto" w:fill="E2E6F4"/>
          </w:tcPr>
          <w:p>
            <w:pPr>
              <w:spacing w:after="0"/>
              <w:rPr>
                <w:sz w:val="10"/>
                <w:szCs w:val="10"/>
                <w:color w:val="auto"/>
              </w:rPr>
            </w:pPr>
          </w:p>
        </w:tc>
        <w:tc>
          <w:tcPr>
            <w:tcW w:w="880" w:type="dxa"/>
            <w:vAlign w:val="bottom"/>
            <w:tcBorders>
              <w:bottom w:val="single" w:sz="8" w:color="E2E6F4"/>
            </w:tcBorders>
            <w:shd w:val="clear" w:color="auto" w:fill="E2E6F4"/>
          </w:tcPr>
          <w:p>
            <w:pPr>
              <w:spacing w:after="0"/>
              <w:rPr>
                <w:sz w:val="10"/>
                <w:szCs w:val="10"/>
                <w:color w:val="auto"/>
              </w:rPr>
            </w:pPr>
          </w:p>
        </w:tc>
        <w:tc>
          <w:tcPr>
            <w:tcW w:w="320" w:type="dxa"/>
            <w:vAlign w:val="bottom"/>
            <w:tcBorders>
              <w:bottom w:val="single" w:sz="8" w:color="E2E6F4"/>
            </w:tcBorders>
            <w:shd w:val="clear" w:color="auto" w:fill="E2E6F4"/>
          </w:tcPr>
          <w:p>
            <w:pPr>
              <w:spacing w:after="0"/>
              <w:rPr>
                <w:sz w:val="10"/>
                <w:szCs w:val="10"/>
                <w:color w:val="auto"/>
              </w:rPr>
            </w:pPr>
          </w:p>
        </w:tc>
        <w:tc>
          <w:tcPr>
            <w:tcW w:w="960" w:type="dxa"/>
            <w:vAlign w:val="bottom"/>
            <w:tcBorders>
              <w:bottom w:val="single" w:sz="8" w:color="E2E6F4"/>
            </w:tcBorders>
            <w:shd w:val="clear" w:color="auto" w:fill="E2E6F4"/>
          </w:tcPr>
          <w:p>
            <w:pPr>
              <w:spacing w:after="0"/>
              <w:rPr>
                <w:sz w:val="10"/>
                <w:szCs w:val="10"/>
                <w:color w:val="auto"/>
              </w:rPr>
            </w:pPr>
          </w:p>
        </w:tc>
        <w:tc>
          <w:tcPr>
            <w:tcW w:w="500" w:type="dxa"/>
            <w:vAlign w:val="bottom"/>
            <w:tcBorders>
              <w:bottom w:val="single" w:sz="8" w:color="E2E6F4"/>
            </w:tcBorders>
            <w:shd w:val="clear" w:color="auto" w:fill="E2E6F4"/>
          </w:tcPr>
          <w:p>
            <w:pPr>
              <w:spacing w:after="0"/>
              <w:rPr>
                <w:sz w:val="10"/>
                <w:szCs w:val="10"/>
                <w:color w:val="auto"/>
              </w:rPr>
            </w:pPr>
          </w:p>
        </w:tc>
        <w:tc>
          <w:tcPr>
            <w:tcW w:w="800" w:type="dxa"/>
            <w:vAlign w:val="bottom"/>
            <w:tcBorders>
              <w:bottom w:val="single" w:sz="8" w:color="E2E6F4"/>
            </w:tcBorders>
            <w:shd w:val="clear" w:color="auto" w:fill="E2E6F4"/>
          </w:tcPr>
          <w:p>
            <w:pPr>
              <w:spacing w:after="0"/>
              <w:rPr>
                <w:sz w:val="10"/>
                <w:szCs w:val="10"/>
                <w:color w:val="auto"/>
              </w:rPr>
            </w:pPr>
          </w:p>
        </w:tc>
        <w:tc>
          <w:tcPr>
            <w:tcW w:w="200" w:type="dxa"/>
            <w:vAlign w:val="bottom"/>
            <w:tcBorders>
              <w:bottom w:val="single" w:sz="8" w:color="E2E6F4"/>
            </w:tcBorders>
            <w:shd w:val="clear" w:color="auto" w:fill="E2E6F4"/>
          </w:tcPr>
          <w:p>
            <w:pPr>
              <w:spacing w:after="0"/>
              <w:rPr>
                <w:sz w:val="10"/>
                <w:szCs w:val="10"/>
                <w:color w:val="auto"/>
              </w:rPr>
            </w:pPr>
          </w:p>
        </w:tc>
        <w:tc>
          <w:tcPr>
            <w:tcW w:w="980" w:type="dxa"/>
            <w:vAlign w:val="bottom"/>
            <w:tcBorders>
              <w:bottom w:val="single" w:sz="8" w:color="E2E6F4"/>
            </w:tcBorders>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14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685,577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5,599,222</w:t>
            </w:r>
          </w:p>
        </w:tc>
        <w:tc>
          <w:tcPr>
            <w:tcW w:w="26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1,544,799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98"/>
              </w:rPr>
              <w:t>104,873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7,934,471</w:t>
            </w:r>
          </w:p>
        </w:tc>
        <w:tc>
          <w:tcPr>
            <w:tcW w:w="0" w:type="dxa"/>
            <w:vAlign w:val="bottom"/>
          </w:tcPr>
          <w:p>
            <w:pPr>
              <w:spacing w:after="0"/>
              <w:rPr>
                <w:sz w:val="1"/>
                <w:szCs w:val="1"/>
                <w:color w:val="auto"/>
              </w:rPr>
            </w:pPr>
          </w:p>
        </w:tc>
      </w:tr>
      <w:tr>
        <w:trPr>
          <w:trHeight w:val="270"/>
        </w:trPr>
        <w:tc>
          <w:tcPr>
            <w:tcW w:w="2140" w:type="dxa"/>
            <w:vAlign w:val="bottom"/>
          </w:tcPr>
          <w:p>
            <w:pPr>
              <w:ind w:left="20"/>
              <w:spacing w:after="0"/>
              <w:rPr>
                <w:sz w:val="20"/>
                <w:szCs w:val="20"/>
                <w:color w:val="auto"/>
              </w:rPr>
            </w:pPr>
            <w:r>
              <w:rPr>
                <w:rFonts w:ascii="Arial" w:cs="Arial" w:eastAsia="Arial" w:hAnsi="Arial"/>
                <w:sz w:val="18"/>
                <w:szCs w:val="18"/>
                <w:b w:val="1"/>
                <w:bCs w:val="1"/>
                <w:color w:val="0067B3"/>
              </w:rPr>
              <w:t>Rajah</w:t>
            </w:r>
            <w:r>
              <w:rPr>
                <w:rFonts w:ascii="Arial" w:cs="Arial" w:eastAsia="Arial" w:hAnsi="Arial"/>
                <w:sz w:val="23"/>
                <w:szCs w:val="23"/>
                <w:color w:val="000000"/>
                <w:vertAlign w:val="superscript"/>
              </w:rPr>
              <w:t>(6)</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1"/>
              <w:spacing w:after="0"/>
              <w:rPr>
                <w:sz w:val="20"/>
                <w:szCs w:val="20"/>
                <w:color w:val="auto"/>
              </w:rPr>
            </w:pPr>
            <w:r>
              <w:rPr>
                <w:rFonts w:ascii="Arial" w:cs="Arial" w:eastAsia="Arial" w:hAnsi="Arial"/>
                <w:sz w:val="18"/>
                <w:szCs w:val="18"/>
                <w:color w:val="auto"/>
              </w:rPr>
              <w:t>622,500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5,500,292</w:t>
            </w:r>
          </w:p>
        </w:tc>
        <w:tc>
          <w:tcPr>
            <w:tcW w:w="260" w:type="dxa"/>
            <w:vAlign w:val="bottom"/>
          </w:tcPr>
          <w:p>
            <w:pPr>
              <w:spacing w:after="0"/>
              <w:rPr>
                <w:sz w:val="23"/>
                <w:szCs w:val="23"/>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color w:val="auto"/>
                <w:w w:val="99"/>
              </w:rPr>
              <w:t>2,081,597</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color w:val="auto"/>
              </w:rPr>
              <w:t>61,898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8,266,287</w:t>
            </w:r>
          </w:p>
        </w:tc>
        <w:tc>
          <w:tcPr>
            <w:tcW w:w="0" w:type="dxa"/>
            <w:vAlign w:val="bottom"/>
          </w:tcPr>
          <w:p>
            <w:pPr>
              <w:spacing w:after="0"/>
              <w:rPr>
                <w:sz w:val="1"/>
                <w:szCs w:val="1"/>
                <w:color w:val="auto"/>
              </w:rPr>
            </w:pPr>
          </w:p>
        </w:tc>
      </w:tr>
      <w:tr>
        <w:trPr>
          <w:trHeight w:val="104"/>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Former Executive Vice</w:t>
            </w:r>
          </w:p>
        </w:tc>
        <w:tc>
          <w:tcPr>
            <w:tcW w:w="5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14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2021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1"/>
              <w:spacing w:after="0"/>
              <w:rPr>
                <w:sz w:val="20"/>
                <w:szCs w:val="20"/>
                <w:color w:val="auto"/>
              </w:rPr>
            </w:pPr>
            <w:r>
              <w:rPr>
                <w:rFonts w:ascii="Arial" w:cs="Arial" w:eastAsia="Arial" w:hAnsi="Arial"/>
                <w:sz w:val="18"/>
                <w:szCs w:val="18"/>
                <w:color w:val="auto"/>
              </w:rPr>
              <w:t>575,000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5,024,568</w:t>
            </w:r>
          </w:p>
        </w:tc>
        <w:tc>
          <w:tcPr>
            <w:tcW w:w="260" w:type="dxa"/>
            <w:vAlign w:val="bottom"/>
          </w:tcPr>
          <w:p>
            <w:pPr>
              <w:spacing w:after="0"/>
              <w:rPr>
                <w:sz w:val="9"/>
                <w:szCs w:val="9"/>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744,775</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color w:val="auto"/>
                <w:w w:val="99"/>
              </w:rPr>
              <w:t>1,453,423</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color w:val="auto"/>
              </w:rPr>
              <w:t>57,200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7,854,966</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President, Finance &amp;</w:t>
            </w:r>
          </w:p>
        </w:tc>
        <w:tc>
          <w:tcPr>
            <w:tcW w:w="5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r>
              <w:rPr>
                <w:rFonts w:ascii="Arial" w:cs="Arial" w:eastAsia="Arial" w:hAnsi="Arial"/>
                <w:sz w:val="23"/>
                <w:szCs w:val="23"/>
                <w:color w:val="000000"/>
                <w:vertAlign w:val="superscript"/>
              </w:rPr>
              <w:t>(7)</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735,577</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7,999,186</w:t>
            </w:r>
          </w:p>
        </w:tc>
        <w:tc>
          <w:tcPr>
            <w:tcW w:w="260" w:type="dxa"/>
            <w:vAlign w:val="bottom"/>
            <w:shd w:val="clear" w:color="auto" w:fill="E2E6F4"/>
          </w:tcPr>
          <w:p>
            <w:pPr>
              <w:spacing w:after="0"/>
              <w:rPr>
                <w:sz w:val="24"/>
                <w:szCs w:val="24"/>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2,025,866</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77,646</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10,838,275</w:t>
            </w:r>
          </w:p>
        </w:tc>
        <w:tc>
          <w:tcPr>
            <w:tcW w:w="0" w:type="dxa"/>
            <w:vAlign w:val="bottom"/>
          </w:tcPr>
          <w:p>
            <w:pPr>
              <w:spacing w:after="0"/>
              <w:rPr>
                <w:sz w:val="1"/>
                <w:szCs w:val="1"/>
                <w:color w:val="auto"/>
              </w:rPr>
            </w:pPr>
          </w:p>
        </w:tc>
      </w:tr>
      <w:tr>
        <w:trPr>
          <w:trHeight w:val="289"/>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Executive Vice President</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475,962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w w:val="97"/>
              </w:rPr>
              <w:t>31,500,396</w:t>
            </w:r>
          </w:p>
        </w:tc>
        <w:tc>
          <w:tcPr>
            <w:tcW w:w="260" w:type="dxa"/>
            <w:vAlign w:val="bottom"/>
            <w:shd w:val="clear" w:color="auto" w:fill="E2E6F4"/>
          </w:tcPr>
          <w:p>
            <w:pPr>
              <w:jc w:val="right"/>
              <w:ind w:right="2"/>
              <w:spacing w:after="0"/>
              <w:rPr>
                <w:sz w:val="20"/>
                <w:szCs w:val="20"/>
                <w:color w:val="auto"/>
              </w:rPr>
            </w:pPr>
            <w:r>
              <w:rPr>
                <w:rFonts w:ascii="Arial" w:cs="Arial" w:eastAsia="Arial" w:hAnsi="Arial"/>
                <w:sz w:val="12"/>
                <w:szCs w:val="12"/>
                <w:color w:val="auto"/>
              </w:rPr>
              <w:t>(8)</w:t>
            </w: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2,141,827</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49,277</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34,167,462</w:t>
            </w:r>
          </w:p>
        </w:tc>
        <w:tc>
          <w:tcPr>
            <w:tcW w:w="0" w:type="dxa"/>
            <w:vAlign w:val="bottom"/>
          </w:tcPr>
          <w:p>
            <w:pPr>
              <w:spacing w:after="0"/>
              <w:rPr>
                <w:sz w:val="1"/>
                <w:szCs w:val="1"/>
                <w:color w:val="auto"/>
              </w:rPr>
            </w:pPr>
          </w:p>
        </w:tc>
      </w:tr>
      <w:tr>
        <w:trPr>
          <w:trHeight w:val="143"/>
        </w:trPr>
        <w:tc>
          <w:tcPr>
            <w:tcW w:w="2140" w:type="dxa"/>
            <w:vAlign w:val="bottom"/>
            <w:shd w:val="clear" w:color="auto" w:fill="E2E6F4"/>
          </w:tcPr>
          <w:p>
            <w:pPr>
              <w:ind w:left="20"/>
              <w:spacing w:after="0" w:line="143" w:lineRule="exact"/>
              <w:rPr>
                <w:sz w:val="20"/>
                <w:szCs w:val="20"/>
                <w:color w:val="auto"/>
              </w:rPr>
            </w:pPr>
            <w:r>
              <w:rPr>
                <w:rFonts w:ascii="Arial" w:cs="Arial" w:eastAsia="Arial" w:hAnsi="Arial"/>
                <w:sz w:val="16"/>
                <w:szCs w:val="16"/>
                <w:color w:val="auto"/>
              </w:rPr>
              <w:t>&amp; President of Business</w:t>
            </w:r>
          </w:p>
        </w:tc>
        <w:tc>
          <w:tcPr>
            <w:tcW w:w="560" w:type="dxa"/>
            <w:vAlign w:val="bottom"/>
            <w:shd w:val="clear" w:color="auto" w:fill="E2E6F4"/>
          </w:tcPr>
          <w:p>
            <w:pPr>
              <w:spacing w:after="0"/>
              <w:rPr>
                <w:sz w:val="12"/>
                <w:szCs w:val="12"/>
                <w:color w:val="auto"/>
              </w:rPr>
            </w:pPr>
          </w:p>
        </w:tc>
        <w:tc>
          <w:tcPr>
            <w:tcW w:w="140" w:type="dxa"/>
            <w:vAlign w:val="bottom"/>
            <w:shd w:val="clear" w:color="auto" w:fill="E2E6F4"/>
          </w:tcPr>
          <w:p>
            <w:pPr>
              <w:spacing w:after="0"/>
              <w:rPr>
                <w:sz w:val="12"/>
                <w:szCs w:val="12"/>
                <w:color w:val="auto"/>
              </w:rPr>
            </w:pPr>
          </w:p>
        </w:tc>
        <w:tc>
          <w:tcPr>
            <w:tcW w:w="120" w:type="dxa"/>
            <w:vAlign w:val="bottom"/>
            <w:shd w:val="clear" w:color="auto" w:fill="E2E6F4"/>
          </w:tcPr>
          <w:p>
            <w:pPr>
              <w:spacing w:after="0"/>
              <w:rPr>
                <w:sz w:val="12"/>
                <w:szCs w:val="12"/>
                <w:color w:val="auto"/>
              </w:rPr>
            </w:pPr>
          </w:p>
        </w:tc>
        <w:tc>
          <w:tcPr>
            <w:tcW w:w="940" w:type="dxa"/>
            <w:vAlign w:val="bottom"/>
            <w:shd w:val="clear" w:color="auto" w:fill="E2E6F4"/>
          </w:tcPr>
          <w:p>
            <w:pPr>
              <w:spacing w:after="0"/>
              <w:rPr>
                <w:sz w:val="12"/>
                <w:szCs w:val="12"/>
                <w:color w:val="auto"/>
              </w:rPr>
            </w:pPr>
          </w:p>
        </w:tc>
        <w:tc>
          <w:tcPr>
            <w:tcW w:w="200" w:type="dxa"/>
            <w:vAlign w:val="bottom"/>
            <w:shd w:val="clear" w:color="auto" w:fill="E2E6F4"/>
          </w:tcPr>
          <w:p>
            <w:pPr>
              <w:spacing w:after="0"/>
              <w:rPr>
                <w:sz w:val="12"/>
                <w:szCs w:val="12"/>
                <w:color w:val="auto"/>
              </w:rPr>
            </w:pPr>
          </w:p>
        </w:tc>
        <w:tc>
          <w:tcPr>
            <w:tcW w:w="760" w:type="dxa"/>
            <w:vAlign w:val="bottom"/>
            <w:shd w:val="clear" w:color="auto" w:fill="E2E6F4"/>
          </w:tcPr>
          <w:p>
            <w:pPr>
              <w:spacing w:after="0"/>
              <w:rPr>
                <w:sz w:val="12"/>
                <w:szCs w:val="12"/>
                <w:color w:val="auto"/>
              </w:rPr>
            </w:pPr>
          </w:p>
        </w:tc>
        <w:tc>
          <w:tcPr>
            <w:tcW w:w="180" w:type="dxa"/>
            <w:vAlign w:val="bottom"/>
            <w:shd w:val="clear" w:color="auto" w:fill="E2E6F4"/>
          </w:tcPr>
          <w:p>
            <w:pPr>
              <w:spacing w:after="0"/>
              <w:rPr>
                <w:sz w:val="12"/>
                <w:szCs w:val="12"/>
                <w:color w:val="auto"/>
              </w:rPr>
            </w:pPr>
          </w:p>
        </w:tc>
        <w:tc>
          <w:tcPr>
            <w:tcW w:w="1020" w:type="dxa"/>
            <w:vAlign w:val="bottom"/>
            <w:shd w:val="clear" w:color="auto" w:fill="E2E6F4"/>
          </w:tcPr>
          <w:p>
            <w:pPr>
              <w:spacing w:after="0"/>
              <w:rPr>
                <w:sz w:val="12"/>
                <w:szCs w:val="12"/>
                <w:color w:val="auto"/>
              </w:rPr>
            </w:pPr>
          </w:p>
        </w:tc>
        <w:tc>
          <w:tcPr>
            <w:tcW w:w="260" w:type="dxa"/>
            <w:vAlign w:val="bottom"/>
            <w:shd w:val="clear" w:color="auto" w:fill="E2E6F4"/>
          </w:tcPr>
          <w:p>
            <w:pPr>
              <w:spacing w:after="0"/>
              <w:rPr>
                <w:sz w:val="12"/>
                <w:szCs w:val="12"/>
                <w:color w:val="auto"/>
              </w:rPr>
            </w:pPr>
          </w:p>
        </w:tc>
        <w:tc>
          <w:tcPr>
            <w:tcW w:w="280" w:type="dxa"/>
            <w:vAlign w:val="bottom"/>
            <w:shd w:val="clear" w:color="auto" w:fill="E2E6F4"/>
          </w:tcPr>
          <w:p>
            <w:pPr>
              <w:spacing w:after="0"/>
              <w:rPr>
                <w:sz w:val="12"/>
                <w:szCs w:val="12"/>
                <w:color w:val="auto"/>
              </w:rPr>
            </w:pPr>
          </w:p>
        </w:tc>
        <w:tc>
          <w:tcPr>
            <w:tcW w:w="880" w:type="dxa"/>
            <w:vAlign w:val="bottom"/>
            <w:shd w:val="clear" w:color="auto" w:fill="E2E6F4"/>
          </w:tcPr>
          <w:p>
            <w:pPr>
              <w:spacing w:after="0"/>
              <w:rPr>
                <w:sz w:val="12"/>
                <w:szCs w:val="12"/>
                <w:color w:val="auto"/>
              </w:rPr>
            </w:pPr>
          </w:p>
        </w:tc>
        <w:tc>
          <w:tcPr>
            <w:tcW w:w="320" w:type="dxa"/>
            <w:vAlign w:val="bottom"/>
            <w:shd w:val="clear" w:color="auto" w:fill="E2E6F4"/>
          </w:tcPr>
          <w:p>
            <w:pPr>
              <w:spacing w:after="0"/>
              <w:rPr>
                <w:sz w:val="12"/>
                <w:szCs w:val="12"/>
                <w:color w:val="auto"/>
              </w:rPr>
            </w:pPr>
          </w:p>
        </w:tc>
        <w:tc>
          <w:tcPr>
            <w:tcW w:w="960" w:type="dxa"/>
            <w:vAlign w:val="bottom"/>
            <w:shd w:val="clear" w:color="auto" w:fill="E2E6F4"/>
          </w:tcPr>
          <w:p>
            <w:pPr>
              <w:spacing w:after="0"/>
              <w:rPr>
                <w:sz w:val="12"/>
                <w:szCs w:val="12"/>
                <w:color w:val="auto"/>
              </w:rPr>
            </w:pPr>
          </w:p>
        </w:tc>
        <w:tc>
          <w:tcPr>
            <w:tcW w:w="500" w:type="dxa"/>
            <w:vAlign w:val="bottom"/>
            <w:shd w:val="clear" w:color="auto" w:fill="E2E6F4"/>
          </w:tcPr>
          <w:p>
            <w:pPr>
              <w:spacing w:after="0"/>
              <w:rPr>
                <w:sz w:val="12"/>
                <w:szCs w:val="12"/>
                <w:color w:val="auto"/>
              </w:rPr>
            </w:pPr>
          </w:p>
        </w:tc>
        <w:tc>
          <w:tcPr>
            <w:tcW w:w="800" w:type="dxa"/>
            <w:vAlign w:val="bottom"/>
            <w:shd w:val="clear" w:color="auto" w:fill="E2E6F4"/>
          </w:tcPr>
          <w:p>
            <w:pPr>
              <w:spacing w:after="0"/>
              <w:rPr>
                <w:sz w:val="12"/>
                <w:szCs w:val="12"/>
                <w:color w:val="auto"/>
              </w:rPr>
            </w:pPr>
          </w:p>
        </w:tc>
        <w:tc>
          <w:tcPr>
            <w:tcW w:w="200" w:type="dxa"/>
            <w:vAlign w:val="bottom"/>
            <w:shd w:val="clear" w:color="auto" w:fill="E2E6F4"/>
          </w:tcPr>
          <w:p>
            <w:pPr>
              <w:spacing w:after="0"/>
              <w:rPr>
                <w:sz w:val="12"/>
                <w:szCs w:val="12"/>
                <w:color w:val="auto"/>
              </w:rPr>
            </w:pPr>
          </w:p>
        </w:tc>
        <w:tc>
          <w:tcPr>
            <w:tcW w:w="980" w:type="dxa"/>
            <w:vAlign w:val="bottom"/>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Units</w:t>
            </w:r>
          </w:p>
        </w:tc>
        <w:tc>
          <w:tcPr>
            <w:tcW w:w="560" w:type="dxa"/>
            <w:vAlign w:val="bottom"/>
            <w:tcBorders>
              <w:bottom w:val="single" w:sz="8" w:color="E2E6F4"/>
            </w:tcBorders>
            <w:shd w:val="clear" w:color="auto" w:fill="E2E6F4"/>
          </w:tcPr>
          <w:p>
            <w:pPr>
              <w:spacing w:after="0"/>
              <w:rPr>
                <w:sz w:val="21"/>
                <w:szCs w:val="21"/>
                <w:color w:val="auto"/>
              </w:rPr>
            </w:pPr>
          </w:p>
        </w:tc>
        <w:tc>
          <w:tcPr>
            <w:tcW w:w="140" w:type="dxa"/>
            <w:vAlign w:val="bottom"/>
            <w:tcBorders>
              <w:bottom w:val="single" w:sz="8" w:color="E2E6F4"/>
            </w:tcBorders>
            <w:shd w:val="clear" w:color="auto" w:fill="E2E6F4"/>
          </w:tcPr>
          <w:p>
            <w:pPr>
              <w:spacing w:after="0"/>
              <w:rPr>
                <w:sz w:val="21"/>
                <w:szCs w:val="21"/>
                <w:color w:val="auto"/>
              </w:rPr>
            </w:pPr>
          </w:p>
        </w:tc>
        <w:tc>
          <w:tcPr>
            <w:tcW w:w="120" w:type="dxa"/>
            <w:vAlign w:val="bottom"/>
            <w:tcBorders>
              <w:bottom w:val="single" w:sz="8" w:color="E2E6F4"/>
            </w:tcBorders>
            <w:shd w:val="clear" w:color="auto" w:fill="E2E6F4"/>
          </w:tcPr>
          <w:p>
            <w:pPr>
              <w:spacing w:after="0"/>
              <w:rPr>
                <w:sz w:val="21"/>
                <w:szCs w:val="21"/>
                <w:color w:val="auto"/>
              </w:rPr>
            </w:pPr>
          </w:p>
        </w:tc>
        <w:tc>
          <w:tcPr>
            <w:tcW w:w="94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760" w:type="dxa"/>
            <w:vAlign w:val="bottom"/>
            <w:tcBorders>
              <w:bottom w:val="single" w:sz="8" w:color="E2E6F4"/>
            </w:tcBorders>
            <w:shd w:val="clear" w:color="auto" w:fill="E2E6F4"/>
          </w:tcPr>
          <w:p>
            <w:pPr>
              <w:spacing w:after="0"/>
              <w:rPr>
                <w:sz w:val="21"/>
                <w:szCs w:val="21"/>
                <w:color w:val="auto"/>
              </w:rPr>
            </w:pPr>
          </w:p>
        </w:tc>
        <w:tc>
          <w:tcPr>
            <w:tcW w:w="180" w:type="dxa"/>
            <w:vAlign w:val="bottom"/>
            <w:tcBorders>
              <w:bottom w:val="single" w:sz="8" w:color="E2E6F4"/>
            </w:tcBorders>
            <w:shd w:val="clear" w:color="auto" w:fill="E2E6F4"/>
          </w:tcPr>
          <w:p>
            <w:pPr>
              <w:spacing w:after="0"/>
              <w:rPr>
                <w:sz w:val="21"/>
                <w:szCs w:val="21"/>
                <w:color w:val="auto"/>
              </w:rPr>
            </w:pPr>
          </w:p>
        </w:tc>
        <w:tc>
          <w:tcPr>
            <w:tcW w:w="1020" w:type="dxa"/>
            <w:vAlign w:val="bottom"/>
            <w:tcBorders>
              <w:bottom w:val="single" w:sz="8" w:color="E2E6F4"/>
            </w:tcBorders>
            <w:shd w:val="clear" w:color="auto" w:fill="E2E6F4"/>
          </w:tcPr>
          <w:p>
            <w:pPr>
              <w:spacing w:after="0"/>
              <w:rPr>
                <w:sz w:val="21"/>
                <w:szCs w:val="21"/>
                <w:color w:val="auto"/>
              </w:rPr>
            </w:pPr>
          </w:p>
        </w:tc>
        <w:tc>
          <w:tcPr>
            <w:tcW w:w="260" w:type="dxa"/>
            <w:vAlign w:val="bottom"/>
            <w:tcBorders>
              <w:bottom w:val="single" w:sz="8" w:color="E2E6F4"/>
            </w:tcBorders>
            <w:shd w:val="clear" w:color="auto" w:fill="E2E6F4"/>
          </w:tcPr>
          <w:p>
            <w:pPr>
              <w:spacing w:after="0"/>
              <w:rPr>
                <w:sz w:val="21"/>
                <w:szCs w:val="21"/>
                <w:color w:val="auto"/>
              </w:rPr>
            </w:pPr>
          </w:p>
        </w:tc>
        <w:tc>
          <w:tcPr>
            <w:tcW w:w="280" w:type="dxa"/>
            <w:vAlign w:val="bottom"/>
            <w:tcBorders>
              <w:bottom w:val="single" w:sz="8" w:color="E2E6F4"/>
            </w:tcBorders>
            <w:shd w:val="clear" w:color="auto" w:fill="E2E6F4"/>
          </w:tcPr>
          <w:p>
            <w:pPr>
              <w:spacing w:after="0"/>
              <w:rPr>
                <w:sz w:val="21"/>
                <w:szCs w:val="21"/>
                <w:color w:val="auto"/>
              </w:rPr>
            </w:pPr>
          </w:p>
        </w:tc>
        <w:tc>
          <w:tcPr>
            <w:tcW w:w="880" w:type="dxa"/>
            <w:vAlign w:val="bottom"/>
            <w:tcBorders>
              <w:bottom w:val="single" w:sz="8" w:color="E2E6F4"/>
            </w:tcBorders>
            <w:shd w:val="clear" w:color="auto" w:fill="E2E6F4"/>
          </w:tcPr>
          <w:p>
            <w:pPr>
              <w:spacing w:after="0"/>
              <w:rPr>
                <w:sz w:val="21"/>
                <w:szCs w:val="21"/>
                <w:color w:val="auto"/>
              </w:rPr>
            </w:pPr>
          </w:p>
        </w:tc>
        <w:tc>
          <w:tcPr>
            <w:tcW w:w="32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500" w:type="dxa"/>
            <w:vAlign w:val="bottom"/>
            <w:tcBorders>
              <w:bottom w:val="single" w:sz="8" w:color="E2E6F4"/>
            </w:tcBorders>
            <w:shd w:val="clear" w:color="auto" w:fill="E2E6F4"/>
          </w:tcPr>
          <w:p>
            <w:pPr>
              <w:spacing w:after="0"/>
              <w:rPr>
                <w:sz w:val="21"/>
                <w:szCs w:val="21"/>
                <w:color w:val="auto"/>
              </w:rPr>
            </w:pPr>
          </w:p>
        </w:tc>
        <w:tc>
          <w:tcPr>
            <w:tcW w:w="80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1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r>
              <w:rPr>
                <w:rFonts w:ascii="Arial" w:cs="Arial" w:eastAsia="Arial" w:hAnsi="Arial"/>
                <w:sz w:val="23"/>
                <w:szCs w:val="23"/>
                <w:color w:val="000000"/>
                <w:vertAlign w:val="superscript"/>
              </w:rPr>
              <w:t>(9)</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637,500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5,249,301</w:t>
            </w:r>
          </w:p>
        </w:tc>
        <w:tc>
          <w:tcPr>
            <w:tcW w:w="260" w:type="dxa"/>
            <w:vAlign w:val="bottom"/>
          </w:tcPr>
          <w:p>
            <w:pPr>
              <w:spacing w:after="0"/>
              <w:rPr>
                <w:sz w:val="24"/>
                <w:szCs w:val="24"/>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1,424,075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52,200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7,363,076</w:t>
            </w:r>
          </w:p>
        </w:tc>
        <w:tc>
          <w:tcPr>
            <w:tcW w:w="0" w:type="dxa"/>
            <w:vAlign w:val="bottom"/>
          </w:tcPr>
          <w:p>
            <w:pPr>
              <w:spacing w:after="0"/>
              <w:rPr>
                <w:sz w:val="1"/>
                <w:szCs w:val="1"/>
                <w:color w:val="auto"/>
              </w:rPr>
            </w:pPr>
          </w:p>
        </w:tc>
      </w:tr>
      <w:tr>
        <w:trPr>
          <w:trHeight w:val="221"/>
        </w:trPr>
        <w:tc>
          <w:tcPr>
            <w:tcW w:w="21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579,212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5,000,181</w:t>
            </w:r>
          </w:p>
        </w:tc>
        <w:tc>
          <w:tcPr>
            <w:tcW w:w="26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1,936,907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40,738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7,557,038</w:t>
            </w:r>
          </w:p>
        </w:tc>
        <w:tc>
          <w:tcPr>
            <w:tcW w:w="0" w:type="dxa"/>
            <w:vAlign w:val="bottom"/>
          </w:tcPr>
          <w:p>
            <w:pPr>
              <w:spacing w:after="0"/>
              <w:rPr>
                <w:sz w:val="1"/>
                <w:szCs w:val="1"/>
                <w:color w:val="auto"/>
              </w:rPr>
            </w:pPr>
          </w:p>
        </w:tc>
      </w:tr>
      <w:tr>
        <w:trPr>
          <w:trHeight w:val="211"/>
        </w:trPr>
        <w:tc>
          <w:tcPr>
            <w:tcW w:w="2140" w:type="dxa"/>
            <w:vAlign w:val="bottom"/>
          </w:tcPr>
          <w:p>
            <w:pPr>
              <w:ind w:left="20"/>
              <w:spacing w:after="0"/>
              <w:rPr>
                <w:sz w:val="20"/>
                <w:szCs w:val="20"/>
                <w:color w:val="auto"/>
              </w:rPr>
            </w:pPr>
            <w:r>
              <w:rPr>
                <w:rFonts w:ascii="Arial" w:cs="Arial" w:eastAsia="Arial" w:hAnsi="Arial"/>
                <w:sz w:val="18"/>
                <w:szCs w:val="18"/>
                <w:color w:val="auto"/>
              </w:rPr>
              <w:t>of Global Operations &amp;</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600,962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4,999,551</w:t>
            </w:r>
          </w:p>
        </w:tc>
        <w:tc>
          <w:tcPr>
            <w:tcW w:w="260" w:type="dxa"/>
            <w:vAlign w:val="bottom"/>
            <w:shd w:val="clear" w:color="auto" w:fill="E2E6F4"/>
          </w:tcPr>
          <w:p>
            <w:pPr>
              <w:spacing w:after="0"/>
              <w:rPr>
                <w:sz w:val="23"/>
                <w:szCs w:val="23"/>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1,367,801</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50,719</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7,019,033</w:t>
            </w:r>
          </w:p>
        </w:tc>
        <w:tc>
          <w:tcPr>
            <w:tcW w:w="0" w:type="dxa"/>
            <w:vAlign w:val="bottom"/>
          </w:tcPr>
          <w:p>
            <w:pPr>
              <w:spacing w:after="0"/>
              <w:rPr>
                <w:sz w:val="1"/>
                <w:szCs w:val="1"/>
                <w:color w:val="auto"/>
              </w:rPr>
            </w:pPr>
          </w:p>
        </w:tc>
      </w:tr>
      <w:tr>
        <w:trPr>
          <w:trHeight w:val="271"/>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Executive Vice President</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512,500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4,700,101</w:t>
            </w:r>
          </w:p>
        </w:tc>
        <w:tc>
          <w:tcPr>
            <w:tcW w:w="260" w:type="dxa"/>
            <w:vAlign w:val="bottom"/>
            <w:shd w:val="clear" w:color="auto" w:fill="E2E6F4"/>
          </w:tcPr>
          <w:p>
            <w:pPr>
              <w:spacing w:after="0"/>
              <w:rPr>
                <w:sz w:val="23"/>
                <w:szCs w:val="23"/>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1,735,039</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205,102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7,152,742</w:t>
            </w:r>
          </w:p>
        </w:tc>
        <w:tc>
          <w:tcPr>
            <w:tcW w:w="0" w:type="dxa"/>
            <w:vAlign w:val="bottom"/>
          </w:tcPr>
          <w:p>
            <w:pPr>
              <w:spacing w:after="0"/>
              <w:rPr>
                <w:sz w:val="1"/>
                <w:szCs w:val="1"/>
                <w:color w:val="auto"/>
              </w:rPr>
            </w:pPr>
          </w:p>
        </w:tc>
      </w:tr>
      <w:tr>
        <w:trPr>
          <w:trHeight w:val="247"/>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&amp; Chief Customer Officer</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E2E6F4"/>
          </w:tcPr>
          <w:p>
            <w:pPr>
              <w:spacing w:after="0"/>
              <w:rPr>
                <w:sz w:val="21"/>
                <w:szCs w:val="21"/>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294,231</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w w:val="98"/>
              </w:rPr>
              <w:t>400,000</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2,673,979</w:t>
            </w:r>
          </w:p>
        </w:tc>
        <w:tc>
          <w:tcPr>
            <w:tcW w:w="260" w:type="dxa"/>
            <w:vAlign w:val="bottom"/>
            <w:shd w:val="clear" w:color="auto" w:fill="E2E6F4"/>
          </w:tcPr>
          <w:p>
            <w:pPr>
              <w:spacing w:after="0"/>
              <w:rPr>
                <w:sz w:val="21"/>
                <w:szCs w:val="21"/>
                <w:color w:val="auto"/>
              </w:rPr>
            </w:pP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333,805</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769,250</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323,619</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4,794,884</w:t>
            </w:r>
          </w:p>
        </w:tc>
        <w:tc>
          <w:tcPr>
            <w:tcW w:w="0" w:type="dxa"/>
            <w:vAlign w:val="bottom"/>
          </w:tcPr>
          <w:p>
            <w:pPr>
              <w:spacing w:after="0"/>
              <w:rPr>
                <w:sz w:val="1"/>
                <w:szCs w:val="1"/>
                <w:color w:val="auto"/>
              </w:rPr>
            </w:pPr>
          </w:p>
        </w:tc>
      </w:tr>
      <w:tr>
        <w:trPr>
          <w:trHeight w:val="64"/>
        </w:trPr>
        <w:tc>
          <w:tcPr>
            <w:tcW w:w="2140" w:type="dxa"/>
            <w:vAlign w:val="bottom"/>
            <w:tcBorders>
              <w:bottom w:val="single" w:sz="8" w:color="0067B3"/>
            </w:tcBorders>
            <w:shd w:val="clear" w:color="auto" w:fill="E2E6F4"/>
          </w:tcPr>
          <w:p>
            <w:pPr>
              <w:spacing w:after="0"/>
              <w:rPr>
                <w:sz w:val="5"/>
                <w:szCs w:val="5"/>
                <w:color w:val="auto"/>
              </w:rPr>
            </w:pPr>
          </w:p>
        </w:tc>
        <w:tc>
          <w:tcPr>
            <w:tcW w:w="560" w:type="dxa"/>
            <w:vAlign w:val="bottom"/>
            <w:tcBorders>
              <w:bottom w:val="single" w:sz="8" w:color="0067B3"/>
            </w:tcBorders>
            <w:shd w:val="clear" w:color="auto" w:fill="E2E6F4"/>
          </w:tcPr>
          <w:p>
            <w:pPr>
              <w:spacing w:after="0"/>
              <w:rPr>
                <w:sz w:val="5"/>
                <w:szCs w:val="5"/>
                <w:color w:val="auto"/>
              </w:rPr>
            </w:pPr>
          </w:p>
        </w:tc>
        <w:tc>
          <w:tcPr>
            <w:tcW w:w="140" w:type="dxa"/>
            <w:vAlign w:val="bottom"/>
            <w:tcBorders>
              <w:bottom w:val="single" w:sz="8" w:color="0067B3"/>
            </w:tcBorders>
            <w:shd w:val="clear" w:color="auto" w:fill="E2E6F4"/>
          </w:tcPr>
          <w:p>
            <w:pPr>
              <w:spacing w:after="0"/>
              <w:rPr>
                <w:sz w:val="5"/>
                <w:szCs w:val="5"/>
                <w:color w:val="auto"/>
              </w:rPr>
            </w:pPr>
          </w:p>
        </w:tc>
        <w:tc>
          <w:tcPr>
            <w:tcW w:w="120" w:type="dxa"/>
            <w:vAlign w:val="bottom"/>
            <w:tcBorders>
              <w:bottom w:val="single" w:sz="8" w:color="0067B3"/>
            </w:tcBorders>
            <w:shd w:val="clear" w:color="auto" w:fill="E2E6F4"/>
          </w:tcPr>
          <w:p>
            <w:pPr>
              <w:spacing w:after="0"/>
              <w:rPr>
                <w:sz w:val="5"/>
                <w:szCs w:val="5"/>
                <w:color w:val="auto"/>
              </w:rPr>
            </w:pPr>
          </w:p>
        </w:tc>
        <w:tc>
          <w:tcPr>
            <w:tcW w:w="940" w:type="dxa"/>
            <w:vAlign w:val="bottom"/>
            <w:tcBorders>
              <w:bottom w:val="single" w:sz="8" w:color="0067B3"/>
            </w:tcBorders>
            <w:shd w:val="clear" w:color="auto" w:fill="E2E6F4"/>
          </w:tcPr>
          <w:p>
            <w:pPr>
              <w:spacing w:after="0"/>
              <w:rPr>
                <w:sz w:val="5"/>
                <w:szCs w:val="5"/>
                <w:color w:val="auto"/>
              </w:rPr>
            </w:pPr>
          </w:p>
        </w:tc>
        <w:tc>
          <w:tcPr>
            <w:tcW w:w="200" w:type="dxa"/>
            <w:vAlign w:val="bottom"/>
            <w:tcBorders>
              <w:bottom w:val="single" w:sz="8" w:color="0067B3"/>
            </w:tcBorders>
            <w:shd w:val="clear" w:color="auto" w:fill="E2E6F4"/>
          </w:tcPr>
          <w:p>
            <w:pPr>
              <w:spacing w:after="0"/>
              <w:rPr>
                <w:sz w:val="5"/>
                <w:szCs w:val="5"/>
                <w:color w:val="auto"/>
              </w:rPr>
            </w:pPr>
          </w:p>
        </w:tc>
        <w:tc>
          <w:tcPr>
            <w:tcW w:w="760" w:type="dxa"/>
            <w:vAlign w:val="bottom"/>
            <w:tcBorders>
              <w:bottom w:val="single" w:sz="8" w:color="0067B3"/>
            </w:tcBorders>
            <w:shd w:val="clear" w:color="auto" w:fill="E2E6F4"/>
          </w:tcPr>
          <w:p>
            <w:pPr>
              <w:spacing w:after="0"/>
              <w:rPr>
                <w:sz w:val="5"/>
                <w:szCs w:val="5"/>
                <w:color w:val="auto"/>
              </w:rPr>
            </w:pPr>
          </w:p>
        </w:tc>
        <w:tc>
          <w:tcPr>
            <w:tcW w:w="180" w:type="dxa"/>
            <w:vAlign w:val="bottom"/>
            <w:tcBorders>
              <w:bottom w:val="single" w:sz="8" w:color="0067B3"/>
            </w:tcBorders>
            <w:shd w:val="clear" w:color="auto" w:fill="E2E6F4"/>
          </w:tcPr>
          <w:p>
            <w:pPr>
              <w:spacing w:after="0"/>
              <w:rPr>
                <w:sz w:val="5"/>
                <w:szCs w:val="5"/>
                <w:color w:val="auto"/>
              </w:rPr>
            </w:pPr>
          </w:p>
        </w:tc>
        <w:tc>
          <w:tcPr>
            <w:tcW w:w="1020" w:type="dxa"/>
            <w:vAlign w:val="bottom"/>
            <w:tcBorders>
              <w:bottom w:val="single" w:sz="8" w:color="0067B3"/>
            </w:tcBorders>
            <w:shd w:val="clear" w:color="auto" w:fill="E2E6F4"/>
          </w:tcPr>
          <w:p>
            <w:pPr>
              <w:spacing w:after="0"/>
              <w:rPr>
                <w:sz w:val="5"/>
                <w:szCs w:val="5"/>
                <w:color w:val="auto"/>
              </w:rPr>
            </w:pPr>
          </w:p>
        </w:tc>
        <w:tc>
          <w:tcPr>
            <w:tcW w:w="260" w:type="dxa"/>
            <w:vAlign w:val="bottom"/>
            <w:tcBorders>
              <w:bottom w:val="single" w:sz="8" w:color="0067B3"/>
            </w:tcBorders>
            <w:shd w:val="clear" w:color="auto" w:fill="E2E6F4"/>
          </w:tcPr>
          <w:p>
            <w:pPr>
              <w:spacing w:after="0"/>
              <w:rPr>
                <w:sz w:val="5"/>
                <w:szCs w:val="5"/>
                <w:color w:val="auto"/>
              </w:rPr>
            </w:pPr>
          </w:p>
        </w:tc>
        <w:tc>
          <w:tcPr>
            <w:tcW w:w="280" w:type="dxa"/>
            <w:vAlign w:val="bottom"/>
            <w:tcBorders>
              <w:bottom w:val="single" w:sz="8" w:color="0067B3"/>
            </w:tcBorders>
            <w:shd w:val="clear" w:color="auto" w:fill="E2E6F4"/>
          </w:tcPr>
          <w:p>
            <w:pPr>
              <w:spacing w:after="0"/>
              <w:rPr>
                <w:sz w:val="5"/>
                <w:szCs w:val="5"/>
                <w:color w:val="auto"/>
              </w:rPr>
            </w:pPr>
          </w:p>
        </w:tc>
        <w:tc>
          <w:tcPr>
            <w:tcW w:w="880" w:type="dxa"/>
            <w:vAlign w:val="bottom"/>
            <w:tcBorders>
              <w:bottom w:val="single" w:sz="8" w:color="0067B3"/>
            </w:tcBorders>
            <w:shd w:val="clear" w:color="auto" w:fill="E2E6F4"/>
          </w:tcPr>
          <w:p>
            <w:pPr>
              <w:spacing w:after="0"/>
              <w:rPr>
                <w:sz w:val="5"/>
                <w:szCs w:val="5"/>
                <w:color w:val="auto"/>
              </w:rPr>
            </w:pPr>
          </w:p>
        </w:tc>
        <w:tc>
          <w:tcPr>
            <w:tcW w:w="320" w:type="dxa"/>
            <w:vAlign w:val="bottom"/>
            <w:tcBorders>
              <w:bottom w:val="single" w:sz="8" w:color="0067B3"/>
            </w:tcBorders>
            <w:shd w:val="clear" w:color="auto" w:fill="E2E6F4"/>
          </w:tcPr>
          <w:p>
            <w:pPr>
              <w:spacing w:after="0"/>
              <w:rPr>
                <w:sz w:val="5"/>
                <w:szCs w:val="5"/>
                <w:color w:val="auto"/>
              </w:rPr>
            </w:pPr>
          </w:p>
        </w:tc>
        <w:tc>
          <w:tcPr>
            <w:tcW w:w="960" w:type="dxa"/>
            <w:vAlign w:val="bottom"/>
            <w:tcBorders>
              <w:bottom w:val="single" w:sz="8" w:color="0067B3"/>
            </w:tcBorders>
            <w:shd w:val="clear" w:color="auto" w:fill="E2E6F4"/>
          </w:tcPr>
          <w:p>
            <w:pPr>
              <w:spacing w:after="0"/>
              <w:rPr>
                <w:sz w:val="5"/>
                <w:szCs w:val="5"/>
                <w:color w:val="auto"/>
              </w:rPr>
            </w:pPr>
          </w:p>
        </w:tc>
        <w:tc>
          <w:tcPr>
            <w:tcW w:w="500" w:type="dxa"/>
            <w:vAlign w:val="bottom"/>
            <w:tcBorders>
              <w:bottom w:val="single" w:sz="8" w:color="0067B3"/>
            </w:tcBorders>
            <w:shd w:val="clear" w:color="auto" w:fill="E2E6F4"/>
          </w:tcPr>
          <w:p>
            <w:pPr>
              <w:spacing w:after="0"/>
              <w:rPr>
                <w:sz w:val="5"/>
                <w:szCs w:val="5"/>
                <w:color w:val="auto"/>
              </w:rPr>
            </w:pPr>
          </w:p>
        </w:tc>
        <w:tc>
          <w:tcPr>
            <w:tcW w:w="800" w:type="dxa"/>
            <w:vAlign w:val="bottom"/>
            <w:tcBorders>
              <w:bottom w:val="single" w:sz="8" w:color="0067B3"/>
            </w:tcBorders>
            <w:shd w:val="clear" w:color="auto" w:fill="E2E6F4"/>
          </w:tcPr>
          <w:p>
            <w:pPr>
              <w:spacing w:after="0"/>
              <w:rPr>
                <w:sz w:val="5"/>
                <w:szCs w:val="5"/>
                <w:color w:val="auto"/>
              </w:rPr>
            </w:pPr>
          </w:p>
        </w:tc>
        <w:tc>
          <w:tcPr>
            <w:tcW w:w="200" w:type="dxa"/>
            <w:vAlign w:val="bottom"/>
            <w:tcBorders>
              <w:bottom w:val="single" w:sz="8" w:color="0067B3"/>
            </w:tcBorders>
            <w:shd w:val="clear" w:color="auto" w:fill="E2E6F4"/>
          </w:tcPr>
          <w:p>
            <w:pPr>
              <w:spacing w:after="0"/>
              <w:rPr>
                <w:sz w:val="5"/>
                <w:szCs w:val="5"/>
                <w:color w:val="auto"/>
              </w:rPr>
            </w:pPr>
          </w:p>
        </w:tc>
        <w:tc>
          <w:tcPr>
            <w:tcW w:w="980" w:type="dxa"/>
            <w:vAlign w:val="bottom"/>
            <w:tcBorders>
              <w:bottom w:val="single" w:sz="8" w:color="0067B3"/>
            </w:tcBorders>
            <w:shd w:val="clear" w:color="auto" w:fill="E2E6F4"/>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80" w:hanging="192"/>
        <w:spacing w:after="0" w:line="227"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For fiscal year 2023, our salary levels were determined in April and became effective April 23, 2023, except in connection with promotions and new hires. The amounts represented in this table reflect salary earned during fiscal year 2023.</w:t>
      </w:r>
    </w:p>
    <w:p>
      <w:pPr>
        <w:spacing w:after="0" w:line="56" w:lineRule="exact"/>
        <w:rPr>
          <w:rFonts w:ascii="Arial" w:cs="Arial" w:eastAsia="Arial" w:hAnsi="Arial"/>
          <w:sz w:val="21"/>
          <w:szCs w:val="21"/>
          <w:color w:val="auto"/>
          <w:vertAlign w:val="superscript"/>
        </w:rPr>
      </w:pPr>
    </w:p>
    <w:p>
      <w:pPr>
        <w:ind w:left="200" w:right="20" w:hanging="192"/>
        <w:spacing w:after="0" w:line="248"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time-based RSUs and PRSUs granted in fiscal years 2023, 2022, and 2021. Such amounts do not represent the actual amounts paid to or realized by the NEO for these awards during the respective fiscal years. For Mr. Bryant, the 2022 amount includes new-hire equity awards with an aggregate grant date fair value of $24,000,230. We recognize the value as of the grant date for time-based RSUs and PRSUs over the number of days of service required for the grant to become vested in accordance with FASB ASC 718. The grant date fair value of time-based RSUs represents the value of our common stock on the date of grant, reduced by the present value of dividends expected to be paid on our common stock prior to vesting. Further, the grant date fair values of the relative TSR PRSUs granted as part of our annual compensation program and the PRSUs granted to Mr. Bryant as a new-hire equity award were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w:t>
      </w:r>
    </w:p>
    <w:p>
      <w:pPr>
        <w:spacing w:after="0" w:line="31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995" w:gutter="0" w:footer="0" w:header="0"/>
        </w:sectPr>
      </w:pPr>
    </w:p>
    <w:bookmarkStart w:id="81" w:name="page82"/>
    <w:bookmarkEnd w:id="81"/>
    <w:p>
      <w:pPr>
        <w:ind w:left="192"/>
        <w:spacing w:after="0" w:line="260" w:lineRule="auto"/>
        <w:rPr>
          <w:sz w:val="20"/>
          <w:szCs w:val="20"/>
          <w:color w:val="auto"/>
        </w:rPr>
      </w:pPr>
      <w:r>
        <w:rPr>
          <w:rFonts w:ascii="Arial" w:cs="Arial" w:eastAsia="Arial" w:hAnsi="Arial"/>
          <w:sz w:val="16"/>
          <w:szCs w:val="16"/>
          <w:color w:val="auto"/>
        </w:rPr>
        <w:t>variables to estimate the probability of satisfying the performance conditions, including the possibility that the market condition may not be satisfied, and the resulting fair value of the award. Further, with respect to the PRSUs granted to Mr. Bryant as a new-hire equity award, a Monte Carlo simulation with a derived service period is used to calculate the grant date fair value. The grant date fair value of the financial metric PRSUs and Maxim Integration PRSUs represents the value at the grant date based upon the probable outcome of the performance conditions at the date of grant. For a more detailed description of the assumptions used for purposes of determining grant date fair value, see Note 2r and Note 3 to the Consolidated Financial Statements and Management’s Discussion and Analysis of Financial Condition and Results of Operations—Critical Accounting Policies and Estimates—Stock-Based Compensation, included in our Annual Report on Form 10-K for the year ended October 28, 2023. The grant date fair value of awards at the maximum level of achievement for PRSUs included in this table for fiscal year 2023 is as follows: Mr. Roche, $29,996,299; Mr. Mahendra-Rajah, $7,278,904; Mr. Bryant, $10,399,028; Mr. Jain, $6,824,032; and Ms. Sacks, $6,499,513.</w:t>
      </w:r>
    </w:p>
    <w:p>
      <w:pPr>
        <w:spacing w:after="0" w:line="29" w:lineRule="exact"/>
        <w:rPr>
          <w:sz w:val="20"/>
          <w:szCs w:val="20"/>
          <w:color w:val="auto"/>
        </w:rPr>
      </w:pPr>
    </w:p>
    <w:p>
      <w:pPr>
        <w:ind w:left="192" w:right="20" w:hanging="192"/>
        <w:spacing w:after="0" w:line="248" w:lineRule="auto"/>
        <w:tabs>
          <w:tab w:leader="none" w:pos="207"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stock options and performance-based stock options granted in fiscal years 2023, 2022, and 2021. Such amounts do not represent the actual amounts paid to or realized by the NEO for these awards during the respective fiscal years. We recognize the value as of the grant date for stock options over the number of days of service required for the grant to become vested in accordance with FASB ASC 718. The grant date fair value of stock options is computed using a Black-Scholes valuation methodology. The grant date fair value of the performance-based stock options is computed using a Monte Carlo simulation with a derived service period. For a more detailed description of the assumptions used for purposes of determining grant date fair value, see Note 2r and Note 3 to the Consolidated Financial Statements and Management’s Discussion and Analysis of Financial Condition and Results of Operations—Critical Accounting Policies and Estimates—Stock-Based Compensation, included in our Annual Report on Form 10-K for the year ended October 28, 2023.</w:t>
      </w:r>
    </w:p>
    <w:p>
      <w:pPr>
        <w:spacing w:after="0" w:line="53" w:lineRule="exact"/>
        <w:rPr>
          <w:rFonts w:ascii="Arial" w:cs="Arial" w:eastAsia="Arial" w:hAnsi="Arial"/>
          <w:sz w:val="21"/>
          <w:szCs w:val="21"/>
          <w:color w:val="auto"/>
          <w:vertAlign w:val="superscript"/>
        </w:rPr>
      </w:pPr>
    </w:p>
    <w:p>
      <w:pPr>
        <w:ind w:left="192" w:right="20" w:hanging="192"/>
        <w:spacing w:after="0" w:line="227" w:lineRule="auto"/>
        <w:tabs>
          <w:tab w:leader="none" w:pos="207"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Reflects the amounts earned under our executive performance incentive plan in fiscal years 2023, 2022, and 2021, paid on a semi-annual basis following the end of the second and fourth quarters of each fiscal year.</w:t>
      </w:r>
    </w:p>
    <w:p>
      <w:pPr>
        <w:spacing w:after="0" w:line="29"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“All Other Compensation” column for fiscal year 2023 are comprised of the following:</w:t>
      </w:r>
    </w:p>
    <w:p>
      <w:pPr>
        <w:spacing w:after="0" w:line="97" w:lineRule="exact"/>
        <w:rPr>
          <w:sz w:val="20"/>
          <w:szCs w:val="20"/>
          <w:color w:val="auto"/>
        </w:rPr>
      </w:pPr>
    </w:p>
    <w:tbl>
      <w:tblPr>
        <w:tblLayout w:type="fixed"/>
        <w:tblInd w:w="192" w:type="dxa"/>
        <w:tblCellMar>
          <w:top w:w="0" w:type="dxa"/>
          <w:left w:w="0" w:type="dxa"/>
          <w:bottom w:w="0" w:type="dxa"/>
          <w:right w:w="0" w:type="dxa"/>
        </w:tblCellMar>
      </w:tblPr>
      <w:tr>
        <w:trPr>
          <w:trHeight w:val="180"/>
        </w:trPr>
        <w:tc>
          <w:tcPr>
            <w:tcW w:w="2800" w:type="dxa"/>
            <w:vAlign w:val="bottom"/>
            <w:shd w:val="clear" w:color="auto" w:fill="0067B3"/>
          </w:tcPr>
          <w:p>
            <w:pPr>
              <w:spacing w:after="0"/>
              <w:rPr>
                <w:sz w:val="15"/>
                <w:szCs w:val="15"/>
                <w:color w:val="auto"/>
              </w:rPr>
            </w:pPr>
          </w:p>
        </w:tc>
        <w:tc>
          <w:tcPr>
            <w:tcW w:w="1820" w:type="dxa"/>
            <w:vAlign w:val="bottom"/>
            <w:shd w:val="clear" w:color="auto" w:fill="0067B3"/>
          </w:tcPr>
          <w:p>
            <w:pPr>
              <w:jc w:val="right"/>
              <w:ind w:right="9"/>
              <w:spacing w:after="0"/>
              <w:rPr>
                <w:sz w:val="20"/>
                <w:szCs w:val="20"/>
                <w:color w:val="auto"/>
              </w:rPr>
            </w:pPr>
            <w:r>
              <w:rPr>
                <w:rFonts w:ascii="Arial" w:cs="Arial" w:eastAsia="Arial" w:hAnsi="Arial"/>
                <w:sz w:val="14"/>
                <w:szCs w:val="14"/>
                <w:b w:val="1"/>
                <w:bCs w:val="1"/>
                <w:color w:val="FFFFFF"/>
              </w:rPr>
              <w:t>Company</w:t>
            </w:r>
          </w:p>
        </w:tc>
        <w:tc>
          <w:tcPr>
            <w:tcW w:w="980" w:type="dxa"/>
            <w:vAlign w:val="bottom"/>
            <w:shd w:val="clear" w:color="auto" w:fill="0067B3"/>
          </w:tcPr>
          <w:p>
            <w:pPr>
              <w:jc w:val="right"/>
              <w:ind w:right="66"/>
              <w:spacing w:after="0"/>
              <w:rPr>
                <w:sz w:val="20"/>
                <w:szCs w:val="20"/>
                <w:color w:val="auto"/>
              </w:rPr>
            </w:pPr>
            <w:r>
              <w:rPr>
                <w:rFonts w:ascii="Arial" w:cs="Arial" w:eastAsia="Arial" w:hAnsi="Arial"/>
                <w:sz w:val="14"/>
                <w:szCs w:val="14"/>
                <w:b w:val="1"/>
                <w:bCs w:val="1"/>
                <w:color w:val="FFFFFF"/>
              </w:rPr>
              <w:t>Healthcare</w:t>
            </w:r>
          </w:p>
        </w:tc>
        <w:tc>
          <w:tcPr>
            <w:tcW w:w="760" w:type="dxa"/>
            <w:vAlign w:val="bottom"/>
            <w:shd w:val="clear" w:color="auto" w:fill="0067B3"/>
          </w:tcPr>
          <w:p>
            <w:pPr>
              <w:spacing w:after="0"/>
              <w:rPr>
                <w:sz w:val="15"/>
                <w:szCs w:val="15"/>
                <w:color w:val="auto"/>
              </w:rPr>
            </w:pPr>
          </w:p>
        </w:tc>
        <w:tc>
          <w:tcPr>
            <w:tcW w:w="820" w:type="dxa"/>
            <w:vAlign w:val="bottom"/>
            <w:shd w:val="clear" w:color="auto" w:fill="0067B3"/>
          </w:tcPr>
          <w:p>
            <w:pPr>
              <w:spacing w:after="0"/>
              <w:rPr>
                <w:sz w:val="15"/>
                <w:szCs w:val="15"/>
                <w:color w:val="auto"/>
              </w:rPr>
            </w:pPr>
          </w:p>
        </w:tc>
        <w:tc>
          <w:tcPr>
            <w:tcW w:w="76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1100" w:type="dxa"/>
            <w:vAlign w:val="bottom"/>
            <w:shd w:val="clear" w:color="auto" w:fill="0067B3"/>
          </w:tcPr>
          <w:p>
            <w:pPr>
              <w:spacing w:after="0"/>
              <w:rPr>
                <w:sz w:val="15"/>
                <w:szCs w:val="15"/>
                <w:color w:val="auto"/>
              </w:rPr>
            </w:pPr>
          </w:p>
        </w:tc>
        <w:tc>
          <w:tcPr>
            <w:tcW w:w="720" w:type="dxa"/>
            <w:vAlign w:val="bottom"/>
            <w:shd w:val="clear" w:color="auto" w:fill="0067B3"/>
          </w:tcPr>
          <w:p>
            <w:pPr>
              <w:spacing w:after="0"/>
              <w:rPr>
                <w:sz w:val="15"/>
                <w:szCs w:val="15"/>
                <w:color w:val="auto"/>
              </w:rPr>
            </w:pPr>
          </w:p>
        </w:tc>
      </w:tr>
      <w:tr>
        <w:trPr>
          <w:trHeight w:val="176"/>
        </w:trPr>
        <w:tc>
          <w:tcPr>
            <w:tcW w:w="2800" w:type="dxa"/>
            <w:vAlign w:val="bottom"/>
            <w:shd w:val="clear" w:color="auto" w:fill="0067B3"/>
          </w:tcPr>
          <w:p>
            <w:pPr>
              <w:spacing w:after="0"/>
              <w:rPr>
                <w:sz w:val="15"/>
                <w:szCs w:val="15"/>
                <w:color w:val="auto"/>
              </w:rPr>
            </w:pPr>
          </w:p>
        </w:tc>
        <w:tc>
          <w:tcPr>
            <w:tcW w:w="1820" w:type="dxa"/>
            <w:vAlign w:val="bottom"/>
            <w:shd w:val="clear" w:color="auto" w:fill="0067B3"/>
          </w:tcPr>
          <w:p>
            <w:pPr>
              <w:jc w:val="right"/>
              <w:ind w:right="9"/>
              <w:spacing w:after="0"/>
              <w:rPr>
                <w:sz w:val="20"/>
                <w:szCs w:val="20"/>
                <w:color w:val="auto"/>
              </w:rPr>
            </w:pPr>
            <w:r>
              <w:rPr>
                <w:rFonts w:ascii="Arial" w:cs="Arial" w:eastAsia="Arial" w:hAnsi="Arial"/>
                <w:sz w:val="14"/>
                <w:szCs w:val="14"/>
                <w:b w:val="1"/>
                <w:bCs w:val="1"/>
                <w:color w:val="FFFFFF"/>
              </w:rPr>
              <w:t>401(k) and</w:t>
            </w:r>
          </w:p>
        </w:tc>
        <w:tc>
          <w:tcPr>
            <w:tcW w:w="980" w:type="dxa"/>
            <w:vAlign w:val="bottom"/>
            <w:shd w:val="clear" w:color="auto" w:fill="0067B3"/>
          </w:tcPr>
          <w:p>
            <w:pPr>
              <w:jc w:val="right"/>
              <w:ind w:right="66"/>
              <w:spacing w:after="0"/>
              <w:rPr>
                <w:sz w:val="20"/>
                <w:szCs w:val="20"/>
                <w:color w:val="auto"/>
              </w:rPr>
            </w:pPr>
            <w:r>
              <w:rPr>
                <w:rFonts w:ascii="Arial" w:cs="Arial" w:eastAsia="Arial" w:hAnsi="Arial"/>
                <w:sz w:val="14"/>
                <w:szCs w:val="14"/>
                <w:b w:val="1"/>
                <w:bCs w:val="1"/>
                <w:color w:val="FFFFFF"/>
              </w:rPr>
              <w:t>Savings</w:t>
            </w:r>
          </w:p>
        </w:tc>
        <w:tc>
          <w:tcPr>
            <w:tcW w:w="760" w:type="dxa"/>
            <w:vAlign w:val="bottom"/>
            <w:shd w:val="clear" w:color="auto" w:fill="0067B3"/>
          </w:tcPr>
          <w:p>
            <w:pPr>
              <w:jc w:val="right"/>
              <w:ind w:right="29"/>
              <w:spacing w:after="0"/>
              <w:rPr>
                <w:sz w:val="20"/>
                <w:szCs w:val="20"/>
                <w:color w:val="auto"/>
              </w:rPr>
            </w:pPr>
            <w:r>
              <w:rPr>
                <w:rFonts w:ascii="Arial" w:cs="Arial" w:eastAsia="Arial" w:hAnsi="Arial"/>
                <w:sz w:val="14"/>
                <w:szCs w:val="14"/>
                <w:b w:val="1"/>
                <w:bCs w:val="1"/>
                <w:color w:val="FFFFFF"/>
              </w:rPr>
              <w:t>Service</w:t>
            </w:r>
          </w:p>
        </w:tc>
        <w:tc>
          <w:tcPr>
            <w:tcW w:w="820" w:type="dxa"/>
            <w:vAlign w:val="bottom"/>
            <w:shd w:val="clear" w:color="auto" w:fill="0067B3"/>
          </w:tcPr>
          <w:p>
            <w:pPr>
              <w:jc w:val="right"/>
              <w:ind w:right="29"/>
              <w:spacing w:after="0"/>
              <w:rPr>
                <w:sz w:val="20"/>
                <w:szCs w:val="20"/>
                <w:color w:val="auto"/>
              </w:rPr>
            </w:pPr>
            <w:r>
              <w:rPr>
                <w:rFonts w:ascii="Arial" w:cs="Arial" w:eastAsia="Arial" w:hAnsi="Arial"/>
                <w:sz w:val="14"/>
                <w:szCs w:val="14"/>
                <w:b w:val="1"/>
                <w:bCs w:val="1"/>
                <w:color w:val="FFFFFF"/>
              </w:rPr>
              <w:t>Tax</w:t>
            </w:r>
          </w:p>
        </w:tc>
        <w:tc>
          <w:tcPr>
            <w:tcW w:w="76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Cybersecurity</w:t>
            </w:r>
          </w:p>
        </w:tc>
        <w:tc>
          <w:tcPr>
            <w:tcW w:w="720" w:type="dxa"/>
            <w:vAlign w:val="bottom"/>
            <w:shd w:val="clear" w:color="auto" w:fill="0067B3"/>
          </w:tcPr>
          <w:p>
            <w:pPr>
              <w:spacing w:after="0"/>
              <w:rPr>
                <w:sz w:val="15"/>
                <w:szCs w:val="15"/>
                <w:color w:val="auto"/>
              </w:rPr>
            </w:pPr>
          </w:p>
        </w:tc>
      </w:tr>
      <w:tr>
        <w:trPr>
          <w:trHeight w:val="162"/>
        </w:trPr>
        <w:tc>
          <w:tcPr>
            <w:tcW w:w="2800" w:type="dxa"/>
            <w:vAlign w:val="bottom"/>
            <w:shd w:val="clear" w:color="auto" w:fill="0067B3"/>
          </w:tcPr>
          <w:p>
            <w:pPr>
              <w:spacing w:after="0"/>
              <w:rPr>
                <w:sz w:val="14"/>
                <w:szCs w:val="14"/>
                <w:color w:val="auto"/>
              </w:rPr>
            </w:pPr>
          </w:p>
        </w:tc>
        <w:tc>
          <w:tcPr>
            <w:tcW w:w="1820" w:type="dxa"/>
            <w:vAlign w:val="bottom"/>
            <w:shd w:val="clear" w:color="auto" w:fill="0067B3"/>
          </w:tcPr>
          <w:p>
            <w:pPr>
              <w:jc w:val="right"/>
              <w:ind w:right="9"/>
              <w:spacing w:after="0"/>
              <w:rPr>
                <w:sz w:val="20"/>
                <w:szCs w:val="20"/>
                <w:color w:val="auto"/>
              </w:rPr>
            </w:pPr>
            <w:r>
              <w:rPr>
                <w:rFonts w:ascii="Arial" w:cs="Arial" w:eastAsia="Arial" w:hAnsi="Arial"/>
                <w:sz w:val="14"/>
                <w:szCs w:val="14"/>
                <w:b w:val="1"/>
                <w:bCs w:val="1"/>
                <w:color w:val="FFFFFF"/>
              </w:rPr>
              <w:t>DCP Payments</w:t>
            </w:r>
          </w:p>
        </w:tc>
        <w:tc>
          <w:tcPr>
            <w:tcW w:w="980" w:type="dxa"/>
            <w:vAlign w:val="bottom"/>
            <w:shd w:val="clear" w:color="auto" w:fill="0067B3"/>
          </w:tcPr>
          <w:p>
            <w:pPr>
              <w:jc w:val="right"/>
              <w:ind w:right="66"/>
              <w:spacing w:after="0"/>
              <w:rPr>
                <w:sz w:val="20"/>
                <w:szCs w:val="20"/>
                <w:color w:val="auto"/>
              </w:rPr>
            </w:pPr>
            <w:r>
              <w:rPr>
                <w:rFonts w:ascii="Arial" w:cs="Arial" w:eastAsia="Arial" w:hAnsi="Arial"/>
                <w:sz w:val="14"/>
                <w:szCs w:val="14"/>
                <w:b w:val="1"/>
                <w:bCs w:val="1"/>
                <w:color w:val="FFFFFF"/>
              </w:rPr>
              <w:t>Account</w:t>
            </w:r>
          </w:p>
        </w:tc>
        <w:tc>
          <w:tcPr>
            <w:tcW w:w="760" w:type="dxa"/>
            <w:vAlign w:val="bottom"/>
            <w:shd w:val="clear" w:color="auto" w:fill="0067B3"/>
          </w:tcPr>
          <w:p>
            <w:pPr>
              <w:jc w:val="right"/>
              <w:ind w:right="29"/>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067B3"/>
          </w:tcPr>
          <w:p>
            <w:pPr>
              <w:jc w:val="right"/>
              <w:ind w:right="29"/>
              <w:spacing w:after="0"/>
              <w:rPr>
                <w:sz w:val="20"/>
                <w:szCs w:val="20"/>
                <w:color w:val="auto"/>
              </w:rPr>
            </w:pPr>
            <w:r>
              <w:rPr>
                <w:rFonts w:ascii="Arial" w:cs="Arial" w:eastAsia="Arial" w:hAnsi="Arial"/>
                <w:sz w:val="14"/>
                <w:szCs w:val="14"/>
                <w:b w:val="1"/>
                <w:bCs w:val="1"/>
                <w:color w:val="FFFFFF"/>
              </w:rPr>
              <w:t>Planning</w:t>
            </w: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Vacation</w:t>
            </w:r>
          </w:p>
        </w:tc>
        <w:tc>
          <w:tcPr>
            <w:tcW w:w="10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Corporate</w:t>
            </w: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Protection</w:t>
            </w:r>
          </w:p>
        </w:tc>
        <w:tc>
          <w:tcPr>
            <w:tcW w:w="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25"/>
        </w:trPr>
        <w:tc>
          <w:tcPr>
            <w:tcW w:w="280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0067B3"/>
          </w:tcPr>
          <w:p>
            <w:pPr>
              <w:jc w:val="right"/>
              <w:ind w:right="9"/>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(a)</w:t>
            </w:r>
          </w:p>
        </w:tc>
        <w:tc>
          <w:tcPr>
            <w:tcW w:w="980" w:type="dxa"/>
            <w:vAlign w:val="bottom"/>
            <w:shd w:val="clear" w:color="auto" w:fill="0067B3"/>
          </w:tcPr>
          <w:p>
            <w:pPr>
              <w:jc w:val="right"/>
              <w:ind w:right="66"/>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67B3"/>
          </w:tcPr>
          <w:p>
            <w:pPr>
              <w:jc w:val="right"/>
              <w:ind w:right="29"/>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(b)</w:t>
            </w:r>
          </w:p>
        </w:tc>
        <w:tc>
          <w:tcPr>
            <w:tcW w:w="820" w:type="dxa"/>
            <w:vAlign w:val="bottom"/>
            <w:shd w:val="clear" w:color="auto" w:fill="0067B3"/>
          </w:tcPr>
          <w:p>
            <w:pPr>
              <w:jc w:val="right"/>
              <w:ind w:right="29"/>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(c)</w:t>
            </w: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Payout</w:t>
            </w:r>
          </w:p>
        </w:tc>
        <w:tc>
          <w:tcPr>
            <w:tcW w:w="10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Aircraft Use</w:t>
            </w:r>
            <w:r>
              <w:rPr>
                <w:rFonts w:ascii="Arial" w:cs="Arial" w:eastAsia="Arial" w:hAnsi="Arial"/>
                <w:sz w:val="9"/>
                <w:szCs w:val="9"/>
                <w:b w:val="1"/>
                <w:bCs w:val="1"/>
                <w:color w:val="FFFFFF"/>
              </w:rPr>
              <w:t>(d)</w:t>
            </w: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Services</w:t>
            </w:r>
            <w:r>
              <w:rPr>
                <w:rFonts w:ascii="Arial" w:cs="Arial" w:eastAsia="Arial" w:hAnsi="Arial"/>
                <w:sz w:val="18"/>
                <w:szCs w:val="18"/>
                <w:b w:val="1"/>
                <w:bCs w:val="1"/>
                <w:color w:val="FFFFFF"/>
                <w:vertAlign w:val="superscript"/>
              </w:rPr>
              <w:t>(e)</w:t>
            </w:r>
          </w:p>
        </w:tc>
        <w:tc>
          <w:tcPr>
            <w:tcW w:w="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28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182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90,308</w:t>
            </w:r>
          </w:p>
        </w:tc>
        <w:tc>
          <w:tcPr>
            <w:tcW w:w="980" w:type="dxa"/>
            <w:vAlign w:val="bottom"/>
            <w:tcBorders>
              <w:bottom w:val="single" w:sz="8" w:color="E2E6F4"/>
            </w:tcBorders>
            <w:shd w:val="clear" w:color="auto" w:fill="E2E6F4"/>
          </w:tcPr>
          <w:p>
            <w:pPr>
              <w:jc w:val="right"/>
              <w:ind w:right="126"/>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500</w:t>
            </w:r>
          </w:p>
        </w:tc>
        <w:tc>
          <w:tcPr>
            <w:tcW w:w="820" w:type="dxa"/>
            <w:vAlign w:val="bottom"/>
            <w:tcBorders>
              <w:bottom w:val="single" w:sz="8" w:color="E2E6F4"/>
            </w:tcBorders>
            <w:shd w:val="clear" w:color="auto" w:fill="E2E6F4"/>
          </w:tcPr>
          <w:p>
            <w:pPr>
              <w:jc w:val="right"/>
              <w:ind w:right="89"/>
              <w:spacing w:after="0"/>
              <w:rPr>
                <w:sz w:val="20"/>
                <w:szCs w:val="20"/>
                <w:color w:val="auto"/>
              </w:rPr>
            </w:pPr>
            <w:r>
              <w:rPr>
                <w:rFonts w:ascii="Arial" w:cs="Arial" w:eastAsia="Arial" w:hAnsi="Arial"/>
                <w:sz w:val="15"/>
                <w:szCs w:val="15"/>
                <w:color w:val="auto"/>
              </w:rPr>
              <w:t>3,585</w:t>
            </w:r>
          </w:p>
        </w:tc>
        <w:tc>
          <w:tcPr>
            <w:tcW w:w="76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243,200</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7,600</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345,193</w:t>
            </w:r>
          </w:p>
        </w:tc>
      </w:tr>
      <w:tr>
        <w:trPr>
          <w:trHeight w:val="243"/>
        </w:trPr>
        <w:tc>
          <w:tcPr>
            <w:tcW w:w="2800" w:type="dxa"/>
            <w:vAlign w:val="bottom"/>
          </w:tcPr>
          <w:p>
            <w:pPr>
              <w:ind w:left="20"/>
              <w:spacing w:after="0"/>
              <w:rPr>
                <w:sz w:val="20"/>
                <w:szCs w:val="20"/>
                <w:color w:val="auto"/>
              </w:rPr>
            </w:pPr>
            <w:r>
              <w:rPr>
                <w:rFonts w:ascii="Arial" w:cs="Arial" w:eastAsia="Arial" w:hAnsi="Arial"/>
                <w:sz w:val="15"/>
                <w:szCs w:val="15"/>
                <w:b w:val="1"/>
                <w:bCs w:val="1"/>
                <w:color w:val="0067B3"/>
              </w:rPr>
              <w:t>Prashanth Mahendra-Rajah</w:t>
            </w:r>
            <w:r>
              <w:rPr>
                <w:rFonts w:ascii="Arial" w:cs="Arial" w:eastAsia="Arial" w:hAnsi="Arial"/>
                <w:sz w:val="19"/>
                <w:szCs w:val="19"/>
                <w:b w:val="1"/>
                <w:bCs w:val="1"/>
                <w:color w:val="0067B3"/>
                <w:vertAlign w:val="superscript"/>
              </w:rPr>
              <w:t>(f)</w:t>
            </w:r>
          </w:p>
        </w:tc>
        <w:tc>
          <w:tcPr>
            <w:tcW w:w="1820" w:type="dxa"/>
            <w:vAlign w:val="bottom"/>
          </w:tcPr>
          <w:p>
            <w:pPr>
              <w:jc w:val="right"/>
              <w:ind w:right="69"/>
              <w:spacing w:after="0"/>
              <w:rPr>
                <w:sz w:val="20"/>
                <w:szCs w:val="20"/>
                <w:color w:val="auto"/>
              </w:rPr>
            </w:pPr>
            <w:r>
              <w:rPr>
                <w:rFonts w:ascii="Arial" w:cs="Arial" w:eastAsia="Arial" w:hAnsi="Arial"/>
                <w:sz w:val="15"/>
                <w:szCs w:val="15"/>
                <w:color w:val="auto"/>
              </w:rPr>
              <w:t>54,846</w:t>
            </w: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2,307</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9"/>
              <w:spacing w:after="0"/>
              <w:rPr>
                <w:sz w:val="20"/>
                <w:szCs w:val="20"/>
                <w:color w:val="auto"/>
              </w:rPr>
            </w:pPr>
            <w:r>
              <w:rPr>
                <w:rFonts w:ascii="Arial" w:cs="Arial" w:eastAsia="Arial" w:hAnsi="Arial"/>
                <w:sz w:val="15"/>
                <w:szCs w:val="15"/>
                <w:color w:val="auto"/>
              </w:rPr>
              <w:t>10,000</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30,120</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5"/>
              <w:spacing w:after="0"/>
              <w:rPr>
                <w:sz w:val="20"/>
                <w:szCs w:val="20"/>
                <w:color w:val="auto"/>
              </w:rPr>
            </w:pPr>
            <w:r>
              <w:rPr>
                <w:rFonts w:ascii="Arial" w:cs="Arial" w:eastAsia="Arial" w:hAnsi="Arial"/>
                <w:sz w:val="15"/>
                <w:szCs w:val="15"/>
                <w:color w:val="auto"/>
              </w:rPr>
              <w:t>7,600</w:t>
            </w:r>
          </w:p>
        </w:tc>
        <w:tc>
          <w:tcPr>
            <w:tcW w:w="720" w:type="dxa"/>
            <w:vAlign w:val="bottom"/>
          </w:tcPr>
          <w:p>
            <w:pPr>
              <w:jc w:val="right"/>
              <w:spacing w:after="0"/>
              <w:rPr>
                <w:sz w:val="20"/>
                <w:szCs w:val="20"/>
                <w:color w:val="auto"/>
              </w:rPr>
            </w:pPr>
            <w:r>
              <w:rPr>
                <w:rFonts w:ascii="Arial" w:cs="Arial" w:eastAsia="Arial" w:hAnsi="Arial"/>
                <w:sz w:val="15"/>
                <w:szCs w:val="15"/>
                <w:color w:val="auto"/>
              </w:rPr>
              <w:t>104,873</w:t>
            </w:r>
          </w:p>
        </w:tc>
      </w:tr>
      <w:tr>
        <w:trPr>
          <w:trHeight w:val="223"/>
        </w:trPr>
        <w:tc>
          <w:tcPr>
            <w:tcW w:w="28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182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58,846</w:t>
            </w:r>
          </w:p>
        </w:tc>
        <w:tc>
          <w:tcPr>
            <w:tcW w:w="980" w:type="dxa"/>
            <w:vAlign w:val="bottom"/>
            <w:tcBorders>
              <w:bottom w:val="single" w:sz="8" w:color="E2E6F4"/>
            </w:tcBorders>
            <w:shd w:val="clear" w:color="auto" w:fill="E2E6F4"/>
          </w:tcPr>
          <w:p>
            <w:pPr>
              <w:jc w:val="right"/>
              <w:ind w:right="126"/>
              <w:spacing w:after="0"/>
              <w:rPr>
                <w:sz w:val="20"/>
                <w:szCs w:val="20"/>
                <w:color w:val="auto"/>
              </w:rPr>
            </w:pPr>
            <w:r>
              <w:rPr>
                <w:rFonts w:ascii="Arial" w:cs="Arial" w:eastAsia="Arial" w:hAnsi="Arial"/>
                <w:sz w:val="15"/>
                <w:szCs w:val="15"/>
                <w:color w:val="auto"/>
              </w:rPr>
              <w:t>1,200</w:t>
            </w:r>
          </w:p>
        </w:tc>
        <w:tc>
          <w:tcPr>
            <w:tcW w:w="76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2E6F4"/>
            </w:tcBorders>
            <w:shd w:val="clear" w:color="auto" w:fill="E2E6F4"/>
          </w:tcPr>
          <w:p>
            <w:pPr>
              <w:jc w:val="right"/>
              <w:ind w:right="89"/>
              <w:spacing w:after="0"/>
              <w:rPr>
                <w:sz w:val="20"/>
                <w:szCs w:val="20"/>
                <w:color w:val="auto"/>
              </w:rPr>
            </w:pPr>
            <w:r>
              <w:rPr>
                <w:rFonts w:ascii="Arial" w:cs="Arial" w:eastAsia="Arial" w:hAnsi="Arial"/>
                <w:sz w:val="15"/>
                <w:szCs w:val="15"/>
                <w:color w:val="auto"/>
              </w:rPr>
              <w:t>10,000</w:t>
            </w:r>
          </w:p>
        </w:tc>
        <w:tc>
          <w:tcPr>
            <w:tcW w:w="76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7,600</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77,646</w:t>
            </w:r>
          </w:p>
        </w:tc>
      </w:tr>
      <w:tr>
        <w:trPr>
          <w:trHeight w:val="218"/>
        </w:trPr>
        <w:tc>
          <w:tcPr>
            <w:tcW w:w="280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1820" w:type="dxa"/>
            <w:vAlign w:val="bottom"/>
          </w:tcPr>
          <w:p>
            <w:pPr>
              <w:jc w:val="right"/>
              <w:ind w:right="69"/>
              <w:spacing w:after="0"/>
              <w:rPr>
                <w:sz w:val="20"/>
                <w:szCs w:val="20"/>
                <w:color w:val="auto"/>
              </w:rPr>
            </w:pPr>
            <w:r>
              <w:rPr>
                <w:rFonts w:ascii="Arial" w:cs="Arial" w:eastAsia="Arial" w:hAnsi="Arial"/>
                <w:sz w:val="15"/>
                <w:szCs w:val="15"/>
                <w:color w:val="auto"/>
              </w:rPr>
              <w:t>51,000</w:t>
            </w: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1,200</w:t>
            </w:r>
          </w:p>
        </w:tc>
        <w:tc>
          <w:tcPr>
            <w:tcW w:w="760" w:type="dxa"/>
            <w:vAlign w:val="bottom"/>
          </w:tcPr>
          <w:p>
            <w:pPr>
              <w:spacing w:after="0"/>
              <w:rPr>
                <w:sz w:val="18"/>
                <w:szCs w:val="18"/>
                <w:color w:val="auto"/>
              </w:rPr>
            </w:pPr>
          </w:p>
        </w:tc>
        <w:tc>
          <w:tcPr>
            <w:tcW w:w="82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52,200</w:t>
            </w:r>
          </w:p>
        </w:tc>
      </w:tr>
      <w:tr>
        <w:trPr>
          <w:trHeight w:val="25"/>
        </w:trPr>
        <w:tc>
          <w:tcPr>
            <w:tcW w:w="2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28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182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48,077</w:t>
            </w:r>
          </w:p>
        </w:tc>
        <w:tc>
          <w:tcPr>
            <w:tcW w:w="980" w:type="dxa"/>
            <w:vAlign w:val="bottom"/>
            <w:tcBorders>
              <w:bottom w:val="single" w:sz="8" w:color="E2E6F4"/>
            </w:tcBorders>
            <w:shd w:val="clear" w:color="auto" w:fill="E2E6F4"/>
          </w:tcPr>
          <w:p>
            <w:pPr>
              <w:jc w:val="right"/>
              <w:ind w:right="126"/>
              <w:spacing w:after="0"/>
              <w:rPr>
                <w:sz w:val="20"/>
                <w:szCs w:val="20"/>
                <w:color w:val="auto"/>
              </w:rPr>
            </w:pPr>
            <w:r>
              <w:rPr>
                <w:rFonts w:ascii="Arial" w:cs="Arial" w:eastAsia="Arial" w:hAnsi="Arial"/>
                <w:sz w:val="15"/>
                <w:szCs w:val="15"/>
                <w:color w:val="auto"/>
              </w:rPr>
              <w:t>1,200</w:t>
            </w:r>
          </w:p>
        </w:tc>
        <w:tc>
          <w:tcPr>
            <w:tcW w:w="760" w:type="dxa"/>
            <w:vAlign w:val="bottom"/>
            <w:tcBorders>
              <w:bottom w:val="single" w:sz="8" w:color="E2E6F4"/>
            </w:tcBorders>
            <w:shd w:val="clear" w:color="auto" w:fill="E2E6F4"/>
          </w:tcPr>
          <w:p>
            <w:pPr>
              <w:jc w:val="right"/>
              <w:ind w:right="69"/>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2E6F4"/>
            </w:tcBorders>
            <w:shd w:val="clear" w:color="auto" w:fill="E2E6F4"/>
          </w:tcPr>
          <w:p>
            <w:pPr>
              <w:jc w:val="right"/>
              <w:ind w:right="89"/>
              <w:spacing w:after="0"/>
              <w:rPr>
                <w:sz w:val="20"/>
                <w:szCs w:val="20"/>
                <w:color w:val="auto"/>
              </w:rPr>
            </w:pPr>
            <w:r>
              <w:rPr>
                <w:rFonts w:ascii="Arial" w:cs="Arial" w:eastAsia="Arial" w:hAnsi="Arial"/>
                <w:sz w:val="15"/>
                <w:szCs w:val="15"/>
                <w:color w:val="auto"/>
              </w:rPr>
              <w:t>1,442</w:t>
            </w:r>
          </w:p>
        </w:tc>
        <w:tc>
          <w:tcPr>
            <w:tcW w:w="76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50,719</w:t>
            </w:r>
          </w:p>
        </w:tc>
      </w:tr>
      <w:tr>
        <w:trPr>
          <w:trHeight w:val="20"/>
        </w:trPr>
        <w:tc>
          <w:tcPr>
            <w:tcW w:w="2800" w:type="dxa"/>
            <w:vAlign w:val="bottom"/>
            <w:shd w:val="clear" w:color="auto" w:fill="0067B3"/>
          </w:tcPr>
          <w:p>
            <w:pPr>
              <w:spacing w:after="0" w:line="20" w:lineRule="exact"/>
              <w:rPr>
                <w:sz w:val="1"/>
                <w:szCs w:val="1"/>
                <w:color w:val="auto"/>
              </w:rPr>
            </w:pPr>
          </w:p>
        </w:tc>
        <w:tc>
          <w:tcPr>
            <w:tcW w:w="182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760" w:type="dxa"/>
            <w:vAlign w:val="bottom"/>
            <w:shd w:val="clear" w:color="auto" w:fill="0067B3"/>
          </w:tcPr>
          <w:p>
            <w:pPr>
              <w:spacing w:after="0" w:line="20" w:lineRule="exact"/>
              <w:rPr>
                <w:sz w:val="1"/>
                <w:szCs w:val="1"/>
                <w:color w:val="auto"/>
              </w:rPr>
            </w:pPr>
          </w:p>
        </w:tc>
        <w:tc>
          <w:tcPr>
            <w:tcW w:w="820" w:type="dxa"/>
            <w:vAlign w:val="bottom"/>
            <w:shd w:val="clear" w:color="auto" w:fill="0067B3"/>
          </w:tcPr>
          <w:p>
            <w:pPr>
              <w:spacing w:after="0" w:line="20" w:lineRule="exact"/>
              <w:rPr>
                <w:sz w:val="1"/>
                <w:szCs w:val="1"/>
                <w:color w:val="auto"/>
              </w:rPr>
            </w:pPr>
          </w:p>
        </w:tc>
        <w:tc>
          <w:tcPr>
            <w:tcW w:w="76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720" w:type="dxa"/>
            <w:vAlign w:val="bottom"/>
            <w:shd w:val="clear" w:color="auto" w:fill="0067B3"/>
          </w:tcPr>
          <w:p>
            <w:pPr>
              <w:spacing w:after="0" w:line="20" w:lineRule="exact"/>
              <w:rPr>
                <w:sz w:val="1"/>
                <w:szCs w:val="1"/>
                <w:color w:val="auto"/>
              </w:rPr>
            </w:pPr>
          </w:p>
        </w:tc>
      </w:tr>
    </w:tbl>
    <w:p>
      <w:pPr>
        <w:spacing w:after="0" w:line="148" w:lineRule="exact"/>
        <w:rPr>
          <w:sz w:val="20"/>
          <w:szCs w:val="20"/>
          <w:color w:val="auto"/>
        </w:rPr>
      </w:pPr>
    </w:p>
    <w:p>
      <w:pPr>
        <w:ind w:left="392" w:right="360" w:hanging="198"/>
        <w:spacing w:after="0"/>
        <w:tabs>
          <w:tab w:leader="none" w:pos="407"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Includes the value of 401(k) matching contributions plus the matching contribution made by ADI for DCP payments, if applicable, together with the amount paid by ADI for TIP Restoration. Such amounts for each NEO for fiscal year 2023 were as follows: Messrs. Roche ($24,098, $7,508, and $58,701, respectively), Mahendra-Rajah ($9,275, $10,690, and $34,881, respectively), Bryant ($26,044, $1,004, and $31,799, respectively), Jain ($26,400, $0, and $24,600, respectively) and Ms. Sacks ($26,400, $0, and $21,677, respectively).</w:t>
      </w:r>
    </w:p>
    <w:p>
      <w:pPr>
        <w:spacing w:after="0" w:line="16"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Paid in connection with our Employee Service Award Program.</w:t>
      </w:r>
    </w:p>
    <w:p>
      <w:pPr>
        <w:spacing w:after="0" w:line="70" w:lineRule="exact"/>
        <w:rPr>
          <w:rFonts w:ascii="Arial" w:cs="Arial" w:eastAsia="Arial" w:hAnsi="Arial"/>
          <w:sz w:val="21"/>
          <w:szCs w:val="21"/>
          <w:color w:val="auto"/>
          <w:vertAlign w:val="superscript"/>
        </w:rPr>
      </w:pPr>
    </w:p>
    <w:p>
      <w:pPr>
        <w:ind w:left="392" w:hanging="198"/>
        <w:spacing w:after="0" w:line="197" w:lineRule="auto"/>
        <w:tabs>
          <w:tab w:leader="none" w:pos="392"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Amounts paid for financial and tax planning services.</w:t>
      </w:r>
    </w:p>
    <w:p>
      <w:pPr>
        <w:spacing w:after="0" w:line="71" w:lineRule="exact"/>
        <w:rPr>
          <w:rFonts w:ascii="Arial" w:cs="Arial" w:eastAsia="Arial" w:hAnsi="Arial"/>
          <w:sz w:val="21"/>
          <w:szCs w:val="21"/>
          <w:color w:val="auto"/>
          <w:vertAlign w:val="superscript"/>
        </w:rPr>
      </w:pPr>
    </w:p>
    <w:p>
      <w:pPr>
        <w:ind w:left="392" w:right="40" w:hanging="198"/>
        <w:spacing w:after="0" w:line="237" w:lineRule="auto"/>
        <w:tabs>
          <w:tab w:leader="none" w:pos="407"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Amounts for personal use of the leased aircraft by Mr. Roche. This amount represents the aggregate incremental cost to us for the personal use of our corporate aircraft by Mr. Roche and certain of his guests, as applicable for each use. We determine the incremental cost of the personal use of our leased corporate aircraft based on the actual invoiced amount from ADI’s third-party provider for the variable costs incurred on each trip, such as billed hourly fees, fuel costs, etc. The aggregate incremental cost does not include certain fixed costs that do not change based on usage, such as monthly lease expenses, that are billed regardless of usage, and the aircraft lease deposit amount.</w:t>
      </w:r>
    </w:p>
    <w:p>
      <w:pPr>
        <w:spacing w:after="0" w:line="31"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Amounts paid for cyber and data privacy protection services.</w:t>
      </w:r>
    </w:p>
    <w:p>
      <w:pPr>
        <w:spacing w:after="0" w:line="70" w:lineRule="exact"/>
        <w:rPr>
          <w:rFonts w:ascii="Arial" w:cs="Arial" w:eastAsia="Arial" w:hAnsi="Arial"/>
          <w:sz w:val="21"/>
          <w:szCs w:val="21"/>
          <w:color w:val="auto"/>
          <w:vertAlign w:val="superscript"/>
        </w:rPr>
      </w:pPr>
    </w:p>
    <w:p>
      <w:pPr>
        <w:ind w:left="392" w:hanging="198"/>
        <w:spacing w:after="0" w:line="197" w:lineRule="auto"/>
        <w:tabs>
          <w:tab w:leader="none" w:pos="392" w:val="left"/>
        </w:tabs>
        <w:numPr>
          <w:ilvl w:val="1"/>
          <w:numId w:val="116"/>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71"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58"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Mr. Bryant joined ADI as Executive Vice President and President of Business Units, effective March 14, 2022.</w:t>
      </w:r>
    </w:p>
    <w:p>
      <w:pPr>
        <w:spacing w:after="0" w:line="71" w:lineRule="exact"/>
        <w:rPr>
          <w:rFonts w:ascii="Arial" w:cs="Arial" w:eastAsia="Arial" w:hAnsi="Arial"/>
          <w:sz w:val="21"/>
          <w:szCs w:val="21"/>
          <w:color w:val="auto"/>
          <w:vertAlign w:val="superscript"/>
        </w:rPr>
      </w:pPr>
    </w:p>
    <w:p>
      <w:pPr>
        <w:ind w:left="192" w:right="460" w:hanging="192"/>
        <w:spacing w:after="0" w:line="218" w:lineRule="auto"/>
        <w:tabs>
          <w:tab w:leader="none" w:pos="207"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 xml:space="preserve">Includes aggregate grant date fair value of both Mr. Bryant’s new hire awards and annual awards. Additional details for Mr. Bryant’s new-hire equity awards are described in the 2023 Proxy Statement, under the heading </w:t>
      </w:r>
      <w:r>
        <w:rPr>
          <w:rFonts w:ascii="Arial" w:cs="Arial" w:eastAsia="Arial" w:hAnsi="Arial"/>
          <w:sz w:val="16"/>
          <w:szCs w:val="16"/>
          <w:i w:val="1"/>
          <w:iCs w:val="1"/>
          <w:color w:val="auto"/>
        </w:rPr>
        <w:t>Equity Vehicle Structure - New-Hire Equity Awards</w:t>
      </w:r>
      <w:r>
        <w:rPr>
          <w:rFonts w:ascii="Arial" w:cs="Arial" w:eastAsia="Arial" w:hAnsi="Arial"/>
          <w:sz w:val="16"/>
          <w:szCs w:val="16"/>
          <w:color w:val="auto"/>
        </w:rPr>
        <w:t>.</w:t>
      </w:r>
    </w:p>
    <w:p>
      <w:pPr>
        <w:spacing w:after="0" w:line="30"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Mr. Jain was not an NEO for the fiscal year ended October 29,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2" w:hanging="454"/>
        <w:spacing w:after="0"/>
        <w:tabs>
          <w:tab w:leader="none" w:pos="472" w:val="left"/>
        </w:tabs>
        <w:numPr>
          <w:ilvl w:val="0"/>
          <w:numId w:val="11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78" w:right="379" w:bottom="1440" w:gutter="0" w:footer="0" w:header="0"/>
        </w:sectPr>
      </w:pPr>
    </w:p>
    <w:bookmarkStart w:id="82" w:name="page83"/>
    <w:bookmarkEnd w:id="82"/>
    <w:p>
      <w:pPr>
        <w:spacing w:after="0"/>
        <w:rPr>
          <w:sz w:val="20"/>
          <w:szCs w:val="20"/>
          <w:color w:val="auto"/>
        </w:rPr>
      </w:pPr>
      <w:r>
        <w:rPr>
          <w:rFonts w:ascii="Arial" w:cs="Arial" w:eastAsia="Arial" w:hAnsi="Arial"/>
          <w:sz w:val="32"/>
          <w:szCs w:val="32"/>
          <w:b w:val="1"/>
          <w:bCs w:val="1"/>
          <w:color w:val="auto"/>
        </w:rPr>
        <w:t>Grants of Plan-Based Awards in Fiscal Year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plan-based awards granted in fiscal year 2023 to our NEOs: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2860" w:type="dxa"/>
            <w:vAlign w:val="bottom"/>
            <w:gridSpan w:val="5"/>
            <w:vMerge w:val="restart"/>
            <w:shd w:val="clear" w:color="auto" w:fill="0067B3"/>
          </w:tcPr>
          <w:p>
            <w:pPr>
              <w:jc w:val="right"/>
              <w:ind w:right="83"/>
              <w:spacing w:after="0"/>
              <w:rPr>
                <w:sz w:val="20"/>
                <w:szCs w:val="20"/>
                <w:color w:val="auto"/>
              </w:rPr>
            </w:pPr>
            <w:r>
              <w:rPr>
                <w:rFonts w:ascii="Arial" w:cs="Arial" w:eastAsia="Arial" w:hAnsi="Arial"/>
                <w:sz w:val="16"/>
                <w:szCs w:val="16"/>
                <w:b w:val="1"/>
                <w:bCs w:val="1"/>
                <w:color w:val="FFFFFF"/>
              </w:rPr>
              <w:t>Estimated Possible Payouts Under</w:t>
            </w:r>
          </w:p>
        </w:tc>
        <w:tc>
          <w:tcPr>
            <w:tcW w:w="2620" w:type="dxa"/>
            <w:vAlign w:val="bottom"/>
            <w:gridSpan w:val="3"/>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Estimated Future Payouts Under</w:t>
            </w:r>
          </w:p>
        </w:tc>
        <w:tc>
          <w:tcPr>
            <w:tcW w:w="14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All Other</w:t>
            </w:r>
          </w:p>
        </w:tc>
        <w:tc>
          <w:tcPr>
            <w:tcW w:w="1300" w:type="dxa"/>
            <w:vAlign w:val="bottom"/>
            <w:gridSpan w:val="2"/>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Grant Date Fair</w:t>
            </w:r>
          </w:p>
        </w:tc>
        <w:tc>
          <w:tcPr>
            <w:tcW w:w="0" w:type="dxa"/>
            <w:vAlign w:val="bottom"/>
          </w:tcPr>
          <w:p>
            <w:pPr>
              <w:spacing w:after="0"/>
              <w:rPr>
                <w:sz w:val="1"/>
                <w:szCs w:val="1"/>
                <w:color w:val="auto"/>
              </w:rPr>
            </w:pPr>
          </w:p>
        </w:tc>
      </w:tr>
      <w:tr>
        <w:trPr>
          <w:trHeight w:val="98"/>
        </w:trPr>
        <w:tc>
          <w:tcPr>
            <w:tcW w:w="1960" w:type="dxa"/>
            <w:vAlign w:val="bottom"/>
            <w:shd w:val="clear" w:color="auto" w:fill="0067B3"/>
          </w:tcPr>
          <w:p>
            <w:pPr>
              <w:spacing w:after="0"/>
              <w:rPr>
                <w:sz w:val="8"/>
                <w:szCs w:val="8"/>
                <w:color w:val="auto"/>
              </w:rPr>
            </w:pPr>
          </w:p>
        </w:tc>
        <w:tc>
          <w:tcPr>
            <w:tcW w:w="1040" w:type="dxa"/>
            <w:vAlign w:val="bottom"/>
            <w:shd w:val="clear" w:color="auto" w:fill="0067B3"/>
          </w:tcPr>
          <w:p>
            <w:pPr>
              <w:spacing w:after="0"/>
              <w:rPr>
                <w:sz w:val="8"/>
                <w:szCs w:val="8"/>
                <w:color w:val="auto"/>
              </w:rPr>
            </w:pPr>
          </w:p>
        </w:tc>
        <w:tc>
          <w:tcPr>
            <w:tcW w:w="2860" w:type="dxa"/>
            <w:vAlign w:val="bottom"/>
            <w:gridSpan w:val="5"/>
            <w:vMerge w:val="continue"/>
            <w:shd w:val="clear" w:color="auto" w:fill="0067B3"/>
          </w:tcPr>
          <w:p>
            <w:pPr>
              <w:spacing w:after="0"/>
              <w:rPr>
                <w:sz w:val="8"/>
                <w:szCs w:val="8"/>
                <w:color w:val="auto"/>
              </w:rPr>
            </w:pPr>
          </w:p>
        </w:tc>
        <w:tc>
          <w:tcPr>
            <w:tcW w:w="2620" w:type="dxa"/>
            <w:vAlign w:val="bottom"/>
            <w:gridSpan w:val="3"/>
            <w:vMerge w:val="continue"/>
            <w:shd w:val="clear" w:color="auto" w:fill="0067B3"/>
          </w:tcPr>
          <w:p>
            <w:pPr>
              <w:spacing w:after="0"/>
              <w:rPr>
                <w:sz w:val="8"/>
                <w:szCs w:val="8"/>
                <w:color w:val="auto"/>
              </w:rPr>
            </w:pPr>
          </w:p>
        </w:tc>
        <w:tc>
          <w:tcPr>
            <w:tcW w:w="1460" w:type="dxa"/>
            <w:vAlign w:val="bottom"/>
            <w:vMerge w:val="restart"/>
            <w:shd w:val="clear" w:color="auto" w:fill="0067B3"/>
          </w:tcPr>
          <w:p>
            <w:pPr>
              <w:jc w:val="right"/>
              <w:ind w:right="35"/>
              <w:spacing w:after="0" w:line="163" w:lineRule="exact"/>
              <w:rPr>
                <w:sz w:val="20"/>
                <w:szCs w:val="20"/>
                <w:color w:val="auto"/>
              </w:rPr>
            </w:pPr>
            <w:r>
              <w:rPr>
                <w:rFonts w:ascii="Arial" w:cs="Arial" w:eastAsia="Arial" w:hAnsi="Arial"/>
                <w:sz w:val="16"/>
                <w:szCs w:val="16"/>
                <w:b w:val="1"/>
                <w:bCs w:val="1"/>
                <w:color w:val="FFFFFF"/>
              </w:rPr>
              <w:t>Stock Awards:</w:t>
            </w:r>
          </w:p>
        </w:tc>
        <w:tc>
          <w:tcPr>
            <w:tcW w:w="1300" w:type="dxa"/>
            <w:vAlign w:val="bottom"/>
            <w:gridSpan w:val="2"/>
            <w:vMerge w:val="continue"/>
            <w:shd w:val="clear" w:color="auto" w:fill="0067B3"/>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960" w:type="dxa"/>
            <w:vAlign w:val="bottom"/>
            <w:shd w:val="clear" w:color="auto" w:fill="0067B3"/>
          </w:tcPr>
          <w:p>
            <w:pPr>
              <w:spacing w:after="0"/>
              <w:rPr>
                <w:sz w:val="5"/>
                <w:szCs w:val="5"/>
                <w:color w:val="auto"/>
              </w:rPr>
            </w:pPr>
          </w:p>
        </w:tc>
        <w:tc>
          <w:tcPr>
            <w:tcW w:w="1040" w:type="dxa"/>
            <w:vAlign w:val="bottom"/>
            <w:shd w:val="clear" w:color="auto" w:fill="0067B3"/>
          </w:tcPr>
          <w:p>
            <w:pPr>
              <w:spacing w:after="0"/>
              <w:rPr>
                <w:sz w:val="5"/>
                <w:szCs w:val="5"/>
                <w:color w:val="auto"/>
              </w:rPr>
            </w:pPr>
          </w:p>
        </w:tc>
        <w:tc>
          <w:tcPr>
            <w:tcW w:w="2660" w:type="dxa"/>
            <w:vAlign w:val="bottom"/>
            <w:gridSpan w:val="4"/>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Non-Equity Incentive Plan Awards</w:t>
            </w:r>
          </w:p>
        </w:tc>
        <w:tc>
          <w:tcPr>
            <w:tcW w:w="200" w:type="dxa"/>
            <w:vAlign w:val="bottom"/>
            <w:shd w:val="clear" w:color="auto" w:fill="0067B3"/>
          </w:tcPr>
          <w:p>
            <w:pPr>
              <w:jc w:val="right"/>
              <w:ind w:right="43"/>
              <w:spacing w:after="0" w:line="65" w:lineRule="exact"/>
              <w:rPr>
                <w:sz w:val="20"/>
                <w:szCs w:val="20"/>
                <w:color w:val="auto"/>
              </w:rPr>
            </w:pPr>
            <w:r>
              <w:rPr>
                <w:rFonts w:ascii="Arial" w:cs="Arial" w:eastAsia="Arial" w:hAnsi="Arial"/>
                <w:sz w:val="7"/>
                <w:szCs w:val="7"/>
                <w:b w:val="1"/>
                <w:bCs w:val="1"/>
                <w:color w:val="FFFFFF"/>
              </w:rPr>
              <w:t>(1)</w:t>
            </w:r>
          </w:p>
        </w:tc>
        <w:tc>
          <w:tcPr>
            <w:tcW w:w="1000" w:type="dxa"/>
            <w:vAlign w:val="bottom"/>
            <w:shd w:val="clear" w:color="auto" w:fill="0067B3"/>
          </w:tcPr>
          <w:p>
            <w:pPr>
              <w:spacing w:after="0"/>
              <w:rPr>
                <w:sz w:val="5"/>
                <w:szCs w:val="5"/>
                <w:color w:val="auto"/>
              </w:rPr>
            </w:pPr>
          </w:p>
        </w:tc>
        <w:tc>
          <w:tcPr>
            <w:tcW w:w="780" w:type="dxa"/>
            <w:vAlign w:val="bottom"/>
            <w:shd w:val="clear" w:color="auto" w:fill="0067B3"/>
          </w:tcPr>
          <w:p>
            <w:pPr>
              <w:spacing w:after="0"/>
              <w:rPr>
                <w:sz w:val="5"/>
                <w:szCs w:val="5"/>
                <w:color w:val="auto"/>
              </w:rPr>
            </w:pPr>
          </w:p>
        </w:tc>
        <w:tc>
          <w:tcPr>
            <w:tcW w:w="840" w:type="dxa"/>
            <w:vAlign w:val="bottom"/>
            <w:shd w:val="clear" w:color="auto" w:fill="0067B3"/>
          </w:tcPr>
          <w:p>
            <w:pPr>
              <w:jc w:val="right"/>
              <w:ind w:right="40"/>
              <w:spacing w:after="0" w:line="65" w:lineRule="exact"/>
              <w:rPr>
                <w:sz w:val="20"/>
                <w:szCs w:val="20"/>
                <w:color w:val="auto"/>
              </w:rPr>
            </w:pPr>
            <w:r>
              <w:rPr>
                <w:rFonts w:ascii="Arial" w:cs="Arial" w:eastAsia="Arial" w:hAnsi="Arial"/>
                <w:sz w:val="7"/>
                <w:szCs w:val="7"/>
                <w:b w:val="1"/>
                <w:bCs w:val="1"/>
                <w:color w:val="FFFFFF"/>
              </w:rPr>
              <w:t>(2)</w:t>
            </w:r>
          </w:p>
        </w:tc>
        <w:tc>
          <w:tcPr>
            <w:tcW w:w="1460" w:type="dxa"/>
            <w:vAlign w:val="bottom"/>
            <w:vMerge w:val="continue"/>
            <w:shd w:val="clear" w:color="auto" w:fill="0067B3"/>
          </w:tcPr>
          <w:p>
            <w:pPr>
              <w:spacing w:after="0"/>
              <w:rPr>
                <w:sz w:val="5"/>
                <w:szCs w:val="5"/>
                <w:color w:val="auto"/>
              </w:rPr>
            </w:pPr>
          </w:p>
        </w:tc>
        <w:tc>
          <w:tcPr>
            <w:tcW w:w="1300" w:type="dxa"/>
            <w:vAlign w:val="bottom"/>
            <w:gridSpan w:val="2"/>
            <w:vMerge w:val="continue"/>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2660" w:type="dxa"/>
            <w:vAlign w:val="bottom"/>
            <w:gridSpan w:val="4"/>
            <w:vMerge w:val="continue"/>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2620" w:type="dxa"/>
            <w:vAlign w:val="bottom"/>
            <w:gridSpan w:val="3"/>
            <w:shd w:val="clear" w:color="auto" w:fill="0067B3"/>
          </w:tcPr>
          <w:p>
            <w:pPr>
              <w:jc w:val="right"/>
              <w:ind w:right="160"/>
              <w:spacing w:after="0"/>
              <w:rPr>
                <w:sz w:val="20"/>
                <w:szCs w:val="20"/>
                <w:color w:val="auto"/>
              </w:rPr>
            </w:pPr>
            <w:r>
              <w:rPr>
                <w:rFonts w:ascii="Arial" w:cs="Arial" w:eastAsia="Arial" w:hAnsi="Arial"/>
                <w:sz w:val="16"/>
                <w:szCs w:val="16"/>
                <w:b w:val="1"/>
                <w:bCs w:val="1"/>
                <w:color w:val="FFFFFF"/>
              </w:rPr>
              <w:t>Equity Incentive Plan Awards</w:t>
            </w:r>
          </w:p>
        </w:tc>
        <w:tc>
          <w:tcPr>
            <w:tcW w:w="14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Number of</w:t>
            </w:r>
          </w:p>
        </w:tc>
        <w:tc>
          <w:tcPr>
            <w:tcW w:w="130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Value of Stock</w:t>
            </w:r>
          </w:p>
        </w:tc>
        <w:tc>
          <w:tcPr>
            <w:tcW w:w="0" w:type="dxa"/>
            <w:vAlign w:val="bottom"/>
          </w:tcPr>
          <w:p>
            <w:pPr>
              <w:spacing w:after="0"/>
              <w:rPr>
                <w:sz w:val="1"/>
                <w:szCs w:val="1"/>
                <w:color w:val="auto"/>
              </w:rPr>
            </w:pPr>
          </w:p>
        </w:tc>
      </w:tr>
      <w:tr>
        <w:trPr>
          <w:trHeight w:val="175"/>
        </w:trPr>
        <w:tc>
          <w:tcPr>
            <w:tcW w:w="196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940" w:type="dxa"/>
            <w:vAlign w:val="bottom"/>
            <w:gridSpan w:val="2"/>
            <w:shd w:val="clear" w:color="auto" w:fill="0067B3"/>
          </w:tcPr>
          <w:p>
            <w:pPr>
              <w:jc w:val="right"/>
              <w:ind w:right="20"/>
              <w:spacing w:after="0" w:line="175" w:lineRule="exact"/>
              <w:rPr>
                <w:sz w:val="20"/>
                <w:szCs w:val="20"/>
                <w:color w:val="auto"/>
              </w:rPr>
            </w:pPr>
            <w:r>
              <w:rPr>
                <w:rFonts w:ascii="Arial" w:cs="Arial" w:eastAsia="Arial" w:hAnsi="Arial"/>
                <w:sz w:val="16"/>
                <w:szCs w:val="16"/>
                <w:b w:val="1"/>
                <w:bCs w:val="1"/>
                <w:color w:val="FFFFFF"/>
              </w:rPr>
              <w:t>Threshold</w:t>
            </w:r>
          </w:p>
        </w:tc>
        <w:tc>
          <w:tcPr>
            <w:tcW w:w="94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Target</w:t>
            </w:r>
          </w:p>
        </w:tc>
        <w:tc>
          <w:tcPr>
            <w:tcW w:w="980" w:type="dxa"/>
            <w:vAlign w:val="bottom"/>
            <w:gridSpan w:val="2"/>
            <w:shd w:val="clear" w:color="auto" w:fill="0067B3"/>
          </w:tcPr>
          <w:p>
            <w:pPr>
              <w:jc w:val="right"/>
              <w:ind w:right="43"/>
              <w:spacing w:after="0" w:line="175" w:lineRule="exact"/>
              <w:rPr>
                <w:sz w:val="20"/>
                <w:szCs w:val="20"/>
                <w:color w:val="auto"/>
              </w:rPr>
            </w:pPr>
            <w:r>
              <w:rPr>
                <w:rFonts w:ascii="Arial" w:cs="Arial" w:eastAsia="Arial" w:hAnsi="Arial"/>
                <w:sz w:val="16"/>
                <w:szCs w:val="16"/>
                <w:b w:val="1"/>
                <w:bCs w:val="1"/>
                <w:color w:val="FFFFFF"/>
              </w:rPr>
              <w:t>Maximum</w:t>
            </w:r>
          </w:p>
        </w:tc>
        <w:tc>
          <w:tcPr>
            <w:tcW w:w="1000" w:type="dxa"/>
            <w:vAlign w:val="bottom"/>
            <w:shd w:val="clear" w:color="auto" w:fill="0067B3"/>
          </w:tcPr>
          <w:p>
            <w:pPr>
              <w:jc w:val="right"/>
              <w:ind w:right="55"/>
              <w:spacing w:after="0" w:line="175" w:lineRule="exact"/>
              <w:rPr>
                <w:sz w:val="20"/>
                <w:szCs w:val="20"/>
                <w:color w:val="auto"/>
              </w:rPr>
            </w:pPr>
            <w:r>
              <w:rPr>
                <w:rFonts w:ascii="Arial" w:cs="Arial" w:eastAsia="Arial" w:hAnsi="Arial"/>
                <w:sz w:val="16"/>
                <w:szCs w:val="16"/>
                <w:b w:val="1"/>
                <w:bCs w:val="1"/>
                <w:color w:val="FFFFFF"/>
              </w:rPr>
              <w:t>Threshold</w:t>
            </w:r>
          </w:p>
        </w:tc>
        <w:tc>
          <w:tcPr>
            <w:tcW w:w="78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Target</w:t>
            </w:r>
          </w:p>
        </w:tc>
        <w:tc>
          <w:tcPr>
            <w:tcW w:w="84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Maximum</w:t>
            </w:r>
          </w:p>
        </w:tc>
        <w:tc>
          <w:tcPr>
            <w:tcW w:w="1460" w:type="dxa"/>
            <w:vAlign w:val="bottom"/>
            <w:shd w:val="clear" w:color="auto" w:fill="0067B3"/>
          </w:tcPr>
          <w:p>
            <w:pPr>
              <w:jc w:val="right"/>
              <w:ind w:right="35"/>
              <w:spacing w:after="0" w:line="175" w:lineRule="exact"/>
              <w:rPr>
                <w:sz w:val="20"/>
                <w:szCs w:val="20"/>
                <w:color w:val="auto"/>
              </w:rPr>
            </w:pPr>
            <w:r>
              <w:rPr>
                <w:rFonts w:ascii="Arial" w:cs="Arial" w:eastAsia="Arial" w:hAnsi="Arial"/>
                <w:sz w:val="16"/>
                <w:szCs w:val="16"/>
                <w:b w:val="1"/>
                <w:bCs w:val="1"/>
                <w:color w:val="FFFFFF"/>
              </w:rPr>
              <w:t>Shares of Stock</w:t>
            </w:r>
          </w:p>
        </w:tc>
        <w:tc>
          <w:tcPr>
            <w:tcW w:w="1300" w:type="dxa"/>
            <w:vAlign w:val="bottom"/>
            <w:gridSpan w:val="2"/>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244"/>
        </w:trPr>
        <w:tc>
          <w:tcPr>
            <w:tcW w:w="19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104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Grant Date</w:t>
            </w:r>
          </w:p>
        </w:tc>
        <w:tc>
          <w:tcPr>
            <w:tcW w:w="940" w:type="dxa"/>
            <w:vAlign w:val="bottom"/>
            <w:gridSpan w:val="2"/>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980" w:type="dxa"/>
            <w:vAlign w:val="bottom"/>
            <w:gridSpan w:val="2"/>
            <w:shd w:val="clear" w:color="auto" w:fill="0067B3"/>
          </w:tcPr>
          <w:p>
            <w:pPr>
              <w:jc w:val="right"/>
              <w:ind w:right="43"/>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w:t>
            </w: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or Units(#)</w:t>
            </w:r>
            <w:r>
              <w:rPr>
                <w:rFonts w:ascii="Arial" w:cs="Arial" w:eastAsia="Arial" w:hAnsi="Arial"/>
                <w:sz w:val="21"/>
                <w:szCs w:val="21"/>
                <w:b w:val="1"/>
                <w:bCs w:val="1"/>
                <w:color w:val="FFFFFF"/>
                <w:vertAlign w:val="superscript"/>
              </w:rPr>
              <w:t>(3)</w:t>
            </w:r>
          </w:p>
        </w:tc>
        <w:tc>
          <w:tcPr>
            <w:tcW w:w="1040" w:type="dxa"/>
            <w:vAlign w:val="bottom"/>
            <w:shd w:val="clear" w:color="auto" w:fill="0067B3"/>
          </w:tcPr>
          <w:p>
            <w:pPr>
              <w:spacing w:after="0"/>
              <w:rPr>
                <w:sz w:val="21"/>
                <w:szCs w:val="21"/>
                <w:color w:val="auto"/>
              </w:rPr>
            </w:pPr>
          </w:p>
        </w:tc>
        <w:tc>
          <w:tcPr>
            <w:tcW w:w="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39"/>
        </w:trPr>
        <w:tc>
          <w:tcPr>
            <w:tcW w:w="1960" w:type="dxa"/>
            <w:vAlign w:val="bottom"/>
            <w:shd w:val="clear" w:color="auto" w:fill="E2E6F4"/>
          </w:tcPr>
          <w:p>
            <w:pPr>
              <w:spacing w:after="0"/>
              <w:rPr>
                <w:sz w:val="20"/>
                <w:szCs w:val="20"/>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980" w:type="dxa"/>
            <w:vAlign w:val="bottom"/>
            <w:gridSpan w:val="2"/>
          </w:tcPr>
          <w:p>
            <w:pPr>
              <w:jc w:val="right"/>
              <w:ind w:right="103"/>
              <w:spacing w:after="0"/>
              <w:rPr>
                <w:sz w:val="20"/>
                <w:szCs w:val="20"/>
                <w:color w:val="auto"/>
              </w:rPr>
            </w:pPr>
            <w:r>
              <w:rPr>
                <w:rFonts w:ascii="Arial" w:cs="Arial" w:eastAsia="Arial" w:hAnsi="Arial"/>
                <w:sz w:val="18"/>
                <w:szCs w:val="18"/>
                <w:color w:val="auto"/>
              </w:rPr>
              <w:t>7,200,000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42,879</w:t>
            </w:r>
          </w:p>
        </w:tc>
        <w:tc>
          <w:tcPr>
            <w:tcW w:w="840" w:type="dxa"/>
            <w:vAlign w:val="bottom"/>
          </w:tcPr>
          <w:p>
            <w:pPr>
              <w:jc w:val="right"/>
              <w:spacing w:after="0"/>
              <w:rPr>
                <w:sz w:val="20"/>
                <w:szCs w:val="20"/>
                <w:color w:val="auto"/>
              </w:rPr>
            </w:pPr>
            <w:r>
              <w:rPr>
                <w:rFonts w:ascii="Arial" w:cs="Arial" w:eastAsia="Arial" w:hAnsi="Arial"/>
                <w:sz w:val="18"/>
                <w:szCs w:val="18"/>
                <w:color w:val="auto"/>
              </w:rPr>
              <w:t>85,758</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7,998,220</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3"/>
              <w:spacing w:after="0"/>
              <w:rPr>
                <w:sz w:val="20"/>
                <w:szCs w:val="20"/>
                <w:color w:val="auto"/>
              </w:rPr>
            </w:pPr>
            <w:r>
              <w:rPr>
                <w:rFonts w:ascii="Arial" w:cs="Arial" w:eastAsia="Arial" w:hAnsi="Arial"/>
                <w:sz w:val="18"/>
                <w:szCs w:val="18"/>
                <w:color w:val="auto"/>
              </w:rPr>
              <w:t>29,113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58,226</w:t>
            </w:r>
          </w:p>
        </w:tc>
        <w:tc>
          <w:tcPr>
            <w:tcW w:w="146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6,999,930</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4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40" w:type="dxa"/>
            <w:vAlign w:val="bottom"/>
            <w:shd w:val="clear" w:color="auto" w:fill="E2E6F4"/>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960" w:type="dxa"/>
            <w:vAlign w:val="bottom"/>
            <w:shd w:val="clear" w:color="auto" w:fill="E2E6F4"/>
          </w:tcPr>
          <w:p>
            <w:pPr>
              <w:spacing w:after="0"/>
              <w:rPr>
                <w:sz w:val="24"/>
                <w:szCs w:val="24"/>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26,572</w:t>
            </w:r>
          </w:p>
        </w:tc>
        <w:tc>
          <w:tcPr>
            <w:tcW w:w="1040" w:type="dxa"/>
            <w:vAlign w:val="bottom"/>
          </w:tcPr>
          <w:p>
            <w:pPr>
              <w:jc w:val="right"/>
              <w:spacing w:after="0"/>
              <w:rPr>
                <w:sz w:val="20"/>
                <w:szCs w:val="20"/>
                <w:color w:val="auto"/>
              </w:rPr>
            </w:pPr>
            <w:r>
              <w:rPr>
                <w:rFonts w:ascii="Arial" w:cs="Arial" w:eastAsia="Arial" w:hAnsi="Arial"/>
                <w:sz w:val="18"/>
                <w:szCs w:val="18"/>
                <w:color w:val="auto"/>
              </w:rPr>
              <w:t>4,999,522</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
        </w:trPr>
        <w:tc>
          <w:tcPr>
            <w:tcW w:w="1960" w:type="dxa"/>
            <w:vAlign w:val="bottom"/>
            <w:shd w:val="clear" w:color="auto" w:fill="E2E6F4"/>
          </w:tcPr>
          <w:p>
            <w:pPr>
              <w:spacing w:after="0"/>
              <w:rPr>
                <w:sz w:val="2"/>
                <w:szCs w:val="2"/>
                <w:color w:val="auto"/>
              </w:rPr>
            </w:pPr>
          </w:p>
        </w:tc>
        <w:tc>
          <w:tcPr>
            <w:tcW w:w="1040" w:type="dxa"/>
            <w:vAlign w:val="bottom"/>
            <w:shd w:val="clear" w:color="auto" w:fill="E2E6F4"/>
          </w:tcPr>
          <w:p>
            <w:pPr>
              <w:spacing w:after="0"/>
              <w:rPr>
                <w:sz w:val="2"/>
                <w:szCs w:val="2"/>
                <w:color w:val="auto"/>
              </w:rPr>
            </w:pPr>
          </w:p>
        </w:tc>
        <w:tc>
          <w:tcPr>
            <w:tcW w:w="900" w:type="dxa"/>
            <w:vAlign w:val="bottom"/>
            <w:shd w:val="clear" w:color="auto" w:fill="E2E6F4"/>
          </w:tcPr>
          <w:p>
            <w:pPr>
              <w:spacing w:after="0"/>
              <w:rPr>
                <w:sz w:val="2"/>
                <w:szCs w:val="2"/>
                <w:color w:val="auto"/>
              </w:rPr>
            </w:pPr>
          </w:p>
        </w:tc>
        <w:tc>
          <w:tcPr>
            <w:tcW w:w="40" w:type="dxa"/>
            <w:vAlign w:val="bottom"/>
            <w:shd w:val="clear" w:color="auto" w:fill="E2E6F4"/>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-650875</wp:posOffset>
            </wp:positionV>
            <wp:extent cx="5897880" cy="651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97880" cy="65151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-925195</wp:posOffset>
            </wp:positionV>
            <wp:extent cx="34715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tbl>
      <w:tblPr>
        <w:tblLayout w:type="fixed"/>
        <w:tblInd w:w="20" w:type="dxa"/>
        <w:tblCellMar>
          <w:top w:w="0" w:type="dxa"/>
          <w:left w:w="0" w:type="dxa"/>
          <w:bottom w:w="0" w:type="dxa"/>
          <w:right w:w="0" w:type="dxa"/>
        </w:tblCellMar>
      </w:tblPr>
      <w:tr>
        <w:trPr>
          <w:trHeight w:val="239"/>
        </w:trPr>
        <w:tc>
          <w:tcPr>
            <w:tcW w:w="206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875,000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2,625,000</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60" w:type="dxa"/>
            <w:vAlign w:val="bottom"/>
          </w:tcPr>
          <w:p>
            <w:pPr>
              <w:spacing w:after="0"/>
              <w:rPr>
                <w:sz w:val="20"/>
                <w:szCs w:val="20"/>
                <w:color w:val="auto"/>
              </w:rPr>
            </w:pPr>
            <w:r>
              <w:rPr>
                <w:rFonts w:ascii="Arial" w:cs="Arial" w:eastAsia="Arial" w:hAnsi="Arial"/>
                <w:sz w:val="18"/>
                <w:szCs w:val="18"/>
                <w:b w:val="1"/>
                <w:bCs w:val="1"/>
                <w:color w:val="0067B3"/>
              </w:rPr>
              <w:t>Prashanth Mahendra-</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4/3/2023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10,505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21,010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1,959,498</w:t>
            </w:r>
          </w:p>
        </w:tc>
      </w:tr>
      <w:tr>
        <w:trPr>
          <w:trHeight w:val="288"/>
        </w:trPr>
        <w:tc>
          <w:tcPr>
            <w:tcW w:w="2060" w:type="dxa"/>
            <w:vAlign w:val="bottom"/>
          </w:tcPr>
          <w:p>
            <w:pPr>
              <w:spacing w:after="0"/>
              <w:rPr>
                <w:sz w:val="20"/>
                <w:szCs w:val="20"/>
                <w:color w:val="auto"/>
              </w:rPr>
            </w:pPr>
            <w:r>
              <w:rPr>
                <w:rFonts w:ascii="Arial" w:cs="Arial" w:eastAsia="Arial" w:hAnsi="Arial"/>
                <w:sz w:val="18"/>
                <w:szCs w:val="18"/>
                <w:b w:val="1"/>
                <w:bCs w:val="1"/>
                <w:color w:val="0067B3"/>
              </w:rPr>
              <w:t>Rajah</w:t>
            </w:r>
            <w:r>
              <w:rPr>
                <w:rFonts w:ascii="Arial" w:cs="Arial" w:eastAsia="Arial" w:hAnsi="Arial"/>
                <w:sz w:val="23"/>
                <w:szCs w:val="23"/>
                <w:b w:val="1"/>
                <w:bCs w:val="1"/>
                <w:color w:val="0067B3"/>
                <w:vertAlign w:val="superscript"/>
              </w:rPr>
              <w:t>(6)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4/3/2023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6,987</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13,974</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1,679,954</w:t>
            </w:r>
          </w:p>
        </w:tc>
      </w:tr>
      <w:tr>
        <w:trPr>
          <w:trHeight w:val="239"/>
        </w:trPr>
        <w:tc>
          <w:tcPr>
            <w:tcW w:w="206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4/3/2023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10,416</w:t>
            </w:r>
          </w:p>
        </w:tc>
        <w:tc>
          <w:tcPr>
            <w:tcW w:w="1000" w:type="dxa"/>
            <w:vAlign w:val="bottom"/>
          </w:tcPr>
          <w:p>
            <w:pPr>
              <w:jc w:val="right"/>
              <w:spacing w:after="0"/>
              <w:rPr>
                <w:sz w:val="20"/>
                <w:szCs w:val="20"/>
                <w:color w:val="auto"/>
              </w:rPr>
            </w:pPr>
            <w:r>
              <w:rPr>
                <w:rFonts w:ascii="Arial" w:cs="Arial" w:eastAsia="Arial" w:hAnsi="Arial"/>
                <w:sz w:val="18"/>
                <w:szCs w:val="18"/>
                <w:color w:val="auto"/>
              </w:rPr>
              <w:t>1,959,770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14605</wp:posOffset>
            </wp:positionV>
            <wp:extent cx="5897880" cy="163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978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w:t>
      </w:r>
    </w:p>
    <w:p>
      <w:pPr>
        <w:spacing w:after="0" w:line="193" w:lineRule="exact"/>
        <w:rPr>
          <w:sz w:val="20"/>
          <w:szCs w:val="20"/>
          <w:color w:val="auto"/>
        </w:rPr>
      </w:pPr>
    </w:p>
    <w:p>
      <w:pPr>
        <w:sectPr>
          <w:pgSz w:w="11900" w:h="16838" w:orient="portrait"/>
          <w:cols w:equalWidth="0" w:num="2">
            <w:col w:w="10960" w:space="120"/>
            <w:col w:w="160"/>
          </w:cols>
          <w:pgMar w:left="320" w:top="131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960" w:type="dxa"/>
            <w:vAlign w:val="bottom"/>
            <w:shd w:val="clear" w:color="auto" w:fill="E2E6F4"/>
          </w:tcPr>
          <w:p>
            <w:pPr>
              <w:spacing w:after="0"/>
              <w:rPr>
                <w:sz w:val="22"/>
                <w:szCs w:val="22"/>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1,125,000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3,375,000</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1040" w:type="dxa"/>
            <w:vAlign w:val="bottom"/>
            <w:shd w:val="clear" w:color="auto" w:fill="E2E6F4"/>
          </w:tcPr>
          <w:p>
            <w:pPr>
              <w:jc w:val="right"/>
              <w:spacing w:after="0" w:line="193" w:lineRule="exact"/>
              <w:rPr>
                <w:sz w:val="20"/>
                <w:szCs w:val="20"/>
                <w:color w:val="auto"/>
              </w:rPr>
            </w:pPr>
            <w:r>
              <w:rPr>
                <w:rFonts w:ascii="Arial" w:cs="Arial" w:eastAsia="Arial" w:hAnsi="Arial"/>
                <w:sz w:val="18"/>
                <w:szCs w:val="18"/>
                <w:color w:val="auto"/>
              </w:rPr>
              <w:t>4/3/2023</w:t>
            </w:r>
          </w:p>
        </w:tc>
        <w:tc>
          <w:tcPr>
            <w:tcW w:w="900" w:type="dxa"/>
            <w:vAlign w:val="bottom"/>
            <w:shd w:val="clear" w:color="auto" w:fill="E2E6F4"/>
          </w:tcPr>
          <w:p>
            <w:pPr>
              <w:ind w:left="680"/>
              <w:spacing w:after="0" w:line="19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line="193" w:lineRule="exact"/>
              <w:rPr>
                <w:sz w:val="20"/>
                <w:szCs w:val="20"/>
                <w:color w:val="auto"/>
              </w:rPr>
            </w:pPr>
            <w:r>
              <w:rPr>
                <w:rFonts w:ascii="Arial" w:cs="Arial" w:eastAsia="Arial" w:hAnsi="Arial"/>
                <w:sz w:val="18"/>
                <w:szCs w:val="18"/>
                <w:color w:val="auto"/>
              </w:rPr>
              <w:t>—</w:t>
            </w:r>
          </w:p>
        </w:tc>
        <w:tc>
          <w:tcPr>
            <w:tcW w:w="72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193" w:lineRule="exact"/>
              <w:rPr>
                <w:sz w:val="20"/>
                <w:szCs w:val="20"/>
                <w:color w:val="auto"/>
              </w:rPr>
            </w:pPr>
            <w:r>
              <w:rPr>
                <w:rFonts w:ascii="Arial" w:cs="Arial" w:eastAsia="Arial" w:hAnsi="Arial"/>
                <w:sz w:val="18"/>
                <w:szCs w:val="18"/>
                <w:color w:val="auto"/>
              </w:rPr>
              <w:t>15,008</w:t>
            </w:r>
          </w:p>
        </w:tc>
        <w:tc>
          <w:tcPr>
            <w:tcW w:w="1120" w:type="dxa"/>
            <w:vAlign w:val="bottom"/>
          </w:tcPr>
          <w:p>
            <w:pPr>
              <w:jc w:val="right"/>
              <w:ind w:right="310"/>
              <w:spacing w:after="0" w:line="193" w:lineRule="exact"/>
              <w:rPr>
                <w:sz w:val="20"/>
                <w:szCs w:val="20"/>
                <w:color w:val="auto"/>
              </w:rPr>
            </w:pPr>
            <w:r>
              <w:rPr>
                <w:rFonts w:ascii="Arial" w:cs="Arial" w:eastAsia="Arial" w:hAnsi="Arial"/>
                <w:sz w:val="18"/>
                <w:szCs w:val="18"/>
                <w:color w:val="auto"/>
              </w:rPr>
              <w:t>30,016</w:t>
            </w:r>
          </w:p>
        </w:tc>
        <w:tc>
          <w:tcPr>
            <w:tcW w:w="1160" w:type="dxa"/>
            <w:vAlign w:val="bottom"/>
          </w:tcPr>
          <w:p>
            <w:pPr>
              <w:jc w:val="right"/>
              <w:ind w:right="110"/>
              <w:spacing w:after="0" w:line="19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3" w:lineRule="exact"/>
              <w:rPr>
                <w:sz w:val="20"/>
                <w:szCs w:val="20"/>
                <w:color w:val="auto"/>
              </w:rPr>
            </w:pPr>
            <w:r>
              <w:rPr>
                <w:rFonts w:ascii="Arial" w:cs="Arial" w:eastAsia="Arial" w:hAnsi="Arial"/>
                <w:sz w:val="18"/>
                <w:szCs w:val="18"/>
                <w:color w:val="auto"/>
              </w:rPr>
              <w:t>2,799,442</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9,982</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19,964</w:t>
            </w: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2,400,072</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4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40" w:type="dxa"/>
            <w:vAlign w:val="bottom"/>
            <w:shd w:val="clear" w:color="auto" w:fill="E2E6F4"/>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60" w:type="dxa"/>
            <w:vAlign w:val="bottom"/>
            <w:tcBorders>
              <w:bottom w:val="single" w:sz="8" w:color="E2E6F4"/>
            </w:tcBorders>
            <w:shd w:val="clear" w:color="auto" w:fill="E2E6F4"/>
          </w:tcPr>
          <w:p>
            <w:pPr>
              <w:spacing w:after="0"/>
              <w:rPr>
                <w:sz w:val="24"/>
                <w:szCs w:val="24"/>
                <w:color w:val="auto"/>
              </w:rPr>
            </w:pPr>
          </w:p>
        </w:tc>
        <w:tc>
          <w:tcPr>
            <w:tcW w:w="10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14,880</w:t>
            </w:r>
          </w:p>
        </w:tc>
        <w:tc>
          <w:tcPr>
            <w:tcW w:w="1060" w:type="dxa"/>
            <w:vAlign w:val="bottom"/>
          </w:tcPr>
          <w:p>
            <w:pPr>
              <w:jc w:val="right"/>
              <w:spacing w:after="0"/>
              <w:rPr>
                <w:sz w:val="20"/>
                <w:szCs w:val="20"/>
                <w:color w:val="auto"/>
              </w:rPr>
            </w:pPr>
            <w:r>
              <w:rPr>
                <w:rFonts w:ascii="Arial" w:cs="Arial" w:eastAsia="Arial" w:hAnsi="Arial"/>
                <w:sz w:val="18"/>
                <w:szCs w:val="18"/>
                <w:color w:val="auto"/>
              </w:rPr>
              <w:t>2,799,672</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812,500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2,437,500</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tcPr>
          <w:p>
            <w:pPr>
              <w:ind w:left="20"/>
              <w:spacing w:after="0"/>
              <w:rPr>
                <w:sz w:val="20"/>
                <w:szCs w:val="20"/>
                <w:color w:val="auto"/>
              </w:rPr>
            </w:pPr>
            <w:r>
              <w:rPr>
                <w:rFonts w:ascii="Arial" w:cs="Arial" w:eastAsia="Arial" w:hAnsi="Arial"/>
                <w:sz w:val="18"/>
                <w:szCs w:val="18"/>
                <w:b w:val="1"/>
                <w:bCs w:val="1"/>
                <w:color w:val="0067B3"/>
              </w:rPr>
              <w:t>Vivek Jain</w:t>
            </w:r>
          </w:p>
        </w:tc>
        <w:tc>
          <w:tcPr>
            <w:tcW w:w="1040" w:type="dxa"/>
            <w:vAlign w:val="bottom"/>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9,849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19,698</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1,837,134</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60" w:type="dxa"/>
            <w:vAlign w:val="bottom"/>
            <w:vMerge w:val="continue"/>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6,550</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13,100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1,574,882</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9,765</w:t>
            </w:r>
          </w:p>
        </w:tc>
        <w:tc>
          <w:tcPr>
            <w:tcW w:w="1060" w:type="dxa"/>
            <w:vAlign w:val="bottom"/>
          </w:tcPr>
          <w:p>
            <w:pPr>
              <w:jc w:val="right"/>
              <w:spacing w:after="0"/>
              <w:rPr>
                <w:sz w:val="20"/>
                <w:szCs w:val="20"/>
                <w:color w:val="auto"/>
              </w:rPr>
            </w:pPr>
            <w:r>
              <w:rPr>
                <w:rFonts w:ascii="Arial" w:cs="Arial" w:eastAsia="Arial" w:hAnsi="Arial"/>
                <w:sz w:val="18"/>
                <w:szCs w:val="18"/>
                <w:color w:val="auto"/>
              </w:rPr>
              <w:t>1,837,285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vMerge w:val="restart"/>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781,250</w:t>
            </w: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2,343,750</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60" w:type="dxa"/>
            <w:vAlign w:val="bottom"/>
            <w:shd w:val="clear" w:color="auto" w:fill="E2E6F4"/>
          </w:tcPr>
          <w:p>
            <w:pPr>
              <w:spacing w:after="0"/>
              <w:rPr>
                <w:sz w:val="20"/>
                <w:szCs w:val="20"/>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9,380</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18,760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1,749,651</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6,239</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12,478</w:t>
            </w: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1,500,105</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4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40" w:type="dxa"/>
            <w:vAlign w:val="bottom"/>
            <w:shd w:val="clear" w:color="auto" w:fill="E2E6F4"/>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60" w:type="dxa"/>
            <w:vAlign w:val="bottom"/>
            <w:tcBorders>
              <w:bottom w:val="single" w:sz="8" w:color="E2E6F4"/>
            </w:tcBorders>
            <w:shd w:val="clear" w:color="auto" w:fill="E2E6F4"/>
          </w:tcPr>
          <w:p>
            <w:pPr>
              <w:spacing w:after="0"/>
              <w:rPr>
                <w:sz w:val="24"/>
                <w:szCs w:val="24"/>
                <w:color w:val="auto"/>
              </w:rPr>
            </w:pPr>
          </w:p>
        </w:tc>
        <w:tc>
          <w:tcPr>
            <w:tcW w:w="10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4/3/2023</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9,300</w:t>
            </w:r>
          </w:p>
        </w:tc>
        <w:tc>
          <w:tcPr>
            <w:tcW w:w="1060" w:type="dxa"/>
            <w:vAlign w:val="bottom"/>
          </w:tcPr>
          <w:p>
            <w:pPr>
              <w:jc w:val="right"/>
              <w:spacing w:after="0"/>
              <w:rPr>
                <w:sz w:val="20"/>
                <w:szCs w:val="20"/>
                <w:color w:val="auto"/>
              </w:rPr>
            </w:pPr>
            <w:r>
              <w:rPr>
                <w:rFonts w:ascii="Arial" w:cs="Arial" w:eastAsia="Arial" w:hAnsi="Arial"/>
                <w:sz w:val="18"/>
                <w:szCs w:val="18"/>
                <w:color w:val="auto"/>
              </w:rPr>
              <w:t>1,749,795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
        </w:trPr>
        <w:tc>
          <w:tcPr>
            <w:tcW w:w="196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c>
          <w:tcPr>
            <w:tcW w:w="40" w:type="dxa"/>
            <w:vAlign w:val="bottom"/>
            <w:shd w:val="clear" w:color="auto" w:fill="0067B3"/>
          </w:tcPr>
          <w:p>
            <w:pPr>
              <w:spacing w:after="0" w:line="20" w:lineRule="exact"/>
              <w:rPr>
                <w:sz w:val="1"/>
                <w:szCs w:val="1"/>
                <w:color w:val="auto"/>
              </w:rPr>
            </w:pPr>
          </w:p>
        </w:tc>
        <w:tc>
          <w:tcPr>
            <w:tcW w:w="92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720" w:type="dxa"/>
            <w:vAlign w:val="bottom"/>
            <w:shd w:val="clear" w:color="auto" w:fill="0067B3"/>
          </w:tcPr>
          <w:p>
            <w:pPr>
              <w:spacing w:after="0" w:line="20" w:lineRule="exact"/>
              <w:rPr>
                <w:sz w:val="1"/>
                <w:szCs w:val="1"/>
                <w:color w:val="auto"/>
              </w:rPr>
            </w:pPr>
          </w:p>
        </w:tc>
        <w:tc>
          <w:tcPr>
            <w:tcW w:w="860" w:type="dxa"/>
            <w:vAlign w:val="bottom"/>
            <w:shd w:val="clear" w:color="auto" w:fill="0067B3"/>
          </w:tcPr>
          <w:p>
            <w:pPr>
              <w:spacing w:after="0" w:line="20" w:lineRule="exact"/>
              <w:rPr>
                <w:sz w:val="1"/>
                <w:szCs w:val="1"/>
                <w:color w:val="auto"/>
              </w:rPr>
            </w:pPr>
          </w:p>
        </w:tc>
        <w:tc>
          <w:tcPr>
            <w:tcW w:w="1120" w:type="dxa"/>
            <w:vAlign w:val="bottom"/>
            <w:shd w:val="clear" w:color="auto" w:fill="0067B3"/>
          </w:tcPr>
          <w:p>
            <w:pPr>
              <w:spacing w:after="0" w:line="20" w:lineRule="exact"/>
              <w:rPr>
                <w:sz w:val="1"/>
                <w:szCs w:val="1"/>
                <w:color w:val="auto"/>
              </w:rPr>
            </w:pPr>
          </w:p>
        </w:tc>
        <w:tc>
          <w:tcPr>
            <w:tcW w:w="1160" w:type="dxa"/>
            <w:vAlign w:val="bottom"/>
            <w:shd w:val="clear" w:color="auto" w:fill="0067B3"/>
          </w:tcPr>
          <w:p>
            <w:pPr>
              <w:spacing w:after="0" w:line="20" w:lineRule="exact"/>
              <w:rPr>
                <w:sz w:val="1"/>
                <w:szCs w:val="1"/>
                <w:color w:val="auto"/>
              </w:rPr>
            </w:pPr>
          </w:p>
        </w:tc>
        <w:tc>
          <w:tcPr>
            <w:tcW w:w="1060" w:type="dxa"/>
            <w:vAlign w:val="bottom"/>
            <w:shd w:val="clear" w:color="auto" w:fill="0067B3"/>
          </w:tcPr>
          <w:p>
            <w:pPr>
              <w:spacing w:after="0" w:line="20" w:lineRule="exact"/>
              <w:rPr>
                <w:sz w:val="1"/>
                <w:szCs w:val="1"/>
                <w:color w:val="auto"/>
              </w:rPr>
            </w:pPr>
          </w:p>
        </w:tc>
        <w:tc>
          <w:tcPr>
            <w:tcW w:w="2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-1799590</wp:posOffset>
            </wp:positionV>
            <wp:extent cx="5229225" cy="4883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29225" cy="48831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-659765</wp:posOffset>
            </wp:positionV>
            <wp:extent cx="5897880" cy="651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97880" cy="651510"/>
                    </a:xfrm>
                    <a:prstGeom prst="rect">
                      <a:avLst/>
                    </a:prstGeom>
                    <a:noFill/>
                  </pic:spPr>
                </pic:pic>
              </a:graphicData>
            </a:graphic>
          </wp:anchor>
        </w:drawing>
      </w:r>
    </w:p>
    <w:p>
      <w:pPr>
        <w:spacing w:after="0" w:line="155" w:lineRule="exact"/>
        <w:rPr>
          <w:sz w:val="20"/>
          <w:szCs w:val="20"/>
          <w:color w:val="auto"/>
        </w:rPr>
      </w:pPr>
    </w:p>
    <w:p>
      <w:pPr>
        <w:ind w:left="200" w:right="120" w:hanging="192"/>
        <w:spacing w:after="0" w:line="232" w:lineRule="auto"/>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The amounts shown for Messrs. Roche, Mahendra-Rajah, Bryant, and Jain and Ms. Sacks in the threshold, target, and maximum columns reflect the minimum, target, and maximum amounts payable under our executive performance incentive plan, respectively. Amounts in the maximum column above reflect 300% of the executive officer’s target variable cash incentive, which is the cap under the plan. The actual amounts earned in fiscal year 2023 are reflected in the S</w:t>
      </w:r>
      <w:r>
        <w:rPr>
          <w:rFonts w:ascii="Arial" w:cs="Arial" w:eastAsia="Arial" w:hAnsi="Arial"/>
          <w:sz w:val="16"/>
          <w:szCs w:val="16"/>
          <w:i w:val="1"/>
          <w:iCs w:val="1"/>
          <w:color w:val="auto"/>
        </w:rPr>
        <w:t>ummary Compensation Table</w:t>
      </w:r>
      <w:r>
        <w:rPr>
          <w:rFonts w:ascii="Arial" w:cs="Arial" w:eastAsia="Arial" w:hAnsi="Arial"/>
          <w:sz w:val="16"/>
          <w:szCs w:val="16"/>
          <w:color w:val="auto"/>
        </w:rPr>
        <w:t xml:space="preserve"> and were as follows:</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5360" w:type="dxa"/>
            <w:vAlign w:val="bottom"/>
            <w:shd w:val="clear" w:color="auto" w:fill="0067B3"/>
          </w:tcPr>
          <w:p>
            <w:pPr>
              <w:spacing w:after="0"/>
              <w:rPr>
                <w:sz w:val="16"/>
                <w:szCs w:val="16"/>
                <w:color w:val="auto"/>
              </w:rPr>
            </w:pPr>
          </w:p>
        </w:tc>
        <w:tc>
          <w:tcPr>
            <w:tcW w:w="54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Actual Payout under Non-Equity</w:t>
            </w:r>
          </w:p>
        </w:tc>
        <w:tc>
          <w:tcPr>
            <w:tcW w:w="0" w:type="dxa"/>
            <w:vAlign w:val="bottom"/>
          </w:tcPr>
          <w:p>
            <w:pPr>
              <w:spacing w:after="0"/>
              <w:rPr>
                <w:sz w:val="1"/>
                <w:szCs w:val="1"/>
                <w:color w:val="auto"/>
              </w:rPr>
            </w:pPr>
          </w:p>
        </w:tc>
      </w:tr>
      <w:tr>
        <w:trPr>
          <w:trHeight w:val="176"/>
        </w:trPr>
        <w:tc>
          <w:tcPr>
            <w:tcW w:w="536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54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Incentive Plans for Fiscal Year</w:t>
            </w:r>
          </w:p>
        </w:tc>
        <w:tc>
          <w:tcPr>
            <w:tcW w:w="0" w:type="dxa"/>
            <w:vAlign w:val="bottom"/>
          </w:tcPr>
          <w:p>
            <w:pPr>
              <w:spacing w:after="0"/>
              <w:rPr>
                <w:sz w:val="1"/>
                <w:szCs w:val="1"/>
                <w:color w:val="auto"/>
              </w:rPr>
            </w:pPr>
          </w:p>
        </w:tc>
      </w:tr>
      <w:tr>
        <w:trPr>
          <w:trHeight w:val="198"/>
        </w:trPr>
        <w:tc>
          <w:tcPr>
            <w:tcW w:w="5360" w:type="dxa"/>
            <w:vAlign w:val="bottom"/>
            <w:vMerge w:val="continue"/>
            <w:shd w:val="clear" w:color="auto" w:fill="0067B3"/>
          </w:tcPr>
          <w:p>
            <w:pPr>
              <w:spacing w:after="0"/>
              <w:rPr>
                <w:sz w:val="17"/>
                <w:szCs w:val="17"/>
                <w:color w:val="auto"/>
              </w:rPr>
            </w:pPr>
          </w:p>
        </w:tc>
        <w:tc>
          <w:tcPr>
            <w:tcW w:w="54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2023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54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$4,071,924</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5"/>
                <w:szCs w:val="15"/>
                <w:b w:val="1"/>
                <w:bCs w:val="1"/>
                <w:color w:val="0067B3"/>
              </w:rPr>
              <w:t>Prashanth Mahendra-Rajah</w:t>
            </w:r>
            <w:r>
              <w:rPr>
                <w:rFonts w:ascii="Arial" w:cs="Arial" w:eastAsia="Arial" w:hAnsi="Arial"/>
                <w:sz w:val="19"/>
                <w:szCs w:val="19"/>
                <w:b w:val="1"/>
                <w:bCs w:val="1"/>
                <w:color w:val="0067B3"/>
                <w:vertAlign w:val="superscript"/>
              </w:rPr>
              <w:t>(a)</w:t>
            </w:r>
          </w:p>
        </w:tc>
        <w:tc>
          <w:tcPr>
            <w:tcW w:w="5440" w:type="dxa"/>
            <w:vAlign w:val="bottom"/>
          </w:tcPr>
          <w:p>
            <w:pPr>
              <w:jc w:val="right"/>
              <w:spacing w:after="0"/>
              <w:rPr>
                <w:sz w:val="20"/>
                <w:szCs w:val="20"/>
                <w:color w:val="auto"/>
              </w:rPr>
            </w:pPr>
            <w:r>
              <w:rPr>
                <w:rFonts w:ascii="Arial" w:cs="Arial" w:eastAsia="Arial" w:hAnsi="Arial"/>
                <w:sz w:val="15"/>
                <w:szCs w:val="15"/>
                <w:color w:val="auto"/>
              </w:rPr>
              <w:t>$1,544,799</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54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$2,025,866</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5440" w:type="dxa"/>
            <w:vAlign w:val="bottom"/>
          </w:tcPr>
          <w:p>
            <w:pPr>
              <w:jc w:val="right"/>
              <w:spacing w:after="0"/>
              <w:rPr>
                <w:sz w:val="20"/>
                <w:szCs w:val="20"/>
                <w:color w:val="auto"/>
              </w:rPr>
            </w:pPr>
            <w:r>
              <w:rPr>
                <w:rFonts w:ascii="Arial" w:cs="Arial" w:eastAsia="Arial" w:hAnsi="Arial"/>
                <w:sz w:val="15"/>
                <w:szCs w:val="15"/>
                <w:color w:val="auto"/>
              </w:rPr>
              <w:t>$1,424,075</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54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$1,367,801</w:t>
            </w:r>
          </w:p>
        </w:tc>
        <w:tc>
          <w:tcPr>
            <w:tcW w:w="0" w:type="dxa"/>
            <w:vAlign w:val="bottom"/>
          </w:tcPr>
          <w:p>
            <w:pPr>
              <w:spacing w:after="0"/>
              <w:rPr>
                <w:sz w:val="1"/>
                <w:szCs w:val="1"/>
                <w:color w:val="auto"/>
              </w:rPr>
            </w:pPr>
          </w:p>
        </w:tc>
      </w:tr>
      <w:tr>
        <w:trPr>
          <w:trHeight w:val="20"/>
        </w:trPr>
        <w:tc>
          <w:tcPr>
            <w:tcW w:w="5360" w:type="dxa"/>
            <w:vAlign w:val="bottom"/>
            <w:shd w:val="clear" w:color="auto" w:fill="0067B3"/>
          </w:tcPr>
          <w:p>
            <w:pPr>
              <w:spacing w:after="0" w:line="20" w:lineRule="exact"/>
              <w:rPr>
                <w:sz w:val="1"/>
                <w:szCs w:val="1"/>
                <w:color w:val="auto"/>
              </w:rPr>
            </w:pPr>
          </w:p>
        </w:tc>
        <w:tc>
          <w:tcPr>
            <w:tcW w:w="544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hanging="218"/>
        <w:spacing w:after="0"/>
        <w:tabs>
          <w:tab w:leader="none" w:pos="420"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Compensation Discussion and Analysi</w:t>
      </w:r>
      <w:r>
        <w:rPr>
          <w:rFonts w:ascii="Arial" w:cs="Arial" w:eastAsia="Arial" w:hAnsi="Arial"/>
          <w:sz w:val="16"/>
          <w:szCs w:val="16"/>
          <w:color w:val="auto"/>
        </w:rPr>
        <w:t>s for a discussion of how these amounts were determined under our executive performance incentive plan.</w:t>
      </w:r>
    </w:p>
    <w:p>
      <w:pPr>
        <w:spacing w:after="0" w:line="57" w:lineRule="exact"/>
        <w:rPr>
          <w:sz w:val="20"/>
          <w:szCs w:val="20"/>
          <w:color w:val="auto"/>
        </w:rPr>
      </w:pPr>
    </w:p>
    <w:p>
      <w:pPr>
        <w:ind w:left="200" w:right="60" w:hanging="192"/>
        <w:spacing w:after="0" w:line="239" w:lineRule="auto"/>
        <w:tabs>
          <w:tab w:leader="none" w:pos="215" w:val="left"/>
        </w:tabs>
        <w:numPr>
          <w:ilvl w:val="0"/>
          <w:numId w:val="121"/>
        </w:numPr>
        <w:rPr>
          <w:rFonts w:ascii="Arial" w:cs="Arial" w:eastAsia="Arial" w:hAnsi="Arial"/>
          <w:sz w:val="21"/>
          <w:szCs w:val="21"/>
          <w:color w:val="auto"/>
          <w:vertAlign w:val="superscript"/>
        </w:rPr>
      </w:pPr>
      <w:r>
        <w:rPr>
          <w:rFonts w:ascii="Arial" w:cs="Arial" w:eastAsia="Arial" w:hAnsi="Arial"/>
          <w:sz w:val="16"/>
          <w:szCs w:val="16"/>
          <w:color w:val="auto"/>
        </w:rPr>
        <w:t>Represents PRSUs granted under our 2020 Plan. Our annual equity compensation program included two types of PRSUs for our executive officers: Relative TSR PRSUs and Financial Metric PRSUs. The number of Relative TSR PRSUs that executive officers may earn is based on our TSR performance relative to the TSR performance of other companies in a comparator index, currently the S&amp;P 500 Index as approved by the Compensation and Talent Committee, over a three-year performance period beginning on March 15, 2023 and ending on March 15, 2026. Target performance of our Relative TSR PRSUs is achieved when ADI’s TSR is at the 55th percentile of the TSRs of the companies in the S&amp;P 500 Index. The actual amount of our Relative TSR PRSUs earned can range from 0%-200% of the target amount, corresponding to the percentile attainment of ADI’s TSR as compared to the companies in the S&amp;P 500 Index. The Financial Metric PRSUs have a performance condition and a service condition, and vest, so long as the executive continues to be employed with us, after the applicable three-year performance period, on the third anniversary of March 15, 2023. The number of shares of the company’s common stock to be issued upon vesting of the Financial Metric PRSUs on the third anniversary of the grant date will range from 0% to 200% of the target amount, based on the company’s attainment of one-year, two-year cumulative and three-year cumulative non-GAAP operating profit dollar targets set by the Compensation and Talent Committee.</w:t>
      </w:r>
    </w:p>
    <w:p>
      <w:pPr>
        <w:spacing w:after="0" w:line="46" w:lineRule="exact"/>
        <w:rPr>
          <w:rFonts w:ascii="Arial" w:cs="Arial" w:eastAsia="Arial" w:hAnsi="Arial"/>
          <w:sz w:val="21"/>
          <w:szCs w:val="21"/>
          <w:color w:val="auto"/>
          <w:vertAlign w:val="superscript"/>
        </w:rPr>
      </w:pPr>
    </w:p>
    <w:p>
      <w:pPr>
        <w:ind w:left="200" w:right="260" w:hanging="192"/>
        <w:spacing w:after="0" w:line="227" w:lineRule="auto"/>
        <w:tabs>
          <w:tab w:leader="none" w:pos="215" w:val="left"/>
        </w:tabs>
        <w:numPr>
          <w:ilvl w:val="0"/>
          <w:numId w:val="121"/>
        </w:numPr>
        <w:rPr>
          <w:rFonts w:ascii="Arial" w:cs="Arial" w:eastAsia="Arial" w:hAnsi="Arial"/>
          <w:sz w:val="21"/>
          <w:szCs w:val="21"/>
          <w:color w:val="auto"/>
          <w:vertAlign w:val="superscript"/>
        </w:rPr>
      </w:pPr>
      <w:r>
        <w:rPr>
          <w:rFonts w:ascii="Arial" w:cs="Arial" w:eastAsia="Arial" w:hAnsi="Arial"/>
          <w:sz w:val="16"/>
          <w:szCs w:val="16"/>
          <w:color w:val="auto"/>
        </w:rPr>
        <w:t>Represents time-based RSUs granted under our 2020 Plan. The time-based RSUs vest, so long as the executive continues to be employed with us, in four equal installments on each of the first, second, third, and fourth anniversaries of March 15, 2023. Dividends are not payable on unvested RSUs.</w:t>
      </w:r>
    </w:p>
    <w:p>
      <w:pPr>
        <w:spacing w:after="0" w:line="31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83" w:name="page84"/>
    <w:bookmarkEnd w:id="83"/>
    <w:p>
      <w:pPr>
        <w:ind w:left="192" w:right="80" w:hanging="192"/>
        <w:spacing w:after="0" w:line="239" w:lineRule="auto"/>
        <w:tabs>
          <w:tab w:leader="none" w:pos="207"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to Messrs. Roche, Mahendra-Rajah, Bryant and Jain and Ms. Sacks on April 3, 2023 was $240.44. The grant date fair value per share of the Financial Metric PRSUs granted to Messrs. Roche, Mahendra-Rajah, Bryant and Jain and Ms. Sacks on April 3, 2023 was $186.53. The grant date fair value of Financial Metric PRSUs represents the value at the grant date based upon the probable outcome of the performance conditions at the date of grant.</w:t>
      </w:r>
    </w:p>
    <w:p>
      <w:pPr>
        <w:spacing w:after="0" w:line="48" w:lineRule="exact"/>
        <w:rPr>
          <w:rFonts w:ascii="Arial" w:cs="Arial" w:eastAsia="Arial" w:hAnsi="Arial"/>
          <w:sz w:val="21"/>
          <w:szCs w:val="21"/>
          <w:color w:val="auto"/>
          <w:vertAlign w:val="superscript"/>
        </w:rPr>
      </w:pPr>
    </w:p>
    <w:p>
      <w:pPr>
        <w:ind w:left="192" w:hanging="192"/>
        <w:spacing w:after="0" w:line="232" w:lineRule="auto"/>
        <w:tabs>
          <w:tab w:leader="none" w:pos="207"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The grant date fair value of the time-based RSUs is the value of our common stock on the date of grant, reduced by the present value of dividends expected to be paid on our common stock prior to vesting. For the grants of RSUs on April 3, 2023, the risk free rate was 3.52%, the dividend yield was 1.75% and the grant date fair value per share was $188.15.</w:t>
      </w:r>
    </w:p>
    <w:p>
      <w:pPr>
        <w:spacing w:after="0" w:line="29"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200" w:lineRule="exact"/>
        <w:rPr>
          <w:sz w:val="20"/>
          <w:szCs w:val="20"/>
          <w:color w:val="auto"/>
        </w:rPr>
      </w:pPr>
    </w:p>
    <w:p>
      <w:pPr>
        <w:spacing w:after="0" w:line="272" w:lineRule="exact"/>
        <w:rPr>
          <w:sz w:val="20"/>
          <w:szCs w:val="20"/>
          <w:color w:val="auto"/>
        </w:rPr>
      </w:pPr>
    </w:p>
    <w:p>
      <w:pPr>
        <w:ind w:left="472" w:hanging="454"/>
        <w:spacing w:after="0"/>
        <w:tabs>
          <w:tab w:leader="none" w:pos="472" w:val="left"/>
        </w:tabs>
        <w:numPr>
          <w:ilvl w:val="0"/>
          <w:numId w:val="12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65" w:right="359" w:bottom="1440" w:gutter="0" w:footer="0" w:header="0"/>
        </w:sectPr>
      </w:pPr>
    </w:p>
    <w:bookmarkStart w:id="84" w:name="page85"/>
    <w:bookmarkEnd w:id="84"/>
    <w:p>
      <w:pPr>
        <w:spacing w:after="0"/>
        <w:rPr>
          <w:sz w:val="20"/>
          <w:szCs w:val="20"/>
          <w:color w:val="auto"/>
        </w:rPr>
      </w:pPr>
      <w:r>
        <w:rPr>
          <w:rFonts w:ascii="Arial" w:cs="Arial" w:eastAsia="Arial" w:hAnsi="Arial"/>
          <w:sz w:val="32"/>
          <w:szCs w:val="32"/>
          <w:b w:val="1"/>
          <w:bCs w:val="1"/>
          <w:color w:val="auto"/>
        </w:rPr>
        <w:t>Outstanding Equity Awards at Fiscal Year-End 2023</w:t>
      </w:r>
    </w:p>
    <w:p>
      <w:pPr>
        <w:spacing w:after="0" w:line="15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RSUs and PRSUs for each of our NEOs as of October 28,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shd w:val="clear" w:color="auto" w:fill="0067B3"/>
          </w:tcPr>
          <w:p>
            <w:pPr>
              <w:spacing w:after="0"/>
              <w:rPr>
                <w:sz w:val="20"/>
                <w:szCs w:val="20"/>
                <w:color w:val="auto"/>
              </w:rPr>
            </w:pPr>
          </w:p>
        </w:tc>
        <w:tc>
          <w:tcPr>
            <w:tcW w:w="840" w:type="dxa"/>
            <w:vAlign w:val="bottom"/>
            <w:shd w:val="clear" w:color="auto" w:fill="0067B3"/>
          </w:tcPr>
          <w:p>
            <w:pPr>
              <w:spacing w:after="0"/>
              <w:rPr>
                <w:sz w:val="20"/>
                <w:szCs w:val="20"/>
                <w:color w:val="auto"/>
              </w:rPr>
            </w:pPr>
          </w:p>
        </w:tc>
        <w:tc>
          <w:tcPr>
            <w:tcW w:w="960" w:type="dxa"/>
            <w:vAlign w:val="bottom"/>
            <w:shd w:val="clear" w:color="auto" w:fill="0067B3"/>
          </w:tcPr>
          <w:p>
            <w:pPr>
              <w:spacing w:after="0"/>
              <w:rPr>
                <w:sz w:val="20"/>
                <w:szCs w:val="20"/>
                <w:color w:val="auto"/>
              </w:rPr>
            </w:pPr>
          </w:p>
        </w:tc>
        <w:tc>
          <w:tcPr>
            <w:tcW w:w="2220" w:type="dxa"/>
            <w:vAlign w:val="bottom"/>
            <w:gridSpan w:val="3"/>
            <w:shd w:val="clear" w:color="auto" w:fill="0067B3"/>
          </w:tcPr>
          <w:p>
            <w:pPr>
              <w:jc w:val="right"/>
              <w:ind w:right="140"/>
              <w:spacing w:after="0"/>
              <w:rPr>
                <w:sz w:val="20"/>
                <w:szCs w:val="20"/>
                <w:color w:val="auto"/>
              </w:rPr>
            </w:pPr>
            <w:r>
              <w:rPr>
                <w:rFonts w:ascii="Arial" w:cs="Arial" w:eastAsia="Arial" w:hAnsi="Arial"/>
                <w:sz w:val="15"/>
                <w:szCs w:val="15"/>
                <w:b w:val="1"/>
                <w:bCs w:val="1"/>
                <w:color w:val="FFFFFF"/>
              </w:rPr>
              <w:t>Option Awards</w:t>
            </w:r>
          </w:p>
        </w:tc>
        <w:tc>
          <w:tcPr>
            <w:tcW w:w="660" w:type="dxa"/>
            <w:vAlign w:val="bottom"/>
            <w:shd w:val="clear" w:color="auto" w:fill="0067B3"/>
          </w:tcPr>
          <w:p>
            <w:pPr>
              <w:spacing w:after="0"/>
              <w:rPr>
                <w:sz w:val="20"/>
                <w:szCs w:val="20"/>
                <w:color w:val="auto"/>
              </w:rPr>
            </w:pPr>
          </w:p>
        </w:tc>
        <w:tc>
          <w:tcPr>
            <w:tcW w:w="60" w:type="dxa"/>
            <w:vAlign w:val="bottom"/>
            <w:shd w:val="clear" w:color="auto" w:fill="0067B3"/>
          </w:tcPr>
          <w:p>
            <w:pPr>
              <w:spacing w:after="0"/>
              <w:rPr>
                <w:sz w:val="20"/>
                <w:szCs w:val="20"/>
                <w:color w:val="auto"/>
              </w:rPr>
            </w:pPr>
          </w:p>
        </w:tc>
        <w:tc>
          <w:tcPr>
            <w:tcW w:w="820" w:type="dxa"/>
            <w:vAlign w:val="bottom"/>
            <w:shd w:val="clear" w:color="auto" w:fill="0067B3"/>
          </w:tcPr>
          <w:p>
            <w:pPr>
              <w:spacing w:after="0"/>
              <w:rPr>
                <w:sz w:val="20"/>
                <w:szCs w:val="20"/>
                <w:color w:val="auto"/>
              </w:rPr>
            </w:pPr>
          </w:p>
        </w:tc>
        <w:tc>
          <w:tcPr>
            <w:tcW w:w="300" w:type="dxa"/>
            <w:vAlign w:val="bottom"/>
            <w:shd w:val="clear" w:color="auto" w:fill="0067B3"/>
          </w:tcPr>
          <w:p>
            <w:pPr>
              <w:spacing w:after="0"/>
              <w:rPr>
                <w:sz w:val="20"/>
                <w:szCs w:val="20"/>
                <w:color w:val="auto"/>
              </w:rPr>
            </w:pPr>
          </w:p>
        </w:tc>
        <w:tc>
          <w:tcPr>
            <w:tcW w:w="1020" w:type="dxa"/>
            <w:vAlign w:val="bottom"/>
            <w:shd w:val="clear" w:color="auto" w:fill="0067B3"/>
          </w:tcPr>
          <w:p>
            <w:pPr>
              <w:spacing w:after="0"/>
              <w:rPr>
                <w:sz w:val="20"/>
                <w:szCs w:val="20"/>
                <w:color w:val="auto"/>
              </w:rPr>
            </w:pPr>
          </w:p>
        </w:tc>
        <w:tc>
          <w:tcPr>
            <w:tcW w:w="2040" w:type="dxa"/>
            <w:vAlign w:val="bottom"/>
            <w:gridSpan w:val="2"/>
            <w:shd w:val="clear" w:color="auto" w:fill="0067B3"/>
          </w:tcPr>
          <w:p>
            <w:pPr>
              <w:jc w:val="right"/>
              <w:ind w:right="200"/>
              <w:spacing w:after="0"/>
              <w:rPr>
                <w:sz w:val="20"/>
                <w:szCs w:val="20"/>
                <w:color w:val="auto"/>
              </w:rPr>
            </w:pPr>
            <w:r>
              <w:rPr>
                <w:rFonts w:ascii="Arial" w:cs="Arial" w:eastAsia="Arial" w:hAnsi="Arial"/>
                <w:sz w:val="15"/>
                <w:szCs w:val="15"/>
                <w:b w:val="1"/>
                <w:bCs w:val="1"/>
                <w:color w:val="FFFFFF"/>
              </w:rPr>
              <w:t>Stock Awards</w:t>
            </w:r>
          </w:p>
        </w:tc>
        <w:tc>
          <w:tcPr>
            <w:tcW w:w="260" w:type="dxa"/>
            <w:vAlign w:val="bottom"/>
            <w:shd w:val="clear" w:color="auto" w:fill="0067B3"/>
          </w:tcPr>
          <w:p>
            <w:pPr>
              <w:spacing w:after="0"/>
              <w:rPr>
                <w:sz w:val="20"/>
                <w:szCs w:val="20"/>
                <w:color w:val="auto"/>
              </w:rPr>
            </w:pPr>
          </w:p>
        </w:tc>
        <w:tc>
          <w:tcPr>
            <w:tcW w:w="1180" w:type="dxa"/>
            <w:vAlign w:val="bottom"/>
            <w:shd w:val="clear" w:color="auto" w:fill="0067B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0067B3"/>
          </w:tcPr>
          <w:p>
            <w:pPr>
              <w:spacing w:after="0"/>
              <w:rPr>
                <w:sz w:val="19"/>
                <w:szCs w:val="19"/>
                <w:color w:val="auto"/>
              </w:rPr>
            </w:pPr>
          </w:p>
        </w:tc>
        <w:tc>
          <w:tcPr>
            <w:tcW w:w="840" w:type="dxa"/>
            <w:vAlign w:val="bottom"/>
            <w:shd w:val="clear" w:color="auto" w:fill="0067B3"/>
          </w:tcPr>
          <w:p>
            <w:pPr>
              <w:spacing w:after="0"/>
              <w:rPr>
                <w:sz w:val="19"/>
                <w:szCs w:val="19"/>
                <w:color w:val="auto"/>
              </w:rPr>
            </w:pPr>
          </w:p>
        </w:tc>
        <w:tc>
          <w:tcPr>
            <w:tcW w:w="96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Equity</w:t>
            </w:r>
          </w:p>
        </w:tc>
        <w:tc>
          <w:tcPr>
            <w:tcW w:w="660" w:type="dxa"/>
            <w:vAlign w:val="bottom"/>
            <w:shd w:val="clear" w:color="auto" w:fill="0067B3"/>
          </w:tcPr>
          <w:p>
            <w:pPr>
              <w:spacing w:after="0"/>
              <w:rPr>
                <w:sz w:val="19"/>
                <w:szCs w:val="19"/>
                <w:color w:val="auto"/>
              </w:rPr>
            </w:pPr>
          </w:p>
        </w:tc>
        <w:tc>
          <w:tcPr>
            <w:tcW w:w="60" w:type="dxa"/>
            <w:vAlign w:val="bottom"/>
            <w:shd w:val="clear" w:color="auto" w:fill="0067B3"/>
          </w:tcPr>
          <w:p>
            <w:pPr>
              <w:spacing w:after="0"/>
              <w:rPr>
                <w:sz w:val="19"/>
                <w:szCs w:val="19"/>
                <w:color w:val="auto"/>
              </w:rPr>
            </w:pPr>
          </w:p>
        </w:tc>
        <w:tc>
          <w:tcPr>
            <w:tcW w:w="820" w:type="dxa"/>
            <w:vAlign w:val="bottom"/>
            <w:shd w:val="clear" w:color="auto" w:fill="0067B3"/>
          </w:tcPr>
          <w:p>
            <w:pPr>
              <w:spacing w:after="0"/>
              <w:rPr>
                <w:sz w:val="19"/>
                <w:szCs w:val="19"/>
                <w:color w:val="auto"/>
              </w:rPr>
            </w:pPr>
          </w:p>
        </w:tc>
        <w:tc>
          <w:tcPr>
            <w:tcW w:w="300" w:type="dxa"/>
            <w:vAlign w:val="bottom"/>
            <w:shd w:val="clear" w:color="auto" w:fill="0067B3"/>
          </w:tcPr>
          <w:p>
            <w:pPr>
              <w:spacing w:after="0"/>
              <w:rPr>
                <w:sz w:val="19"/>
                <w:szCs w:val="19"/>
                <w:color w:val="auto"/>
              </w:rPr>
            </w:pPr>
          </w:p>
        </w:tc>
        <w:tc>
          <w:tcPr>
            <w:tcW w:w="1020" w:type="dxa"/>
            <w:vAlign w:val="bottom"/>
            <w:shd w:val="clear" w:color="auto" w:fill="0067B3"/>
          </w:tcPr>
          <w:p>
            <w:pPr>
              <w:spacing w:after="0"/>
              <w:rPr>
                <w:sz w:val="19"/>
                <w:szCs w:val="19"/>
                <w:color w:val="auto"/>
              </w:rPr>
            </w:pPr>
          </w:p>
        </w:tc>
        <w:tc>
          <w:tcPr>
            <w:tcW w:w="1000" w:type="dxa"/>
            <w:vAlign w:val="bottom"/>
            <w:shd w:val="clear" w:color="auto" w:fill="0067B3"/>
          </w:tcPr>
          <w:p>
            <w:pPr>
              <w:spacing w:after="0"/>
              <w:rPr>
                <w:sz w:val="19"/>
                <w:szCs w:val="19"/>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260" w:type="dxa"/>
            <w:vAlign w:val="bottom"/>
            <w:shd w:val="clear" w:color="auto" w:fill="0067B3"/>
          </w:tcPr>
          <w:p>
            <w:pPr>
              <w:spacing w:after="0"/>
              <w:rPr>
                <w:sz w:val="19"/>
                <w:szCs w:val="19"/>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4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Incentive</w:t>
            </w:r>
          </w:p>
        </w:tc>
        <w:tc>
          <w:tcPr>
            <w:tcW w:w="660" w:type="dxa"/>
            <w:vAlign w:val="bottom"/>
            <w:shd w:val="clear" w:color="auto" w:fill="0067B3"/>
          </w:tcPr>
          <w:p>
            <w:pPr>
              <w:spacing w:after="0"/>
              <w:rPr>
                <w:sz w:val="16"/>
                <w:szCs w:val="16"/>
                <w:color w:val="auto"/>
              </w:rPr>
            </w:pPr>
          </w:p>
        </w:tc>
        <w:tc>
          <w:tcPr>
            <w:tcW w:w="60" w:type="dxa"/>
            <w:vAlign w:val="bottom"/>
            <w:shd w:val="clear" w:color="auto" w:fill="0067B3"/>
          </w:tcPr>
          <w:p>
            <w:pPr>
              <w:spacing w:after="0"/>
              <w:rPr>
                <w:sz w:val="16"/>
                <w:szCs w:val="16"/>
                <w:color w:val="auto"/>
              </w:rPr>
            </w:pPr>
          </w:p>
        </w:tc>
        <w:tc>
          <w:tcPr>
            <w:tcW w:w="820" w:type="dxa"/>
            <w:vAlign w:val="bottom"/>
            <w:shd w:val="clear" w:color="auto" w:fill="0067B3"/>
          </w:tcPr>
          <w:p>
            <w:pPr>
              <w:spacing w:after="0"/>
              <w:rPr>
                <w:sz w:val="16"/>
                <w:szCs w:val="16"/>
                <w:color w:val="auto"/>
              </w:rPr>
            </w:pPr>
          </w:p>
        </w:tc>
        <w:tc>
          <w:tcPr>
            <w:tcW w:w="300" w:type="dxa"/>
            <w:vAlign w:val="bottom"/>
            <w:shd w:val="clear" w:color="auto" w:fill="0067B3"/>
          </w:tcPr>
          <w:p>
            <w:pPr>
              <w:spacing w:after="0"/>
              <w:rPr>
                <w:sz w:val="16"/>
                <w:szCs w:val="16"/>
                <w:color w:val="auto"/>
              </w:rPr>
            </w:pPr>
          </w:p>
        </w:tc>
        <w:tc>
          <w:tcPr>
            <w:tcW w:w="1020" w:type="dxa"/>
            <w:vAlign w:val="bottom"/>
            <w:shd w:val="clear" w:color="auto" w:fill="0067B3"/>
          </w:tcPr>
          <w:p>
            <w:pPr>
              <w:spacing w:after="0"/>
              <w:rPr>
                <w:sz w:val="16"/>
                <w:szCs w:val="16"/>
                <w:color w:val="auto"/>
              </w:rPr>
            </w:pPr>
          </w:p>
        </w:tc>
        <w:tc>
          <w:tcPr>
            <w:tcW w:w="100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26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0" w:type="dxa"/>
            <w:vAlign w:val="bottom"/>
          </w:tcPr>
          <w:p>
            <w:pPr>
              <w:spacing w:after="0"/>
              <w:rPr>
                <w:sz w:val="1"/>
                <w:szCs w:val="1"/>
                <w:color w:val="auto"/>
              </w:rPr>
            </w:pPr>
          </w:p>
        </w:tc>
      </w:tr>
      <w:tr>
        <w:trPr>
          <w:trHeight w:val="175"/>
        </w:trPr>
        <w:tc>
          <w:tcPr>
            <w:tcW w:w="880" w:type="dxa"/>
            <w:vAlign w:val="bottom"/>
            <w:shd w:val="clear" w:color="auto" w:fill="0067B3"/>
          </w:tcPr>
          <w:p>
            <w:pPr>
              <w:spacing w:after="0"/>
              <w:rPr>
                <w:sz w:val="15"/>
                <w:szCs w:val="15"/>
                <w:color w:val="auto"/>
              </w:rPr>
            </w:pPr>
          </w:p>
        </w:tc>
        <w:tc>
          <w:tcPr>
            <w:tcW w:w="84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200" w:type="dxa"/>
            <w:vAlign w:val="bottom"/>
            <w:shd w:val="clear" w:color="auto" w:fill="0067B3"/>
          </w:tcPr>
          <w:p>
            <w:pPr>
              <w:spacing w:after="0"/>
              <w:rPr>
                <w:sz w:val="15"/>
                <w:szCs w:val="15"/>
                <w:color w:val="auto"/>
              </w:rPr>
            </w:pP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Plan Awards:</w:t>
            </w:r>
          </w:p>
        </w:tc>
        <w:tc>
          <w:tcPr>
            <w:tcW w:w="660" w:type="dxa"/>
            <w:vAlign w:val="bottom"/>
            <w:shd w:val="clear" w:color="auto" w:fill="0067B3"/>
          </w:tcPr>
          <w:p>
            <w:pPr>
              <w:spacing w:after="0"/>
              <w:rPr>
                <w:sz w:val="15"/>
                <w:szCs w:val="15"/>
                <w:color w:val="auto"/>
              </w:rPr>
            </w:pPr>
          </w:p>
        </w:tc>
        <w:tc>
          <w:tcPr>
            <w:tcW w:w="60" w:type="dxa"/>
            <w:vAlign w:val="bottom"/>
            <w:shd w:val="clear" w:color="auto" w:fill="0067B3"/>
          </w:tcPr>
          <w:p>
            <w:pPr>
              <w:spacing w:after="0"/>
              <w:rPr>
                <w:sz w:val="15"/>
                <w:szCs w:val="15"/>
                <w:color w:val="auto"/>
              </w:rPr>
            </w:pPr>
          </w:p>
        </w:tc>
        <w:tc>
          <w:tcPr>
            <w:tcW w:w="820" w:type="dxa"/>
            <w:vAlign w:val="bottom"/>
            <w:shd w:val="clear" w:color="auto" w:fill="0067B3"/>
          </w:tcPr>
          <w:p>
            <w:pPr>
              <w:spacing w:after="0"/>
              <w:rPr>
                <w:sz w:val="15"/>
                <w:szCs w:val="15"/>
                <w:color w:val="auto"/>
              </w:rPr>
            </w:pPr>
          </w:p>
        </w:tc>
        <w:tc>
          <w:tcPr>
            <w:tcW w:w="300" w:type="dxa"/>
            <w:vAlign w:val="bottom"/>
            <w:shd w:val="clear" w:color="auto" w:fill="0067B3"/>
          </w:tcPr>
          <w:p>
            <w:pPr>
              <w:spacing w:after="0"/>
              <w:rPr>
                <w:sz w:val="15"/>
                <w:szCs w:val="15"/>
                <w:color w:val="auto"/>
              </w:rPr>
            </w:pPr>
          </w:p>
        </w:tc>
        <w:tc>
          <w:tcPr>
            <w:tcW w:w="1020" w:type="dxa"/>
            <w:vAlign w:val="bottom"/>
            <w:shd w:val="clear" w:color="auto" w:fill="0067B3"/>
          </w:tcPr>
          <w:p>
            <w:pPr>
              <w:spacing w:after="0"/>
              <w:rPr>
                <w:sz w:val="15"/>
                <w:szCs w:val="15"/>
                <w:color w:val="auto"/>
              </w:rPr>
            </w:pP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26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0" w:type="dxa"/>
            <w:vAlign w:val="bottom"/>
          </w:tcPr>
          <w:p>
            <w:pPr>
              <w:spacing w:after="0"/>
              <w:rPr>
                <w:sz w:val="1"/>
                <w:szCs w:val="1"/>
                <w:color w:val="auto"/>
              </w:rPr>
            </w:pPr>
          </w:p>
        </w:tc>
      </w:tr>
      <w:tr>
        <w:trPr>
          <w:trHeight w:val="176"/>
        </w:trPr>
        <w:tc>
          <w:tcPr>
            <w:tcW w:w="880" w:type="dxa"/>
            <w:vAlign w:val="bottom"/>
            <w:shd w:val="clear" w:color="auto" w:fill="0067B3"/>
          </w:tcPr>
          <w:p>
            <w:pPr>
              <w:spacing w:after="0"/>
              <w:rPr>
                <w:sz w:val="15"/>
                <w:szCs w:val="15"/>
                <w:color w:val="auto"/>
              </w:rPr>
            </w:pPr>
          </w:p>
        </w:tc>
        <w:tc>
          <w:tcPr>
            <w:tcW w:w="84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200" w:type="dxa"/>
            <w:vAlign w:val="bottom"/>
            <w:shd w:val="clear" w:color="auto" w:fill="0067B3"/>
          </w:tcPr>
          <w:p>
            <w:pPr>
              <w:spacing w:after="0"/>
              <w:rPr>
                <w:sz w:val="15"/>
                <w:szCs w:val="15"/>
                <w:color w:val="auto"/>
              </w:rPr>
            </w:pP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Number of</w:t>
            </w:r>
          </w:p>
        </w:tc>
        <w:tc>
          <w:tcPr>
            <w:tcW w:w="660" w:type="dxa"/>
            <w:vAlign w:val="bottom"/>
            <w:shd w:val="clear" w:color="auto" w:fill="0067B3"/>
          </w:tcPr>
          <w:p>
            <w:pPr>
              <w:spacing w:after="0"/>
              <w:rPr>
                <w:sz w:val="15"/>
                <w:szCs w:val="15"/>
                <w:color w:val="auto"/>
              </w:rPr>
            </w:pPr>
          </w:p>
        </w:tc>
        <w:tc>
          <w:tcPr>
            <w:tcW w:w="60" w:type="dxa"/>
            <w:vAlign w:val="bottom"/>
            <w:shd w:val="clear" w:color="auto" w:fill="0067B3"/>
          </w:tcPr>
          <w:p>
            <w:pPr>
              <w:spacing w:after="0"/>
              <w:rPr>
                <w:sz w:val="15"/>
                <w:szCs w:val="15"/>
                <w:color w:val="auto"/>
              </w:rPr>
            </w:pPr>
          </w:p>
        </w:tc>
        <w:tc>
          <w:tcPr>
            <w:tcW w:w="820" w:type="dxa"/>
            <w:vAlign w:val="bottom"/>
            <w:shd w:val="clear" w:color="auto" w:fill="0067B3"/>
          </w:tcPr>
          <w:p>
            <w:pPr>
              <w:spacing w:after="0"/>
              <w:rPr>
                <w:sz w:val="15"/>
                <w:szCs w:val="15"/>
                <w:color w:val="auto"/>
              </w:rPr>
            </w:pPr>
          </w:p>
        </w:tc>
        <w:tc>
          <w:tcPr>
            <w:tcW w:w="30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w:t>
            </w: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26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4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Securities</w:t>
            </w:r>
          </w:p>
        </w:tc>
        <w:tc>
          <w:tcPr>
            <w:tcW w:w="660" w:type="dxa"/>
            <w:vAlign w:val="bottom"/>
            <w:shd w:val="clear" w:color="auto" w:fill="0067B3"/>
          </w:tcPr>
          <w:p>
            <w:pPr>
              <w:spacing w:after="0"/>
              <w:rPr>
                <w:sz w:val="16"/>
                <w:szCs w:val="16"/>
                <w:color w:val="auto"/>
              </w:rPr>
            </w:pPr>
          </w:p>
        </w:tc>
        <w:tc>
          <w:tcPr>
            <w:tcW w:w="60" w:type="dxa"/>
            <w:vAlign w:val="bottom"/>
            <w:shd w:val="clear" w:color="auto" w:fill="0067B3"/>
          </w:tcPr>
          <w:p>
            <w:pPr>
              <w:spacing w:after="0"/>
              <w:rPr>
                <w:sz w:val="16"/>
                <w:szCs w:val="16"/>
                <w:color w:val="auto"/>
              </w:rPr>
            </w:pPr>
          </w:p>
        </w:tc>
        <w:tc>
          <w:tcPr>
            <w:tcW w:w="820" w:type="dxa"/>
            <w:vAlign w:val="bottom"/>
            <w:shd w:val="clear" w:color="auto" w:fill="0067B3"/>
          </w:tcPr>
          <w:p>
            <w:pPr>
              <w:spacing w:after="0"/>
              <w:rPr>
                <w:sz w:val="16"/>
                <w:szCs w:val="16"/>
                <w:color w:val="auto"/>
              </w:rPr>
            </w:pPr>
          </w:p>
        </w:tc>
        <w:tc>
          <w:tcPr>
            <w:tcW w:w="300" w:type="dxa"/>
            <w:vAlign w:val="bottom"/>
            <w:shd w:val="clear" w:color="auto" w:fill="0067B3"/>
          </w:tcPr>
          <w:p>
            <w:pPr>
              <w:spacing w:after="0"/>
              <w:rPr>
                <w:sz w:val="16"/>
                <w:szCs w:val="16"/>
                <w:color w:val="auto"/>
              </w:rPr>
            </w:pPr>
          </w:p>
        </w:tc>
        <w:tc>
          <w:tcPr>
            <w:tcW w:w="202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Market Value</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Unearned</w:t>
            </w:r>
          </w:p>
        </w:tc>
        <w:tc>
          <w:tcPr>
            <w:tcW w:w="26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Payout Value</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4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Underlying</w:t>
            </w:r>
          </w:p>
        </w:tc>
        <w:tc>
          <w:tcPr>
            <w:tcW w:w="660" w:type="dxa"/>
            <w:vAlign w:val="bottom"/>
            <w:shd w:val="clear" w:color="auto" w:fill="0067B3"/>
          </w:tcPr>
          <w:p>
            <w:pPr>
              <w:spacing w:after="0"/>
              <w:rPr>
                <w:sz w:val="16"/>
                <w:szCs w:val="16"/>
                <w:color w:val="auto"/>
              </w:rPr>
            </w:pPr>
          </w:p>
        </w:tc>
        <w:tc>
          <w:tcPr>
            <w:tcW w:w="60" w:type="dxa"/>
            <w:vAlign w:val="bottom"/>
            <w:shd w:val="clear" w:color="auto" w:fill="0067B3"/>
          </w:tcPr>
          <w:p>
            <w:pPr>
              <w:spacing w:after="0"/>
              <w:rPr>
                <w:sz w:val="16"/>
                <w:szCs w:val="16"/>
                <w:color w:val="auto"/>
              </w:rPr>
            </w:pPr>
          </w:p>
        </w:tc>
        <w:tc>
          <w:tcPr>
            <w:tcW w:w="820" w:type="dxa"/>
            <w:vAlign w:val="bottom"/>
            <w:shd w:val="clear" w:color="auto" w:fill="0067B3"/>
          </w:tcPr>
          <w:p>
            <w:pPr>
              <w:spacing w:after="0"/>
              <w:rPr>
                <w:sz w:val="16"/>
                <w:szCs w:val="16"/>
                <w:color w:val="auto"/>
              </w:rPr>
            </w:pPr>
          </w:p>
        </w:tc>
        <w:tc>
          <w:tcPr>
            <w:tcW w:w="30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Units/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or Shares, Units,</w:t>
            </w:r>
          </w:p>
        </w:tc>
        <w:tc>
          <w:tcPr>
            <w:tcW w:w="26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Unearned</w:t>
            </w:r>
          </w:p>
        </w:tc>
        <w:tc>
          <w:tcPr>
            <w:tcW w:w="0" w:type="dxa"/>
            <w:vAlign w:val="bottom"/>
          </w:tcPr>
          <w:p>
            <w:pPr>
              <w:spacing w:after="0"/>
              <w:rPr>
                <w:sz w:val="1"/>
                <w:szCs w:val="1"/>
                <w:color w:val="auto"/>
              </w:rPr>
            </w:pPr>
          </w:p>
        </w:tc>
      </w:tr>
      <w:tr>
        <w:trPr>
          <w:trHeight w:val="175"/>
        </w:trPr>
        <w:tc>
          <w:tcPr>
            <w:tcW w:w="880" w:type="dxa"/>
            <w:vAlign w:val="bottom"/>
            <w:shd w:val="clear" w:color="auto" w:fill="0067B3"/>
          </w:tcPr>
          <w:p>
            <w:pPr>
              <w:spacing w:after="0"/>
              <w:rPr>
                <w:sz w:val="15"/>
                <w:szCs w:val="15"/>
                <w:color w:val="auto"/>
              </w:rPr>
            </w:pPr>
          </w:p>
        </w:tc>
        <w:tc>
          <w:tcPr>
            <w:tcW w:w="84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Unexercised</w:t>
            </w:r>
          </w:p>
        </w:tc>
        <w:tc>
          <w:tcPr>
            <w:tcW w:w="660" w:type="dxa"/>
            <w:vAlign w:val="bottom"/>
            <w:shd w:val="clear" w:color="auto" w:fill="0067B3"/>
          </w:tcPr>
          <w:p>
            <w:pPr>
              <w:spacing w:after="0"/>
              <w:rPr>
                <w:sz w:val="15"/>
                <w:szCs w:val="15"/>
                <w:color w:val="auto"/>
              </w:rPr>
            </w:pPr>
          </w:p>
        </w:tc>
        <w:tc>
          <w:tcPr>
            <w:tcW w:w="60" w:type="dxa"/>
            <w:vAlign w:val="bottom"/>
            <w:shd w:val="clear" w:color="auto" w:fill="0067B3"/>
          </w:tcPr>
          <w:p>
            <w:pPr>
              <w:spacing w:after="0"/>
              <w:rPr>
                <w:sz w:val="15"/>
                <w:szCs w:val="15"/>
                <w:color w:val="auto"/>
              </w:rPr>
            </w:pPr>
          </w:p>
        </w:tc>
        <w:tc>
          <w:tcPr>
            <w:tcW w:w="820" w:type="dxa"/>
            <w:vAlign w:val="bottom"/>
            <w:shd w:val="clear" w:color="auto" w:fill="0067B3"/>
          </w:tcPr>
          <w:p>
            <w:pPr>
              <w:spacing w:after="0"/>
              <w:rPr>
                <w:sz w:val="15"/>
                <w:szCs w:val="15"/>
                <w:color w:val="auto"/>
              </w:rPr>
            </w:pPr>
          </w:p>
        </w:tc>
        <w:tc>
          <w:tcPr>
            <w:tcW w:w="300" w:type="dxa"/>
            <w:vAlign w:val="bottom"/>
            <w:shd w:val="clear" w:color="auto" w:fill="0067B3"/>
          </w:tcPr>
          <w:p>
            <w:pPr>
              <w:spacing w:after="0"/>
              <w:rPr>
                <w:sz w:val="15"/>
                <w:szCs w:val="15"/>
                <w:color w:val="auto"/>
              </w:rPr>
            </w:pPr>
          </w:p>
        </w:tc>
        <w:tc>
          <w:tcPr>
            <w:tcW w:w="202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Awards of Units/Awards</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w:t>
            </w:r>
          </w:p>
        </w:tc>
        <w:tc>
          <w:tcPr>
            <w:tcW w:w="26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Shares, Units</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4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0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Unearned</w:t>
            </w:r>
          </w:p>
        </w:tc>
        <w:tc>
          <w:tcPr>
            <w:tcW w:w="720" w:type="dxa"/>
            <w:vAlign w:val="bottom"/>
            <w:gridSpan w:val="2"/>
            <w:shd w:val="clear" w:color="auto" w:fill="0067B3"/>
          </w:tcPr>
          <w:p>
            <w:pPr>
              <w:jc w:val="right"/>
              <w:ind w:right="60"/>
              <w:spacing w:after="0"/>
              <w:rPr>
                <w:sz w:val="20"/>
                <w:szCs w:val="20"/>
                <w:color w:val="auto"/>
              </w:rPr>
            </w:pPr>
            <w:r>
              <w:rPr>
                <w:rFonts w:ascii="Arial" w:cs="Arial" w:eastAsia="Arial" w:hAnsi="Arial"/>
                <w:sz w:val="15"/>
                <w:szCs w:val="15"/>
                <w:b w:val="1"/>
                <w:bCs w:val="1"/>
                <w:color w:val="FFFFFF"/>
              </w:rPr>
              <w:t>Option</w:t>
            </w:r>
          </w:p>
        </w:tc>
        <w:tc>
          <w:tcPr>
            <w:tcW w:w="8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w:t>
            </w:r>
          </w:p>
        </w:tc>
        <w:tc>
          <w:tcPr>
            <w:tcW w:w="300" w:type="dxa"/>
            <w:vAlign w:val="bottom"/>
            <w:shd w:val="clear" w:color="auto" w:fill="0067B3"/>
          </w:tcPr>
          <w:p>
            <w:pPr>
              <w:spacing w:after="0"/>
              <w:rPr>
                <w:sz w:val="16"/>
                <w:szCs w:val="16"/>
                <w:color w:val="auto"/>
              </w:rPr>
            </w:pPr>
          </w:p>
        </w:tc>
        <w:tc>
          <w:tcPr>
            <w:tcW w:w="202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Stock That of Stock That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Rights That</w:t>
            </w:r>
          </w:p>
        </w:tc>
        <w:tc>
          <w:tcPr>
            <w:tcW w:w="26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 Rights</w:t>
            </w:r>
          </w:p>
        </w:tc>
        <w:tc>
          <w:tcPr>
            <w:tcW w:w="0" w:type="dxa"/>
            <w:vAlign w:val="bottom"/>
          </w:tcPr>
          <w:p>
            <w:pPr>
              <w:spacing w:after="0"/>
              <w:rPr>
                <w:sz w:val="1"/>
                <w:szCs w:val="1"/>
                <w:color w:val="auto"/>
              </w:rPr>
            </w:pPr>
          </w:p>
        </w:tc>
      </w:tr>
      <w:tr>
        <w:trPr>
          <w:trHeight w:val="176"/>
        </w:trPr>
        <w:tc>
          <w:tcPr>
            <w:tcW w:w="880" w:type="dxa"/>
            <w:vAlign w:val="bottom"/>
            <w:shd w:val="clear" w:color="auto" w:fill="0067B3"/>
          </w:tcPr>
          <w:p>
            <w:pPr>
              <w:spacing w:after="0"/>
              <w:rPr>
                <w:sz w:val="15"/>
                <w:szCs w:val="15"/>
                <w:color w:val="auto"/>
              </w:rPr>
            </w:pPr>
          </w:p>
        </w:tc>
        <w:tc>
          <w:tcPr>
            <w:tcW w:w="84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740" w:type="dxa"/>
            <w:vAlign w:val="bottom"/>
            <w:gridSpan w:val="4"/>
            <w:shd w:val="clear" w:color="auto" w:fill="0067B3"/>
          </w:tcPr>
          <w:p>
            <w:pPr>
              <w:jc w:val="right"/>
              <w:ind w:right="60"/>
              <w:spacing w:after="0"/>
              <w:rPr>
                <w:sz w:val="20"/>
                <w:szCs w:val="20"/>
                <w:color w:val="auto"/>
              </w:rPr>
            </w:pPr>
            <w:r>
              <w:rPr>
                <w:rFonts w:ascii="Arial" w:cs="Arial" w:eastAsia="Arial" w:hAnsi="Arial"/>
                <w:sz w:val="15"/>
                <w:szCs w:val="15"/>
                <w:b w:val="1"/>
                <w:bCs w:val="1"/>
                <w:color w:val="FFFFFF"/>
              </w:rPr>
              <w:t>Options Exercise</w:t>
            </w:r>
          </w:p>
        </w:tc>
        <w:tc>
          <w:tcPr>
            <w:tcW w:w="8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Expiration</w:t>
            </w:r>
          </w:p>
        </w:tc>
        <w:tc>
          <w:tcPr>
            <w:tcW w:w="30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26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That Have Not</w:t>
            </w:r>
          </w:p>
        </w:tc>
        <w:tc>
          <w:tcPr>
            <w:tcW w:w="0" w:type="dxa"/>
            <w:vAlign w:val="bottom"/>
          </w:tcPr>
          <w:p>
            <w:pPr>
              <w:spacing w:after="0"/>
              <w:rPr>
                <w:sz w:val="1"/>
                <w:szCs w:val="1"/>
                <w:color w:val="auto"/>
              </w:rPr>
            </w:pPr>
          </w:p>
        </w:tc>
      </w:tr>
      <w:tr>
        <w:trPr>
          <w:trHeight w:val="235"/>
        </w:trPr>
        <w:tc>
          <w:tcPr>
            <w:tcW w:w="880" w:type="dxa"/>
            <w:vAlign w:val="bottom"/>
            <w:shd w:val="clear" w:color="auto" w:fill="0067B3"/>
          </w:tcPr>
          <w:p>
            <w:pPr>
              <w:ind w:left="20"/>
              <w:spacing w:after="0"/>
              <w:rPr>
                <w:sz w:val="20"/>
                <w:szCs w:val="20"/>
                <w:color w:val="auto"/>
              </w:rPr>
            </w:pPr>
            <w:r>
              <w:rPr>
                <w:rFonts w:ascii="Arial" w:cs="Arial" w:eastAsia="Arial" w:hAnsi="Arial"/>
                <w:sz w:val="15"/>
                <w:szCs w:val="15"/>
                <w:b w:val="1"/>
                <w:bCs w:val="1"/>
                <w:color w:val="FFFFFF"/>
              </w:rPr>
              <w:t>Name</w:t>
            </w:r>
          </w:p>
        </w:tc>
        <w:tc>
          <w:tcPr>
            <w:tcW w:w="8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Grant Date</w:t>
            </w:r>
          </w:p>
        </w:tc>
        <w:tc>
          <w:tcPr>
            <w:tcW w:w="216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Exercisable Unexercisable</w:t>
            </w:r>
            <w:r>
              <w:rPr>
                <w:rFonts w:ascii="Arial" w:cs="Arial" w:eastAsia="Arial" w:hAnsi="Arial"/>
                <w:sz w:val="19"/>
                <w:szCs w:val="19"/>
                <w:b w:val="1"/>
                <w:bCs w:val="1"/>
                <w:color w:val="FFFFFF"/>
                <w:vertAlign w:val="superscript"/>
              </w:rPr>
              <w:t>(1)</w:t>
            </w:r>
          </w:p>
        </w:tc>
        <w:tc>
          <w:tcPr>
            <w:tcW w:w="1020" w:type="dxa"/>
            <w:vAlign w:val="bottom"/>
            <w:gridSpan w:val="2"/>
            <w:shd w:val="clear" w:color="auto" w:fill="0067B3"/>
          </w:tcPr>
          <w:p>
            <w:pPr>
              <w:jc w:val="right"/>
              <w:ind w:right="20"/>
              <w:spacing w:after="0" w:line="235"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(2)</w:t>
            </w:r>
          </w:p>
        </w:tc>
        <w:tc>
          <w:tcPr>
            <w:tcW w:w="720" w:type="dxa"/>
            <w:vAlign w:val="bottom"/>
            <w:gridSpan w:val="2"/>
            <w:shd w:val="clear" w:color="auto" w:fill="0067B3"/>
          </w:tcPr>
          <w:p>
            <w:pPr>
              <w:jc w:val="right"/>
              <w:ind w:right="60"/>
              <w:spacing w:after="0"/>
              <w:rPr>
                <w:sz w:val="20"/>
                <w:szCs w:val="20"/>
                <w:color w:val="auto"/>
              </w:rPr>
            </w:pPr>
            <w:r>
              <w:rPr>
                <w:rFonts w:ascii="Arial" w:cs="Arial" w:eastAsia="Arial" w:hAnsi="Arial"/>
                <w:sz w:val="15"/>
                <w:szCs w:val="15"/>
                <w:b w:val="1"/>
                <w:bCs w:val="1"/>
                <w:color w:val="FFFFFF"/>
              </w:rPr>
              <w:t>Price ($)</w:t>
            </w:r>
          </w:p>
        </w:tc>
        <w:tc>
          <w:tcPr>
            <w:tcW w:w="8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Date</w:t>
            </w:r>
            <w:r>
              <w:rPr>
                <w:rFonts w:ascii="Arial" w:cs="Arial" w:eastAsia="Arial" w:hAnsi="Arial"/>
                <w:sz w:val="19"/>
                <w:szCs w:val="19"/>
                <w:b w:val="1"/>
                <w:bCs w:val="1"/>
                <w:color w:val="FFFFFF"/>
                <w:vertAlign w:val="superscript"/>
              </w:rPr>
              <w:t>(3)</w:t>
            </w:r>
          </w:p>
        </w:tc>
        <w:tc>
          <w:tcPr>
            <w:tcW w:w="300" w:type="dxa"/>
            <w:vAlign w:val="bottom"/>
            <w:shd w:val="clear" w:color="auto" w:fill="0067B3"/>
          </w:tcPr>
          <w:p>
            <w:pPr>
              <w:spacing w:after="0"/>
              <w:rPr>
                <w:sz w:val="20"/>
                <w:szCs w:val="20"/>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(4)</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(5)</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p>
        </w:tc>
        <w:tc>
          <w:tcPr>
            <w:tcW w:w="260" w:type="dxa"/>
            <w:vAlign w:val="bottom"/>
            <w:shd w:val="clear" w:color="auto" w:fill="0067B3"/>
          </w:tcPr>
          <w:p>
            <w:pPr>
              <w:spacing w:after="0"/>
              <w:rPr>
                <w:sz w:val="20"/>
                <w:szCs w:val="20"/>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p>
        </w:tc>
        <w:tc>
          <w:tcPr>
            <w:tcW w:w="0" w:type="dxa"/>
            <w:vAlign w:val="bottom"/>
          </w:tcPr>
          <w:p>
            <w:pPr>
              <w:spacing w:after="0"/>
              <w:rPr>
                <w:sz w:val="1"/>
                <w:szCs w:val="1"/>
                <w:color w:val="auto"/>
              </w:rPr>
            </w:pPr>
          </w:p>
        </w:tc>
      </w:tr>
      <w:tr>
        <w:trPr>
          <w:trHeight w:val="227"/>
        </w:trPr>
        <w:tc>
          <w:tcPr>
            <w:tcW w:w="880" w:type="dxa"/>
            <w:vAlign w:val="bottom"/>
            <w:shd w:val="clear" w:color="auto" w:fill="E2E6F4"/>
          </w:tcPr>
          <w:p>
            <w:pPr>
              <w:spacing w:after="0"/>
              <w:rPr>
                <w:sz w:val="19"/>
                <w:szCs w:val="19"/>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3/8/2017</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80,000</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2E6F4"/>
          </w:tcPr>
          <w:p>
            <w:pPr>
              <w:jc w:val="right"/>
              <w:ind w:right="60"/>
              <w:spacing w:after="0"/>
              <w:rPr>
                <w:sz w:val="20"/>
                <w:szCs w:val="20"/>
                <w:color w:val="auto"/>
              </w:rPr>
            </w:pPr>
            <w:r>
              <w:rPr>
                <w:rFonts w:ascii="Arial" w:cs="Arial" w:eastAsia="Arial" w:hAnsi="Arial"/>
                <w:sz w:val="16"/>
                <w:szCs w:val="16"/>
                <w:color w:val="auto"/>
              </w:rPr>
              <w:t>83.48</w:t>
            </w:r>
          </w:p>
        </w:tc>
        <w:tc>
          <w:tcPr>
            <w:tcW w:w="8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3/8/2027</w:t>
            </w:r>
          </w:p>
        </w:tc>
        <w:tc>
          <w:tcPr>
            <w:tcW w:w="300" w:type="dxa"/>
            <w:vAlign w:val="bottom"/>
            <w:shd w:val="clear" w:color="auto" w:fill="E2E6F4"/>
          </w:tcPr>
          <w:p>
            <w:pPr>
              <w:spacing w:after="0"/>
              <w:rPr>
                <w:sz w:val="19"/>
                <w:szCs w:val="19"/>
                <w:color w:val="auto"/>
              </w:rPr>
            </w:pP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6F4"/>
          </w:tcPr>
          <w:p>
            <w:pPr>
              <w:spacing w:after="0"/>
              <w:rPr>
                <w:sz w:val="19"/>
                <w:szCs w:val="19"/>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3/29/2018</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90,017</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2E6F4"/>
          </w:tcPr>
          <w:p>
            <w:pPr>
              <w:jc w:val="right"/>
              <w:ind w:right="60"/>
              <w:spacing w:after="0"/>
              <w:rPr>
                <w:sz w:val="20"/>
                <w:szCs w:val="20"/>
                <w:color w:val="auto"/>
              </w:rPr>
            </w:pPr>
            <w:r>
              <w:rPr>
                <w:rFonts w:ascii="Arial" w:cs="Arial" w:eastAsia="Arial" w:hAnsi="Arial"/>
                <w:sz w:val="16"/>
                <w:szCs w:val="16"/>
                <w:color w:val="auto"/>
              </w:rPr>
              <w:t>91.13</w:t>
            </w:r>
          </w:p>
        </w:tc>
        <w:tc>
          <w:tcPr>
            <w:tcW w:w="8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3/29/2028</w:t>
            </w:r>
          </w:p>
        </w:tc>
        <w:tc>
          <w:tcPr>
            <w:tcW w:w="300" w:type="dxa"/>
            <w:vAlign w:val="bottom"/>
            <w:shd w:val="clear" w:color="auto" w:fill="E2E6F4"/>
          </w:tcPr>
          <w:p>
            <w:pPr>
              <w:spacing w:after="0"/>
              <w:rPr>
                <w:sz w:val="21"/>
                <w:szCs w:val="21"/>
                <w:color w:val="auto"/>
              </w:rPr>
            </w:pP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100,803</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2E6F4"/>
          </w:tcPr>
          <w:p>
            <w:pPr>
              <w:jc w:val="right"/>
              <w:ind w:right="60"/>
              <w:spacing w:after="0"/>
              <w:rPr>
                <w:sz w:val="20"/>
                <w:szCs w:val="20"/>
                <w:color w:val="auto"/>
              </w:rPr>
            </w:pPr>
            <w:r>
              <w:rPr>
                <w:rFonts w:ascii="Arial" w:cs="Arial" w:eastAsia="Arial" w:hAnsi="Arial"/>
                <w:sz w:val="16"/>
                <w:szCs w:val="16"/>
                <w:color w:val="auto"/>
              </w:rPr>
              <w:t>108.08</w:t>
            </w:r>
          </w:p>
        </w:tc>
        <w:tc>
          <w:tcPr>
            <w:tcW w:w="8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3/13/2029</w:t>
            </w:r>
          </w:p>
        </w:tc>
        <w:tc>
          <w:tcPr>
            <w:tcW w:w="300" w:type="dxa"/>
            <w:vAlign w:val="bottom"/>
            <w:shd w:val="clear" w:color="auto" w:fill="E2E6F4"/>
          </w:tcPr>
          <w:p>
            <w:pPr>
              <w:spacing w:after="0"/>
              <w:rPr>
                <w:sz w:val="21"/>
                <w:szCs w:val="21"/>
                <w:color w:val="auto"/>
              </w:rPr>
            </w:pP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3/11/2020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134,620</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33,655</w:t>
            </w:r>
          </w:p>
        </w:tc>
        <w:tc>
          <w:tcPr>
            <w:tcW w:w="10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2E6F4"/>
          </w:tcPr>
          <w:p>
            <w:pPr>
              <w:jc w:val="right"/>
              <w:ind w:right="60"/>
              <w:spacing w:after="0"/>
              <w:rPr>
                <w:sz w:val="20"/>
                <w:szCs w:val="20"/>
                <w:color w:val="auto"/>
              </w:rPr>
            </w:pPr>
            <w:r>
              <w:rPr>
                <w:rFonts w:ascii="Arial" w:cs="Arial" w:eastAsia="Arial" w:hAnsi="Arial"/>
                <w:sz w:val="16"/>
                <w:szCs w:val="16"/>
                <w:color w:val="auto"/>
              </w:rPr>
              <w:t>94.41</w:t>
            </w:r>
          </w:p>
        </w:tc>
        <w:tc>
          <w:tcPr>
            <w:tcW w:w="8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3/11/2030</w:t>
            </w:r>
          </w:p>
        </w:tc>
        <w:tc>
          <w:tcPr>
            <w:tcW w:w="300" w:type="dxa"/>
            <w:vAlign w:val="bottom"/>
            <w:shd w:val="clear" w:color="auto" w:fill="E2E6F4"/>
          </w:tcPr>
          <w:p>
            <w:pPr>
              <w:spacing w:after="0"/>
              <w:rPr>
                <w:sz w:val="21"/>
                <w:szCs w:val="21"/>
                <w:color w:val="auto"/>
              </w:rPr>
            </w:pP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6,842</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1,098,620</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Vincent</w:t>
            </w: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w w:val="99"/>
              </w:rPr>
              <w:t>12/15/2020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308,200</w:t>
            </w:r>
          </w:p>
        </w:tc>
        <w:tc>
          <w:tcPr>
            <w:tcW w:w="40" w:type="dxa"/>
            <w:vAlign w:val="bottom"/>
            <w:shd w:val="clear" w:color="auto" w:fill="E2E6F4"/>
          </w:tcPr>
          <w:p>
            <w:pPr>
              <w:spacing w:after="0"/>
              <w:rPr>
                <w:sz w:val="20"/>
                <w:szCs w:val="20"/>
                <w:color w:val="auto"/>
              </w:rPr>
            </w:pPr>
          </w:p>
        </w:tc>
        <w:tc>
          <w:tcPr>
            <w:tcW w:w="1540" w:type="dxa"/>
            <w:vAlign w:val="bottom"/>
            <w:gridSpan w:val="3"/>
            <w:shd w:val="clear" w:color="auto" w:fill="E2E6F4"/>
          </w:tcPr>
          <w:p>
            <w:pPr>
              <w:jc w:val="right"/>
              <w:spacing w:after="0"/>
              <w:rPr>
                <w:sz w:val="20"/>
                <w:szCs w:val="20"/>
                <w:color w:val="auto"/>
              </w:rPr>
            </w:pPr>
            <w:r>
              <w:rPr>
                <w:rFonts w:ascii="Arial" w:cs="Arial" w:eastAsia="Arial" w:hAnsi="Arial"/>
                <w:sz w:val="16"/>
                <w:szCs w:val="16"/>
                <w:color w:val="auto"/>
              </w:rPr>
              <w:t>144.06 12/15/2030</w:t>
            </w:r>
          </w:p>
        </w:tc>
        <w:tc>
          <w:tcPr>
            <w:tcW w:w="300" w:type="dxa"/>
            <w:vAlign w:val="bottom"/>
            <w:shd w:val="clear" w:color="auto" w:fill="E2E6F4"/>
          </w:tcPr>
          <w:p>
            <w:pPr>
              <w:ind w:left="20"/>
              <w:spacing w:after="0"/>
              <w:rPr>
                <w:sz w:val="20"/>
                <w:szCs w:val="20"/>
                <w:color w:val="auto"/>
              </w:rPr>
            </w:pPr>
            <w:r>
              <w:rPr>
                <w:rFonts w:ascii="Arial" w:cs="Arial" w:eastAsia="Arial" w:hAnsi="Arial"/>
                <w:sz w:val="11"/>
                <w:szCs w:val="11"/>
                <w:color w:val="auto"/>
              </w:rPr>
              <w:t>(6)</w:t>
            </w: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6F4"/>
          </w:tcPr>
          <w:p>
            <w:pPr>
              <w:spacing w:after="0"/>
              <w:rPr>
                <w:sz w:val="20"/>
                <w:szCs w:val="20"/>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Roche</w:t>
            </w: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w w:val="99"/>
              </w:rPr>
              <w:t>12/15/2020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151,800</w:t>
            </w:r>
          </w:p>
        </w:tc>
        <w:tc>
          <w:tcPr>
            <w:tcW w:w="9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22"/>
                <w:szCs w:val="22"/>
                <w:color w:val="auto"/>
              </w:rPr>
            </w:pPr>
          </w:p>
        </w:tc>
        <w:tc>
          <w:tcPr>
            <w:tcW w:w="1540" w:type="dxa"/>
            <w:vAlign w:val="bottom"/>
            <w:gridSpan w:val="3"/>
            <w:shd w:val="clear" w:color="auto" w:fill="E2E6F4"/>
          </w:tcPr>
          <w:p>
            <w:pPr>
              <w:jc w:val="right"/>
              <w:spacing w:after="0"/>
              <w:rPr>
                <w:sz w:val="20"/>
                <w:szCs w:val="20"/>
                <w:color w:val="auto"/>
              </w:rPr>
            </w:pPr>
            <w:r>
              <w:rPr>
                <w:rFonts w:ascii="Arial" w:cs="Arial" w:eastAsia="Arial" w:hAnsi="Arial"/>
                <w:sz w:val="16"/>
                <w:szCs w:val="16"/>
                <w:color w:val="auto"/>
              </w:rPr>
              <w:t>144.06 12/15/2030</w:t>
            </w:r>
          </w:p>
        </w:tc>
        <w:tc>
          <w:tcPr>
            <w:tcW w:w="300" w:type="dxa"/>
            <w:vAlign w:val="bottom"/>
            <w:shd w:val="clear" w:color="auto" w:fill="E2E6F4"/>
          </w:tcPr>
          <w:p>
            <w:pPr>
              <w:ind w:left="20"/>
              <w:spacing w:after="0"/>
              <w:rPr>
                <w:sz w:val="20"/>
                <w:szCs w:val="20"/>
                <w:color w:val="auto"/>
              </w:rPr>
            </w:pPr>
            <w:r>
              <w:rPr>
                <w:rFonts w:ascii="Arial" w:cs="Arial" w:eastAsia="Arial" w:hAnsi="Arial"/>
                <w:sz w:val="11"/>
                <w:szCs w:val="11"/>
                <w:color w:val="auto"/>
              </w:rPr>
              <w:t>(6)</w:t>
            </w: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E2E6F4"/>
          </w:tcPr>
          <w:p>
            <w:pPr>
              <w:ind w:left="20"/>
              <w:spacing w:after="0"/>
              <w:rPr>
                <w:sz w:val="20"/>
                <w:szCs w:val="20"/>
                <w:color w:val="auto"/>
              </w:rPr>
            </w:pPr>
            <w:r>
              <w:rPr>
                <w:rFonts w:ascii="Arial" w:cs="Arial" w:eastAsia="Arial" w:hAnsi="Arial"/>
                <w:sz w:val="11"/>
                <w:szCs w:val="11"/>
                <w:color w:val="auto"/>
              </w:rPr>
              <w:t>(7),</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3"/>
        </w:trPr>
        <w:tc>
          <w:tcPr>
            <w:tcW w:w="880" w:type="dxa"/>
            <w:vAlign w:val="bottom"/>
            <w:shd w:val="clear" w:color="auto" w:fill="E2E6F4"/>
          </w:tcPr>
          <w:p>
            <w:pPr>
              <w:spacing w:after="0"/>
              <w:rPr>
                <w:sz w:val="9"/>
                <w:szCs w:val="9"/>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35,393</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35,393</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9"/>
                <w:szCs w:val="9"/>
                <w:color w:val="auto"/>
              </w:rPr>
            </w:pPr>
          </w:p>
        </w:tc>
        <w:tc>
          <w:tcPr>
            <w:tcW w:w="720" w:type="dxa"/>
            <w:vAlign w:val="bottom"/>
            <w:gridSpan w:val="2"/>
            <w:vMerge w:val="restart"/>
            <w:shd w:val="clear" w:color="auto" w:fill="E2E6F4"/>
          </w:tcPr>
          <w:p>
            <w:pPr>
              <w:jc w:val="right"/>
              <w:ind w:right="60"/>
              <w:spacing w:after="0"/>
              <w:rPr>
                <w:sz w:val="20"/>
                <w:szCs w:val="20"/>
                <w:color w:val="auto"/>
              </w:rPr>
            </w:pPr>
            <w:r>
              <w:rPr>
                <w:rFonts w:ascii="Arial" w:cs="Arial" w:eastAsia="Arial" w:hAnsi="Arial"/>
                <w:sz w:val="16"/>
                <w:szCs w:val="16"/>
                <w:color w:val="auto"/>
              </w:rPr>
              <w:t>147.11</w:t>
            </w: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3/10/2031</w:t>
            </w:r>
          </w:p>
        </w:tc>
        <w:tc>
          <w:tcPr>
            <w:tcW w:w="300" w:type="dxa"/>
            <w:vAlign w:val="bottom"/>
            <w:shd w:val="clear" w:color="auto" w:fill="E2E6F4"/>
          </w:tcPr>
          <w:p>
            <w:pPr>
              <w:spacing w:after="0"/>
              <w:rPr>
                <w:sz w:val="9"/>
                <w:szCs w:val="9"/>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9,681</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1,554,478</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38,722</w:t>
            </w:r>
          </w:p>
        </w:tc>
        <w:tc>
          <w:tcPr>
            <w:tcW w:w="260" w:type="dxa"/>
            <w:vAlign w:val="bottom"/>
            <w:vMerge w:val="continue"/>
            <w:shd w:val="clear" w:color="auto" w:fill="E2E6F4"/>
          </w:tcPr>
          <w:p>
            <w:pPr>
              <w:spacing w:after="0"/>
              <w:rPr>
                <w:sz w:val="9"/>
                <w:szCs w:val="9"/>
                <w:color w:val="auto"/>
              </w:rPr>
            </w:pP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6,217,592</w:t>
            </w:r>
          </w:p>
        </w:tc>
        <w:tc>
          <w:tcPr>
            <w:tcW w:w="0" w:type="dxa"/>
            <w:vAlign w:val="bottom"/>
          </w:tcPr>
          <w:p>
            <w:pPr>
              <w:spacing w:after="0"/>
              <w:rPr>
                <w:sz w:val="1"/>
                <w:szCs w:val="1"/>
                <w:color w:val="auto"/>
              </w:rPr>
            </w:pPr>
          </w:p>
        </w:tc>
      </w:tr>
      <w:tr>
        <w:trPr>
          <w:trHeight w:val="176"/>
        </w:trPr>
        <w:tc>
          <w:tcPr>
            <w:tcW w:w="880" w:type="dxa"/>
            <w:vAlign w:val="bottom"/>
            <w:shd w:val="clear" w:color="auto" w:fill="E2E6F4"/>
          </w:tcPr>
          <w:p>
            <w:pPr>
              <w:spacing w:after="0"/>
              <w:rPr>
                <w:sz w:val="15"/>
                <w:szCs w:val="15"/>
                <w:color w:val="auto"/>
              </w:rPr>
            </w:pPr>
          </w:p>
        </w:tc>
        <w:tc>
          <w:tcPr>
            <w:tcW w:w="840" w:type="dxa"/>
            <w:vAlign w:val="bottom"/>
            <w:vMerge w:val="continue"/>
            <w:shd w:val="clear" w:color="auto" w:fill="E2E6F4"/>
          </w:tcPr>
          <w:p>
            <w:pPr>
              <w:spacing w:after="0"/>
              <w:rPr>
                <w:sz w:val="15"/>
                <w:szCs w:val="15"/>
                <w:color w:val="auto"/>
              </w:rPr>
            </w:pPr>
          </w:p>
        </w:tc>
        <w:tc>
          <w:tcPr>
            <w:tcW w:w="960" w:type="dxa"/>
            <w:vAlign w:val="bottom"/>
            <w:vMerge w:val="continue"/>
            <w:shd w:val="clear" w:color="auto" w:fill="E2E6F4"/>
          </w:tcPr>
          <w:p>
            <w:pPr>
              <w:spacing w:after="0"/>
              <w:rPr>
                <w:sz w:val="15"/>
                <w:szCs w:val="15"/>
                <w:color w:val="auto"/>
              </w:rPr>
            </w:pPr>
          </w:p>
        </w:tc>
        <w:tc>
          <w:tcPr>
            <w:tcW w:w="1200" w:type="dxa"/>
            <w:vAlign w:val="bottom"/>
            <w:vMerge w:val="continue"/>
            <w:shd w:val="clear" w:color="auto" w:fill="E2E6F4"/>
          </w:tcPr>
          <w:p>
            <w:pPr>
              <w:spacing w:after="0"/>
              <w:rPr>
                <w:sz w:val="15"/>
                <w:szCs w:val="15"/>
                <w:color w:val="auto"/>
              </w:rPr>
            </w:pPr>
          </w:p>
        </w:tc>
        <w:tc>
          <w:tcPr>
            <w:tcW w:w="980" w:type="dxa"/>
            <w:vAlign w:val="bottom"/>
            <w:vMerge w:val="continue"/>
            <w:shd w:val="clear" w:color="auto" w:fill="E2E6F4"/>
          </w:tcPr>
          <w:p>
            <w:pPr>
              <w:spacing w:after="0"/>
              <w:rPr>
                <w:sz w:val="15"/>
                <w:szCs w:val="15"/>
                <w:color w:val="auto"/>
              </w:rPr>
            </w:pPr>
          </w:p>
        </w:tc>
        <w:tc>
          <w:tcPr>
            <w:tcW w:w="40" w:type="dxa"/>
            <w:vAlign w:val="bottom"/>
            <w:shd w:val="clear" w:color="auto" w:fill="E2E6F4"/>
          </w:tcPr>
          <w:p>
            <w:pPr>
              <w:spacing w:after="0"/>
              <w:rPr>
                <w:sz w:val="15"/>
                <w:szCs w:val="15"/>
                <w:color w:val="auto"/>
              </w:rPr>
            </w:pPr>
          </w:p>
        </w:tc>
        <w:tc>
          <w:tcPr>
            <w:tcW w:w="720" w:type="dxa"/>
            <w:vAlign w:val="bottom"/>
            <w:gridSpan w:val="2"/>
            <w:vMerge w:val="continue"/>
            <w:shd w:val="clear" w:color="auto" w:fill="E2E6F4"/>
          </w:tcPr>
          <w:p>
            <w:pPr>
              <w:spacing w:after="0"/>
              <w:rPr>
                <w:sz w:val="15"/>
                <w:szCs w:val="15"/>
                <w:color w:val="auto"/>
              </w:rPr>
            </w:pPr>
          </w:p>
        </w:tc>
        <w:tc>
          <w:tcPr>
            <w:tcW w:w="820" w:type="dxa"/>
            <w:vAlign w:val="bottom"/>
            <w:vMerge w:val="continue"/>
            <w:shd w:val="clear" w:color="auto" w:fill="E2E6F4"/>
          </w:tcPr>
          <w:p>
            <w:pPr>
              <w:spacing w:after="0"/>
              <w:rPr>
                <w:sz w:val="15"/>
                <w:szCs w:val="15"/>
                <w:color w:val="auto"/>
              </w:rPr>
            </w:pPr>
          </w:p>
        </w:tc>
        <w:tc>
          <w:tcPr>
            <w:tcW w:w="300" w:type="dxa"/>
            <w:vAlign w:val="bottom"/>
            <w:shd w:val="clear" w:color="auto" w:fill="E2E6F4"/>
          </w:tcPr>
          <w:p>
            <w:pPr>
              <w:spacing w:after="0"/>
              <w:rPr>
                <w:sz w:val="15"/>
                <w:szCs w:val="15"/>
                <w:color w:val="auto"/>
              </w:rPr>
            </w:pPr>
          </w:p>
        </w:tc>
        <w:tc>
          <w:tcPr>
            <w:tcW w:w="1020" w:type="dxa"/>
            <w:vAlign w:val="bottom"/>
            <w:vMerge w:val="continue"/>
            <w:shd w:val="clear" w:color="auto" w:fill="E2E6F4"/>
          </w:tcPr>
          <w:p>
            <w:pPr>
              <w:spacing w:after="0"/>
              <w:rPr>
                <w:sz w:val="15"/>
                <w:szCs w:val="15"/>
                <w:color w:val="auto"/>
              </w:rPr>
            </w:pPr>
          </w:p>
        </w:tc>
        <w:tc>
          <w:tcPr>
            <w:tcW w:w="1000" w:type="dxa"/>
            <w:vAlign w:val="bottom"/>
            <w:vMerge w:val="continue"/>
            <w:shd w:val="clear" w:color="auto" w:fill="E2E6F4"/>
          </w:tcPr>
          <w:p>
            <w:pPr>
              <w:spacing w:after="0"/>
              <w:rPr>
                <w:sz w:val="15"/>
                <w:szCs w:val="15"/>
                <w:color w:val="auto"/>
              </w:rPr>
            </w:pPr>
          </w:p>
        </w:tc>
        <w:tc>
          <w:tcPr>
            <w:tcW w:w="1040" w:type="dxa"/>
            <w:vAlign w:val="bottom"/>
            <w:vMerge w:val="continue"/>
            <w:shd w:val="clear" w:color="auto" w:fill="E2E6F4"/>
          </w:tcPr>
          <w:p>
            <w:pPr>
              <w:spacing w:after="0"/>
              <w:rPr>
                <w:sz w:val="15"/>
                <w:szCs w:val="15"/>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continue"/>
            <w:shd w:val="clear" w:color="auto" w:fill="E2E6F4"/>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E2E6F4"/>
          </w:tcPr>
          <w:p>
            <w:pPr>
              <w:spacing w:after="0"/>
              <w:rPr>
                <w:sz w:val="11"/>
                <w:szCs w:val="11"/>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11"/>
                <w:szCs w:val="11"/>
                <w:color w:val="auto"/>
              </w:rPr>
            </w:pPr>
          </w:p>
        </w:tc>
        <w:tc>
          <w:tcPr>
            <w:tcW w:w="6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2E6F4"/>
          </w:tcPr>
          <w:p>
            <w:pPr>
              <w:spacing w:after="0"/>
              <w:rPr>
                <w:sz w:val="11"/>
                <w:szCs w:val="11"/>
                <w:color w:val="auto"/>
              </w:rPr>
            </w:pP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1"/>
                <w:szCs w:val="11"/>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25,047</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4,021,797</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54,938</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8,821,395</w:t>
            </w:r>
          </w:p>
        </w:tc>
        <w:tc>
          <w:tcPr>
            <w:tcW w:w="0" w:type="dxa"/>
            <w:vAlign w:val="bottom"/>
          </w:tcPr>
          <w:p>
            <w:pPr>
              <w:spacing w:after="0"/>
              <w:rPr>
                <w:sz w:val="1"/>
                <w:szCs w:val="1"/>
                <w:color w:val="auto"/>
              </w:rPr>
            </w:pPr>
          </w:p>
        </w:tc>
      </w:tr>
      <w:tr>
        <w:trPr>
          <w:trHeight w:val="175"/>
        </w:trPr>
        <w:tc>
          <w:tcPr>
            <w:tcW w:w="880" w:type="dxa"/>
            <w:vAlign w:val="bottom"/>
            <w:shd w:val="clear" w:color="auto" w:fill="E2E6F4"/>
          </w:tcPr>
          <w:p>
            <w:pPr>
              <w:spacing w:after="0"/>
              <w:rPr>
                <w:sz w:val="15"/>
                <w:szCs w:val="15"/>
                <w:color w:val="auto"/>
              </w:rPr>
            </w:pPr>
          </w:p>
        </w:tc>
        <w:tc>
          <w:tcPr>
            <w:tcW w:w="840" w:type="dxa"/>
            <w:vAlign w:val="bottom"/>
            <w:vMerge w:val="continue"/>
            <w:shd w:val="clear" w:color="auto" w:fill="E2E6F4"/>
          </w:tcPr>
          <w:p>
            <w:pPr>
              <w:spacing w:after="0"/>
              <w:rPr>
                <w:sz w:val="15"/>
                <w:szCs w:val="15"/>
                <w:color w:val="auto"/>
              </w:rPr>
            </w:pPr>
          </w:p>
        </w:tc>
        <w:tc>
          <w:tcPr>
            <w:tcW w:w="960" w:type="dxa"/>
            <w:vAlign w:val="bottom"/>
            <w:vMerge w:val="continue"/>
            <w:shd w:val="clear" w:color="auto" w:fill="E2E6F4"/>
          </w:tcPr>
          <w:p>
            <w:pPr>
              <w:spacing w:after="0"/>
              <w:rPr>
                <w:sz w:val="15"/>
                <w:szCs w:val="15"/>
                <w:color w:val="auto"/>
              </w:rPr>
            </w:pPr>
          </w:p>
        </w:tc>
        <w:tc>
          <w:tcPr>
            <w:tcW w:w="1200" w:type="dxa"/>
            <w:vAlign w:val="bottom"/>
            <w:vMerge w:val="continue"/>
            <w:shd w:val="clear" w:color="auto" w:fill="E2E6F4"/>
          </w:tcPr>
          <w:p>
            <w:pPr>
              <w:spacing w:after="0"/>
              <w:rPr>
                <w:sz w:val="15"/>
                <w:szCs w:val="15"/>
                <w:color w:val="auto"/>
              </w:rPr>
            </w:pPr>
          </w:p>
        </w:tc>
        <w:tc>
          <w:tcPr>
            <w:tcW w:w="980" w:type="dxa"/>
            <w:vAlign w:val="bottom"/>
            <w:vMerge w:val="continue"/>
            <w:shd w:val="clear" w:color="auto" w:fill="E2E6F4"/>
          </w:tcPr>
          <w:p>
            <w:pPr>
              <w:spacing w:after="0"/>
              <w:rPr>
                <w:sz w:val="15"/>
                <w:szCs w:val="15"/>
                <w:color w:val="auto"/>
              </w:rPr>
            </w:pPr>
          </w:p>
        </w:tc>
        <w:tc>
          <w:tcPr>
            <w:tcW w:w="40" w:type="dxa"/>
            <w:vAlign w:val="bottom"/>
            <w:shd w:val="clear" w:color="auto" w:fill="E2E6F4"/>
          </w:tcPr>
          <w:p>
            <w:pPr>
              <w:spacing w:after="0"/>
              <w:rPr>
                <w:sz w:val="15"/>
                <w:szCs w:val="15"/>
                <w:color w:val="auto"/>
              </w:rPr>
            </w:pPr>
          </w:p>
        </w:tc>
        <w:tc>
          <w:tcPr>
            <w:tcW w:w="660" w:type="dxa"/>
            <w:vAlign w:val="bottom"/>
            <w:vMerge w:val="continue"/>
            <w:shd w:val="clear" w:color="auto" w:fill="E2E6F4"/>
          </w:tcPr>
          <w:p>
            <w:pPr>
              <w:spacing w:after="0"/>
              <w:rPr>
                <w:sz w:val="15"/>
                <w:szCs w:val="15"/>
                <w:color w:val="auto"/>
              </w:rPr>
            </w:pPr>
          </w:p>
        </w:tc>
        <w:tc>
          <w:tcPr>
            <w:tcW w:w="60" w:type="dxa"/>
            <w:vAlign w:val="bottom"/>
            <w:shd w:val="clear" w:color="auto" w:fill="E2E6F4"/>
          </w:tcPr>
          <w:p>
            <w:pPr>
              <w:spacing w:after="0"/>
              <w:rPr>
                <w:sz w:val="15"/>
                <w:szCs w:val="15"/>
                <w:color w:val="auto"/>
              </w:rPr>
            </w:pPr>
          </w:p>
        </w:tc>
        <w:tc>
          <w:tcPr>
            <w:tcW w:w="820" w:type="dxa"/>
            <w:vAlign w:val="bottom"/>
            <w:vMerge w:val="continue"/>
            <w:shd w:val="clear" w:color="auto" w:fill="E2E6F4"/>
          </w:tcPr>
          <w:p>
            <w:pPr>
              <w:spacing w:after="0"/>
              <w:rPr>
                <w:sz w:val="15"/>
                <w:szCs w:val="15"/>
                <w:color w:val="auto"/>
              </w:rPr>
            </w:pPr>
          </w:p>
        </w:tc>
        <w:tc>
          <w:tcPr>
            <w:tcW w:w="300" w:type="dxa"/>
            <w:vAlign w:val="bottom"/>
            <w:shd w:val="clear" w:color="auto" w:fill="E2E6F4"/>
          </w:tcPr>
          <w:p>
            <w:pPr>
              <w:spacing w:after="0"/>
              <w:rPr>
                <w:sz w:val="15"/>
                <w:szCs w:val="15"/>
                <w:color w:val="auto"/>
              </w:rPr>
            </w:pPr>
          </w:p>
        </w:tc>
        <w:tc>
          <w:tcPr>
            <w:tcW w:w="1020" w:type="dxa"/>
            <w:vAlign w:val="bottom"/>
            <w:vMerge w:val="continue"/>
            <w:shd w:val="clear" w:color="auto" w:fill="E2E6F4"/>
          </w:tcPr>
          <w:p>
            <w:pPr>
              <w:spacing w:after="0"/>
              <w:rPr>
                <w:sz w:val="15"/>
                <w:szCs w:val="15"/>
                <w:color w:val="auto"/>
              </w:rPr>
            </w:pPr>
          </w:p>
        </w:tc>
        <w:tc>
          <w:tcPr>
            <w:tcW w:w="1000" w:type="dxa"/>
            <w:vAlign w:val="bottom"/>
            <w:vMerge w:val="continue"/>
            <w:shd w:val="clear" w:color="auto" w:fill="E2E6F4"/>
          </w:tcPr>
          <w:p>
            <w:pPr>
              <w:spacing w:after="0"/>
              <w:rPr>
                <w:sz w:val="15"/>
                <w:szCs w:val="15"/>
                <w:color w:val="auto"/>
              </w:rPr>
            </w:pPr>
          </w:p>
        </w:tc>
        <w:tc>
          <w:tcPr>
            <w:tcW w:w="1040" w:type="dxa"/>
            <w:vAlign w:val="bottom"/>
            <w:vMerge w:val="continue"/>
            <w:shd w:val="clear" w:color="auto" w:fill="E2E6F4"/>
          </w:tcPr>
          <w:p>
            <w:pPr>
              <w:spacing w:after="0"/>
              <w:rPr>
                <w:sz w:val="15"/>
                <w:szCs w:val="15"/>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(9)</w:t>
            </w:r>
          </w:p>
        </w:tc>
        <w:tc>
          <w:tcPr>
            <w:tcW w:w="1180" w:type="dxa"/>
            <w:vAlign w:val="bottom"/>
            <w:vMerge w:val="continue"/>
            <w:shd w:val="clear" w:color="auto" w:fill="E2E6F4"/>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E2E6F4"/>
          </w:tcPr>
          <w:p>
            <w:pPr>
              <w:spacing w:after="0"/>
              <w:rPr>
                <w:sz w:val="11"/>
                <w:szCs w:val="11"/>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11"/>
                <w:szCs w:val="11"/>
                <w:color w:val="auto"/>
              </w:rPr>
            </w:pPr>
          </w:p>
        </w:tc>
        <w:tc>
          <w:tcPr>
            <w:tcW w:w="6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2E6F4"/>
          </w:tcPr>
          <w:p>
            <w:pPr>
              <w:spacing w:after="0"/>
              <w:rPr>
                <w:sz w:val="11"/>
                <w:szCs w:val="11"/>
                <w:color w:val="auto"/>
              </w:rPr>
            </w:pP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1"/>
                <w:szCs w:val="11"/>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26,572</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4,266,666</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71,992</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11,559,755</w:t>
            </w:r>
          </w:p>
        </w:tc>
        <w:tc>
          <w:tcPr>
            <w:tcW w:w="0" w:type="dxa"/>
            <w:vAlign w:val="bottom"/>
          </w:tcPr>
          <w:p>
            <w:pPr>
              <w:spacing w:after="0"/>
              <w:rPr>
                <w:sz w:val="1"/>
                <w:szCs w:val="1"/>
                <w:color w:val="auto"/>
              </w:rPr>
            </w:pPr>
          </w:p>
        </w:tc>
      </w:tr>
      <w:tr>
        <w:trPr>
          <w:trHeight w:val="213"/>
        </w:trPr>
        <w:tc>
          <w:tcPr>
            <w:tcW w:w="880" w:type="dxa"/>
            <w:vAlign w:val="bottom"/>
            <w:shd w:val="clear" w:color="auto" w:fill="E2E6F4"/>
          </w:tcPr>
          <w:p>
            <w:pPr>
              <w:spacing w:after="0"/>
              <w:rPr>
                <w:sz w:val="18"/>
                <w:szCs w:val="18"/>
                <w:color w:val="auto"/>
              </w:rPr>
            </w:pPr>
          </w:p>
        </w:tc>
        <w:tc>
          <w:tcPr>
            <w:tcW w:w="840" w:type="dxa"/>
            <w:vAlign w:val="bottom"/>
            <w:vMerge w:val="continue"/>
            <w:shd w:val="clear" w:color="auto" w:fill="E2E6F4"/>
          </w:tcPr>
          <w:p>
            <w:pPr>
              <w:spacing w:after="0"/>
              <w:rPr>
                <w:sz w:val="18"/>
                <w:szCs w:val="18"/>
                <w:color w:val="auto"/>
              </w:rPr>
            </w:pPr>
          </w:p>
        </w:tc>
        <w:tc>
          <w:tcPr>
            <w:tcW w:w="960" w:type="dxa"/>
            <w:vAlign w:val="bottom"/>
            <w:vMerge w:val="continue"/>
            <w:shd w:val="clear" w:color="auto" w:fill="E2E6F4"/>
          </w:tcPr>
          <w:p>
            <w:pPr>
              <w:spacing w:after="0"/>
              <w:rPr>
                <w:sz w:val="18"/>
                <w:szCs w:val="18"/>
                <w:color w:val="auto"/>
              </w:rPr>
            </w:pPr>
          </w:p>
        </w:tc>
        <w:tc>
          <w:tcPr>
            <w:tcW w:w="1200" w:type="dxa"/>
            <w:vAlign w:val="bottom"/>
            <w:vMerge w:val="continue"/>
            <w:shd w:val="clear" w:color="auto" w:fill="E2E6F4"/>
          </w:tcPr>
          <w:p>
            <w:pPr>
              <w:spacing w:after="0"/>
              <w:rPr>
                <w:sz w:val="18"/>
                <w:szCs w:val="18"/>
                <w:color w:val="auto"/>
              </w:rPr>
            </w:pPr>
          </w:p>
        </w:tc>
        <w:tc>
          <w:tcPr>
            <w:tcW w:w="980" w:type="dxa"/>
            <w:vAlign w:val="bottom"/>
            <w:vMerge w:val="continue"/>
            <w:shd w:val="clear" w:color="auto" w:fill="E2E6F4"/>
          </w:tcPr>
          <w:p>
            <w:pPr>
              <w:spacing w:after="0"/>
              <w:rPr>
                <w:sz w:val="18"/>
                <w:szCs w:val="18"/>
                <w:color w:val="auto"/>
              </w:rPr>
            </w:pPr>
          </w:p>
        </w:tc>
        <w:tc>
          <w:tcPr>
            <w:tcW w:w="40" w:type="dxa"/>
            <w:vAlign w:val="bottom"/>
            <w:shd w:val="clear" w:color="auto" w:fill="E2E6F4"/>
          </w:tcPr>
          <w:p>
            <w:pPr>
              <w:spacing w:after="0"/>
              <w:rPr>
                <w:sz w:val="18"/>
                <w:szCs w:val="18"/>
                <w:color w:val="auto"/>
              </w:rPr>
            </w:pPr>
          </w:p>
        </w:tc>
        <w:tc>
          <w:tcPr>
            <w:tcW w:w="660" w:type="dxa"/>
            <w:vAlign w:val="bottom"/>
            <w:vMerge w:val="continue"/>
            <w:shd w:val="clear" w:color="auto" w:fill="E2E6F4"/>
          </w:tcPr>
          <w:p>
            <w:pPr>
              <w:spacing w:after="0"/>
              <w:rPr>
                <w:sz w:val="18"/>
                <w:szCs w:val="18"/>
                <w:color w:val="auto"/>
              </w:rPr>
            </w:pPr>
          </w:p>
        </w:tc>
        <w:tc>
          <w:tcPr>
            <w:tcW w:w="60" w:type="dxa"/>
            <w:vAlign w:val="bottom"/>
            <w:shd w:val="clear" w:color="auto" w:fill="E2E6F4"/>
          </w:tcPr>
          <w:p>
            <w:pPr>
              <w:spacing w:after="0"/>
              <w:rPr>
                <w:sz w:val="18"/>
                <w:szCs w:val="18"/>
                <w:color w:val="auto"/>
              </w:rPr>
            </w:pPr>
          </w:p>
        </w:tc>
        <w:tc>
          <w:tcPr>
            <w:tcW w:w="820" w:type="dxa"/>
            <w:vAlign w:val="bottom"/>
            <w:vMerge w:val="continue"/>
            <w:shd w:val="clear" w:color="auto" w:fill="E2E6F4"/>
          </w:tcPr>
          <w:p>
            <w:pPr>
              <w:spacing w:after="0"/>
              <w:rPr>
                <w:sz w:val="18"/>
                <w:szCs w:val="18"/>
                <w:color w:val="auto"/>
              </w:rPr>
            </w:pPr>
          </w:p>
        </w:tc>
        <w:tc>
          <w:tcPr>
            <w:tcW w:w="300" w:type="dxa"/>
            <w:vAlign w:val="bottom"/>
            <w:shd w:val="clear" w:color="auto" w:fill="E2E6F4"/>
          </w:tcPr>
          <w:p>
            <w:pPr>
              <w:spacing w:after="0"/>
              <w:rPr>
                <w:sz w:val="18"/>
                <w:szCs w:val="18"/>
                <w:color w:val="auto"/>
              </w:rPr>
            </w:pPr>
          </w:p>
        </w:tc>
        <w:tc>
          <w:tcPr>
            <w:tcW w:w="1020" w:type="dxa"/>
            <w:vAlign w:val="bottom"/>
            <w:vMerge w:val="continue"/>
            <w:shd w:val="clear" w:color="auto" w:fill="E2E6F4"/>
          </w:tcPr>
          <w:p>
            <w:pPr>
              <w:spacing w:after="0"/>
              <w:rPr>
                <w:sz w:val="18"/>
                <w:szCs w:val="18"/>
                <w:color w:val="auto"/>
              </w:rPr>
            </w:pPr>
          </w:p>
        </w:tc>
        <w:tc>
          <w:tcPr>
            <w:tcW w:w="1000" w:type="dxa"/>
            <w:vAlign w:val="bottom"/>
            <w:vMerge w:val="continue"/>
            <w:shd w:val="clear" w:color="auto" w:fill="E2E6F4"/>
          </w:tcPr>
          <w:p>
            <w:pPr>
              <w:spacing w:after="0"/>
              <w:rPr>
                <w:sz w:val="18"/>
                <w:szCs w:val="18"/>
                <w:color w:val="auto"/>
              </w:rPr>
            </w:pPr>
          </w:p>
        </w:tc>
        <w:tc>
          <w:tcPr>
            <w:tcW w:w="1040" w:type="dxa"/>
            <w:vAlign w:val="bottom"/>
            <w:vMerge w:val="continue"/>
            <w:shd w:val="clear" w:color="auto" w:fill="E2E6F4"/>
          </w:tcPr>
          <w:p>
            <w:pPr>
              <w:spacing w:after="0"/>
              <w:rPr>
                <w:sz w:val="18"/>
                <w:szCs w:val="18"/>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(10)</w:t>
            </w:r>
          </w:p>
        </w:tc>
        <w:tc>
          <w:tcPr>
            <w:tcW w:w="1180" w:type="dxa"/>
            <w:vAlign w:val="bottom"/>
            <w:vMerge w:val="continue"/>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3/11/2020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8,751</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94.41</w:t>
            </w:r>
          </w:p>
        </w:tc>
        <w:tc>
          <w:tcPr>
            <w:tcW w:w="820" w:type="dxa"/>
            <w:vAlign w:val="bottom"/>
          </w:tcPr>
          <w:p>
            <w:pPr>
              <w:jc w:val="right"/>
              <w:spacing w:after="0"/>
              <w:rPr>
                <w:sz w:val="20"/>
                <w:szCs w:val="20"/>
                <w:color w:val="auto"/>
              </w:rPr>
            </w:pPr>
            <w:r>
              <w:rPr>
                <w:rFonts w:ascii="Arial" w:cs="Arial" w:eastAsia="Arial" w:hAnsi="Arial"/>
                <w:sz w:val="16"/>
                <w:szCs w:val="16"/>
                <w:color w:val="auto"/>
              </w:rPr>
              <w:t>1/28/2024</w:t>
            </w:r>
          </w:p>
        </w:tc>
        <w:tc>
          <w:tcPr>
            <w:tcW w:w="300" w:type="dxa"/>
            <w:vAlign w:val="bottom"/>
          </w:tcPr>
          <w:p>
            <w:pPr>
              <w:ind w:left="20"/>
              <w:spacing w:after="0"/>
              <w:rPr>
                <w:sz w:val="20"/>
                <w:szCs w:val="20"/>
                <w:color w:val="auto"/>
              </w:rPr>
            </w:pPr>
            <w:r>
              <w:rPr>
                <w:rFonts w:ascii="Arial" w:cs="Arial" w:eastAsia="Arial" w:hAnsi="Arial"/>
                <w:sz w:val="11"/>
                <w:szCs w:val="11"/>
                <w:color w:val="auto"/>
              </w:rPr>
              <w:t>(12)</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1,779</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285,654</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1"/>
                <w:szCs w:val="11"/>
                <w:color w:val="auto"/>
              </w:rPr>
              <w:t>(7),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3"/>
        </w:trPr>
        <w:tc>
          <w:tcPr>
            <w:tcW w:w="880" w:type="dxa"/>
            <w:vAlign w:val="bottom"/>
            <w:vMerge w:val="restart"/>
          </w:tcPr>
          <w:p>
            <w:pPr>
              <w:ind w:left="20"/>
              <w:spacing w:after="0"/>
              <w:rPr>
                <w:sz w:val="20"/>
                <w:szCs w:val="20"/>
                <w:color w:val="auto"/>
              </w:rPr>
            </w:pPr>
            <w:r>
              <w:rPr>
                <w:rFonts w:ascii="Arial" w:cs="Arial" w:eastAsia="Arial" w:hAnsi="Arial"/>
                <w:sz w:val="16"/>
                <w:szCs w:val="16"/>
                <w:b w:val="1"/>
                <w:bCs w:val="1"/>
                <w:color w:val="0067B3"/>
              </w:rPr>
              <w:t>Prashanth</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9,653</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9,653</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147.11</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1/28/2024</w:t>
            </w:r>
          </w:p>
        </w:tc>
        <w:tc>
          <w:tcPr>
            <w:tcW w:w="300" w:type="dxa"/>
            <w:vAlign w:val="bottom"/>
          </w:tcPr>
          <w:p>
            <w:pPr>
              <w:spacing w:after="0"/>
              <w:rPr>
                <w:sz w:val="9"/>
                <w:szCs w:val="9"/>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2,641</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424,065</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10,562</w:t>
            </w:r>
          </w:p>
        </w:tc>
        <w:tc>
          <w:tcPr>
            <w:tcW w:w="260" w:type="dxa"/>
            <w:vAlign w:val="bottom"/>
            <w:vMerge w:val="continue"/>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1,695,940</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ind w:left="20"/>
              <w:spacing w:after="0"/>
              <w:rPr>
                <w:sz w:val="20"/>
                <w:szCs w:val="20"/>
                <w:color w:val="auto"/>
              </w:rPr>
            </w:pPr>
            <w:r>
              <w:rPr>
                <w:rFonts w:ascii="Arial" w:cs="Arial" w:eastAsia="Arial" w:hAnsi="Arial"/>
                <w:sz w:val="11"/>
                <w:szCs w:val="11"/>
                <w:color w:val="auto"/>
              </w:rPr>
              <w:t>(12)</w:t>
            </w:r>
          </w:p>
        </w:tc>
        <w:tc>
          <w:tcPr>
            <w:tcW w:w="10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80" w:type="dxa"/>
            <w:vAlign w:val="bottom"/>
          </w:tcPr>
          <w:p>
            <w:pPr>
              <w:ind w:left="20"/>
              <w:spacing w:after="0" w:line="165" w:lineRule="exact"/>
              <w:rPr>
                <w:sz w:val="20"/>
                <w:szCs w:val="20"/>
                <w:color w:val="auto"/>
              </w:rPr>
            </w:pPr>
            <w:r>
              <w:rPr>
                <w:rFonts w:ascii="Arial" w:cs="Arial" w:eastAsia="Arial" w:hAnsi="Arial"/>
                <w:sz w:val="16"/>
                <w:szCs w:val="16"/>
                <w:b w:val="1"/>
                <w:bCs w:val="1"/>
                <w:color w:val="0067B3"/>
              </w:rPr>
              <w:t>Mahendra-</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9,184</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1,474,675</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20,145</w:t>
            </w:r>
          </w:p>
        </w:tc>
        <w:tc>
          <w:tcPr>
            <w:tcW w:w="260" w:type="dxa"/>
            <w:vAlign w:val="bottom"/>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3,234,683</w:t>
            </w:r>
          </w:p>
        </w:tc>
        <w:tc>
          <w:tcPr>
            <w:tcW w:w="0" w:type="dxa"/>
            <w:vAlign w:val="bottom"/>
          </w:tcPr>
          <w:p>
            <w:pPr>
              <w:spacing w:after="0"/>
              <w:rPr>
                <w:sz w:val="1"/>
                <w:szCs w:val="1"/>
                <w:color w:val="auto"/>
              </w:rPr>
            </w:pPr>
          </w:p>
        </w:tc>
      </w:tr>
      <w:tr>
        <w:trPr>
          <w:trHeight w:val="185"/>
        </w:trPr>
        <w:tc>
          <w:tcPr>
            <w:tcW w:w="880" w:type="dxa"/>
            <w:vAlign w:val="bottom"/>
          </w:tcPr>
          <w:p>
            <w:pPr>
              <w:ind w:left="20"/>
              <w:spacing w:after="0" w:line="186" w:lineRule="exact"/>
              <w:rPr>
                <w:sz w:val="20"/>
                <w:szCs w:val="20"/>
                <w:color w:val="auto"/>
              </w:rPr>
            </w:pPr>
            <w:r>
              <w:rPr>
                <w:rFonts w:ascii="Arial" w:cs="Arial" w:eastAsia="Arial" w:hAnsi="Arial"/>
                <w:sz w:val="16"/>
                <w:szCs w:val="16"/>
                <w:b w:val="1"/>
                <w:bCs w:val="1"/>
                <w:color w:val="0067B3"/>
              </w:rPr>
              <w:t>Rajah</w:t>
            </w:r>
            <w:r>
              <w:rPr>
                <w:rFonts w:ascii="Arial" w:cs="Arial" w:eastAsia="Arial" w:hAnsi="Arial"/>
                <w:sz w:val="21"/>
                <w:szCs w:val="21"/>
                <w:b w:val="1"/>
                <w:bCs w:val="1"/>
                <w:color w:val="0067B3"/>
                <w:vertAlign w:val="superscript"/>
              </w:rPr>
              <w:t>(11)</w:t>
            </w:r>
          </w:p>
        </w:tc>
        <w:tc>
          <w:tcPr>
            <w:tcW w:w="8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(9)</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8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0"/>
                <w:szCs w:val="10"/>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10,416</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1,672,497</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17,492</w:t>
            </w:r>
          </w:p>
        </w:tc>
        <w:tc>
          <w:tcPr>
            <w:tcW w:w="260" w:type="dxa"/>
            <w:vAlign w:val="bottom"/>
          </w:tcPr>
          <w:p>
            <w:pPr>
              <w:ind w:left="20"/>
              <w:spacing w:after="0" w:line="125" w:lineRule="exact"/>
              <w:rPr>
                <w:sz w:val="20"/>
                <w:szCs w:val="20"/>
                <w:color w:val="auto"/>
              </w:rPr>
            </w:pPr>
            <w:r>
              <w:rPr>
                <w:rFonts w:ascii="Arial" w:cs="Arial" w:eastAsia="Arial" w:hAnsi="Arial"/>
                <w:sz w:val="11"/>
                <w:szCs w:val="11"/>
                <w:color w:val="auto"/>
              </w:rPr>
              <w:t>(8),</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2,808,690</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(10)</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 w:type="dxa"/>
            <w:vAlign w:val="bottom"/>
            <w:shd w:val="clear" w:color="auto" w:fill="E2E6F4"/>
          </w:tcPr>
          <w:p>
            <w:pPr>
              <w:spacing w:after="0"/>
              <w:rPr>
                <w:sz w:val="18"/>
                <w:szCs w:val="18"/>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3/15/2022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8"/>
                <w:szCs w:val="18"/>
                <w:color w:val="auto"/>
              </w:rPr>
            </w:pPr>
          </w:p>
        </w:tc>
        <w:tc>
          <w:tcPr>
            <w:tcW w:w="102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61,308</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9,844,226</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160,092</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(13)</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25,705,972</w:t>
            </w:r>
          </w:p>
        </w:tc>
        <w:tc>
          <w:tcPr>
            <w:tcW w:w="0" w:type="dxa"/>
            <w:vAlign w:val="bottom"/>
          </w:tcPr>
          <w:p>
            <w:pPr>
              <w:spacing w:after="0"/>
              <w:rPr>
                <w:sz w:val="1"/>
                <w:szCs w:val="1"/>
                <w:color w:val="auto"/>
              </w:rPr>
            </w:pPr>
          </w:p>
        </w:tc>
      </w:tr>
      <w:tr>
        <w:trPr>
          <w:trHeight w:val="135"/>
        </w:trPr>
        <w:tc>
          <w:tcPr>
            <w:tcW w:w="88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4DA8"/>
              </w:rPr>
              <w:t>Gregory</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1"/>
                <w:szCs w:val="11"/>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12,524</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2,010,979</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27,469</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4,410,697</w:t>
            </w:r>
          </w:p>
        </w:tc>
        <w:tc>
          <w:tcPr>
            <w:tcW w:w="0" w:type="dxa"/>
            <w:vAlign w:val="bottom"/>
          </w:tcPr>
          <w:p>
            <w:pPr>
              <w:spacing w:after="0"/>
              <w:rPr>
                <w:sz w:val="1"/>
                <w:szCs w:val="1"/>
                <w:color w:val="auto"/>
              </w:rPr>
            </w:pPr>
          </w:p>
        </w:tc>
      </w:tr>
      <w:tr>
        <w:trPr>
          <w:trHeight w:val="78"/>
        </w:trPr>
        <w:tc>
          <w:tcPr>
            <w:tcW w:w="880" w:type="dxa"/>
            <w:vAlign w:val="bottom"/>
            <w:vMerge w:val="continue"/>
            <w:shd w:val="clear" w:color="auto" w:fill="E2E6F4"/>
          </w:tcPr>
          <w:p>
            <w:pPr>
              <w:spacing w:after="0"/>
              <w:rPr>
                <w:sz w:val="6"/>
                <w:szCs w:val="6"/>
                <w:color w:val="auto"/>
              </w:rPr>
            </w:pPr>
          </w:p>
        </w:tc>
        <w:tc>
          <w:tcPr>
            <w:tcW w:w="840" w:type="dxa"/>
            <w:vAlign w:val="bottom"/>
            <w:vMerge w:val="continue"/>
            <w:shd w:val="clear" w:color="auto" w:fill="E2E6F4"/>
          </w:tcPr>
          <w:p>
            <w:pPr>
              <w:spacing w:after="0"/>
              <w:rPr>
                <w:sz w:val="6"/>
                <w:szCs w:val="6"/>
                <w:color w:val="auto"/>
              </w:rPr>
            </w:pPr>
          </w:p>
        </w:tc>
        <w:tc>
          <w:tcPr>
            <w:tcW w:w="960" w:type="dxa"/>
            <w:vAlign w:val="bottom"/>
            <w:vMerge w:val="continue"/>
            <w:shd w:val="clear" w:color="auto" w:fill="E2E6F4"/>
          </w:tcPr>
          <w:p>
            <w:pPr>
              <w:spacing w:after="0"/>
              <w:rPr>
                <w:sz w:val="6"/>
                <w:szCs w:val="6"/>
                <w:color w:val="auto"/>
              </w:rPr>
            </w:pPr>
          </w:p>
        </w:tc>
        <w:tc>
          <w:tcPr>
            <w:tcW w:w="1200" w:type="dxa"/>
            <w:vAlign w:val="bottom"/>
            <w:vMerge w:val="continue"/>
            <w:shd w:val="clear" w:color="auto" w:fill="E2E6F4"/>
          </w:tcPr>
          <w:p>
            <w:pPr>
              <w:spacing w:after="0"/>
              <w:rPr>
                <w:sz w:val="6"/>
                <w:szCs w:val="6"/>
                <w:color w:val="auto"/>
              </w:rPr>
            </w:pPr>
          </w:p>
        </w:tc>
        <w:tc>
          <w:tcPr>
            <w:tcW w:w="1020" w:type="dxa"/>
            <w:vAlign w:val="bottom"/>
            <w:gridSpan w:val="2"/>
            <w:vMerge w:val="continue"/>
            <w:shd w:val="clear" w:color="auto" w:fill="E2E6F4"/>
          </w:tcPr>
          <w:p>
            <w:pPr>
              <w:spacing w:after="0"/>
              <w:rPr>
                <w:sz w:val="6"/>
                <w:szCs w:val="6"/>
                <w:color w:val="auto"/>
              </w:rPr>
            </w:pPr>
          </w:p>
        </w:tc>
        <w:tc>
          <w:tcPr>
            <w:tcW w:w="720" w:type="dxa"/>
            <w:vAlign w:val="bottom"/>
            <w:gridSpan w:val="2"/>
            <w:vMerge w:val="continue"/>
            <w:shd w:val="clear" w:color="auto" w:fill="E2E6F4"/>
          </w:tcPr>
          <w:p>
            <w:pPr>
              <w:spacing w:after="0"/>
              <w:rPr>
                <w:sz w:val="6"/>
                <w:szCs w:val="6"/>
                <w:color w:val="auto"/>
              </w:rPr>
            </w:pPr>
          </w:p>
        </w:tc>
        <w:tc>
          <w:tcPr>
            <w:tcW w:w="820" w:type="dxa"/>
            <w:vAlign w:val="bottom"/>
            <w:vMerge w:val="continue"/>
            <w:shd w:val="clear" w:color="auto" w:fill="E2E6F4"/>
          </w:tcPr>
          <w:p>
            <w:pPr>
              <w:spacing w:after="0"/>
              <w:rPr>
                <w:sz w:val="6"/>
                <w:szCs w:val="6"/>
                <w:color w:val="auto"/>
              </w:rPr>
            </w:pPr>
          </w:p>
        </w:tc>
        <w:tc>
          <w:tcPr>
            <w:tcW w:w="300" w:type="dxa"/>
            <w:vAlign w:val="bottom"/>
            <w:shd w:val="clear" w:color="auto" w:fill="E2E6F4"/>
          </w:tcPr>
          <w:p>
            <w:pPr>
              <w:spacing w:after="0"/>
              <w:rPr>
                <w:sz w:val="6"/>
                <w:szCs w:val="6"/>
                <w:color w:val="auto"/>
              </w:rPr>
            </w:pPr>
          </w:p>
        </w:tc>
        <w:tc>
          <w:tcPr>
            <w:tcW w:w="1020" w:type="dxa"/>
            <w:vAlign w:val="bottom"/>
            <w:vMerge w:val="continue"/>
            <w:shd w:val="clear" w:color="auto" w:fill="E2E6F4"/>
          </w:tcPr>
          <w:p>
            <w:pPr>
              <w:spacing w:after="0"/>
              <w:rPr>
                <w:sz w:val="6"/>
                <w:szCs w:val="6"/>
                <w:color w:val="auto"/>
              </w:rPr>
            </w:pPr>
          </w:p>
        </w:tc>
        <w:tc>
          <w:tcPr>
            <w:tcW w:w="1000" w:type="dxa"/>
            <w:vAlign w:val="bottom"/>
            <w:vMerge w:val="continue"/>
            <w:shd w:val="clear" w:color="auto" w:fill="E2E6F4"/>
          </w:tcPr>
          <w:p>
            <w:pPr>
              <w:spacing w:after="0"/>
              <w:rPr>
                <w:sz w:val="6"/>
                <w:szCs w:val="6"/>
                <w:color w:val="auto"/>
              </w:rPr>
            </w:pPr>
          </w:p>
        </w:tc>
        <w:tc>
          <w:tcPr>
            <w:tcW w:w="1040" w:type="dxa"/>
            <w:vAlign w:val="bottom"/>
            <w:vMerge w:val="continue"/>
            <w:shd w:val="clear" w:color="auto" w:fill="E2E6F4"/>
          </w:tcPr>
          <w:p>
            <w:pPr>
              <w:spacing w:after="0"/>
              <w:rPr>
                <w:sz w:val="6"/>
                <w:szCs w:val="6"/>
                <w:color w:val="auto"/>
              </w:rPr>
            </w:pPr>
          </w:p>
        </w:tc>
        <w:tc>
          <w:tcPr>
            <w:tcW w:w="260" w:type="dxa"/>
            <w:vAlign w:val="bottom"/>
            <w:vMerge w:val="restart"/>
            <w:shd w:val="clear" w:color="auto" w:fill="E2E6F4"/>
          </w:tcPr>
          <w:p>
            <w:pPr>
              <w:ind w:left="20"/>
              <w:spacing w:after="0"/>
              <w:rPr>
                <w:sz w:val="20"/>
                <w:szCs w:val="20"/>
                <w:color w:val="auto"/>
              </w:rPr>
            </w:pPr>
            <w:r>
              <w:rPr>
                <w:rFonts w:ascii="Arial" w:cs="Arial" w:eastAsia="Arial" w:hAnsi="Arial"/>
                <w:sz w:val="11"/>
                <w:szCs w:val="11"/>
                <w:color w:val="auto"/>
              </w:rPr>
              <w:t>(9)</w:t>
            </w:r>
          </w:p>
        </w:tc>
        <w:tc>
          <w:tcPr>
            <w:tcW w:w="1180" w:type="dxa"/>
            <w:vAlign w:val="bottom"/>
            <w:vMerge w:val="continue"/>
            <w:shd w:val="clear" w:color="auto" w:fill="E2E6F4"/>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8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4DA8"/>
              </w:rPr>
              <w:t>Bryant</w:t>
            </w:r>
          </w:p>
        </w:tc>
        <w:tc>
          <w:tcPr>
            <w:tcW w:w="840" w:type="dxa"/>
            <w:vAlign w:val="bottom"/>
            <w:vMerge w:val="continue"/>
            <w:shd w:val="clear" w:color="auto" w:fill="E2E6F4"/>
          </w:tcPr>
          <w:p>
            <w:pPr>
              <w:spacing w:after="0"/>
              <w:rPr>
                <w:sz w:val="8"/>
                <w:szCs w:val="8"/>
                <w:color w:val="auto"/>
              </w:rPr>
            </w:pPr>
          </w:p>
        </w:tc>
        <w:tc>
          <w:tcPr>
            <w:tcW w:w="960" w:type="dxa"/>
            <w:vAlign w:val="bottom"/>
            <w:vMerge w:val="continue"/>
            <w:shd w:val="clear" w:color="auto" w:fill="E2E6F4"/>
          </w:tcPr>
          <w:p>
            <w:pPr>
              <w:spacing w:after="0"/>
              <w:rPr>
                <w:sz w:val="8"/>
                <w:szCs w:val="8"/>
                <w:color w:val="auto"/>
              </w:rPr>
            </w:pPr>
          </w:p>
        </w:tc>
        <w:tc>
          <w:tcPr>
            <w:tcW w:w="1200" w:type="dxa"/>
            <w:vAlign w:val="bottom"/>
            <w:vMerge w:val="continue"/>
            <w:shd w:val="clear" w:color="auto" w:fill="E2E6F4"/>
          </w:tcPr>
          <w:p>
            <w:pPr>
              <w:spacing w:after="0"/>
              <w:rPr>
                <w:sz w:val="8"/>
                <w:szCs w:val="8"/>
                <w:color w:val="auto"/>
              </w:rPr>
            </w:pPr>
          </w:p>
        </w:tc>
        <w:tc>
          <w:tcPr>
            <w:tcW w:w="1020" w:type="dxa"/>
            <w:vAlign w:val="bottom"/>
            <w:gridSpan w:val="2"/>
            <w:vMerge w:val="continue"/>
            <w:shd w:val="clear" w:color="auto" w:fill="E2E6F4"/>
          </w:tcPr>
          <w:p>
            <w:pPr>
              <w:spacing w:after="0"/>
              <w:rPr>
                <w:sz w:val="8"/>
                <w:szCs w:val="8"/>
                <w:color w:val="auto"/>
              </w:rPr>
            </w:pPr>
          </w:p>
        </w:tc>
        <w:tc>
          <w:tcPr>
            <w:tcW w:w="720" w:type="dxa"/>
            <w:vAlign w:val="bottom"/>
            <w:gridSpan w:val="2"/>
            <w:vMerge w:val="continue"/>
            <w:shd w:val="clear" w:color="auto" w:fill="E2E6F4"/>
          </w:tcPr>
          <w:p>
            <w:pPr>
              <w:spacing w:after="0"/>
              <w:rPr>
                <w:sz w:val="8"/>
                <w:szCs w:val="8"/>
                <w:color w:val="auto"/>
              </w:rPr>
            </w:pPr>
          </w:p>
        </w:tc>
        <w:tc>
          <w:tcPr>
            <w:tcW w:w="820" w:type="dxa"/>
            <w:vAlign w:val="bottom"/>
            <w:vMerge w:val="continue"/>
            <w:shd w:val="clear" w:color="auto" w:fill="E2E6F4"/>
          </w:tcPr>
          <w:p>
            <w:pPr>
              <w:spacing w:after="0"/>
              <w:rPr>
                <w:sz w:val="8"/>
                <w:szCs w:val="8"/>
                <w:color w:val="auto"/>
              </w:rPr>
            </w:pPr>
          </w:p>
        </w:tc>
        <w:tc>
          <w:tcPr>
            <w:tcW w:w="300" w:type="dxa"/>
            <w:vAlign w:val="bottom"/>
            <w:shd w:val="clear" w:color="auto" w:fill="E2E6F4"/>
          </w:tcPr>
          <w:p>
            <w:pPr>
              <w:spacing w:after="0"/>
              <w:rPr>
                <w:sz w:val="8"/>
                <w:szCs w:val="8"/>
                <w:color w:val="auto"/>
              </w:rPr>
            </w:pPr>
          </w:p>
        </w:tc>
        <w:tc>
          <w:tcPr>
            <w:tcW w:w="1020" w:type="dxa"/>
            <w:vAlign w:val="bottom"/>
            <w:vMerge w:val="continue"/>
            <w:shd w:val="clear" w:color="auto" w:fill="E2E6F4"/>
          </w:tcPr>
          <w:p>
            <w:pPr>
              <w:spacing w:after="0"/>
              <w:rPr>
                <w:sz w:val="8"/>
                <w:szCs w:val="8"/>
                <w:color w:val="auto"/>
              </w:rPr>
            </w:pPr>
          </w:p>
        </w:tc>
        <w:tc>
          <w:tcPr>
            <w:tcW w:w="1000" w:type="dxa"/>
            <w:vAlign w:val="bottom"/>
            <w:vMerge w:val="continue"/>
            <w:shd w:val="clear" w:color="auto" w:fill="E2E6F4"/>
          </w:tcPr>
          <w:p>
            <w:pPr>
              <w:spacing w:after="0"/>
              <w:rPr>
                <w:sz w:val="8"/>
                <w:szCs w:val="8"/>
                <w:color w:val="auto"/>
              </w:rPr>
            </w:pPr>
          </w:p>
        </w:tc>
        <w:tc>
          <w:tcPr>
            <w:tcW w:w="1040" w:type="dxa"/>
            <w:vAlign w:val="bottom"/>
            <w:vMerge w:val="continue"/>
            <w:shd w:val="clear" w:color="auto" w:fill="E2E6F4"/>
          </w:tcPr>
          <w:p>
            <w:pPr>
              <w:spacing w:after="0"/>
              <w:rPr>
                <w:sz w:val="8"/>
                <w:szCs w:val="8"/>
                <w:color w:val="auto"/>
              </w:rPr>
            </w:pPr>
          </w:p>
        </w:tc>
        <w:tc>
          <w:tcPr>
            <w:tcW w:w="260" w:type="dxa"/>
            <w:vAlign w:val="bottom"/>
            <w:vMerge w:val="continue"/>
            <w:shd w:val="clear" w:color="auto" w:fill="E2E6F4"/>
          </w:tcPr>
          <w:p>
            <w:pPr>
              <w:spacing w:after="0"/>
              <w:rPr>
                <w:sz w:val="8"/>
                <w:szCs w:val="8"/>
                <w:color w:val="auto"/>
              </w:rPr>
            </w:pPr>
          </w:p>
        </w:tc>
        <w:tc>
          <w:tcPr>
            <w:tcW w:w="118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80" w:type="dxa"/>
            <w:vAlign w:val="bottom"/>
            <w:vMerge w:val="continue"/>
            <w:shd w:val="clear" w:color="auto" w:fill="E2E6F4"/>
          </w:tcPr>
          <w:p>
            <w:pPr>
              <w:spacing w:after="0"/>
              <w:rPr>
                <w:sz w:val="11"/>
                <w:szCs w:val="11"/>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1"/>
                <w:szCs w:val="11"/>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14,880</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2,389,282</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24,990</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4,012,644</w:t>
            </w:r>
          </w:p>
        </w:tc>
        <w:tc>
          <w:tcPr>
            <w:tcW w:w="0" w:type="dxa"/>
            <w:vAlign w:val="bottom"/>
          </w:tcPr>
          <w:p>
            <w:pPr>
              <w:spacing w:after="0"/>
              <w:rPr>
                <w:sz w:val="1"/>
                <w:szCs w:val="1"/>
                <w:color w:val="auto"/>
              </w:rPr>
            </w:pPr>
          </w:p>
        </w:tc>
      </w:tr>
      <w:tr>
        <w:trPr>
          <w:trHeight w:val="213"/>
        </w:trPr>
        <w:tc>
          <w:tcPr>
            <w:tcW w:w="880" w:type="dxa"/>
            <w:vAlign w:val="bottom"/>
            <w:shd w:val="clear" w:color="auto" w:fill="E2E6F4"/>
          </w:tcPr>
          <w:p>
            <w:pPr>
              <w:spacing w:after="0"/>
              <w:rPr>
                <w:sz w:val="18"/>
                <w:szCs w:val="18"/>
                <w:color w:val="auto"/>
              </w:rPr>
            </w:pPr>
          </w:p>
        </w:tc>
        <w:tc>
          <w:tcPr>
            <w:tcW w:w="840" w:type="dxa"/>
            <w:vAlign w:val="bottom"/>
            <w:vMerge w:val="continue"/>
            <w:shd w:val="clear" w:color="auto" w:fill="E2E6F4"/>
          </w:tcPr>
          <w:p>
            <w:pPr>
              <w:spacing w:after="0"/>
              <w:rPr>
                <w:sz w:val="18"/>
                <w:szCs w:val="18"/>
                <w:color w:val="auto"/>
              </w:rPr>
            </w:pPr>
          </w:p>
        </w:tc>
        <w:tc>
          <w:tcPr>
            <w:tcW w:w="960" w:type="dxa"/>
            <w:vAlign w:val="bottom"/>
            <w:vMerge w:val="continue"/>
            <w:shd w:val="clear" w:color="auto" w:fill="E2E6F4"/>
          </w:tcPr>
          <w:p>
            <w:pPr>
              <w:spacing w:after="0"/>
              <w:rPr>
                <w:sz w:val="18"/>
                <w:szCs w:val="18"/>
                <w:color w:val="auto"/>
              </w:rPr>
            </w:pPr>
          </w:p>
        </w:tc>
        <w:tc>
          <w:tcPr>
            <w:tcW w:w="1200" w:type="dxa"/>
            <w:vAlign w:val="bottom"/>
            <w:vMerge w:val="continue"/>
            <w:shd w:val="clear" w:color="auto" w:fill="E2E6F4"/>
          </w:tcPr>
          <w:p>
            <w:pPr>
              <w:spacing w:after="0"/>
              <w:rPr>
                <w:sz w:val="18"/>
                <w:szCs w:val="18"/>
                <w:color w:val="auto"/>
              </w:rPr>
            </w:pPr>
          </w:p>
        </w:tc>
        <w:tc>
          <w:tcPr>
            <w:tcW w:w="1020" w:type="dxa"/>
            <w:vAlign w:val="bottom"/>
            <w:gridSpan w:val="2"/>
            <w:vMerge w:val="continue"/>
            <w:shd w:val="clear" w:color="auto" w:fill="E2E6F4"/>
          </w:tcPr>
          <w:p>
            <w:pPr>
              <w:spacing w:after="0"/>
              <w:rPr>
                <w:sz w:val="18"/>
                <w:szCs w:val="18"/>
                <w:color w:val="auto"/>
              </w:rPr>
            </w:pPr>
          </w:p>
        </w:tc>
        <w:tc>
          <w:tcPr>
            <w:tcW w:w="720" w:type="dxa"/>
            <w:vAlign w:val="bottom"/>
            <w:gridSpan w:val="2"/>
            <w:vMerge w:val="continue"/>
            <w:shd w:val="clear" w:color="auto" w:fill="E2E6F4"/>
          </w:tcPr>
          <w:p>
            <w:pPr>
              <w:spacing w:after="0"/>
              <w:rPr>
                <w:sz w:val="18"/>
                <w:szCs w:val="18"/>
                <w:color w:val="auto"/>
              </w:rPr>
            </w:pPr>
          </w:p>
        </w:tc>
        <w:tc>
          <w:tcPr>
            <w:tcW w:w="820" w:type="dxa"/>
            <w:vAlign w:val="bottom"/>
            <w:vMerge w:val="continue"/>
            <w:shd w:val="clear" w:color="auto" w:fill="E2E6F4"/>
          </w:tcPr>
          <w:p>
            <w:pPr>
              <w:spacing w:after="0"/>
              <w:rPr>
                <w:sz w:val="18"/>
                <w:szCs w:val="18"/>
                <w:color w:val="auto"/>
              </w:rPr>
            </w:pPr>
          </w:p>
        </w:tc>
        <w:tc>
          <w:tcPr>
            <w:tcW w:w="300" w:type="dxa"/>
            <w:vAlign w:val="bottom"/>
            <w:shd w:val="clear" w:color="auto" w:fill="E2E6F4"/>
          </w:tcPr>
          <w:p>
            <w:pPr>
              <w:spacing w:after="0"/>
              <w:rPr>
                <w:sz w:val="18"/>
                <w:szCs w:val="18"/>
                <w:color w:val="auto"/>
              </w:rPr>
            </w:pPr>
          </w:p>
        </w:tc>
        <w:tc>
          <w:tcPr>
            <w:tcW w:w="1020" w:type="dxa"/>
            <w:vAlign w:val="bottom"/>
            <w:vMerge w:val="continue"/>
            <w:shd w:val="clear" w:color="auto" w:fill="E2E6F4"/>
          </w:tcPr>
          <w:p>
            <w:pPr>
              <w:spacing w:after="0"/>
              <w:rPr>
                <w:sz w:val="18"/>
                <w:szCs w:val="18"/>
                <w:color w:val="auto"/>
              </w:rPr>
            </w:pPr>
          </w:p>
        </w:tc>
        <w:tc>
          <w:tcPr>
            <w:tcW w:w="1000" w:type="dxa"/>
            <w:vAlign w:val="bottom"/>
            <w:vMerge w:val="continue"/>
            <w:shd w:val="clear" w:color="auto" w:fill="E2E6F4"/>
          </w:tcPr>
          <w:p>
            <w:pPr>
              <w:spacing w:after="0"/>
              <w:rPr>
                <w:sz w:val="18"/>
                <w:szCs w:val="18"/>
                <w:color w:val="auto"/>
              </w:rPr>
            </w:pPr>
          </w:p>
        </w:tc>
        <w:tc>
          <w:tcPr>
            <w:tcW w:w="1040" w:type="dxa"/>
            <w:vAlign w:val="bottom"/>
            <w:vMerge w:val="continue"/>
            <w:shd w:val="clear" w:color="auto" w:fill="E2E6F4"/>
          </w:tcPr>
          <w:p>
            <w:pPr>
              <w:spacing w:after="0"/>
              <w:rPr>
                <w:sz w:val="18"/>
                <w:szCs w:val="18"/>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(10)</w:t>
            </w:r>
          </w:p>
        </w:tc>
        <w:tc>
          <w:tcPr>
            <w:tcW w:w="1180" w:type="dxa"/>
            <w:vAlign w:val="bottom"/>
            <w:vMerge w:val="continue"/>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9/1/2020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5,745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922,475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880" w:type="dxa"/>
            <w:vAlign w:val="bottom"/>
          </w:tcPr>
          <w:p>
            <w:pPr>
              <w:ind w:left="20"/>
              <w:spacing w:after="0"/>
              <w:rPr>
                <w:sz w:val="20"/>
                <w:szCs w:val="20"/>
                <w:color w:val="auto"/>
              </w:rPr>
            </w:pPr>
            <w:r>
              <w:rPr>
                <w:rFonts w:ascii="Arial" w:cs="Arial" w:eastAsia="Arial" w:hAnsi="Arial"/>
                <w:sz w:val="16"/>
                <w:szCs w:val="16"/>
                <w:b w:val="1"/>
                <w:bCs w:val="1"/>
                <w:color w:val="0067B3"/>
              </w:rPr>
              <w:t>Vivek Jain</w:t>
            </w:r>
          </w:p>
        </w:tc>
        <w:tc>
          <w:tcPr>
            <w:tcW w:w="840" w:type="dxa"/>
            <w:vAlign w:val="bottom"/>
          </w:tcPr>
          <w:p>
            <w:pPr>
              <w:jc w:val="right"/>
              <w:spacing w:after="0"/>
              <w:rPr>
                <w:sz w:val="20"/>
                <w:szCs w:val="20"/>
                <w:color w:val="auto"/>
              </w:rPr>
            </w:pPr>
            <w:r>
              <w:rPr>
                <w:rFonts w:ascii="Arial" w:cs="Arial" w:eastAsia="Arial" w:hAnsi="Arial"/>
                <w:sz w:val="16"/>
                <w:szCs w:val="16"/>
                <w:color w:val="auto"/>
              </w:rPr>
              <w:t>8/24/2021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9,158</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1,470,500</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1"/>
                <w:szCs w:val="11"/>
                <w:color w:val="auto"/>
              </w:rPr>
              <w:t>(8),</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1"/>
        </w:trPr>
        <w:tc>
          <w:tcPr>
            <w:tcW w:w="8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7"/>
                <w:szCs w:val="7"/>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8,349</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1,340,599</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18,313</w:t>
            </w:r>
          </w:p>
        </w:tc>
        <w:tc>
          <w:tcPr>
            <w:tcW w:w="260" w:type="dxa"/>
            <w:vAlign w:val="bottom"/>
            <w:vMerge w:val="continue"/>
          </w:tcPr>
          <w:p>
            <w:pPr>
              <w:spacing w:after="0"/>
              <w:rPr>
                <w:sz w:val="7"/>
                <w:szCs w:val="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2,940,519</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(9)</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1"/>
                <w:szCs w:val="11"/>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9,765</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1,567,966</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16,399</w:t>
            </w:r>
          </w:p>
        </w:tc>
        <w:tc>
          <w:tcPr>
            <w:tcW w:w="260" w:type="dxa"/>
            <w:vAlign w:val="bottom"/>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2,633,187</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(10)</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880" w:type="dxa"/>
            <w:vAlign w:val="bottom"/>
            <w:shd w:val="clear" w:color="auto" w:fill="E2E6F4"/>
          </w:tcPr>
          <w:p>
            <w:pPr>
              <w:spacing w:after="0"/>
              <w:rPr>
                <w:sz w:val="9"/>
                <w:szCs w:val="9"/>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3/15/2021</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4,183</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4,183</w:t>
            </w:r>
          </w:p>
        </w:tc>
        <w:tc>
          <w:tcPr>
            <w:tcW w:w="1020" w:type="dxa"/>
            <w:vAlign w:val="bottom"/>
            <w:gridSpan w:val="2"/>
            <w:vMerge w:val="restart"/>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151.00</w:t>
            </w:r>
          </w:p>
        </w:tc>
        <w:tc>
          <w:tcPr>
            <w:tcW w:w="60" w:type="dxa"/>
            <w:vAlign w:val="bottom"/>
            <w:shd w:val="clear" w:color="auto" w:fill="E2E6F4"/>
          </w:tcPr>
          <w:p>
            <w:pPr>
              <w:spacing w:after="0"/>
              <w:rPr>
                <w:sz w:val="9"/>
                <w:szCs w:val="9"/>
                <w:color w:val="auto"/>
              </w:rPr>
            </w:pP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3/15/2031</w:t>
            </w:r>
          </w:p>
        </w:tc>
        <w:tc>
          <w:tcPr>
            <w:tcW w:w="300" w:type="dxa"/>
            <w:vAlign w:val="bottom"/>
            <w:shd w:val="clear" w:color="auto" w:fill="E2E6F4"/>
          </w:tcPr>
          <w:p>
            <w:pPr>
              <w:spacing w:after="0"/>
              <w:rPr>
                <w:sz w:val="9"/>
                <w:szCs w:val="9"/>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1,145</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183,853</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4,578</w:t>
            </w:r>
          </w:p>
        </w:tc>
        <w:tc>
          <w:tcPr>
            <w:tcW w:w="260" w:type="dxa"/>
            <w:vAlign w:val="bottom"/>
            <w:shd w:val="clear" w:color="auto" w:fill="E2E6F4"/>
          </w:tcPr>
          <w:p>
            <w:pPr>
              <w:ind w:left="20"/>
              <w:spacing w:after="0" w:line="105" w:lineRule="exact"/>
              <w:rPr>
                <w:sz w:val="20"/>
                <w:szCs w:val="20"/>
                <w:color w:val="auto"/>
              </w:rPr>
            </w:pPr>
            <w:r>
              <w:rPr>
                <w:rFonts w:ascii="Arial" w:cs="Arial" w:eastAsia="Arial" w:hAnsi="Arial"/>
                <w:sz w:val="11"/>
                <w:szCs w:val="11"/>
                <w:color w:val="auto"/>
              </w:rPr>
              <w:t>(7),</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735,089</w:t>
            </w:r>
          </w:p>
        </w:tc>
        <w:tc>
          <w:tcPr>
            <w:tcW w:w="0" w:type="dxa"/>
            <w:vAlign w:val="bottom"/>
          </w:tcPr>
          <w:p>
            <w:pPr>
              <w:spacing w:after="0"/>
              <w:rPr>
                <w:sz w:val="1"/>
                <w:szCs w:val="1"/>
                <w:color w:val="auto"/>
              </w:rPr>
            </w:pPr>
          </w:p>
        </w:tc>
      </w:tr>
      <w:tr>
        <w:trPr>
          <w:trHeight w:val="175"/>
        </w:trPr>
        <w:tc>
          <w:tcPr>
            <w:tcW w:w="88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67B3"/>
              </w:rPr>
              <w:t>Anelise</w:t>
            </w:r>
          </w:p>
        </w:tc>
        <w:tc>
          <w:tcPr>
            <w:tcW w:w="840" w:type="dxa"/>
            <w:vAlign w:val="bottom"/>
            <w:vMerge w:val="continue"/>
            <w:shd w:val="clear" w:color="auto" w:fill="E2E6F4"/>
          </w:tcPr>
          <w:p>
            <w:pPr>
              <w:spacing w:after="0"/>
              <w:rPr>
                <w:sz w:val="15"/>
                <w:szCs w:val="15"/>
                <w:color w:val="auto"/>
              </w:rPr>
            </w:pPr>
          </w:p>
        </w:tc>
        <w:tc>
          <w:tcPr>
            <w:tcW w:w="960" w:type="dxa"/>
            <w:vAlign w:val="bottom"/>
            <w:vMerge w:val="continue"/>
            <w:shd w:val="clear" w:color="auto" w:fill="E2E6F4"/>
          </w:tcPr>
          <w:p>
            <w:pPr>
              <w:spacing w:after="0"/>
              <w:rPr>
                <w:sz w:val="15"/>
                <w:szCs w:val="15"/>
                <w:color w:val="auto"/>
              </w:rPr>
            </w:pPr>
          </w:p>
        </w:tc>
        <w:tc>
          <w:tcPr>
            <w:tcW w:w="1200" w:type="dxa"/>
            <w:vAlign w:val="bottom"/>
            <w:vMerge w:val="continue"/>
            <w:shd w:val="clear" w:color="auto" w:fill="E2E6F4"/>
          </w:tcPr>
          <w:p>
            <w:pPr>
              <w:spacing w:after="0"/>
              <w:rPr>
                <w:sz w:val="15"/>
                <w:szCs w:val="15"/>
                <w:color w:val="auto"/>
              </w:rPr>
            </w:pPr>
          </w:p>
        </w:tc>
        <w:tc>
          <w:tcPr>
            <w:tcW w:w="1020" w:type="dxa"/>
            <w:vAlign w:val="bottom"/>
            <w:gridSpan w:val="2"/>
            <w:vMerge w:val="continue"/>
            <w:shd w:val="clear" w:color="auto" w:fill="E2E6F4"/>
          </w:tcPr>
          <w:p>
            <w:pPr>
              <w:spacing w:after="0"/>
              <w:rPr>
                <w:sz w:val="15"/>
                <w:szCs w:val="15"/>
                <w:color w:val="auto"/>
              </w:rPr>
            </w:pPr>
          </w:p>
        </w:tc>
        <w:tc>
          <w:tcPr>
            <w:tcW w:w="660" w:type="dxa"/>
            <w:vAlign w:val="bottom"/>
            <w:vMerge w:val="continue"/>
            <w:shd w:val="clear" w:color="auto" w:fill="E2E6F4"/>
          </w:tcPr>
          <w:p>
            <w:pPr>
              <w:spacing w:after="0"/>
              <w:rPr>
                <w:sz w:val="15"/>
                <w:szCs w:val="15"/>
                <w:color w:val="auto"/>
              </w:rPr>
            </w:pPr>
          </w:p>
        </w:tc>
        <w:tc>
          <w:tcPr>
            <w:tcW w:w="60" w:type="dxa"/>
            <w:vAlign w:val="bottom"/>
            <w:shd w:val="clear" w:color="auto" w:fill="E2E6F4"/>
          </w:tcPr>
          <w:p>
            <w:pPr>
              <w:spacing w:after="0"/>
              <w:rPr>
                <w:sz w:val="15"/>
                <w:szCs w:val="15"/>
                <w:color w:val="auto"/>
              </w:rPr>
            </w:pPr>
          </w:p>
        </w:tc>
        <w:tc>
          <w:tcPr>
            <w:tcW w:w="820" w:type="dxa"/>
            <w:vAlign w:val="bottom"/>
            <w:vMerge w:val="continue"/>
            <w:shd w:val="clear" w:color="auto" w:fill="E2E6F4"/>
          </w:tcPr>
          <w:p>
            <w:pPr>
              <w:spacing w:after="0"/>
              <w:rPr>
                <w:sz w:val="15"/>
                <w:szCs w:val="15"/>
                <w:color w:val="auto"/>
              </w:rPr>
            </w:pPr>
          </w:p>
        </w:tc>
        <w:tc>
          <w:tcPr>
            <w:tcW w:w="300" w:type="dxa"/>
            <w:vAlign w:val="bottom"/>
            <w:shd w:val="clear" w:color="auto" w:fill="E2E6F4"/>
          </w:tcPr>
          <w:p>
            <w:pPr>
              <w:spacing w:after="0"/>
              <w:rPr>
                <w:sz w:val="15"/>
                <w:szCs w:val="15"/>
                <w:color w:val="auto"/>
              </w:rPr>
            </w:pPr>
          </w:p>
        </w:tc>
        <w:tc>
          <w:tcPr>
            <w:tcW w:w="1020" w:type="dxa"/>
            <w:vAlign w:val="bottom"/>
            <w:vMerge w:val="continue"/>
            <w:shd w:val="clear" w:color="auto" w:fill="E2E6F4"/>
          </w:tcPr>
          <w:p>
            <w:pPr>
              <w:spacing w:after="0"/>
              <w:rPr>
                <w:sz w:val="15"/>
                <w:szCs w:val="15"/>
                <w:color w:val="auto"/>
              </w:rPr>
            </w:pPr>
          </w:p>
        </w:tc>
        <w:tc>
          <w:tcPr>
            <w:tcW w:w="1000" w:type="dxa"/>
            <w:vAlign w:val="bottom"/>
            <w:vMerge w:val="continue"/>
            <w:shd w:val="clear" w:color="auto" w:fill="E2E6F4"/>
          </w:tcPr>
          <w:p>
            <w:pPr>
              <w:spacing w:after="0"/>
              <w:rPr>
                <w:sz w:val="15"/>
                <w:szCs w:val="15"/>
                <w:color w:val="auto"/>
              </w:rPr>
            </w:pPr>
          </w:p>
        </w:tc>
        <w:tc>
          <w:tcPr>
            <w:tcW w:w="1040" w:type="dxa"/>
            <w:vAlign w:val="bottom"/>
            <w:vMerge w:val="continue"/>
            <w:shd w:val="clear" w:color="auto" w:fill="E2E6F4"/>
          </w:tcPr>
          <w:p>
            <w:pPr>
              <w:spacing w:after="0"/>
              <w:rPr>
                <w:sz w:val="15"/>
                <w:szCs w:val="15"/>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continue"/>
            <w:shd w:val="clear" w:color="auto" w:fill="E2E6F4"/>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vMerge w:val="continue"/>
            <w:shd w:val="clear" w:color="auto" w:fill="E2E6F4"/>
          </w:tcPr>
          <w:p>
            <w:pPr>
              <w:spacing w:after="0"/>
              <w:rPr>
                <w:sz w:val="11"/>
                <w:szCs w:val="11"/>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11"/>
                <w:szCs w:val="11"/>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7,848</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1,260,153</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17,214</w:t>
            </w: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2,764,052</w:t>
            </w:r>
          </w:p>
        </w:tc>
        <w:tc>
          <w:tcPr>
            <w:tcW w:w="0" w:type="dxa"/>
            <w:vAlign w:val="bottom"/>
          </w:tcPr>
          <w:p>
            <w:pPr>
              <w:spacing w:after="0"/>
              <w:rPr>
                <w:sz w:val="1"/>
                <w:szCs w:val="1"/>
                <w:color w:val="auto"/>
              </w:rPr>
            </w:pPr>
          </w:p>
        </w:tc>
      </w:tr>
      <w:tr>
        <w:trPr>
          <w:trHeight w:val="175"/>
        </w:trPr>
        <w:tc>
          <w:tcPr>
            <w:tcW w:w="88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67B3"/>
              </w:rPr>
              <w:t>Sacks</w:t>
            </w:r>
          </w:p>
        </w:tc>
        <w:tc>
          <w:tcPr>
            <w:tcW w:w="840" w:type="dxa"/>
            <w:vAlign w:val="bottom"/>
            <w:vMerge w:val="continue"/>
            <w:shd w:val="clear" w:color="auto" w:fill="E2E6F4"/>
          </w:tcPr>
          <w:p>
            <w:pPr>
              <w:spacing w:after="0"/>
              <w:rPr>
                <w:sz w:val="15"/>
                <w:szCs w:val="15"/>
                <w:color w:val="auto"/>
              </w:rPr>
            </w:pPr>
          </w:p>
        </w:tc>
        <w:tc>
          <w:tcPr>
            <w:tcW w:w="960" w:type="dxa"/>
            <w:vAlign w:val="bottom"/>
            <w:vMerge w:val="continue"/>
            <w:shd w:val="clear" w:color="auto" w:fill="E2E6F4"/>
          </w:tcPr>
          <w:p>
            <w:pPr>
              <w:spacing w:after="0"/>
              <w:rPr>
                <w:sz w:val="15"/>
                <w:szCs w:val="15"/>
                <w:color w:val="auto"/>
              </w:rPr>
            </w:pPr>
          </w:p>
        </w:tc>
        <w:tc>
          <w:tcPr>
            <w:tcW w:w="1200" w:type="dxa"/>
            <w:vAlign w:val="bottom"/>
            <w:vMerge w:val="continue"/>
            <w:shd w:val="clear" w:color="auto" w:fill="E2E6F4"/>
          </w:tcPr>
          <w:p>
            <w:pPr>
              <w:spacing w:after="0"/>
              <w:rPr>
                <w:sz w:val="15"/>
                <w:szCs w:val="15"/>
                <w:color w:val="auto"/>
              </w:rPr>
            </w:pPr>
          </w:p>
        </w:tc>
        <w:tc>
          <w:tcPr>
            <w:tcW w:w="1020" w:type="dxa"/>
            <w:vAlign w:val="bottom"/>
            <w:gridSpan w:val="2"/>
            <w:vMerge w:val="continue"/>
            <w:shd w:val="clear" w:color="auto" w:fill="E2E6F4"/>
          </w:tcPr>
          <w:p>
            <w:pPr>
              <w:spacing w:after="0"/>
              <w:rPr>
                <w:sz w:val="15"/>
                <w:szCs w:val="15"/>
                <w:color w:val="auto"/>
              </w:rPr>
            </w:pPr>
          </w:p>
        </w:tc>
        <w:tc>
          <w:tcPr>
            <w:tcW w:w="720" w:type="dxa"/>
            <w:vAlign w:val="bottom"/>
            <w:gridSpan w:val="2"/>
            <w:vMerge w:val="continue"/>
            <w:shd w:val="clear" w:color="auto" w:fill="E2E6F4"/>
          </w:tcPr>
          <w:p>
            <w:pPr>
              <w:spacing w:after="0"/>
              <w:rPr>
                <w:sz w:val="15"/>
                <w:szCs w:val="15"/>
                <w:color w:val="auto"/>
              </w:rPr>
            </w:pPr>
          </w:p>
        </w:tc>
        <w:tc>
          <w:tcPr>
            <w:tcW w:w="820" w:type="dxa"/>
            <w:vAlign w:val="bottom"/>
            <w:vMerge w:val="continue"/>
            <w:shd w:val="clear" w:color="auto" w:fill="E2E6F4"/>
          </w:tcPr>
          <w:p>
            <w:pPr>
              <w:spacing w:after="0"/>
              <w:rPr>
                <w:sz w:val="15"/>
                <w:szCs w:val="15"/>
                <w:color w:val="auto"/>
              </w:rPr>
            </w:pPr>
          </w:p>
        </w:tc>
        <w:tc>
          <w:tcPr>
            <w:tcW w:w="300" w:type="dxa"/>
            <w:vAlign w:val="bottom"/>
            <w:shd w:val="clear" w:color="auto" w:fill="E2E6F4"/>
          </w:tcPr>
          <w:p>
            <w:pPr>
              <w:spacing w:after="0"/>
              <w:rPr>
                <w:sz w:val="15"/>
                <w:szCs w:val="15"/>
                <w:color w:val="auto"/>
              </w:rPr>
            </w:pPr>
          </w:p>
        </w:tc>
        <w:tc>
          <w:tcPr>
            <w:tcW w:w="1020" w:type="dxa"/>
            <w:vAlign w:val="bottom"/>
            <w:vMerge w:val="continue"/>
            <w:shd w:val="clear" w:color="auto" w:fill="E2E6F4"/>
          </w:tcPr>
          <w:p>
            <w:pPr>
              <w:spacing w:after="0"/>
              <w:rPr>
                <w:sz w:val="15"/>
                <w:szCs w:val="15"/>
                <w:color w:val="auto"/>
              </w:rPr>
            </w:pPr>
          </w:p>
        </w:tc>
        <w:tc>
          <w:tcPr>
            <w:tcW w:w="1000" w:type="dxa"/>
            <w:vAlign w:val="bottom"/>
            <w:vMerge w:val="continue"/>
            <w:shd w:val="clear" w:color="auto" w:fill="E2E6F4"/>
          </w:tcPr>
          <w:p>
            <w:pPr>
              <w:spacing w:after="0"/>
              <w:rPr>
                <w:sz w:val="15"/>
                <w:szCs w:val="15"/>
                <w:color w:val="auto"/>
              </w:rPr>
            </w:pPr>
          </w:p>
        </w:tc>
        <w:tc>
          <w:tcPr>
            <w:tcW w:w="1040" w:type="dxa"/>
            <w:vAlign w:val="bottom"/>
            <w:vMerge w:val="continue"/>
            <w:shd w:val="clear" w:color="auto" w:fill="E2E6F4"/>
          </w:tcPr>
          <w:p>
            <w:pPr>
              <w:spacing w:after="0"/>
              <w:rPr>
                <w:sz w:val="15"/>
                <w:szCs w:val="15"/>
                <w:color w:val="auto"/>
              </w:rPr>
            </w:pPr>
          </w:p>
        </w:tc>
        <w:tc>
          <w:tcPr>
            <w:tcW w:w="260" w:type="dxa"/>
            <w:vAlign w:val="bottom"/>
            <w:shd w:val="clear" w:color="auto" w:fill="E2E6F4"/>
          </w:tcPr>
          <w:p>
            <w:pPr>
              <w:ind w:left="20"/>
              <w:spacing w:after="0"/>
              <w:rPr>
                <w:sz w:val="20"/>
                <w:szCs w:val="20"/>
                <w:color w:val="auto"/>
              </w:rPr>
            </w:pPr>
            <w:r>
              <w:rPr>
                <w:rFonts w:ascii="Arial" w:cs="Arial" w:eastAsia="Arial" w:hAnsi="Arial"/>
                <w:sz w:val="11"/>
                <w:szCs w:val="11"/>
                <w:color w:val="auto"/>
              </w:rPr>
              <w:t>(9)</w:t>
            </w:r>
          </w:p>
        </w:tc>
        <w:tc>
          <w:tcPr>
            <w:tcW w:w="1180" w:type="dxa"/>
            <w:vAlign w:val="bottom"/>
            <w:vMerge w:val="continue"/>
            <w:shd w:val="clear" w:color="auto" w:fill="E2E6F4"/>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880" w:type="dxa"/>
            <w:vAlign w:val="bottom"/>
            <w:vMerge w:val="continue"/>
            <w:shd w:val="clear" w:color="auto" w:fill="E2E6F4"/>
          </w:tcPr>
          <w:p>
            <w:pPr>
              <w:spacing w:after="0"/>
              <w:rPr>
                <w:sz w:val="8"/>
                <w:szCs w:val="8"/>
                <w:color w:val="auto"/>
              </w:rPr>
            </w:pPr>
          </w:p>
        </w:tc>
        <w:tc>
          <w:tcPr>
            <w:tcW w:w="840" w:type="dxa"/>
            <w:vAlign w:val="bottom"/>
            <w:shd w:val="clear" w:color="auto" w:fill="E2E6F4"/>
          </w:tcPr>
          <w:p>
            <w:pPr>
              <w:spacing w:after="0"/>
              <w:rPr>
                <w:sz w:val="8"/>
                <w:szCs w:val="8"/>
                <w:color w:val="auto"/>
              </w:rPr>
            </w:pPr>
          </w:p>
        </w:tc>
        <w:tc>
          <w:tcPr>
            <w:tcW w:w="960" w:type="dxa"/>
            <w:vAlign w:val="bottom"/>
            <w:shd w:val="clear" w:color="auto" w:fill="E2E6F4"/>
          </w:tcPr>
          <w:p>
            <w:pPr>
              <w:spacing w:after="0"/>
              <w:rPr>
                <w:sz w:val="8"/>
                <w:szCs w:val="8"/>
                <w:color w:val="auto"/>
              </w:rPr>
            </w:pPr>
          </w:p>
        </w:tc>
        <w:tc>
          <w:tcPr>
            <w:tcW w:w="1200" w:type="dxa"/>
            <w:vAlign w:val="bottom"/>
            <w:shd w:val="clear" w:color="auto" w:fill="E2E6F4"/>
          </w:tcPr>
          <w:p>
            <w:pPr>
              <w:spacing w:after="0"/>
              <w:rPr>
                <w:sz w:val="8"/>
                <w:szCs w:val="8"/>
                <w:color w:val="auto"/>
              </w:rPr>
            </w:pPr>
          </w:p>
        </w:tc>
        <w:tc>
          <w:tcPr>
            <w:tcW w:w="980" w:type="dxa"/>
            <w:vAlign w:val="bottom"/>
            <w:shd w:val="clear" w:color="auto" w:fill="E2E6F4"/>
          </w:tcPr>
          <w:p>
            <w:pPr>
              <w:spacing w:after="0"/>
              <w:rPr>
                <w:sz w:val="8"/>
                <w:szCs w:val="8"/>
                <w:color w:val="auto"/>
              </w:rPr>
            </w:pPr>
          </w:p>
        </w:tc>
        <w:tc>
          <w:tcPr>
            <w:tcW w:w="40" w:type="dxa"/>
            <w:vAlign w:val="bottom"/>
            <w:shd w:val="clear" w:color="auto" w:fill="E2E6F4"/>
          </w:tcPr>
          <w:p>
            <w:pPr>
              <w:spacing w:after="0"/>
              <w:rPr>
                <w:sz w:val="8"/>
                <w:szCs w:val="8"/>
                <w:color w:val="auto"/>
              </w:rPr>
            </w:pPr>
          </w:p>
        </w:tc>
        <w:tc>
          <w:tcPr>
            <w:tcW w:w="660" w:type="dxa"/>
            <w:vAlign w:val="bottom"/>
            <w:shd w:val="clear" w:color="auto" w:fill="E2E6F4"/>
          </w:tcPr>
          <w:p>
            <w:pPr>
              <w:spacing w:after="0"/>
              <w:rPr>
                <w:sz w:val="8"/>
                <w:szCs w:val="8"/>
                <w:color w:val="auto"/>
              </w:rPr>
            </w:pPr>
          </w:p>
        </w:tc>
        <w:tc>
          <w:tcPr>
            <w:tcW w:w="60" w:type="dxa"/>
            <w:vAlign w:val="bottom"/>
            <w:shd w:val="clear" w:color="auto" w:fill="E2E6F4"/>
          </w:tcPr>
          <w:p>
            <w:pPr>
              <w:spacing w:after="0"/>
              <w:rPr>
                <w:sz w:val="8"/>
                <w:szCs w:val="8"/>
                <w:color w:val="auto"/>
              </w:rPr>
            </w:pPr>
          </w:p>
        </w:tc>
        <w:tc>
          <w:tcPr>
            <w:tcW w:w="820" w:type="dxa"/>
            <w:vAlign w:val="bottom"/>
            <w:shd w:val="clear" w:color="auto" w:fill="E2E6F4"/>
          </w:tcPr>
          <w:p>
            <w:pPr>
              <w:spacing w:after="0"/>
              <w:rPr>
                <w:sz w:val="8"/>
                <w:szCs w:val="8"/>
                <w:color w:val="auto"/>
              </w:rPr>
            </w:pPr>
          </w:p>
        </w:tc>
        <w:tc>
          <w:tcPr>
            <w:tcW w:w="300" w:type="dxa"/>
            <w:vAlign w:val="bottom"/>
            <w:shd w:val="clear" w:color="auto" w:fill="E2E6F4"/>
          </w:tcPr>
          <w:p>
            <w:pPr>
              <w:spacing w:after="0"/>
              <w:rPr>
                <w:sz w:val="8"/>
                <w:szCs w:val="8"/>
                <w:color w:val="auto"/>
              </w:rPr>
            </w:pPr>
          </w:p>
        </w:tc>
        <w:tc>
          <w:tcPr>
            <w:tcW w:w="1020" w:type="dxa"/>
            <w:vAlign w:val="bottom"/>
            <w:shd w:val="clear" w:color="auto" w:fill="E2E6F4"/>
          </w:tcPr>
          <w:p>
            <w:pPr>
              <w:spacing w:after="0"/>
              <w:rPr>
                <w:sz w:val="8"/>
                <w:szCs w:val="8"/>
                <w:color w:val="auto"/>
              </w:rPr>
            </w:pPr>
          </w:p>
        </w:tc>
        <w:tc>
          <w:tcPr>
            <w:tcW w:w="100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260" w:type="dxa"/>
            <w:vAlign w:val="bottom"/>
            <w:vMerge w:val="restart"/>
            <w:shd w:val="clear" w:color="auto" w:fill="E2E6F4"/>
          </w:tcPr>
          <w:p>
            <w:pPr>
              <w:ind w:left="20"/>
              <w:spacing w:after="0"/>
              <w:rPr>
                <w:sz w:val="20"/>
                <w:szCs w:val="20"/>
                <w:color w:val="auto"/>
              </w:rPr>
            </w:pPr>
            <w:r>
              <w:rPr>
                <w:rFonts w:ascii="Arial" w:cs="Arial" w:eastAsia="Arial" w:hAnsi="Arial"/>
                <w:sz w:val="11"/>
                <w:szCs w:val="11"/>
                <w:color w:val="auto"/>
              </w:rPr>
              <w:t>(8),</w:t>
            </w:r>
          </w:p>
        </w:tc>
        <w:tc>
          <w:tcPr>
            <w:tcW w:w="1180" w:type="dxa"/>
            <w:vAlign w:val="bottom"/>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880" w:type="dxa"/>
            <w:vAlign w:val="bottom"/>
            <w:shd w:val="clear" w:color="auto" w:fill="E2E6F4"/>
          </w:tcPr>
          <w:p>
            <w:pPr>
              <w:spacing w:after="0"/>
              <w:rPr>
                <w:sz w:val="3"/>
                <w:szCs w:val="3"/>
                <w:color w:val="auto"/>
              </w:rPr>
            </w:pP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6F4"/>
          </w:tcPr>
          <w:p>
            <w:pPr>
              <w:spacing w:after="0"/>
              <w:rPr>
                <w:sz w:val="3"/>
                <w:szCs w:val="3"/>
                <w:color w:val="auto"/>
              </w:rPr>
            </w:pPr>
          </w:p>
        </w:tc>
        <w:tc>
          <w:tcPr>
            <w:tcW w:w="102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9,300</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1,493,301</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15,619</w:t>
            </w:r>
          </w:p>
        </w:tc>
        <w:tc>
          <w:tcPr>
            <w:tcW w:w="260" w:type="dxa"/>
            <w:vAlign w:val="bottom"/>
            <w:vMerge w:val="continue"/>
            <w:shd w:val="clear" w:color="auto" w:fill="E2E6F4"/>
          </w:tcPr>
          <w:p>
            <w:pPr>
              <w:spacing w:after="0"/>
              <w:rPr>
                <w:sz w:val="3"/>
                <w:szCs w:val="3"/>
                <w:color w:val="auto"/>
              </w:rPr>
            </w:pP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2,507,943</w:t>
            </w:r>
          </w:p>
        </w:tc>
        <w:tc>
          <w:tcPr>
            <w:tcW w:w="0" w:type="dxa"/>
            <w:vAlign w:val="bottom"/>
          </w:tcPr>
          <w:p>
            <w:pPr>
              <w:spacing w:after="0" w:line="20" w:lineRule="exact"/>
              <w:rPr>
                <w:sz w:val="1"/>
                <w:szCs w:val="1"/>
                <w:color w:val="auto"/>
              </w:rPr>
            </w:pPr>
          </w:p>
        </w:tc>
      </w:tr>
      <w:tr>
        <w:trPr>
          <w:trHeight w:val="207"/>
        </w:trPr>
        <w:tc>
          <w:tcPr>
            <w:tcW w:w="880" w:type="dxa"/>
            <w:vAlign w:val="bottom"/>
            <w:tcBorders>
              <w:bottom w:val="single" w:sz="8" w:color="0067B3"/>
            </w:tcBorders>
            <w:shd w:val="clear" w:color="auto" w:fill="E2E6F4"/>
          </w:tcPr>
          <w:p>
            <w:pPr>
              <w:spacing w:after="0"/>
              <w:rPr>
                <w:sz w:val="17"/>
                <w:szCs w:val="17"/>
                <w:color w:val="auto"/>
              </w:rPr>
            </w:pPr>
          </w:p>
        </w:tc>
        <w:tc>
          <w:tcPr>
            <w:tcW w:w="840" w:type="dxa"/>
            <w:vAlign w:val="bottom"/>
            <w:tcBorders>
              <w:bottom w:val="single" w:sz="8" w:color="0067B3"/>
            </w:tcBorders>
            <w:vMerge w:val="continue"/>
            <w:shd w:val="clear" w:color="auto" w:fill="E2E6F4"/>
          </w:tcPr>
          <w:p>
            <w:pPr>
              <w:spacing w:after="0"/>
              <w:rPr>
                <w:sz w:val="17"/>
                <w:szCs w:val="17"/>
                <w:color w:val="auto"/>
              </w:rPr>
            </w:pPr>
          </w:p>
        </w:tc>
        <w:tc>
          <w:tcPr>
            <w:tcW w:w="960" w:type="dxa"/>
            <w:vAlign w:val="bottom"/>
            <w:tcBorders>
              <w:bottom w:val="single" w:sz="8" w:color="0067B3"/>
            </w:tcBorders>
            <w:vMerge w:val="continue"/>
            <w:shd w:val="clear" w:color="auto" w:fill="E2E6F4"/>
          </w:tcPr>
          <w:p>
            <w:pPr>
              <w:spacing w:after="0"/>
              <w:rPr>
                <w:sz w:val="17"/>
                <w:szCs w:val="17"/>
                <w:color w:val="auto"/>
              </w:rPr>
            </w:pPr>
          </w:p>
        </w:tc>
        <w:tc>
          <w:tcPr>
            <w:tcW w:w="1200" w:type="dxa"/>
            <w:vAlign w:val="bottom"/>
            <w:tcBorders>
              <w:bottom w:val="single" w:sz="8" w:color="0067B3"/>
            </w:tcBorders>
            <w:vMerge w:val="continue"/>
            <w:shd w:val="clear" w:color="auto" w:fill="E2E6F4"/>
          </w:tcPr>
          <w:p>
            <w:pPr>
              <w:spacing w:after="0"/>
              <w:rPr>
                <w:sz w:val="17"/>
                <w:szCs w:val="17"/>
                <w:color w:val="auto"/>
              </w:rPr>
            </w:pPr>
          </w:p>
        </w:tc>
        <w:tc>
          <w:tcPr>
            <w:tcW w:w="1020" w:type="dxa"/>
            <w:vAlign w:val="bottom"/>
            <w:tcBorders>
              <w:bottom w:val="single" w:sz="8" w:color="0067B3"/>
            </w:tcBorders>
            <w:gridSpan w:val="2"/>
            <w:vMerge w:val="continue"/>
            <w:shd w:val="clear" w:color="auto" w:fill="E2E6F4"/>
          </w:tcPr>
          <w:p>
            <w:pPr>
              <w:spacing w:after="0"/>
              <w:rPr>
                <w:sz w:val="17"/>
                <w:szCs w:val="17"/>
                <w:color w:val="auto"/>
              </w:rPr>
            </w:pPr>
          </w:p>
        </w:tc>
        <w:tc>
          <w:tcPr>
            <w:tcW w:w="720" w:type="dxa"/>
            <w:vAlign w:val="bottom"/>
            <w:tcBorders>
              <w:bottom w:val="single" w:sz="8" w:color="0067B3"/>
            </w:tcBorders>
            <w:gridSpan w:val="2"/>
            <w:vMerge w:val="continue"/>
            <w:shd w:val="clear" w:color="auto" w:fill="E2E6F4"/>
          </w:tcPr>
          <w:p>
            <w:pPr>
              <w:spacing w:after="0"/>
              <w:rPr>
                <w:sz w:val="17"/>
                <w:szCs w:val="17"/>
                <w:color w:val="auto"/>
              </w:rPr>
            </w:pPr>
          </w:p>
        </w:tc>
        <w:tc>
          <w:tcPr>
            <w:tcW w:w="820" w:type="dxa"/>
            <w:vAlign w:val="bottom"/>
            <w:tcBorders>
              <w:bottom w:val="single" w:sz="8" w:color="0067B3"/>
            </w:tcBorders>
            <w:vMerge w:val="continue"/>
            <w:shd w:val="clear" w:color="auto" w:fill="E2E6F4"/>
          </w:tcPr>
          <w:p>
            <w:pPr>
              <w:spacing w:after="0"/>
              <w:rPr>
                <w:sz w:val="17"/>
                <w:szCs w:val="17"/>
                <w:color w:val="auto"/>
              </w:rPr>
            </w:pPr>
          </w:p>
        </w:tc>
        <w:tc>
          <w:tcPr>
            <w:tcW w:w="300" w:type="dxa"/>
            <w:vAlign w:val="bottom"/>
            <w:tcBorders>
              <w:bottom w:val="single" w:sz="8" w:color="0067B3"/>
            </w:tcBorders>
            <w:shd w:val="clear" w:color="auto" w:fill="E2E6F4"/>
          </w:tcPr>
          <w:p>
            <w:pPr>
              <w:spacing w:after="0"/>
              <w:rPr>
                <w:sz w:val="17"/>
                <w:szCs w:val="17"/>
                <w:color w:val="auto"/>
              </w:rPr>
            </w:pPr>
          </w:p>
        </w:tc>
        <w:tc>
          <w:tcPr>
            <w:tcW w:w="1020" w:type="dxa"/>
            <w:vAlign w:val="bottom"/>
            <w:tcBorders>
              <w:bottom w:val="single" w:sz="8" w:color="0067B3"/>
            </w:tcBorders>
            <w:vMerge w:val="continue"/>
            <w:shd w:val="clear" w:color="auto" w:fill="E2E6F4"/>
          </w:tcPr>
          <w:p>
            <w:pPr>
              <w:spacing w:after="0"/>
              <w:rPr>
                <w:sz w:val="17"/>
                <w:szCs w:val="17"/>
                <w:color w:val="auto"/>
              </w:rPr>
            </w:pPr>
          </w:p>
        </w:tc>
        <w:tc>
          <w:tcPr>
            <w:tcW w:w="1000" w:type="dxa"/>
            <w:vAlign w:val="bottom"/>
            <w:tcBorders>
              <w:bottom w:val="single" w:sz="8" w:color="0067B3"/>
            </w:tcBorders>
            <w:vMerge w:val="continue"/>
            <w:shd w:val="clear" w:color="auto" w:fill="E2E6F4"/>
          </w:tcPr>
          <w:p>
            <w:pPr>
              <w:spacing w:after="0"/>
              <w:rPr>
                <w:sz w:val="17"/>
                <w:szCs w:val="17"/>
                <w:color w:val="auto"/>
              </w:rPr>
            </w:pPr>
          </w:p>
        </w:tc>
        <w:tc>
          <w:tcPr>
            <w:tcW w:w="1040" w:type="dxa"/>
            <w:vAlign w:val="bottom"/>
            <w:tcBorders>
              <w:bottom w:val="single" w:sz="8" w:color="0067B3"/>
            </w:tcBorders>
            <w:vMerge w:val="continue"/>
            <w:shd w:val="clear" w:color="auto" w:fill="E2E6F4"/>
          </w:tcPr>
          <w:p>
            <w:pPr>
              <w:spacing w:after="0"/>
              <w:rPr>
                <w:sz w:val="17"/>
                <w:szCs w:val="17"/>
                <w:color w:val="auto"/>
              </w:rPr>
            </w:pPr>
          </w:p>
        </w:tc>
        <w:tc>
          <w:tcPr>
            <w:tcW w:w="26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1"/>
                <w:szCs w:val="11"/>
                <w:color w:val="auto"/>
              </w:rPr>
              <w:t>(10)</w:t>
            </w:r>
          </w:p>
        </w:tc>
        <w:tc>
          <w:tcPr>
            <w:tcW w:w="1180" w:type="dxa"/>
            <w:vAlign w:val="bottom"/>
            <w:tcBorders>
              <w:bottom w:val="single" w:sz="8" w:color="0067B3"/>
            </w:tcBorders>
            <w:vMerge w:val="continue"/>
            <w:shd w:val="clear" w:color="auto" w:fill="E2E6F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-5322570</wp:posOffset>
            </wp:positionV>
            <wp:extent cx="60432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42"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The unexercisable options held by these executive officers vest, subject to continued employment, as follows: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700" w:type="dxa"/>
            <w:vAlign w:val="bottom"/>
            <w:shd w:val="clear" w:color="auto" w:fill="0067B3"/>
          </w:tcPr>
          <w:p>
            <w:pPr>
              <w:spacing w:after="0"/>
              <w:rPr>
                <w:sz w:val="16"/>
                <w:szCs w:val="16"/>
                <w:color w:val="auto"/>
              </w:rPr>
            </w:pPr>
          </w:p>
        </w:tc>
        <w:tc>
          <w:tcPr>
            <w:tcW w:w="1020" w:type="dxa"/>
            <w:vAlign w:val="bottom"/>
            <w:shd w:val="clear" w:color="auto" w:fill="0067B3"/>
          </w:tcPr>
          <w:p>
            <w:pPr>
              <w:jc w:val="right"/>
              <w:ind w:right="185"/>
              <w:spacing w:after="0"/>
              <w:rPr>
                <w:sz w:val="20"/>
                <w:szCs w:val="20"/>
                <w:color w:val="auto"/>
              </w:rPr>
            </w:pPr>
            <w:r>
              <w:rPr>
                <w:rFonts w:ascii="Arial" w:cs="Arial" w:eastAsia="Arial" w:hAnsi="Arial"/>
                <w:sz w:val="14"/>
                <w:szCs w:val="14"/>
                <w:b w:val="1"/>
                <w:bCs w:val="1"/>
                <w:color w:val="FFFFFF"/>
              </w:rPr>
              <w:t>Vest</w:t>
            </w:r>
          </w:p>
        </w:tc>
        <w:tc>
          <w:tcPr>
            <w:tcW w:w="1040" w:type="dxa"/>
            <w:vAlign w:val="bottom"/>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Vincent</w:t>
            </w:r>
          </w:p>
        </w:tc>
        <w:tc>
          <w:tcPr>
            <w:tcW w:w="1180" w:type="dxa"/>
            <w:vAlign w:val="bottom"/>
            <w:shd w:val="clear" w:color="auto" w:fill="0067B3"/>
          </w:tcPr>
          <w:p>
            <w:pPr>
              <w:jc w:val="right"/>
              <w:ind w:right="164"/>
              <w:spacing w:after="0"/>
              <w:rPr>
                <w:sz w:val="20"/>
                <w:szCs w:val="20"/>
                <w:color w:val="auto"/>
              </w:rPr>
            </w:pPr>
            <w:r>
              <w:rPr>
                <w:rFonts w:ascii="Arial" w:cs="Arial" w:eastAsia="Arial" w:hAnsi="Arial"/>
                <w:sz w:val="14"/>
                <w:szCs w:val="14"/>
                <w:b w:val="1"/>
                <w:bCs w:val="1"/>
                <w:color w:val="FFFFFF"/>
              </w:rPr>
              <w:t>Prashanth</w:t>
            </w:r>
          </w:p>
        </w:tc>
        <w:tc>
          <w:tcPr>
            <w:tcW w:w="1120" w:type="dxa"/>
            <w:vAlign w:val="bottom"/>
            <w:shd w:val="clear" w:color="auto" w:fill="0067B3"/>
          </w:tcPr>
          <w:p>
            <w:pPr>
              <w:jc w:val="right"/>
              <w:ind w:right="245"/>
              <w:spacing w:after="0"/>
              <w:rPr>
                <w:sz w:val="20"/>
                <w:szCs w:val="20"/>
                <w:color w:val="auto"/>
              </w:rPr>
            </w:pPr>
            <w:r>
              <w:rPr>
                <w:rFonts w:ascii="Arial" w:cs="Arial" w:eastAsia="Arial" w:hAnsi="Arial"/>
                <w:sz w:val="14"/>
                <w:szCs w:val="14"/>
                <w:b w:val="1"/>
                <w:bCs w:val="1"/>
                <w:color w:val="FFFFFF"/>
              </w:rPr>
              <w:t>Gregory</w:t>
            </w:r>
          </w:p>
        </w:tc>
        <w:tc>
          <w:tcPr>
            <w:tcW w:w="960" w:type="dxa"/>
            <w:vAlign w:val="bottom"/>
            <w:shd w:val="clear" w:color="auto" w:fill="0067B3"/>
          </w:tcPr>
          <w:p>
            <w:pPr>
              <w:ind w:left="320"/>
              <w:spacing w:after="0"/>
              <w:rPr>
                <w:sz w:val="20"/>
                <w:szCs w:val="20"/>
                <w:color w:val="auto"/>
              </w:rPr>
            </w:pPr>
            <w:r>
              <w:rPr>
                <w:rFonts w:ascii="Arial" w:cs="Arial" w:eastAsia="Arial" w:hAnsi="Arial"/>
                <w:sz w:val="14"/>
                <w:szCs w:val="14"/>
                <w:b w:val="1"/>
                <w:bCs w:val="1"/>
                <w:color w:val="FFFFFF"/>
              </w:rPr>
              <w:t>Vivek</w:t>
            </w:r>
          </w:p>
        </w:tc>
        <w:tc>
          <w:tcPr>
            <w:tcW w:w="7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Anelise</w:t>
            </w:r>
          </w:p>
        </w:tc>
      </w:tr>
      <w:tr>
        <w:trPr>
          <w:trHeight w:val="212"/>
        </w:trPr>
        <w:tc>
          <w:tcPr>
            <w:tcW w:w="470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Grant Date</w:t>
            </w:r>
          </w:p>
        </w:tc>
        <w:tc>
          <w:tcPr>
            <w:tcW w:w="1020" w:type="dxa"/>
            <w:vAlign w:val="bottom"/>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Date</w:t>
            </w:r>
          </w:p>
        </w:tc>
        <w:tc>
          <w:tcPr>
            <w:tcW w:w="2220" w:type="dxa"/>
            <w:vAlign w:val="bottom"/>
            <w:gridSpan w:val="2"/>
            <w:shd w:val="clear" w:color="auto" w:fill="0067B3"/>
          </w:tcPr>
          <w:p>
            <w:pPr>
              <w:jc w:val="right"/>
              <w:ind w:right="164"/>
              <w:spacing w:after="0"/>
              <w:rPr>
                <w:sz w:val="20"/>
                <w:szCs w:val="20"/>
                <w:color w:val="auto"/>
              </w:rPr>
            </w:pPr>
            <w:r>
              <w:rPr>
                <w:rFonts w:ascii="Arial" w:cs="Arial" w:eastAsia="Arial" w:hAnsi="Arial"/>
                <w:sz w:val="14"/>
                <w:szCs w:val="14"/>
                <w:b w:val="1"/>
                <w:bCs w:val="1"/>
                <w:color w:val="FFFFFF"/>
              </w:rPr>
              <w:t>Roche Mahendra-Rajah</w:t>
            </w:r>
          </w:p>
        </w:tc>
        <w:tc>
          <w:tcPr>
            <w:tcW w:w="1120" w:type="dxa"/>
            <w:vAlign w:val="bottom"/>
            <w:shd w:val="clear" w:color="auto" w:fill="0067B3"/>
          </w:tcPr>
          <w:p>
            <w:pPr>
              <w:jc w:val="right"/>
              <w:ind w:right="245"/>
              <w:spacing w:after="0"/>
              <w:rPr>
                <w:sz w:val="20"/>
                <w:szCs w:val="20"/>
                <w:color w:val="auto"/>
              </w:rPr>
            </w:pPr>
            <w:r>
              <w:rPr>
                <w:rFonts w:ascii="Arial" w:cs="Arial" w:eastAsia="Arial" w:hAnsi="Arial"/>
                <w:sz w:val="14"/>
                <w:szCs w:val="14"/>
                <w:b w:val="1"/>
                <w:bCs w:val="1"/>
                <w:color w:val="FFFFFF"/>
              </w:rPr>
              <w:t>Bryant</w:t>
            </w:r>
          </w:p>
        </w:tc>
        <w:tc>
          <w:tcPr>
            <w:tcW w:w="960" w:type="dxa"/>
            <w:vAlign w:val="bottom"/>
            <w:shd w:val="clear" w:color="auto" w:fill="0067B3"/>
          </w:tcPr>
          <w:p>
            <w:pPr>
              <w:jc w:val="center"/>
              <w:ind w:left="85"/>
              <w:spacing w:after="0"/>
              <w:rPr>
                <w:sz w:val="20"/>
                <w:szCs w:val="20"/>
                <w:color w:val="auto"/>
              </w:rPr>
            </w:pPr>
            <w:r>
              <w:rPr>
                <w:rFonts w:ascii="Arial" w:cs="Arial" w:eastAsia="Arial" w:hAnsi="Arial"/>
                <w:sz w:val="14"/>
                <w:szCs w:val="14"/>
                <w:b w:val="1"/>
                <w:bCs w:val="1"/>
                <w:color w:val="FFFFFF"/>
                <w:w w:val="99"/>
              </w:rPr>
              <w:t>Jain</w:t>
            </w:r>
          </w:p>
        </w:tc>
        <w:tc>
          <w:tcPr>
            <w:tcW w:w="7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Sacks</w:t>
            </w:r>
          </w:p>
        </w:tc>
      </w:tr>
      <w:tr>
        <w:trPr>
          <w:trHeight w:val="223"/>
        </w:trPr>
        <w:tc>
          <w:tcPr>
            <w:tcW w:w="47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3/11/2020</w:t>
            </w:r>
          </w:p>
        </w:tc>
        <w:tc>
          <w:tcPr>
            <w:tcW w:w="1020" w:type="dxa"/>
            <w:vAlign w:val="bottom"/>
            <w:tcBorders>
              <w:bottom w:val="single" w:sz="8" w:color="E2E6F4"/>
            </w:tcBorders>
            <w:shd w:val="clear" w:color="auto" w:fill="E2E6F4"/>
          </w:tcPr>
          <w:p>
            <w:pPr>
              <w:jc w:val="right"/>
              <w:ind w:right="145"/>
              <w:spacing w:after="0"/>
              <w:rPr>
                <w:sz w:val="20"/>
                <w:szCs w:val="20"/>
                <w:color w:val="auto"/>
              </w:rPr>
            </w:pPr>
            <w:r>
              <w:rPr>
                <w:rFonts w:ascii="Arial" w:cs="Arial" w:eastAsia="Arial" w:hAnsi="Arial"/>
                <w:sz w:val="15"/>
                <w:szCs w:val="15"/>
                <w:color w:val="auto"/>
              </w:rPr>
              <w:t>3/15/2024</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33,655</w:t>
            </w:r>
          </w:p>
        </w:tc>
        <w:tc>
          <w:tcPr>
            <w:tcW w:w="11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4700" w:type="dxa"/>
            <w:vAlign w:val="bottom"/>
          </w:tcPr>
          <w:p>
            <w:pPr>
              <w:ind w:left="20"/>
              <w:spacing w:after="0"/>
              <w:rPr>
                <w:sz w:val="20"/>
                <w:szCs w:val="20"/>
                <w:color w:val="auto"/>
              </w:rPr>
            </w:pPr>
            <w:r>
              <w:rPr>
                <w:rFonts w:ascii="Arial" w:cs="Arial" w:eastAsia="Arial" w:hAnsi="Arial"/>
                <w:sz w:val="15"/>
                <w:szCs w:val="15"/>
                <w:color w:val="auto"/>
              </w:rPr>
              <w:t>12/15/2020</w:t>
            </w: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variable</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460,000</w:t>
            </w:r>
          </w:p>
        </w:tc>
        <w:tc>
          <w:tcPr>
            <w:tcW w:w="1180" w:type="dxa"/>
            <w:vAlign w:val="bottom"/>
          </w:tcPr>
          <w:p>
            <w:pPr>
              <w:ind w:left="740"/>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0"/>
        </w:trPr>
        <w:tc>
          <w:tcPr>
            <w:tcW w:w="4700" w:type="dxa"/>
            <w:vAlign w:val="bottom"/>
            <w:shd w:val="clear" w:color="auto" w:fill="E2E6F4"/>
          </w:tcPr>
          <w:p>
            <w:pPr>
              <w:ind w:left="20"/>
              <w:spacing w:after="0"/>
              <w:rPr>
                <w:sz w:val="20"/>
                <w:szCs w:val="20"/>
                <w:color w:val="auto"/>
              </w:rPr>
            </w:pPr>
            <w:r>
              <w:rPr>
                <w:rFonts w:ascii="Arial" w:cs="Arial" w:eastAsia="Arial" w:hAnsi="Arial"/>
                <w:sz w:val="15"/>
                <w:szCs w:val="15"/>
                <w:color w:val="auto"/>
              </w:rPr>
              <w:t>3/10/2021</w:t>
            </w:r>
          </w:p>
        </w:tc>
        <w:tc>
          <w:tcPr>
            <w:tcW w:w="1020" w:type="dxa"/>
            <w:vAlign w:val="bottom"/>
            <w:shd w:val="clear" w:color="auto" w:fill="E2E6F4"/>
          </w:tcPr>
          <w:p>
            <w:pPr>
              <w:jc w:val="right"/>
              <w:ind w:right="145"/>
              <w:spacing w:after="0"/>
              <w:rPr>
                <w:sz w:val="20"/>
                <w:szCs w:val="20"/>
                <w:color w:val="auto"/>
              </w:rPr>
            </w:pPr>
            <w:r>
              <w:rPr>
                <w:rFonts w:ascii="Arial" w:cs="Arial" w:eastAsia="Arial" w:hAnsi="Arial"/>
                <w:sz w:val="15"/>
                <w:szCs w:val="15"/>
                <w:color w:val="auto"/>
              </w:rPr>
              <w:t>3/15/2024</w:t>
            </w:r>
          </w:p>
        </w:tc>
        <w:tc>
          <w:tcPr>
            <w:tcW w:w="1040" w:type="dxa"/>
            <w:vAlign w:val="bottom"/>
            <w:shd w:val="clear" w:color="auto" w:fill="E2E6F4"/>
          </w:tcPr>
          <w:p>
            <w:pPr>
              <w:jc w:val="right"/>
              <w:ind w:right="205"/>
              <w:spacing w:after="0"/>
              <w:rPr>
                <w:sz w:val="20"/>
                <w:szCs w:val="20"/>
                <w:color w:val="auto"/>
              </w:rPr>
            </w:pPr>
            <w:r>
              <w:rPr>
                <w:rFonts w:ascii="Arial" w:cs="Arial" w:eastAsia="Arial" w:hAnsi="Arial"/>
                <w:sz w:val="15"/>
                <w:szCs w:val="15"/>
                <w:color w:val="auto"/>
              </w:rPr>
              <w:t>17,696</w:t>
            </w:r>
          </w:p>
        </w:tc>
        <w:tc>
          <w:tcPr>
            <w:tcW w:w="1180" w:type="dxa"/>
            <w:vAlign w:val="bottom"/>
            <w:shd w:val="clear" w:color="auto" w:fill="E2E6F4"/>
          </w:tcPr>
          <w:p>
            <w:pPr>
              <w:ind w:left="7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60" w:type="dxa"/>
            <w:vAlign w:val="bottom"/>
            <w:shd w:val="clear" w:color="auto" w:fill="E2E6F4"/>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56"/>
        </w:trPr>
        <w:tc>
          <w:tcPr>
            <w:tcW w:w="4700" w:type="dxa"/>
            <w:vAlign w:val="bottom"/>
            <w:tcBorders>
              <w:bottom w:val="single" w:sz="8" w:color="E2E6F4"/>
            </w:tcBorders>
            <w:shd w:val="clear" w:color="auto" w:fill="E2E6F4"/>
          </w:tcPr>
          <w:p>
            <w:pPr>
              <w:spacing w:after="0"/>
              <w:rPr>
                <w:sz w:val="22"/>
                <w:szCs w:val="22"/>
                <w:color w:val="auto"/>
              </w:rPr>
            </w:pPr>
          </w:p>
        </w:tc>
        <w:tc>
          <w:tcPr>
            <w:tcW w:w="1020" w:type="dxa"/>
            <w:vAlign w:val="bottom"/>
            <w:tcBorders>
              <w:bottom w:val="single" w:sz="8" w:color="E2E6F4"/>
            </w:tcBorders>
            <w:shd w:val="clear" w:color="auto" w:fill="E2E6F4"/>
          </w:tcPr>
          <w:p>
            <w:pPr>
              <w:jc w:val="right"/>
              <w:ind w:right="145"/>
              <w:spacing w:after="0"/>
              <w:rPr>
                <w:sz w:val="20"/>
                <w:szCs w:val="20"/>
                <w:color w:val="auto"/>
              </w:rPr>
            </w:pPr>
            <w:r>
              <w:rPr>
                <w:rFonts w:ascii="Arial" w:cs="Arial" w:eastAsia="Arial" w:hAnsi="Arial"/>
                <w:sz w:val="15"/>
                <w:szCs w:val="15"/>
                <w:color w:val="auto"/>
              </w:rPr>
              <w:t>3/15/2025</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17,697</w:t>
            </w:r>
          </w:p>
        </w:tc>
        <w:tc>
          <w:tcPr>
            <w:tcW w:w="11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4700" w:type="dxa"/>
            <w:vAlign w:val="bottom"/>
          </w:tcPr>
          <w:p>
            <w:pPr>
              <w:ind w:left="20"/>
              <w:spacing w:after="0"/>
              <w:rPr>
                <w:sz w:val="20"/>
                <w:szCs w:val="20"/>
                <w:color w:val="auto"/>
              </w:rPr>
            </w:pPr>
            <w:r>
              <w:rPr>
                <w:rFonts w:ascii="Arial" w:cs="Arial" w:eastAsia="Arial" w:hAnsi="Arial"/>
                <w:sz w:val="15"/>
                <w:szCs w:val="15"/>
                <w:color w:val="auto"/>
              </w:rPr>
              <w:t>3/15/2021</w:t>
            </w: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3/15/2024</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80" w:type="dxa"/>
            <w:vAlign w:val="bottom"/>
          </w:tcPr>
          <w:p>
            <w:pPr>
              <w:ind w:left="740"/>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2,091</w:t>
            </w:r>
          </w:p>
        </w:tc>
      </w:tr>
      <w:tr>
        <w:trPr>
          <w:trHeight w:val="243"/>
        </w:trPr>
        <w:tc>
          <w:tcPr>
            <w:tcW w:w="4700" w:type="dxa"/>
            <w:vAlign w:val="bottom"/>
          </w:tcPr>
          <w:p>
            <w:pPr>
              <w:spacing w:after="0"/>
              <w:rPr>
                <w:sz w:val="21"/>
                <w:szCs w:val="21"/>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3/15/2025</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80" w:type="dxa"/>
            <w:vAlign w:val="bottom"/>
          </w:tcPr>
          <w:p>
            <w:pPr>
              <w:ind w:left="740"/>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2,092</w:t>
            </w:r>
          </w:p>
        </w:tc>
      </w:tr>
      <w:tr>
        <w:trPr>
          <w:trHeight w:val="33"/>
        </w:trPr>
        <w:tc>
          <w:tcPr>
            <w:tcW w:w="4700" w:type="dxa"/>
            <w:vAlign w:val="bottom"/>
            <w:tcBorders>
              <w:bottom w:val="single" w:sz="8" w:color="0067B3"/>
            </w:tcBorders>
          </w:tcPr>
          <w:p>
            <w:pPr>
              <w:spacing w:after="0"/>
              <w:rPr>
                <w:sz w:val="2"/>
                <w:szCs w:val="2"/>
                <w:color w:val="auto"/>
              </w:rPr>
            </w:pPr>
          </w:p>
        </w:tc>
        <w:tc>
          <w:tcPr>
            <w:tcW w:w="1020" w:type="dxa"/>
            <w:vAlign w:val="bottom"/>
            <w:tcBorders>
              <w:bottom w:val="single" w:sz="8" w:color="0067B3"/>
            </w:tcBorders>
          </w:tcPr>
          <w:p>
            <w:pPr>
              <w:spacing w:after="0"/>
              <w:rPr>
                <w:sz w:val="2"/>
                <w:szCs w:val="2"/>
                <w:color w:val="auto"/>
              </w:rPr>
            </w:pPr>
          </w:p>
        </w:tc>
        <w:tc>
          <w:tcPr>
            <w:tcW w:w="1040" w:type="dxa"/>
            <w:vAlign w:val="bottom"/>
            <w:tcBorders>
              <w:bottom w:val="single" w:sz="8" w:color="0067B3"/>
            </w:tcBorders>
          </w:tcPr>
          <w:p>
            <w:pPr>
              <w:spacing w:after="0"/>
              <w:rPr>
                <w:sz w:val="2"/>
                <w:szCs w:val="2"/>
                <w:color w:val="auto"/>
              </w:rPr>
            </w:pPr>
          </w:p>
        </w:tc>
        <w:tc>
          <w:tcPr>
            <w:tcW w:w="1180" w:type="dxa"/>
            <w:vAlign w:val="bottom"/>
            <w:tcBorders>
              <w:bottom w:val="single" w:sz="8" w:color="0067B3"/>
            </w:tcBorders>
          </w:tcPr>
          <w:p>
            <w:pPr>
              <w:spacing w:after="0"/>
              <w:rPr>
                <w:sz w:val="2"/>
                <w:szCs w:val="2"/>
                <w:color w:val="auto"/>
              </w:rPr>
            </w:pPr>
          </w:p>
        </w:tc>
        <w:tc>
          <w:tcPr>
            <w:tcW w:w="1120" w:type="dxa"/>
            <w:vAlign w:val="bottom"/>
            <w:tcBorders>
              <w:bottom w:val="single" w:sz="8" w:color="0067B3"/>
            </w:tcBorders>
          </w:tcPr>
          <w:p>
            <w:pPr>
              <w:spacing w:after="0"/>
              <w:rPr>
                <w:sz w:val="2"/>
                <w:szCs w:val="2"/>
                <w:color w:val="auto"/>
              </w:rPr>
            </w:pPr>
          </w:p>
        </w:tc>
        <w:tc>
          <w:tcPr>
            <w:tcW w:w="960" w:type="dxa"/>
            <w:vAlign w:val="bottom"/>
            <w:tcBorders>
              <w:bottom w:val="single" w:sz="8" w:color="0067B3"/>
            </w:tcBorders>
          </w:tcPr>
          <w:p>
            <w:pPr>
              <w:spacing w:after="0"/>
              <w:rPr>
                <w:sz w:val="2"/>
                <w:szCs w:val="2"/>
                <w:color w:val="auto"/>
              </w:rPr>
            </w:pPr>
          </w:p>
        </w:tc>
        <w:tc>
          <w:tcPr>
            <w:tcW w:w="780" w:type="dxa"/>
            <w:vAlign w:val="bottom"/>
            <w:tcBorders>
              <w:bottom w:val="single" w:sz="8" w:color="0067B3"/>
            </w:tcBorders>
          </w:tcPr>
          <w:p>
            <w:pPr>
              <w:spacing w:after="0"/>
              <w:rPr>
                <w:sz w:val="2"/>
                <w:szCs w:val="2"/>
                <w:color w:val="auto"/>
              </w:rPr>
            </w:pPr>
          </w:p>
        </w:tc>
      </w:tr>
    </w:tbl>
    <w:p>
      <w:pPr>
        <w:spacing w:after="0" w:line="188" w:lineRule="exact"/>
        <w:rPr>
          <w:sz w:val="20"/>
          <w:szCs w:val="20"/>
          <w:color w:val="auto"/>
        </w:rPr>
      </w:pPr>
    </w:p>
    <w:p>
      <w:pPr>
        <w:ind w:left="200" w:right="40" w:hanging="192"/>
        <w:spacing w:after="0"/>
        <w:tabs>
          <w:tab w:leader="none" w:pos="215"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the performance-based stock option will vest subject to the satisfaction of certain target stock price thresholds during a five-year period, measured on the basis of the average of the closing prices of ADI’s common stock over 70 consecutive trading days. On April 18, 2023, the Compensation and Talent Committee certified the attainment of the first target stock price threshold as of April 12, 2023. As a result, Mr. Roche received an option to purchase 151,800 shares of common stock, which is exercisable beginning on April 12, 2024.</w:t>
      </w:r>
    </w:p>
    <w:p>
      <w:pPr>
        <w:spacing w:after="0" w:line="57" w:lineRule="exact"/>
        <w:rPr>
          <w:rFonts w:ascii="Arial" w:cs="Arial" w:eastAsia="Arial" w:hAnsi="Arial"/>
          <w:sz w:val="21"/>
          <w:szCs w:val="21"/>
          <w:color w:val="auto"/>
          <w:vertAlign w:val="superscript"/>
        </w:rPr>
      </w:pPr>
    </w:p>
    <w:p>
      <w:pPr>
        <w:ind w:left="200" w:right="460" w:hanging="192"/>
        <w:spacing w:after="0" w:line="227" w:lineRule="auto"/>
        <w:tabs>
          <w:tab w:leader="none" w:pos="215"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The expiration date of each stock option award is ten years after its grant date. The expiration date for Mr. Mahendra-Rajah’s stock option awards is January 28, 2024 (90 days from his termination date).</w:t>
      </w:r>
    </w:p>
    <w:p>
      <w:pPr>
        <w:spacing w:after="0" w:line="56" w:lineRule="exact"/>
        <w:rPr>
          <w:rFonts w:ascii="Arial" w:cs="Arial" w:eastAsia="Arial" w:hAnsi="Arial"/>
          <w:sz w:val="21"/>
          <w:szCs w:val="21"/>
          <w:color w:val="auto"/>
          <w:vertAlign w:val="superscript"/>
        </w:rPr>
      </w:pPr>
    </w:p>
    <w:p>
      <w:pPr>
        <w:ind w:left="200" w:right="60" w:hanging="192"/>
        <w:spacing w:after="0" w:line="238" w:lineRule="auto"/>
        <w:tabs>
          <w:tab w:leader="none" w:pos="215"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The time-based RSUs granted in 2020 and 2021 (other than those granted to Mr. Jain) vest in four equal installments on the first, second, third and fourth anniversaries of the grant date. The time-based RSUs granted in 2022 (other than those granted to Mr. Bryant on March 15, 2022) vest in four equal installments</w:t>
      </w:r>
    </w:p>
    <w:p>
      <w:pPr>
        <w:spacing w:after="0" w:line="30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98" w:gutter="0" w:footer="0" w:header="0"/>
        </w:sectPr>
      </w:pPr>
    </w:p>
    <w:bookmarkStart w:id="85" w:name="page86"/>
    <w:bookmarkEnd w:id="85"/>
    <w:p>
      <w:pPr>
        <w:ind w:left="192"/>
        <w:spacing w:after="0" w:line="262" w:lineRule="auto"/>
        <w:rPr>
          <w:sz w:val="20"/>
          <w:szCs w:val="20"/>
          <w:color w:val="auto"/>
        </w:rPr>
      </w:pPr>
      <w:r>
        <w:rPr>
          <w:rFonts w:ascii="Arial" w:cs="Arial" w:eastAsia="Arial" w:hAnsi="Arial"/>
          <w:sz w:val="16"/>
          <w:szCs w:val="16"/>
          <w:color w:val="auto"/>
        </w:rPr>
        <w:t xml:space="preserve">on each of the first, second, third and fourth anniversaries of March 15, 2022. The restricted stock awards granted to Mr. Jain in 2020 vest in four equal increments on February 15, 2024; May 15, 2024; August 15, 2024; and November 15, 2024. The time-based RSUs granted to Mr. Jain in 2021 vest in four equal increments on February 15, 2025; May 15, 2025; August 15, 2025; and November 15, 2025. The time-based RSUs granted to Mr. Bryant on March 15, 2022 vest as follows: (i) the 34,827 RSUs granted vest in four equal annual installments on the first, second, third, and fourth anniversaries of March 15, 2021 and (ii) 35,187 time-based RSUs vest in full on the third anniversary of March 15, 2022 as described in our 2023 Proxy Statement under the heading </w:t>
      </w:r>
      <w:r>
        <w:rPr>
          <w:rFonts w:ascii="Arial" w:cs="Arial" w:eastAsia="Arial" w:hAnsi="Arial"/>
          <w:sz w:val="16"/>
          <w:szCs w:val="16"/>
          <w:i w:val="1"/>
          <w:iCs w:val="1"/>
          <w:color w:val="auto"/>
        </w:rPr>
        <w:t>Equity Vehicle Structure - New Hire Equity Awards</w:t>
      </w:r>
      <w:r>
        <w:rPr>
          <w:rFonts w:ascii="Arial" w:cs="Arial" w:eastAsia="Arial" w:hAnsi="Arial"/>
          <w:sz w:val="16"/>
          <w:szCs w:val="16"/>
          <w:color w:val="auto"/>
        </w:rPr>
        <w:t>. The time-based RSUs granted in 2023 vest in four equal installments on the first, second, third and fourth anniversaries of March 15, 2023.</w:t>
      </w:r>
    </w:p>
    <w:p>
      <w:pPr>
        <w:spacing w:after="0" w:line="25" w:lineRule="exact"/>
        <w:rPr>
          <w:sz w:val="20"/>
          <w:szCs w:val="20"/>
          <w:color w:val="auto"/>
        </w:rPr>
      </w:pPr>
    </w:p>
    <w:p>
      <w:pPr>
        <w:ind w:left="192" w:right="160" w:hanging="192"/>
        <w:spacing w:after="0" w:line="235" w:lineRule="auto"/>
        <w:tabs>
          <w:tab w:leader="none" w:pos="207"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market value was calculated based on $160.57, the closing price per share of our common stock on October 27, 2023, the last trading day of fiscal year 2023.</w:t>
      </w:r>
    </w:p>
    <w:p>
      <w:pPr>
        <w:spacing w:after="0" w:line="55" w:lineRule="exact"/>
        <w:rPr>
          <w:rFonts w:ascii="Arial" w:cs="Arial" w:eastAsia="Arial" w:hAnsi="Arial"/>
          <w:sz w:val="21"/>
          <w:szCs w:val="21"/>
          <w:color w:val="auto"/>
          <w:vertAlign w:val="superscript"/>
        </w:rPr>
      </w:pPr>
    </w:p>
    <w:p>
      <w:pPr>
        <w:ind w:left="192" w:right="420" w:hanging="192"/>
        <w:spacing w:after="0" w:line="227" w:lineRule="auto"/>
        <w:tabs>
          <w:tab w:leader="none" w:pos="207"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On April 18, 2023, the Compensation and Talent Committee certified the attainment of the first target stock price threshold as of April 12, 2023. As a result, Mr. Roche received an option to purchase 151,800 shares of common stock, which is exercisable beginning on April 12, 2024.</w:t>
      </w:r>
    </w:p>
    <w:p>
      <w:pPr>
        <w:spacing w:after="0" w:line="56" w:lineRule="exact"/>
        <w:rPr>
          <w:rFonts w:ascii="Arial" w:cs="Arial" w:eastAsia="Arial" w:hAnsi="Arial"/>
          <w:sz w:val="21"/>
          <w:szCs w:val="21"/>
          <w:color w:val="auto"/>
          <w:vertAlign w:val="superscript"/>
        </w:rPr>
      </w:pPr>
    </w:p>
    <w:p>
      <w:pPr>
        <w:ind w:left="192" w:right="20" w:hanging="192"/>
        <w:spacing w:after="0" w:line="233" w:lineRule="auto"/>
        <w:tabs>
          <w:tab w:leader="none" w:pos="207"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2021 is contingent upon the achievement of pre-established performance parameters over a three-year performance period beginning on the grant date and ending on the third anniversary of the grant date and vest on March 25, 2024.</w:t>
      </w:r>
    </w:p>
    <w:p>
      <w:pPr>
        <w:spacing w:after="0" w:line="56" w:lineRule="exact"/>
        <w:rPr>
          <w:rFonts w:ascii="Arial" w:cs="Arial" w:eastAsia="Arial" w:hAnsi="Arial"/>
          <w:sz w:val="21"/>
          <w:szCs w:val="21"/>
          <w:color w:val="auto"/>
          <w:vertAlign w:val="superscript"/>
        </w:rPr>
      </w:pPr>
    </w:p>
    <w:p>
      <w:pPr>
        <w:jc w:val="both"/>
        <w:ind w:left="192" w:right="80" w:hanging="192"/>
        <w:spacing w:after="0" w:line="238" w:lineRule="auto"/>
        <w:tabs>
          <w:tab w:leader="none" w:pos="207"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Financial Metric PRSU awards granted in 2021, 2022 and 2023 will vest on March 15, 2024, March 15, 2025 and March 15, 2026, respectively, subject to the level of attainment of the performance parameters achieved over the applicable three-year performance period.</w:t>
      </w:r>
    </w:p>
    <w:p>
      <w:pPr>
        <w:spacing w:after="0" w:line="57" w:lineRule="exact"/>
        <w:rPr>
          <w:rFonts w:ascii="Arial" w:cs="Arial" w:eastAsia="Arial" w:hAnsi="Arial"/>
          <w:sz w:val="21"/>
          <w:szCs w:val="21"/>
          <w:color w:val="auto"/>
          <w:vertAlign w:val="superscript"/>
        </w:rPr>
      </w:pPr>
    </w:p>
    <w:p>
      <w:pPr>
        <w:ind w:left="192" w:right="20" w:hanging="192"/>
        <w:spacing w:after="0" w:line="227" w:lineRule="auto"/>
        <w:tabs>
          <w:tab w:leader="none" w:pos="207"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2022 is contingent upon the achievement of pre-established performance parameters over a three-year performance period beginning on March 15, 2022 and ending on March 15, 2025 and vest on March 29, 2025.</w:t>
      </w:r>
    </w:p>
    <w:p>
      <w:pPr>
        <w:spacing w:after="0" w:line="56" w:lineRule="exact"/>
        <w:rPr>
          <w:rFonts w:ascii="Arial" w:cs="Arial" w:eastAsia="Arial" w:hAnsi="Arial"/>
          <w:sz w:val="21"/>
          <w:szCs w:val="21"/>
          <w:color w:val="auto"/>
          <w:vertAlign w:val="superscript"/>
        </w:rPr>
      </w:pPr>
    </w:p>
    <w:p>
      <w:pPr>
        <w:ind w:left="192" w:right="20" w:hanging="192"/>
        <w:spacing w:after="0" w:line="257" w:lineRule="auto"/>
        <w:tabs>
          <w:tab w:leader="none" w:pos="225" w:val="left"/>
        </w:tabs>
        <w:numPr>
          <w:ilvl w:val="0"/>
          <w:numId w:val="126"/>
        </w:numPr>
        <w:rPr>
          <w:rFonts w:ascii="Arial" w:cs="Arial" w:eastAsia="Arial" w:hAnsi="Arial"/>
          <w:sz w:val="19"/>
          <w:szCs w:val="19"/>
          <w:color w:val="auto"/>
          <w:vertAlign w:val="superscript"/>
        </w:rPr>
      </w:pPr>
      <w:r>
        <w:rPr>
          <w:rFonts w:ascii="Arial" w:cs="Arial" w:eastAsia="Arial" w:hAnsi="Arial"/>
          <w:sz w:val="15"/>
          <w:szCs w:val="15"/>
          <w:color w:val="auto"/>
        </w:rPr>
        <w:t>The number of shares, if any, earned under Relative TSR PRSU awards granted in 2023 is contingent upon the achievement of pre-established performance parameters over a three-year performance period beginning on March 15, 2023 and ending on March 15, 2026 and vest on March 29, 2026.</w:t>
      </w:r>
    </w:p>
    <w:p>
      <w:pPr>
        <w:spacing w:after="0" w:line="40" w:lineRule="exact"/>
        <w:rPr>
          <w:rFonts w:ascii="Arial" w:cs="Arial" w:eastAsia="Arial" w:hAnsi="Arial"/>
          <w:sz w:val="19"/>
          <w:szCs w:val="19"/>
          <w:color w:val="auto"/>
          <w:vertAlign w:val="superscript"/>
        </w:rPr>
      </w:pPr>
    </w:p>
    <w:p>
      <w:pPr>
        <w:ind w:left="212" w:hanging="212"/>
        <w:spacing w:after="0"/>
        <w:tabs>
          <w:tab w:leader="none" w:pos="212" w:val="left"/>
        </w:tabs>
        <w:numPr>
          <w:ilvl w:val="0"/>
          <w:numId w:val="126"/>
        </w:numPr>
        <w:rPr>
          <w:rFonts w:ascii="Arial" w:cs="Arial" w:eastAsia="Arial" w:hAnsi="Arial"/>
          <w:sz w:val="17"/>
          <w:szCs w:val="17"/>
          <w:color w:val="auto"/>
          <w:vertAlign w:val="superscript"/>
        </w:rPr>
      </w:pPr>
      <w:r>
        <w:rPr>
          <w:rFonts w:ascii="Arial" w:cs="Arial" w:eastAsia="Arial" w:hAnsi="Arial"/>
          <w:sz w:val="13"/>
          <w:szCs w:val="13"/>
          <w:color w:val="auto"/>
        </w:rPr>
        <w:t>Mr. Mahendra-Rajah served as our Executive Vice President, Finance and Chief Financial Officer until October 28, 2023.</w:t>
      </w:r>
    </w:p>
    <w:p>
      <w:pPr>
        <w:spacing w:after="0" w:line="74" w:lineRule="exact"/>
        <w:rPr>
          <w:rFonts w:ascii="Arial" w:cs="Arial" w:eastAsia="Arial" w:hAnsi="Arial"/>
          <w:sz w:val="17"/>
          <w:szCs w:val="17"/>
          <w:color w:val="auto"/>
          <w:vertAlign w:val="superscript"/>
        </w:rPr>
      </w:pPr>
    </w:p>
    <w:p>
      <w:pPr>
        <w:ind w:left="232" w:hanging="232"/>
        <w:spacing w:after="0" w:line="235" w:lineRule="auto"/>
        <w:tabs>
          <w:tab w:leader="none" w:pos="232" w:val="left"/>
        </w:tabs>
        <w:numPr>
          <w:ilvl w:val="0"/>
          <w:numId w:val="126"/>
        </w:numPr>
        <w:rPr>
          <w:rFonts w:ascii="Arial" w:cs="Arial" w:eastAsia="Arial" w:hAnsi="Arial"/>
          <w:sz w:val="19"/>
          <w:szCs w:val="19"/>
          <w:color w:val="auto"/>
          <w:vertAlign w:val="superscript"/>
        </w:rPr>
      </w:pPr>
      <w:r>
        <w:rPr>
          <w:rFonts w:ascii="Arial" w:cs="Arial" w:eastAsia="Arial" w:hAnsi="Arial"/>
          <w:sz w:val="15"/>
          <w:szCs w:val="15"/>
          <w:color w:val="auto"/>
        </w:rPr>
        <w:t>The expiration date for Mr. Mahendra-Rajah’s stock option awards is January 28, 2024 (90 days from his termination date).</w:t>
      </w:r>
    </w:p>
    <w:p>
      <w:pPr>
        <w:spacing w:after="0" w:line="56" w:lineRule="exact"/>
        <w:rPr>
          <w:rFonts w:ascii="Arial" w:cs="Arial" w:eastAsia="Arial" w:hAnsi="Arial"/>
          <w:sz w:val="19"/>
          <w:szCs w:val="19"/>
          <w:color w:val="auto"/>
          <w:vertAlign w:val="superscript"/>
        </w:rPr>
      </w:pPr>
    </w:p>
    <w:p>
      <w:pPr>
        <w:ind w:left="192" w:right="120" w:hanging="192"/>
        <w:spacing w:after="0" w:line="258" w:lineRule="auto"/>
        <w:tabs>
          <w:tab w:leader="none" w:pos="225" w:val="left"/>
        </w:tabs>
        <w:numPr>
          <w:ilvl w:val="0"/>
          <w:numId w:val="126"/>
        </w:numPr>
        <w:rPr>
          <w:rFonts w:ascii="Arial" w:cs="Arial" w:eastAsia="Arial" w:hAnsi="Arial"/>
          <w:sz w:val="19"/>
          <w:szCs w:val="19"/>
          <w:color w:val="auto"/>
          <w:vertAlign w:val="superscript"/>
        </w:rPr>
      </w:pPr>
      <w:r>
        <w:rPr>
          <w:rFonts w:ascii="Arial" w:cs="Arial" w:eastAsia="Arial" w:hAnsi="Arial"/>
          <w:sz w:val="15"/>
          <w:szCs w:val="15"/>
          <w:color w:val="auto"/>
        </w:rPr>
        <w:t xml:space="preserve">The number of shares, if any, earned under Mr. Bryant’s new-hire PRSU award granted during 2022 will vest over a four-year performance period from March 15, 2022 to March 15, 2026 subject to attainment of certain price hurdles as are described in our 2023 Proxy Statement under the heading </w:t>
      </w:r>
      <w:r>
        <w:rPr>
          <w:rFonts w:ascii="Arial" w:cs="Arial" w:eastAsia="Arial" w:hAnsi="Arial"/>
          <w:sz w:val="15"/>
          <w:szCs w:val="15"/>
          <w:i w:val="1"/>
          <w:iCs w:val="1"/>
          <w:color w:val="auto"/>
        </w:rPr>
        <w:t>Equity</w:t>
      </w:r>
      <w:r>
        <w:rPr>
          <w:rFonts w:ascii="Arial" w:cs="Arial" w:eastAsia="Arial" w:hAnsi="Arial"/>
          <w:sz w:val="15"/>
          <w:szCs w:val="15"/>
          <w:color w:val="auto"/>
        </w:rPr>
        <w:t xml:space="preserve"> </w:t>
      </w:r>
      <w:r>
        <w:rPr>
          <w:rFonts w:ascii="Arial" w:cs="Arial" w:eastAsia="Arial" w:hAnsi="Arial"/>
          <w:sz w:val="15"/>
          <w:szCs w:val="15"/>
          <w:i w:val="1"/>
          <w:iCs w:val="1"/>
          <w:color w:val="auto"/>
        </w:rPr>
        <w:t>Vehicle Structure - New-Hire Equity Awards</w:t>
      </w:r>
      <w:r>
        <w:rPr>
          <w:rFonts w:ascii="Arial" w:cs="Arial" w:eastAsia="Arial" w:hAnsi="Arial"/>
          <w:sz w:val="15"/>
          <w:szCs w:val="15"/>
          <w:color w:val="auto"/>
        </w:rPr>
        <w:t>.</w:t>
      </w:r>
    </w:p>
    <w:p>
      <w:pPr>
        <w:spacing w:after="0" w:line="200" w:lineRule="exact"/>
        <w:rPr>
          <w:sz w:val="20"/>
          <w:szCs w:val="20"/>
          <w:color w:val="auto"/>
        </w:rPr>
      </w:pPr>
    </w:p>
    <w:p>
      <w:pPr>
        <w:spacing w:after="0" w:line="259" w:lineRule="exact"/>
        <w:rPr>
          <w:sz w:val="20"/>
          <w:szCs w:val="20"/>
          <w:color w:val="auto"/>
        </w:rPr>
      </w:pPr>
    </w:p>
    <w:p>
      <w:pPr>
        <w:ind w:left="472" w:hanging="454"/>
        <w:spacing w:after="0"/>
        <w:tabs>
          <w:tab w:leader="none" w:pos="472" w:val="left"/>
        </w:tabs>
        <w:numPr>
          <w:ilvl w:val="0"/>
          <w:numId w:val="127"/>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185420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78" w:right="379" w:bottom="1440" w:gutter="0" w:footer="0" w:header="0"/>
        </w:sectPr>
      </w:pPr>
    </w:p>
    <w:bookmarkStart w:id="86" w:name="page87"/>
    <w:bookmarkEnd w:id="86"/>
    <w:p>
      <w:pPr>
        <w:spacing w:after="0"/>
        <w:rPr>
          <w:sz w:val="20"/>
          <w:szCs w:val="20"/>
          <w:color w:val="auto"/>
        </w:rPr>
      </w:pPr>
      <w:r>
        <w:rPr>
          <w:rFonts w:ascii="Arial" w:cs="Arial" w:eastAsia="Arial" w:hAnsi="Arial"/>
          <w:sz w:val="32"/>
          <w:szCs w:val="32"/>
          <w:b w:val="1"/>
          <w:bCs w:val="1"/>
          <w:color w:val="auto"/>
        </w:rPr>
        <w:t>Option Exercises and Stock Vested During Fiscal Year 2023</w:t>
      </w:r>
    </w:p>
    <w:p>
      <w:pPr>
        <w:spacing w:after="0" w:line="15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provides information on the aggregate value realized by each NEO upon the exercise of stock options and the vesting of restricted stock units/awards, time-based RSUs and PRSUs during fiscal year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067B3"/>
          </w:tcPr>
          <w:p>
            <w:pPr>
              <w:spacing w:after="0"/>
              <w:rPr>
                <w:sz w:val="21"/>
                <w:szCs w:val="21"/>
                <w:color w:val="auto"/>
              </w:rPr>
            </w:pPr>
          </w:p>
        </w:tc>
        <w:tc>
          <w:tcPr>
            <w:tcW w:w="3620" w:type="dxa"/>
            <w:vAlign w:val="bottom"/>
            <w:gridSpan w:val="2"/>
            <w:shd w:val="clear" w:color="auto" w:fill="0067B3"/>
          </w:tcPr>
          <w:p>
            <w:pPr>
              <w:jc w:val="right"/>
              <w:ind w:right="1213"/>
              <w:spacing w:after="0"/>
              <w:rPr>
                <w:sz w:val="20"/>
                <w:szCs w:val="20"/>
                <w:color w:val="auto"/>
              </w:rPr>
            </w:pPr>
            <w:r>
              <w:rPr>
                <w:rFonts w:ascii="Arial" w:cs="Arial" w:eastAsia="Arial" w:hAnsi="Arial"/>
                <w:sz w:val="16"/>
                <w:szCs w:val="16"/>
                <w:b w:val="1"/>
                <w:bCs w:val="1"/>
                <w:color w:val="FFFFFF"/>
              </w:rPr>
              <w:t>Option Awards</w:t>
            </w:r>
          </w:p>
        </w:tc>
        <w:tc>
          <w:tcPr>
            <w:tcW w:w="3540" w:type="dxa"/>
            <w:vAlign w:val="bottom"/>
            <w:gridSpan w:val="2"/>
            <w:shd w:val="clear" w:color="auto" w:fill="0067B3"/>
          </w:tcPr>
          <w:p>
            <w:pPr>
              <w:jc w:val="right"/>
              <w:ind w:right="1093"/>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9"/>
        </w:trPr>
        <w:tc>
          <w:tcPr>
            <w:tcW w:w="4080" w:type="dxa"/>
            <w:vAlign w:val="bottom"/>
            <w:shd w:val="clear" w:color="auto" w:fill="0067B3"/>
          </w:tcPr>
          <w:p>
            <w:pPr>
              <w:spacing w:after="0"/>
              <w:rPr>
                <w:sz w:val="19"/>
                <w:szCs w:val="19"/>
                <w:color w:val="auto"/>
              </w:rPr>
            </w:pPr>
          </w:p>
        </w:tc>
        <w:tc>
          <w:tcPr>
            <w:tcW w:w="2120" w:type="dxa"/>
            <w:vAlign w:val="bottom"/>
            <w:vMerge w:val="restart"/>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Value Realized</w:t>
            </w:r>
          </w:p>
        </w:tc>
        <w:tc>
          <w:tcPr>
            <w:tcW w:w="2160" w:type="dxa"/>
            <w:vAlign w:val="bottom"/>
            <w:vMerge w:val="restart"/>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 Realized</w:t>
            </w:r>
          </w:p>
        </w:tc>
        <w:tc>
          <w:tcPr>
            <w:tcW w:w="0" w:type="dxa"/>
            <w:vAlign w:val="bottom"/>
          </w:tcPr>
          <w:p>
            <w:pPr>
              <w:spacing w:after="0"/>
              <w:rPr>
                <w:sz w:val="1"/>
                <w:szCs w:val="1"/>
                <w:color w:val="auto"/>
              </w:rPr>
            </w:pPr>
          </w:p>
        </w:tc>
      </w:tr>
      <w:tr>
        <w:trPr>
          <w:trHeight w:val="189"/>
        </w:trPr>
        <w:tc>
          <w:tcPr>
            <w:tcW w:w="4080" w:type="dxa"/>
            <w:vAlign w:val="bottom"/>
            <w:shd w:val="clear" w:color="auto" w:fill="0067B3"/>
          </w:tcPr>
          <w:p>
            <w:pPr>
              <w:spacing w:after="0"/>
              <w:rPr>
                <w:sz w:val="16"/>
                <w:szCs w:val="16"/>
                <w:color w:val="auto"/>
              </w:rPr>
            </w:pPr>
          </w:p>
        </w:tc>
        <w:tc>
          <w:tcPr>
            <w:tcW w:w="2120" w:type="dxa"/>
            <w:vAlign w:val="bottom"/>
            <w:vMerge w:val="continue"/>
            <w:shd w:val="clear" w:color="auto" w:fill="0067B3"/>
          </w:tcPr>
          <w:p>
            <w:pPr>
              <w:spacing w:after="0"/>
              <w:rPr>
                <w:sz w:val="16"/>
                <w:szCs w:val="16"/>
                <w:color w:val="auto"/>
              </w:rPr>
            </w:pPr>
          </w:p>
        </w:tc>
        <w:tc>
          <w:tcPr>
            <w:tcW w:w="150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on Exercise</w:t>
            </w:r>
          </w:p>
        </w:tc>
        <w:tc>
          <w:tcPr>
            <w:tcW w:w="2160" w:type="dxa"/>
            <w:vAlign w:val="bottom"/>
            <w:vMerge w:val="continue"/>
            <w:shd w:val="clear" w:color="auto" w:fill="0067B3"/>
          </w:tcPr>
          <w:p>
            <w:pPr>
              <w:spacing w:after="0"/>
              <w:rPr>
                <w:sz w:val="16"/>
                <w:szCs w:val="16"/>
                <w:color w:val="auto"/>
              </w:rPr>
            </w:pP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on Vesting</w:t>
            </w:r>
          </w:p>
        </w:tc>
        <w:tc>
          <w:tcPr>
            <w:tcW w:w="0" w:type="dxa"/>
            <w:vAlign w:val="bottom"/>
          </w:tcPr>
          <w:p>
            <w:pPr>
              <w:spacing w:after="0"/>
              <w:rPr>
                <w:sz w:val="1"/>
                <w:szCs w:val="1"/>
                <w:color w:val="auto"/>
              </w:rPr>
            </w:pPr>
          </w:p>
        </w:tc>
      </w:tr>
      <w:tr>
        <w:trPr>
          <w:trHeight w:val="230"/>
        </w:trPr>
        <w:tc>
          <w:tcPr>
            <w:tcW w:w="40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Grant Date</w:t>
            </w:r>
          </w:p>
        </w:tc>
        <w:tc>
          <w:tcPr>
            <w:tcW w:w="212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Exercise (#)</w:t>
            </w:r>
          </w:p>
        </w:tc>
        <w:tc>
          <w:tcPr>
            <w:tcW w:w="1500" w:type="dxa"/>
            <w:vAlign w:val="bottom"/>
            <w:shd w:val="clear" w:color="auto" w:fill="0067B3"/>
          </w:tcPr>
          <w:p>
            <w:pPr>
              <w:jc w:val="right"/>
              <w:ind w:right="53"/>
              <w:spacing w:after="0" w:line="23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216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Vesting (#)</w:t>
            </w:r>
          </w:p>
        </w:tc>
        <w:tc>
          <w:tcPr>
            <w:tcW w:w="1380" w:type="dxa"/>
            <w:vAlign w:val="bottom"/>
            <w:shd w:val="clear" w:color="auto" w:fill="0067B3"/>
          </w:tcPr>
          <w:p>
            <w:pPr>
              <w:jc w:val="right"/>
              <w:spacing w:after="0" w:line="23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0" w:type="dxa"/>
            <w:vAlign w:val="bottom"/>
          </w:tcPr>
          <w:p>
            <w:pPr>
              <w:spacing w:after="0"/>
              <w:rPr>
                <w:sz w:val="1"/>
                <w:szCs w:val="1"/>
                <w:color w:val="auto"/>
              </w:rPr>
            </w:pPr>
          </w:p>
        </w:tc>
      </w:tr>
      <w:tr>
        <w:trPr>
          <w:trHeight w:val="270"/>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55,000</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5,437,953</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105,826</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19,400,073</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(3)</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65,592</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5,946,552</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67,371</w:t>
            </w:r>
          </w:p>
        </w:tc>
        <w:tc>
          <w:tcPr>
            <w:tcW w:w="1380" w:type="dxa"/>
            <w:vAlign w:val="bottom"/>
          </w:tcPr>
          <w:p>
            <w:pPr>
              <w:jc w:val="right"/>
              <w:spacing w:after="0"/>
              <w:rPr>
                <w:sz w:val="20"/>
                <w:szCs w:val="20"/>
                <w:color w:val="auto"/>
              </w:rPr>
            </w:pPr>
            <w:r>
              <w:rPr>
                <w:rFonts w:ascii="Arial" w:cs="Arial" w:eastAsia="Arial" w:hAnsi="Arial"/>
                <w:sz w:val="18"/>
                <w:szCs w:val="18"/>
                <w:color w:val="auto"/>
              </w:rPr>
              <w:t>11,435,021</w:t>
            </w:r>
          </w:p>
        </w:tc>
        <w:tc>
          <w:tcPr>
            <w:tcW w:w="0" w:type="dxa"/>
            <w:vAlign w:val="bottom"/>
          </w:tcPr>
          <w:p>
            <w:pPr>
              <w:spacing w:after="0"/>
              <w:rPr>
                <w:sz w:val="1"/>
                <w:szCs w:val="1"/>
                <w:color w:val="auto"/>
              </w:rPr>
            </w:pPr>
          </w:p>
        </w:tc>
      </w:tr>
      <w:tr>
        <w:trPr>
          <w:trHeight w:val="270"/>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12,880</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2,356,138</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29,548</w:t>
            </w:r>
          </w:p>
        </w:tc>
        <w:tc>
          <w:tcPr>
            <w:tcW w:w="1380" w:type="dxa"/>
            <w:vAlign w:val="bottom"/>
          </w:tcPr>
          <w:p>
            <w:pPr>
              <w:jc w:val="right"/>
              <w:spacing w:after="0"/>
              <w:rPr>
                <w:sz w:val="20"/>
                <w:szCs w:val="20"/>
                <w:color w:val="auto"/>
              </w:rPr>
            </w:pPr>
            <w:r>
              <w:rPr>
                <w:rFonts w:ascii="Arial" w:cs="Arial" w:eastAsia="Arial" w:hAnsi="Arial"/>
                <w:sz w:val="18"/>
                <w:szCs w:val="18"/>
                <w:color w:val="auto"/>
              </w:rPr>
              <w:t>4,874,168</w:t>
            </w:r>
          </w:p>
        </w:tc>
        <w:tc>
          <w:tcPr>
            <w:tcW w:w="0" w:type="dxa"/>
            <w:vAlign w:val="bottom"/>
          </w:tcPr>
          <w:p>
            <w:pPr>
              <w:spacing w:after="0"/>
              <w:rPr>
                <w:sz w:val="1"/>
                <w:szCs w:val="1"/>
                <w:color w:val="auto"/>
              </w:rPr>
            </w:pPr>
          </w:p>
        </w:tc>
      </w:tr>
      <w:tr>
        <w:trPr>
          <w:trHeight w:val="271"/>
        </w:trPr>
        <w:tc>
          <w:tcPr>
            <w:tcW w:w="40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120" w:type="dxa"/>
            <w:vAlign w:val="bottom"/>
            <w:tcBorders>
              <w:bottom w:val="single" w:sz="8" w:color="0067B3"/>
            </w:tcBorders>
            <w:shd w:val="clear" w:color="auto" w:fill="E2E6F4"/>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0067B3"/>
            </w:tcBorders>
            <w:shd w:val="clear" w:color="auto" w:fill="E2E6F4"/>
          </w:tcPr>
          <w:p>
            <w:pPr>
              <w:jc w:val="right"/>
              <w:ind w:right="173"/>
              <w:spacing w:after="0"/>
              <w:rPr>
                <w:sz w:val="20"/>
                <w:szCs w:val="20"/>
                <w:color w:val="auto"/>
              </w:rPr>
            </w:pPr>
            <w:r>
              <w:rPr>
                <w:rFonts w:ascii="Arial" w:cs="Arial" w:eastAsia="Arial" w:hAnsi="Arial"/>
                <w:sz w:val="18"/>
                <w:szCs w:val="18"/>
                <w:color w:val="auto"/>
              </w:rPr>
              <w:t>25,942</w:t>
            </w:r>
          </w:p>
        </w:tc>
        <w:tc>
          <w:tcPr>
            <w:tcW w:w="13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4,219,043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-1276985</wp:posOffset>
            </wp:positionV>
            <wp:extent cx="45516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68" w:lineRule="exact"/>
        <w:rPr>
          <w:sz w:val="20"/>
          <w:szCs w:val="20"/>
          <w:color w:val="auto"/>
        </w:rPr>
      </w:pPr>
    </w:p>
    <w:p>
      <w:pPr>
        <w:ind w:left="200" w:right="440" w:hanging="192"/>
        <w:spacing w:after="0" w:line="227" w:lineRule="auto"/>
        <w:tabs>
          <w:tab w:leader="none" w:pos="215"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difference between the closing price per share of our common stock on the date of exercise and the exercise price per share, multiplied by the number of shares acquired on exercise.</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Non-Qualified Deferred Compensation Plan</w:t>
      </w:r>
    </w:p>
    <w:p>
      <w:pPr>
        <w:spacing w:after="0" w:line="15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executive officers, including our NEOs, and key employees will be delayed six months or as otherwise required by relevant tax regulations.</w:t>
      </w:r>
    </w:p>
    <w:p>
      <w:pPr>
        <w:spacing w:after="0" w:line="340" w:lineRule="exact"/>
        <w:rPr>
          <w:sz w:val="20"/>
          <w:szCs w:val="20"/>
          <w:color w:val="auto"/>
        </w:rPr>
      </w:pPr>
    </w:p>
    <w:p>
      <w:pPr>
        <w:jc w:val="right"/>
        <w:ind w:right="20"/>
        <w:spacing w:after="0"/>
        <w:tabs>
          <w:tab w:leader="none" w:pos="22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 shows the non-qualified deferred compensation activity for the NEOs during fiscal year 2023.</w:t>
      </w: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Non-Qualified Deferred Compensation for Fiscal Year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60" w:type="dxa"/>
            <w:vAlign w:val="bottom"/>
            <w:shd w:val="clear" w:color="auto" w:fill="0067B3"/>
          </w:tcPr>
          <w:p>
            <w:pPr>
              <w:spacing w:after="0"/>
              <w:rPr>
                <w:sz w:val="17"/>
                <w:szCs w:val="17"/>
                <w:color w:val="auto"/>
              </w:rPr>
            </w:pPr>
          </w:p>
        </w:tc>
        <w:tc>
          <w:tcPr>
            <w:tcW w:w="2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Executive</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ADI</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Aggregate</w:t>
            </w:r>
          </w:p>
        </w:tc>
        <w:tc>
          <w:tcPr>
            <w:tcW w:w="1400" w:type="dxa"/>
            <w:vAlign w:val="bottom"/>
            <w:shd w:val="clear" w:color="auto" w:fill="0067B3"/>
          </w:tcPr>
          <w:p>
            <w:pPr>
              <w:spacing w:after="0"/>
              <w:rPr>
                <w:sz w:val="17"/>
                <w:szCs w:val="17"/>
                <w:color w:val="auto"/>
              </w:rPr>
            </w:pP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3460" w:type="dxa"/>
            <w:vAlign w:val="bottom"/>
            <w:shd w:val="clear" w:color="auto" w:fill="0067B3"/>
          </w:tcPr>
          <w:p>
            <w:pPr>
              <w:spacing w:after="0"/>
              <w:rPr>
                <w:sz w:val="16"/>
                <w:szCs w:val="16"/>
                <w:color w:val="auto"/>
              </w:rPr>
            </w:pPr>
          </w:p>
        </w:tc>
        <w:tc>
          <w:tcPr>
            <w:tcW w:w="2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Contributions in</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Contributions in</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Earnings in</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Aggregate</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Balance at</w:t>
            </w:r>
          </w:p>
        </w:tc>
      </w:tr>
      <w:tr>
        <w:trPr>
          <w:trHeight w:val="203"/>
        </w:trPr>
        <w:tc>
          <w:tcPr>
            <w:tcW w:w="3460" w:type="dxa"/>
            <w:vAlign w:val="bottom"/>
            <w:shd w:val="clear" w:color="auto" w:fill="0067B3"/>
          </w:tcPr>
          <w:p>
            <w:pPr>
              <w:spacing w:after="0"/>
              <w:rPr>
                <w:sz w:val="17"/>
                <w:szCs w:val="17"/>
                <w:color w:val="auto"/>
              </w:rPr>
            </w:pPr>
          </w:p>
        </w:tc>
        <w:tc>
          <w:tcPr>
            <w:tcW w:w="2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Last Fiscal</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Last Fiscal</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Last Fiscal</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Withdrawals/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Last Fiscal</w:t>
            </w:r>
          </w:p>
        </w:tc>
      </w:tr>
      <w:tr>
        <w:trPr>
          <w:trHeight w:val="189"/>
        </w:trPr>
        <w:tc>
          <w:tcPr>
            <w:tcW w:w="3460" w:type="dxa"/>
            <w:vAlign w:val="bottom"/>
            <w:shd w:val="clear" w:color="auto" w:fill="0067B3"/>
          </w:tcPr>
          <w:p>
            <w:pPr>
              <w:spacing w:after="0"/>
              <w:rPr>
                <w:sz w:val="16"/>
                <w:szCs w:val="16"/>
                <w:color w:val="auto"/>
              </w:rPr>
            </w:pPr>
          </w:p>
        </w:tc>
        <w:tc>
          <w:tcPr>
            <w:tcW w:w="2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Year</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Year</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Distributions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Year End</w:t>
            </w:r>
          </w:p>
        </w:tc>
      </w:tr>
      <w:tr>
        <w:trPr>
          <w:trHeight w:val="244"/>
        </w:trPr>
        <w:tc>
          <w:tcPr>
            <w:tcW w:w="34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2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r>
      <w:tr>
        <w:trPr>
          <w:trHeight w:val="270"/>
        </w:trPr>
        <w:tc>
          <w:tcPr>
            <w:tcW w:w="34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34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93,846</w:t>
            </w:r>
          </w:p>
        </w:tc>
        <w:tc>
          <w:tcPr>
            <w:tcW w:w="1580" w:type="dxa"/>
            <w:vAlign w:val="bottom"/>
            <w:shd w:val="clear" w:color="auto" w:fill="E2E6F4"/>
          </w:tcPr>
          <w:p>
            <w:pPr>
              <w:jc w:val="right"/>
              <w:ind w:right="175"/>
              <w:spacing w:after="0"/>
              <w:rPr>
                <w:sz w:val="20"/>
                <w:szCs w:val="20"/>
                <w:color w:val="auto"/>
              </w:rPr>
            </w:pPr>
            <w:r>
              <w:rPr>
                <w:rFonts w:ascii="Arial" w:cs="Arial" w:eastAsia="Arial" w:hAnsi="Arial"/>
                <w:sz w:val="18"/>
                <w:szCs w:val="18"/>
                <w:color w:val="auto"/>
              </w:rPr>
              <w:t>7,508</w:t>
            </w:r>
          </w:p>
        </w:tc>
        <w:tc>
          <w:tcPr>
            <w:tcW w:w="132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542,081</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11,045,713</w:t>
            </w: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(4)</w:t>
            </w:r>
          </w:p>
        </w:tc>
        <w:tc>
          <w:tcPr>
            <w:tcW w:w="2340" w:type="dxa"/>
            <w:vAlign w:val="bottom"/>
          </w:tcPr>
          <w:p>
            <w:pPr>
              <w:jc w:val="right"/>
              <w:ind w:right="95"/>
              <w:spacing w:after="0"/>
              <w:rPr>
                <w:sz w:val="20"/>
                <w:szCs w:val="20"/>
                <w:color w:val="auto"/>
              </w:rPr>
            </w:pPr>
            <w:r>
              <w:rPr>
                <w:rFonts w:ascii="Arial" w:cs="Arial" w:eastAsia="Arial" w:hAnsi="Arial"/>
                <w:sz w:val="18"/>
                <w:szCs w:val="18"/>
                <w:color w:val="auto"/>
              </w:rPr>
              <w:t>131,801</w:t>
            </w:r>
          </w:p>
        </w:tc>
        <w:tc>
          <w:tcPr>
            <w:tcW w:w="1580" w:type="dxa"/>
            <w:vAlign w:val="bottom"/>
          </w:tcPr>
          <w:p>
            <w:pPr>
              <w:jc w:val="right"/>
              <w:ind w:right="175"/>
              <w:spacing w:after="0"/>
              <w:rPr>
                <w:sz w:val="20"/>
                <w:szCs w:val="20"/>
                <w:color w:val="auto"/>
              </w:rPr>
            </w:pPr>
            <w:r>
              <w:rPr>
                <w:rFonts w:ascii="Arial" w:cs="Arial" w:eastAsia="Arial" w:hAnsi="Arial"/>
                <w:sz w:val="18"/>
                <w:szCs w:val="18"/>
                <w:color w:val="auto"/>
              </w:rPr>
              <w:t>10,690</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268,862</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2,123,928</w:t>
            </w:r>
          </w:p>
        </w:tc>
      </w:tr>
      <w:tr>
        <w:trPr>
          <w:trHeight w:val="270"/>
        </w:trPr>
        <w:tc>
          <w:tcPr>
            <w:tcW w:w="34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34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321,880</w:t>
            </w:r>
          </w:p>
        </w:tc>
        <w:tc>
          <w:tcPr>
            <w:tcW w:w="1580" w:type="dxa"/>
            <w:vAlign w:val="bottom"/>
            <w:shd w:val="clear" w:color="auto" w:fill="E2E6F4"/>
          </w:tcPr>
          <w:p>
            <w:pPr>
              <w:jc w:val="right"/>
              <w:ind w:right="175"/>
              <w:spacing w:after="0"/>
              <w:rPr>
                <w:sz w:val="20"/>
                <w:szCs w:val="20"/>
                <w:color w:val="auto"/>
              </w:rPr>
            </w:pPr>
            <w:r>
              <w:rPr>
                <w:rFonts w:ascii="Arial" w:cs="Arial" w:eastAsia="Arial" w:hAnsi="Arial"/>
                <w:sz w:val="18"/>
                <w:szCs w:val="18"/>
                <w:color w:val="auto"/>
              </w:rPr>
              <w:t>1,004</w:t>
            </w:r>
          </w:p>
        </w:tc>
        <w:tc>
          <w:tcPr>
            <w:tcW w:w="1320" w:type="dxa"/>
            <w:vAlign w:val="bottom"/>
            <w:shd w:val="clear" w:color="auto" w:fill="E2E6F4"/>
          </w:tcPr>
          <w:p>
            <w:pPr>
              <w:jc w:val="right"/>
              <w:ind w:right="155"/>
              <w:spacing w:after="0"/>
              <w:rPr>
                <w:sz w:val="20"/>
                <w:szCs w:val="20"/>
                <w:color w:val="auto"/>
              </w:rPr>
            </w:pPr>
            <w:r>
              <w:rPr>
                <w:rFonts w:ascii="Arial" w:cs="Arial" w:eastAsia="Arial" w:hAnsi="Arial"/>
                <w:sz w:val="18"/>
                <w:szCs w:val="18"/>
                <w:color w:val="auto"/>
              </w:rPr>
              <w:t>(7,700)</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340,020</w:t>
            </w:r>
          </w:p>
        </w:tc>
      </w:tr>
      <w:tr>
        <w:trPr>
          <w:trHeight w:val="263"/>
        </w:trPr>
        <w:tc>
          <w:tcPr>
            <w:tcW w:w="346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3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346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340" w:type="dxa"/>
            <w:vAlign w:val="bottom"/>
            <w:tcBorders>
              <w:bottom w:val="single" w:sz="8" w:color="0067B3"/>
            </w:tcBorders>
            <w:shd w:val="clear" w:color="auto" w:fill="E2E6F4"/>
          </w:tcPr>
          <w:p>
            <w:pPr>
              <w:jc w:val="right"/>
              <w:ind w:right="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067B3"/>
            </w:tcBorders>
            <w:shd w:val="clear" w:color="auto" w:fill="E2E6F4"/>
          </w:tcPr>
          <w:p>
            <w:pPr>
              <w:jc w:val="right"/>
              <w:ind w:right="17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0067B3"/>
            </w:tcBorders>
            <w:shd w:val="clear" w:color="auto" w:fill="E2E6F4"/>
          </w:tcPr>
          <w:p>
            <w:pPr>
              <w:jc w:val="right"/>
              <w:ind w:right="21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0067B3"/>
            </w:tcBorders>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r>
    </w:tbl>
    <w:p>
      <w:pPr>
        <w:spacing w:after="0" w:line="162" w:lineRule="exact"/>
        <w:rPr>
          <w:sz w:val="20"/>
          <w:szCs w:val="20"/>
          <w:color w:val="auto"/>
        </w:rPr>
      </w:pPr>
    </w:p>
    <w:p>
      <w:pPr>
        <w:ind w:left="220" w:hanging="212"/>
        <w:spacing w:after="0"/>
        <w:tabs>
          <w:tab w:leader="none" w:pos="220"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These amounts are included in the Summary Compensation Table above in the “All Other Compensation” column.</w:t>
      </w:r>
    </w:p>
    <w:p>
      <w:pPr>
        <w:spacing w:after="0" w:line="57" w:lineRule="exact"/>
        <w:rPr>
          <w:rFonts w:ascii="Arial" w:cs="Arial" w:eastAsia="Arial" w:hAnsi="Arial"/>
          <w:sz w:val="21"/>
          <w:szCs w:val="21"/>
          <w:color w:val="auto"/>
          <w:vertAlign w:val="superscript"/>
        </w:rPr>
      </w:pPr>
    </w:p>
    <w:p>
      <w:pPr>
        <w:ind w:left="200" w:right="560" w:hanging="192"/>
        <w:spacing w:after="0" w:line="226" w:lineRule="auto"/>
        <w:tabs>
          <w:tab w:leader="none" w:pos="215"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These amounts are excluded from the Summary Compensation Table above in accordance with SEC regulations, as we did not pay above-market earnings on deferred compensation in fiscal year 2023.</w:t>
      </w:r>
    </w:p>
    <w:p>
      <w:pPr>
        <w:spacing w:after="0" w:line="28"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Of the amounts in this column, the following amounts have also been reported in the Summary Compensation Table for fiscal year 2022 and 2021:</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4700" w:type="dxa"/>
            <w:vAlign w:val="bottom"/>
            <w:shd w:val="clear" w:color="auto" w:fill="0067B3"/>
          </w:tcPr>
          <w:p>
            <w:pPr>
              <w:spacing w:after="0"/>
              <w:rPr>
                <w:sz w:val="24"/>
                <w:szCs w:val="24"/>
                <w:color w:val="auto"/>
              </w:rPr>
            </w:pPr>
          </w:p>
        </w:tc>
        <w:tc>
          <w:tcPr>
            <w:tcW w:w="43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0" w:type="dxa"/>
            <w:vAlign w:val="bottom"/>
          </w:tcPr>
          <w:p>
            <w:pPr>
              <w:spacing w:after="0"/>
              <w:rPr>
                <w:sz w:val="1"/>
                <w:szCs w:val="1"/>
                <w:color w:val="auto"/>
              </w:rPr>
            </w:pPr>
          </w:p>
        </w:tc>
      </w:tr>
      <w:tr>
        <w:trPr>
          <w:trHeight w:val="176"/>
        </w:trPr>
        <w:tc>
          <w:tcPr>
            <w:tcW w:w="4700" w:type="dxa"/>
            <w:vAlign w:val="bottom"/>
            <w:shd w:val="clear" w:color="auto" w:fill="0067B3"/>
          </w:tcPr>
          <w:p>
            <w:pPr>
              <w:spacing w:after="0"/>
              <w:rPr>
                <w:sz w:val="15"/>
                <w:szCs w:val="15"/>
                <w:color w:val="auto"/>
              </w:rPr>
            </w:pPr>
          </w:p>
        </w:tc>
        <w:tc>
          <w:tcPr>
            <w:tcW w:w="43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2022</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2021</w:t>
            </w:r>
          </w:p>
        </w:tc>
        <w:tc>
          <w:tcPr>
            <w:tcW w:w="0" w:type="dxa"/>
            <w:vAlign w:val="bottom"/>
          </w:tcPr>
          <w:p>
            <w:pPr>
              <w:spacing w:after="0"/>
              <w:rPr>
                <w:sz w:val="1"/>
                <w:szCs w:val="1"/>
                <w:color w:val="auto"/>
              </w:rPr>
            </w:pPr>
          </w:p>
        </w:tc>
      </w:tr>
      <w:tr>
        <w:trPr>
          <w:trHeight w:val="196"/>
        </w:trPr>
        <w:tc>
          <w:tcPr>
            <w:tcW w:w="470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3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4700" w:type="dxa"/>
            <w:vAlign w:val="bottom"/>
            <w:vMerge w:val="continue"/>
            <w:shd w:val="clear" w:color="auto" w:fill="0067B3"/>
          </w:tcPr>
          <w:p>
            <w:pPr>
              <w:spacing w:after="0"/>
              <w:rPr>
                <w:sz w:val="9"/>
                <w:szCs w:val="9"/>
                <w:color w:val="auto"/>
              </w:rPr>
            </w:pPr>
          </w:p>
        </w:tc>
        <w:tc>
          <w:tcPr>
            <w:tcW w:w="4380" w:type="dxa"/>
            <w:vAlign w:val="bottom"/>
            <w:shd w:val="clear" w:color="auto" w:fill="0067B3"/>
          </w:tcPr>
          <w:p>
            <w:pPr>
              <w:spacing w:after="0"/>
              <w:rPr>
                <w:sz w:val="9"/>
                <w:szCs w:val="9"/>
                <w:color w:val="auto"/>
              </w:rPr>
            </w:pPr>
          </w:p>
        </w:tc>
        <w:tc>
          <w:tcPr>
            <w:tcW w:w="1720" w:type="dxa"/>
            <w:vAlign w:val="bottom"/>
            <w:shd w:val="clear" w:color="auto" w:fill="0067B3"/>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438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743,915</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5"/>
                <w:szCs w:val="15"/>
                <w:b w:val="1"/>
                <w:bCs w:val="1"/>
                <w:color w:val="0067B3"/>
              </w:rPr>
              <w:t>Prashanth Mahendra-Rajah</w:t>
            </w:r>
          </w:p>
        </w:tc>
        <w:tc>
          <w:tcPr>
            <w:tcW w:w="4380" w:type="dxa"/>
            <w:vAlign w:val="bottom"/>
          </w:tcPr>
          <w:p>
            <w:pPr>
              <w:jc w:val="right"/>
              <w:ind w:right="45"/>
              <w:spacing w:after="0"/>
              <w:rPr>
                <w:sz w:val="20"/>
                <w:szCs w:val="20"/>
                <w:color w:val="auto"/>
              </w:rPr>
            </w:pPr>
            <w:r>
              <w:rPr>
                <w:rFonts w:ascii="Arial" w:cs="Arial" w:eastAsia="Arial" w:hAnsi="Arial"/>
                <w:sz w:val="15"/>
                <w:szCs w:val="15"/>
                <w:color w:val="auto"/>
              </w:rPr>
              <w:t>35,238</w:t>
            </w:r>
          </w:p>
        </w:tc>
        <w:tc>
          <w:tcPr>
            <w:tcW w:w="1720" w:type="dxa"/>
            <w:vAlign w:val="bottom"/>
          </w:tcPr>
          <w:p>
            <w:pPr>
              <w:jc w:val="right"/>
              <w:spacing w:after="0"/>
              <w:rPr>
                <w:sz w:val="20"/>
                <w:szCs w:val="20"/>
                <w:color w:val="auto"/>
              </w:rPr>
            </w:pPr>
            <w:r>
              <w:rPr>
                <w:rFonts w:ascii="Arial" w:cs="Arial" w:eastAsia="Arial" w:hAnsi="Arial"/>
                <w:sz w:val="15"/>
                <w:szCs w:val="15"/>
                <w:color w:val="auto"/>
              </w:rPr>
              <w:t>133,754</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438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2,596</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43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438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0067B3"/>
          </w:tcPr>
          <w:p>
            <w:pPr>
              <w:spacing w:after="0" w:line="20" w:lineRule="exact"/>
              <w:rPr>
                <w:sz w:val="1"/>
                <w:szCs w:val="1"/>
                <w:color w:val="auto"/>
              </w:rPr>
            </w:pPr>
          </w:p>
        </w:tc>
        <w:tc>
          <w:tcPr>
            <w:tcW w:w="4380" w:type="dxa"/>
            <w:vAlign w:val="bottom"/>
            <w:shd w:val="clear" w:color="auto" w:fill="0067B3"/>
          </w:tcPr>
          <w:p>
            <w:pPr>
              <w:spacing w:after="0" w:line="20" w:lineRule="exact"/>
              <w:rPr>
                <w:sz w:val="1"/>
                <w:szCs w:val="1"/>
                <w:color w:val="auto"/>
              </w:rPr>
            </w:pPr>
          </w:p>
        </w:tc>
        <w:tc>
          <w:tcPr>
            <w:tcW w:w="17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130"/>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Change in Control Benefits</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 Retention Agreements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have entered into ADI Retention Agreements with each of our executive officers. The ADI Retention Agreements entered into with our executive officers provide for severance benefits if any of the following occurs:</w:t>
      </w:r>
    </w:p>
    <w:p>
      <w:pPr>
        <w:spacing w:after="0" w:line="45" w:lineRule="exact"/>
        <w:rPr>
          <w:sz w:val="20"/>
          <w:szCs w:val="20"/>
          <w:color w:val="auto"/>
        </w:rPr>
      </w:pPr>
    </w:p>
    <w:p>
      <w:pPr>
        <w:ind w:left="200" w:right="160" w:hanging="192"/>
        <w:spacing w:after="0" w:line="287" w:lineRule="auto"/>
        <w:tabs>
          <w:tab w:leader="none" w:pos="157"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3"/>
          <w:szCs w:val="13"/>
          <w:color w:val="0067B3"/>
        </w:rPr>
      </w:pPr>
    </w:p>
    <w:p>
      <w:pPr>
        <w:ind w:left="200" w:right="240" w:hanging="192"/>
        <w:spacing w:after="0" w:line="287" w:lineRule="auto"/>
        <w:tabs>
          <w:tab w:leader="none" w:pos="157"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17" w:lineRule="exact"/>
        <w:rPr>
          <w:rFonts w:ascii="Arial" w:cs="Arial" w:eastAsia="Arial" w:hAnsi="Arial"/>
          <w:sz w:val="13"/>
          <w:szCs w:val="13"/>
          <w:color w:val="0067B3"/>
        </w:rPr>
      </w:pPr>
    </w:p>
    <w:p>
      <w:pPr>
        <w:ind w:left="200" w:right="20" w:hanging="192"/>
        <w:spacing w:after="0" w:line="287" w:lineRule="auto"/>
        <w:tabs>
          <w:tab w:leader="none" w:pos="157"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ADI Retention Agreements, a “change in control” occurs when:</w:t>
      </w:r>
    </w:p>
    <w:p>
      <w:pPr>
        <w:spacing w:after="0" w:line="117" w:lineRule="exact"/>
        <w:rPr>
          <w:sz w:val="20"/>
          <w:szCs w:val="20"/>
          <w:color w:val="auto"/>
        </w:rPr>
      </w:pPr>
    </w:p>
    <w:p>
      <w:pPr>
        <w:ind w:left="160" w:hanging="152"/>
        <w:spacing w:after="0"/>
        <w:tabs>
          <w:tab w:leader="none" w:pos="160" w:val="left"/>
        </w:tabs>
        <w:numPr>
          <w:ilvl w:val="0"/>
          <w:numId w:val="132"/>
        </w:numPr>
        <w:rPr>
          <w:rFonts w:ascii="Arial" w:cs="Arial" w:eastAsia="Arial" w:hAnsi="Arial"/>
          <w:sz w:val="13"/>
          <w:szCs w:val="13"/>
          <w:color w:val="0067B3"/>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32"/>
        </w:numPr>
        <w:rPr>
          <w:rFonts w:ascii="Arial" w:cs="Arial" w:eastAsia="Arial" w:hAnsi="Arial"/>
          <w:sz w:val="13"/>
          <w:szCs w:val="13"/>
          <w:color w:val="0067B3"/>
        </w:rPr>
      </w:pPr>
      <w:r>
        <w:rPr>
          <w:rFonts w:ascii="Arial" w:cs="Arial" w:eastAsia="Arial" w:hAnsi="Arial"/>
          <w:sz w:val="18"/>
          <w:szCs w:val="18"/>
          <w:color w:val="auto"/>
        </w:rPr>
        <w:t>Our shareholders approve specified mergers of ADI with another entity; or</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32"/>
        </w:numPr>
        <w:rPr>
          <w:rFonts w:ascii="Arial" w:cs="Arial" w:eastAsia="Arial" w:hAnsi="Arial"/>
          <w:sz w:val="13"/>
          <w:szCs w:val="13"/>
          <w:color w:val="0067B3"/>
        </w:rPr>
      </w:pPr>
      <w:r>
        <w:rPr>
          <w:rFonts w:ascii="Arial" w:cs="Arial" w:eastAsia="Arial" w:hAnsi="Arial"/>
          <w:sz w:val="18"/>
          <w:szCs w:val="18"/>
          <w:color w:val="auto"/>
        </w:rPr>
        <w:t>Our shareholders approve a plan of liquidation or sale of all, or substantially all, of ADI’s assets.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480" w:hanging="454"/>
        <w:spacing w:after="0"/>
        <w:tabs>
          <w:tab w:leader="none" w:pos="480" w:val="left"/>
        </w:tabs>
        <w:numPr>
          <w:ilvl w:val="0"/>
          <w:numId w:val="13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9" w:lineRule="exact"/>
        <w:rPr>
          <w:sz w:val="20"/>
          <w:szCs w:val="20"/>
          <w:color w:val="auto"/>
        </w:rPr>
      </w:pPr>
    </w:p>
    <w:p>
      <w:pPr>
        <w:ind w:left="200" w:hanging="192"/>
        <w:spacing w:after="0" w:line="257" w:lineRule="auto"/>
        <w:tabs>
          <w:tab w:leader="none" w:pos="157" w:val="left"/>
        </w:tabs>
        <w:numPr>
          <w:ilvl w:val="0"/>
          <w:numId w:val="134"/>
        </w:numPr>
        <w:rPr>
          <w:rFonts w:ascii="Arial" w:cs="Arial" w:eastAsia="Arial" w:hAnsi="Arial"/>
          <w:sz w:val="13"/>
          <w:szCs w:val="13"/>
          <w:color w:val="0067B3"/>
        </w:rPr>
      </w:pPr>
      <w:r>
        <w:rPr>
          <w:rFonts w:ascii="Arial" w:cs="Arial" w:eastAsia="Arial" w:hAnsi="Arial"/>
          <w:sz w:val="18"/>
          <w:szCs w:val="18"/>
          <w:color w:val="auto"/>
        </w:rPr>
        <w:t>A lump-sum payment equal to 200% (299% in the case of certain employees who are parties to the agreements, including Messrs. Roche, Bryant and Jain and Ms. Sacks) of the sum of the employee’s annual base salary (as of the date of termination or the date of the change in control, whichever is higher) plus 200% (299% in the case of certain employees who are parties to the agreements, including</w:t>
      </w:r>
    </w:p>
    <w:p>
      <w:pPr>
        <w:spacing w:after="0" w:line="1" w:lineRule="exact"/>
        <w:rPr>
          <w:rFonts w:ascii="Arial" w:cs="Arial" w:eastAsia="Arial" w:hAnsi="Arial"/>
          <w:sz w:val="13"/>
          <w:szCs w:val="13"/>
          <w:color w:val="0067B3"/>
        </w:rPr>
      </w:pPr>
    </w:p>
    <w:p>
      <w:pPr>
        <w:ind w:left="200" w:right="20"/>
        <w:spacing w:after="0" w:line="266" w:lineRule="auto"/>
        <w:rPr>
          <w:rFonts w:ascii="Arial" w:cs="Arial" w:eastAsia="Arial" w:hAnsi="Arial"/>
          <w:sz w:val="13"/>
          <w:szCs w:val="13"/>
          <w:color w:val="0067B3"/>
        </w:rPr>
      </w:pPr>
      <w:r>
        <w:rPr>
          <w:rFonts w:ascii="Arial" w:cs="Arial" w:eastAsia="Arial" w:hAnsi="Arial"/>
          <w:sz w:val="18"/>
          <w:szCs w:val="18"/>
          <w:color w:val="auto"/>
        </w:rPr>
        <w:t>Messrs. Roche, Bryant and Jain and Ms. Sacks) of the total variable cash incentive paid or awarded to him or her in the four fiscal quarters preceding his or her termination;</w:t>
      </w:r>
    </w:p>
    <w:p>
      <w:pPr>
        <w:spacing w:after="0" w:line="36" w:lineRule="exact"/>
        <w:rPr>
          <w:rFonts w:ascii="Arial" w:cs="Arial" w:eastAsia="Arial" w:hAnsi="Arial"/>
          <w:sz w:val="13"/>
          <w:szCs w:val="13"/>
          <w:color w:val="0067B3"/>
        </w:rPr>
      </w:pPr>
    </w:p>
    <w:p>
      <w:pPr>
        <w:ind w:left="200" w:right="200" w:hanging="192"/>
        <w:spacing w:after="0" w:line="262" w:lineRule="auto"/>
        <w:tabs>
          <w:tab w:leader="none" w:pos="157" w:val="left"/>
        </w:tabs>
        <w:numPr>
          <w:ilvl w:val="0"/>
          <w:numId w:val="134"/>
        </w:numPr>
        <w:rPr>
          <w:rFonts w:ascii="Arial" w:cs="Arial" w:eastAsia="Arial" w:hAnsi="Arial"/>
          <w:sz w:val="13"/>
          <w:szCs w:val="13"/>
          <w:color w:val="0067B3"/>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27" w:lineRule="exact"/>
        <w:rPr>
          <w:rFonts w:ascii="Arial" w:cs="Arial" w:eastAsia="Arial" w:hAnsi="Arial"/>
          <w:sz w:val="13"/>
          <w:szCs w:val="13"/>
          <w:color w:val="0067B3"/>
        </w:rPr>
      </w:pPr>
    </w:p>
    <w:p>
      <w:pPr>
        <w:ind w:left="160" w:hanging="152"/>
        <w:spacing w:after="0"/>
        <w:tabs>
          <w:tab w:leader="none" w:pos="160" w:val="left"/>
        </w:tabs>
        <w:numPr>
          <w:ilvl w:val="0"/>
          <w:numId w:val="134"/>
        </w:numPr>
        <w:rPr>
          <w:rFonts w:ascii="Arial" w:cs="Arial" w:eastAsia="Arial" w:hAnsi="Arial"/>
          <w:sz w:val="13"/>
          <w:szCs w:val="13"/>
          <w:color w:val="0067B3"/>
        </w:rPr>
      </w:pPr>
      <w:r>
        <w:rPr>
          <w:rFonts w:ascii="Arial" w:cs="Arial" w:eastAsia="Arial" w:hAnsi="Arial"/>
          <w:sz w:val="18"/>
          <w:szCs w:val="18"/>
          <w:color w:val="auto"/>
        </w:rPr>
        <w:t>The continuation of life, disability, dental, accident and group health insurance benefits for a period of 24 months.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and Talent Committee eliminated this provision from any new employee retention agreements.</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ADI Retention Agreement provides that, in the event of a potential change in control (as defined in the ADI Retention Agreement), the employee will not voluntarily resign as an employee, subject to certain conditions, for at least six months after the change in control occurs. The Compensation and Talent Committee reviews these agreements each year, and the agreements automatically renew each year unless we give the employee three months’ notice that his or her agreement will not be extended.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Mr. Jain entered into an ADI Retention Agreement with us on October 3, 2023. This agreement replaced the Maxim Amended and Restated Change in Control Employee Severance Plan, which was offered to former employees of Maxim, including Mr. Jain, and expired by its terms on August 26, 2023.</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Potential Payments Upon Change in Control</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Payments upon a change in control for our executive officers, including our NEOs, are calculated based upon the ADI Retention Agreements described above under </w:t>
      </w:r>
      <w:r>
        <w:rPr>
          <w:rFonts w:ascii="Arial" w:cs="Arial" w:eastAsia="Arial" w:hAnsi="Arial"/>
          <w:sz w:val="18"/>
          <w:szCs w:val="18"/>
          <w:i w:val="1"/>
          <w:iCs w:val="1"/>
          <w:color w:val="auto"/>
        </w:rPr>
        <w:t>Change in Control Benefits—Change in Control</w:t>
      </w:r>
      <w:r>
        <w:rPr>
          <w:rFonts w:ascii="Arial" w:cs="Arial" w:eastAsia="Arial" w:hAnsi="Arial"/>
          <w:sz w:val="18"/>
          <w:szCs w:val="18"/>
          <w:color w:val="auto"/>
        </w:rPr>
        <w:t>. Under our 2020 Plan and our 2006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applicable plan).</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a change in control approved by our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326"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9" w:name="page90"/>
    <w:bookmarkEnd w:id="89"/>
    <w:p>
      <w:pPr>
        <w:spacing w:after="0"/>
        <w:rPr>
          <w:sz w:val="20"/>
          <w:szCs w:val="20"/>
          <w:color w:val="auto"/>
        </w:rPr>
      </w:pPr>
      <w:r>
        <w:rPr>
          <w:rFonts w:ascii="Arial" w:cs="Arial" w:eastAsia="Arial" w:hAnsi="Arial"/>
          <w:sz w:val="27"/>
          <w:szCs w:val="27"/>
          <w:b w:val="1"/>
          <w:bCs w:val="1"/>
          <w:color w:val="0067B3"/>
        </w:rPr>
        <w:t>Potential Payments Upon Death or Disability</w:t>
      </w:r>
    </w:p>
    <w:p>
      <w:pPr>
        <w:spacing w:after="0" w:line="132" w:lineRule="exact"/>
        <w:rPr>
          <w:sz w:val="20"/>
          <w:szCs w:val="20"/>
          <w:color w:val="auto"/>
        </w:rPr>
      </w:pPr>
    </w:p>
    <w:p>
      <w:pPr>
        <w:ind w:right="400"/>
        <w:spacing w:after="0" w:line="234" w:lineRule="auto"/>
        <w:rPr>
          <w:sz w:val="20"/>
          <w:szCs w:val="20"/>
          <w:color w:val="auto"/>
        </w:rPr>
      </w:pPr>
      <w:r>
        <w:rPr>
          <w:rFonts w:ascii="Arial" w:cs="Arial" w:eastAsia="Arial" w:hAnsi="Arial"/>
          <w:sz w:val="17"/>
          <w:szCs w:val="17"/>
          <w:color w:val="auto"/>
        </w:rPr>
        <w:t>Our equity award agreements provide that if an executive is terminated as a result of death or permanent disability, he or she would be entitled to acceleration of vesting of outstanding stock options, RSUs, and PRSUs. With respect to PRSUs, executives are entitled to the</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target number of shares subject to the PRSUs, unless the death or disability occurs after a performance measurement period with respect to such PRSU. In such instance, the executive would be entitled to the number of shares based on the level of achievement actually certified by the Compensation and Talent Committee for such PRSUs.</w:t>
      </w:r>
    </w:p>
    <w:p>
      <w:pPr>
        <w:spacing w:after="0" w:line="5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 xml:space="preserve">The following table quantifies the amounts that would be payable to the NEOs upon termination of their employment. The amounts shown assume that the terminations were effective on the last day of our fiscal year, or October 28, 2023. The tables do not include the accumulated benefit under our DCP that would be paid to our NEOs described above under </w:t>
      </w:r>
      <w:r>
        <w:rPr>
          <w:rFonts w:ascii="Arial" w:cs="Arial" w:eastAsia="Arial" w:hAnsi="Arial"/>
          <w:sz w:val="17"/>
          <w:szCs w:val="17"/>
          <w:i w:val="1"/>
          <w:iCs w:val="1"/>
          <w:color w:val="auto"/>
        </w:rPr>
        <w:t>Non-Qualified Deferred Compensation Plan</w:t>
      </w:r>
      <w:r>
        <w:rPr>
          <w:rFonts w:ascii="Arial" w:cs="Arial" w:eastAsia="Arial" w:hAnsi="Arial"/>
          <w:sz w:val="17"/>
          <w:szCs w:val="17"/>
          <w:color w:val="auto"/>
        </w:rPr>
        <w:t>, or any other</w:t>
      </w:r>
    </w:p>
    <w:p>
      <w:pPr>
        <w:spacing w:after="0" w:line="1" w:lineRule="exact"/>
        <w:rPr>
          <w:sz w:val="20"/>
          <w:szCs w:val="20"/>
          <w:color w:val="auto"/>
        </w:rPr>
      </w:pPr>
    </w:p>
    <w:p>
      <w:pPr>
        <w:ind w:right="120"/>
        <w:spacing w:after="0" w:line="208" w:lineRule="auto"/>
        <w:rPr>
          <w:sz w:val="20"/>
          <w:szCs w:val="20"/>
          <w:color w:val="auto"/>
        </w:rPr>
      </w:pPr>
      <w:r>
        <w:rPr>
          <w:rFonts w:ascii="Arial" w:cs="Arial" w:eastAsia="Arial" w:hAnsi="Arial"/>
          <w:sz w:val="18"/>
          <w:szCs w:val="18"/>
          <w:color w:val="auto"/>
        </w:rPr>
        <w:t>employee benefits, except to the extent that the officer is entitled to an additional benefit as a result of the termination. In addition, the tables do not include the value of vested but unexercised stock options held by each executive as of October 28, 2023. The actual amounts that would be paid out would depend on which options were exercised and, therefore, can only be determined at the time of the executive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officer’s termination of employment.</w:t>
      </w:r>
    </w:p>
    <w:p>
      <w:pPr>
        <w:sectPr>
          <w:pgSz w:w="11900" w:h="16838" w:orient="portrait"/>
          <w:cols w:equalWidth="0" w:num="1">
            <w:col w:w="11240"/>
          </w:cols>
          <w:pgMar w:left="320" w:top="127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5740" w:type="dxa"/>
            <w:vAlign w:val="bottom"/>
            <w:shd w:val="clear" w:color="auto" w:fill="0067B3"/>
          </w:tcPr>
          <w:p>
            <w:pPr>
              <w:spacing w:after="0"/>
              <w:rPr>
                <w:sz w:val="16"/>
                <w:szCs w:val="16"/>
                <w:color w:val="auto"/>
              </w:rPr>
            </w:pPr>
          </w:p>
        </w:tc>
        <w:tc>
          <w:tcPr>
            <w:tcW w:w="2840" w:type="dxa"/>
            <w:vAlign w:val="bottom"/>
            <w:gridSpan w:val="3"/>
            <w:shd w:val="clear" w:color="auto" w:fill="0067B3"/>
          </w:tcPr>
          <w:p>
            <w:pPr>
              <w:jc w:val="right"/>
              <w:spacing w:after="0"/>
              <w:rPr>
                <w:sz w:val="20"/>
                <w:szCs w:val="20"/>
                <w:color w:val="auto"/>
              </w:rPr>
            </w:pPr>
            <w:r>
              <w:rPr>
                <w:rFonts w:ascii="Arial" w:cs="Arial" w:eastAsia="Arial" w:hAnsi="Arial"/>
                <w:sz w:val="16"/>
                <w:szCs w:val="16"/>
                <w:b w:val="1"/>
                <w:bCs w:val="1"/>
                <w:color w:val="FFFFFF"/>
              </w:rPr>
              <w:t>Involuntary not for cause</w:t>
            </w:r>
          </w:p>
        </w:tc>
        <w:tc>
          <w:tcPr>
            <w:tcW w:w="22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0067B3"/>
          </w:tcPr>
          <w:p>
            <w:pPr>
              <w:spacing w:after="0"/>
              <w:rPr>
                <w:sz w:val="15"/>
                <w:szCs w:val="15"/>
                <w:color w:val="auto"/>
              </w:rPr>
            </w:pPr>
          </w:p>
        </w:tc>
        <w:tc>
          <w:tcPr>
            <w:tcW w:w="2840" w:type="dxa"/>
            <w:vAlign w:val="bottom"/>
            <w:gridSpan w:val="3"/>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termination or good reason</w:t>
            </w:r>
          </w:p>
        </w:tc>
        <w:tc>
          <w:tcPr>
            <w:tcW w:w="220" w:type="dxa"/>
            <w:vAlign w:val="bottom"/>
            <w:shd w:val="clear" w:color="auto" w:fill="0067B3"/>
          </w:tcPr>
          <w:p>
            <w:pPr>
              <w:spacing w:after="0"/>
              <w:rPr>
                <w:sz w:val="15"/>
                <w:szCs w:val="15"/>
                <w:color w:val="auto"/>
              </w:rPr>
            </w:pPr>
          </w:p>
        </w:tc>
        <w:tc>
          <w:tcPr>
            <w:tcW w:w="140" w:type="dxa"/>
            <w:vAlign w:val="bottom"/>
            <w:shd w:val="clear" w:color="auto" w:fill="0067B3"/>
          </w:tcPr>
          <w:p>
            <w:pPr>
              <w:spacing w:after="0"/>
              <w:rPr>
                <w:sz w:val="15"/>
                <w:szCs w:val="15"/>
                <w:color w:val="auto"/>
              </w:rPr>
            </w:pPr>
          </w:p>
        </w:tc>
        <w:tc>
          <w:tcPr>
            <w:tcW w:w="1080" w:type="dxa"/>
            <w:vAlign w:val="bottom"/>
            <w:shd w:val="clear" w:color="auto" w:fill="0067B3"/>
          </w:tcPr>
          <w:p>
            <w:pPr>
              <w:spacing w:after="0"/>
              <w:rPr>
                <w:sz w:val="15"/>
                <w:szCs w:val="15"/>
                <w:color w:val="auto"/>
              </w:rPr>
            </w:pPr>
          </w:p>
        </w:tc>
        <w:tc>
          <w:tcPr>
            <w:tcW w:w="240" w:type="dxa"/>
            <w:vAlign w:val="bottom"/>
            <w:shd w:val="clear" w:color="auto" w:fill="0067B3"/>
          </w:tcPr>
          <w:p>
            <w:pPr>
              <w:spacing w:after="0"/>
              <w:rPr>
                <w:sz w:val="15"/>
                <w:szCs w:val="15"/>
                <w:color w:val="auto"/>
              </w:rPr>
            </w:pPr>
          </w:p>
        </w:tc>
        <w:tc>
          <w:tcPr>
            <w:tcW w:w="980" w:type="dxa"/>
            <w:vAlign w:val="bottom"/>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0067B3"/>
          </w:tcPr>
          <w:p>
            <w:pPr>
              <w:spacing w:after="0"/>
              <w:rPr>
                <w:sz w:val="16"/>
                <w:szCs w:val="16"/>
                <w:color w:val="auto"/>
              </w:rPr>
            </w:pPr>
          </w:p>
        </w:tc>
        <w:tc>
          <w:tcPr>
            <w:tcW w:w="2840" w:type="dxa"/>
            <w:vAlign w:val="bottom"/>
            <w:gridSpan w:val="3"/>
            <w:shd w:val="clear" w:color="auto" w:fill="0067B3"/>
          </w:tcPr>
          <w:p>
            <w:pPr>
              <w:jc w:val="right"/>
              <w:spacing w:after="0"/>
              <w:rPr>
                <w:sz w:val="20"/>
                <w:szCs w:val="20"/>
                <w:color w:val="auto"/>
              </w:rPr>
            </w:pPr>
            <w:r>
              <w:rPr>
                <w:rFonts w:ascii="Arial" w:cs="Arial" w:eastAsia="Arial" w:hAnsi="Arial"/>
                <w:sz w:val="16"/>
                <w:szCs w:val="16"/>
                <w:b w:val="1"/>
                <w:bCs w:val="1"/>
                <w:color w:val="FFFFFF"/>
              </w:rPr>
              <w:t>following change in control</w:t>
            </w:r>
          </w:p>
        </w:tc>
        <w:tc>
          <w:tcPr>
            <w:tcW w:w="22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080" w:type="dxa"/>
            <w:vAlign w:val="bottom"/>
            <w:shd w:val="clear" w:color="auto" w:fill="0067B3"/>
          </w:tcPr>
          <w:p>
            <w:pPr>
              <w:jc w:val="right"/>
              <w:ind w:right="71"/>
              <w:spacing w:after="0"/>
              <w:rPr>
                <w:sz w:val="20"/>
                <w:szCs w:val="20"/>
                <w:color w:val="auto"/>
              </w:rPr>
            </w:pPr>
            <w:r>
              <w:rPr>
                <w:rFonts w:ascii="Arial" w:cs="Arial" w:eastAsia="Arial" w:hAnsi="Arial"/>
                <w:sz w:val="16"/>
                <w:szCs w:val="16"/>
                <w:b w:val="1"/>
                <w:bCs w:val="1"/>
                <w:color w:val="FFFFFF"/>
              </w:rPr>
              <w:t>Death</w:t>
            </w: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30"/>
        </w:trPr>
        <w:tc>
          <w:tcPr>
            <w:tcW w:w="5740" w:type="dxa"/>
            <w:vAlign w:val="bottom"/>
            <w:shd w:val="clear" w:color="auto" w:fill="0067B3"/>
          </w:tcPr>
          <w:p>
            <w:pPr>
              <w:spacing w:after="0"/>
              <w:rPr>
                <w:sz w:val="20"/>
                <w:szCs w:val="20"/>
                <w:color w:val="auto"/>
              </w:rPr>
            </w:pPr>
          </w:p>
        </w:tc>
        <w:tc>
          <w:tcPr>
            <w:tcW w:w="1740" w:type="dxa"/>
            <w:vAlign w:val="bottom"/>
            <w:shd w:val="clear" w:color="auto" w:fill="0067B3"/>
          </w:tcPr>
          <w:p>
            <w:pPr>
              <w:spacing w:after="0"/>
              <w:rPr>
                <w:sz w:val="20"/>
                <w:szCs w:val="20"/>
                <w:color w:val="auto"/>
              </w:rPr>
            </w:pPr>
          </w:p>
        </w:tc>
        <w:tc>
          <w:tcPr>
            <w:tcW w:w="120" w:type="dxa"/>
            <w:vAlign w:val="bottom"/>
            <w:shd w:val="clear" w:color="auto" w:fill="0067B3"/>
          </w:tcPr>
          <w:p>
            <w:pPr>
              <w:spacing w:after="0"/>
              <w:rPr>
                <w:sz w:val="20"/>
                <w:szCs w:val="20"/>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0067B3"/>
          </w:tcPr>
          <w:p>
            <w:pPr>
              <w:spacing w:after="0"/>
              <w:rPr>
                <w:sz w:val="20"/>
                <w:szCs w:val="20"/>
                <w:color w:val="auto"/>
              </w:rPr>
            </w:pPr>
          </w:p>
        </w:tc>
        <w:tc>
          <w:tcPr>
            <w:tcW w:w="140" w:type="dxa"/>
            <w:vAlign w:val="bottom"/>
            <w:shd w:val="clear" w:color="auto" w:fill="0067B3"/>
          </w:tcPr>
          <w:p>
            <w:pPr>
              <w:spacing w:after="0"/>
              <w:rPr>
                <w:sz w:val="20"/>
                <w:szCs w:val="20"/>
                <w:color w:val="auto"/>
              </w:rPr>
            </w:pPr>
          </w:p>
        </w:tc>
        <w:tc>
          <w:tcPr>
            <w:tcW w:w="108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w:t>
            </w:r>
          </w:p>
        </w:tc>
        <w:tc>
          <w:tcPr>
            <w:tcW w:w="240" w:type="dxa"/>
            <w:vAlign w:val="bottom"/>
            <w:shd w:val="clear" w:color="auto" w:fill="0067B3"/>
          </w:tcPr>
          <w:p>
            <w:pPr>
              <w:spacing w:after="0"/>
              <w:rPr>
                <w:sz w:val="20"/>
                <w:szCs w:val="20"/>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5"/>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740" w:type="dxa"/>
            <w:vAlign w:val="bottom"/>
            <w:shd w:val="clear" w:color="auto" w:fill="E2E6F4"/>
          </w:tcPr>
          <w:p>
            <w:pPr>
              <w:spacing w:after="0"/>
              <w:rPr>
                <w:sz w:val="22"/>
                <w:szCs w:val="22"/>
                <w:color w:val="auto"/>
              </w:rPr>
            </w:pPr>
          </w:p>
        </w:tc>
        <w:tc>
          <w:tcPr>
            <w:tcW w:w="12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1080" w:type="dxa"/>
            <w:vAlign w:val="bottom"/>
            <w:shd w:val="clear" w:color="auto" w:fill="E2E6F4"/>
          </w:tcPr>
          <w:p>
            <w:pPr>
              <w:spacing w:after="0"/>
              <w:rPr>
                <w:sz w:val="22"/>
                <w:szCs w:val="22"/>
                <w:color w:val="auto"/>
              </w:rPr>
            </w:pPr>
          </w:p>
        </w:tc>
        <w:tc>
          <w:tcPr>
            <w:tcW w:w="24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3,588,000</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15,652,653</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47,837,907</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w w:val="97"/>
              </w:rPr>
              <w:t>46,409,625</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46,409,625</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15,256</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r>
              <w:rPr>
                <w:rFonts w:ascii="Arial" w:cs="Arial" w:eastAsia="Arial" w:hAnsi="Arial"/>
                <w:sz w:val="23"/>
                <w:szCs w:val="23"/>
                <w:color w:val="auto"/>
                <w:vertAlign w:val="superscript"/>
              </w:rPr>
              <w:t>(6)</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26,286,236</w:t>
            </w:r>
          </w:p>
        </w:tc>
        <w:tc>
          <w:tcPr>
            <w:tcW w:w="2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2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4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93,380,052</w:t>
            </w:r>
          </w:p>
        </w:tc>
        <w:tc>
          <w:tcPr>
            <w:tcW w:w="2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7"/>
              </w:rPr>
              <w:t>46,409,625</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46,409,625</w:t>
            </w:r>
          </w:p>
        </w:tc>
        <w:tc>
          <w:tcPr>
            <w:tcW w:w="0" w:type="dxa"/>
            <w:vAlign w:val="bottom"/>
          </w:tcPr>
          <w:p>
            <w:pPr>
              <w:spacing w:after="0"/>
              <w:rPr>
                <w:sz w:val="1"/>
                <w:szCs w:val="1"/>
                <w:color w:val="auto"/>
              </w:rPr>
            </w:pPr>
          </w:p>
        </w:tc>
      </w:tr>
      <w:tr>
        <w:trPr>
          <w:trHeight w:val="430"/>
        </w:trPr>
        <w:tc>
          <w:tcPr>
            <w:tcW w:w="574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(7)</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74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2,093,000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5,924,559</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12,305,100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w w:val="97"/>
              </w:rPr>
              <w:t>14,341,224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14,341,224</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46,125</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20,368,784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w w:val="97"/>
              </w:rPr>
              <w:t>14,341,224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14,341,224</w:t>
            </w:r>
          </w:p>
        </w:tc>
        <w:tc>
          <w:tcPr>
            <w:tcW w:w="0" w:type="dxa"/>
            <w:vAlign w:val="bottom"/>
          </w:tcPr>
          <w:p>
            <w:pPr>
              <w:spacing w:after="0"/>
              <w:rPr>
                <w:sz w:val="1"/>
                <w:szCs w:val="1"/>
                <w:color w:val="auto"/>
              </w:rPr>
            </w:pPr>
          </w:p>
        </w:tc>
      </w:tr>
      <w:tr>
        <w:trPr>
          <w:trHeight w:val="263"/>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1740" w:type="dxa"/>
            <w:vAlign w:val="bottom"/>
            <w:shd w:val="clear" w:color="auto" w:fill="E2E6F4"/>
          </w:tcPr>
          <w:p>
            <w:pPr>
              <w:spacing w:after="0"/>
              <w:rPr>
                <w:sz w:val="22"/>
                <w:szCs w:val="22"/>
                <w:color w:val="auto"/>
              </w:rPr>
            </w:pPr>
          </w:p>
        </w:tc>
        <w:tc>
          <w:tcPr>
            <w:tcW w:w="12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1080" w:type="dxa"/>
            <w:vAlign w:val="bottom"/>
            <w:shd w:val="clear" w:color="auto" w:fill="E2E6F4"/>
          </w:tcPr>
          <w:p>
            <w:pPr>
              <w:spacing w:after="0"/>
              <w:rPr>
                <w:sz w:val="22"/>
                <w:szCs w:val="22"/>
                <w:color w:val="auto"/>
              </w:rPr>
            </w:pPr>
          </w:p>
        </w:tc>
        <w:tc>
          <w:tcPr>
            <w:tcW w:w="24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2,242,500</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7,913,869</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48,373,800</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w w:val="97"/>
              </w:rPr>
              <w:t>49,985,178</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49,985,178</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46,125</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74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4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58,576,294</w:t>
            </w:r>
          </w:p>
        </w:tc>
        <w:tc>
          <w:tcPr>
            <w:tcW w:w="2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7"/>
              </w:rPr>
              <w:t>49,985,178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49,985,178</w:t>
            </w:r>
          </w:p>
        </w:tc>
        <w:tc>
          <w:tcPr>
            <w:tcW w:w="0" w:type="dxa"/>
            <w:vAlign w:val="bottom"/>
          </w:tcPr>
          <w:p>
            <w:pPr>
              <w:spacing w:after="0"/>
              <w:rPr>
                <w:sz w:val="1"/>
                <w:szCs w:val="1"/>
                <w:color w:val="auto"/>
              </w:rPr>
            </w:pPr>
          </w:p>
        </w:tc>
      </w:tr>
      <w:tr>
        <w:trPr>
          <w:trHeight w:val="255"/>
        </w:trPr>
        <w:tc>
          <w:tcPr>
            <w:tcW w:w="57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74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1,943,500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5,523,343</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10,875,246</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w w:val="97"/>
              </w:rPr>
              <w:t>11,951,506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9,558,531</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32,734</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18,374,823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w w:val="97"/>
              </w:rPr>
              <w:t>11,951,506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9,558,531</w:t>
            </w:r>
          </w:p>
        </w:tc>
        <w:tc>
          <w:tcPr>
            <w:tcW w:w="0" w:type="dxa"/>
            <w:vAlign w:val="bottom"/>
          </w:tcPr>
          <w:p>
            <w:pPr>
              <w:spacing w:after="0"/>
              <w:rPr>
                <w:sz w:val="1"/>
                <w:szCs w:val="1"/>
                <w:color w:val="auto"/>
              </w:rPr>
            </w:pPr>
          </w:p>
        </w:tc>
      </w:tr>
      <w:tr>
        <w:trPr>
          <w:trHeight w:val="263"/>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1740" w:type="dxa"/>
            <w:vAlign w:val="bottom"/>
            <w:shd w:val="clear" w:color="auto" w:fill="E2E6F4"/>
          </w:tcPr>
          <w:p>
            <w:pPr>
              <w:spacing w:after="0"/>
              <w:rPr>
                <w:sz w:val="22"/>
                <w:szCs w:val="22"/>
                <w:color w:val="auto"/>
              </w:rPr>
            </w:pPr>
          </w:p>
        </w:tc>
        <w:tc>
          <w:tcPr>
            <w:tcW w:w="12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1080" w:type="dxa"/>
            <w:vAlign w:val="bottom"/>
            <w:shd w:val="clear" w:color="auto" w:fill="E2E6F4"/>
          </w:tcPr>
          <w:p>
            <w:pPr>
              <w:spacing w:after="0"/>
              <w:rPr>
                <w:sz w:val="22"/>
                <w:szCs w:val="22"/>
                <w:color w:val="auto"/>
              </w:rPr>
            </w:pPr>
          </w:p>
        </w:tc>
        <w:tc>
          <w:tcPr>
            <w:tcW w:w="24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1,868,750</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5,303,513</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8,984,423</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w w:val="97"/>
              </w:rPr>
              <w:t>10,362,102</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10,362,102</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4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46,125</w:t>
            </w: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740" w:type="dxa"/>
            <w:vAlign w:val="bottom"/>
            <w:shd w:val="clear" w:color="auto" w:fill="E2E6F4"/>
          </w:tcPr>
          <w:p>
            <w:pPr>
              <w:spacing w:after="0"/>
              <w:rPr>
                <w:sz w:val="5"/>
                <w:szCs w:val="5"/>
                <w:color w:val="auto"/>
              </w:rPr>
            </w:pPr>
          </w:p>
        </w:tc>
        <w:tc>
          <w:tcPr>
            <w:tcW w:w="174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74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574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0067B3"/>
            </w:tcBorders>
            <w:shd w:val="clear" w:color="auto" w:fill="E2E6F4"/>
          </w:tcPr>
          <w:p>
            <w:pPr>
              <w:spacing w:after="0"/>
              <w:rPr>
                <w:sz w:val="24"/>
                <w:szCs w:val="24"/>
                <w:color w:val="auto"/>
              </w:rPr>
            </w:pPr>
          </w:p>
        </w:tc>
        <w:tc>
          <w:tcPr>
            <w:tcW w:w="12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7"/>
              </w:rPr>
              <w:t>16,202,811</w:t>
            </w:r>
          </w:p>
        </w:tc>
        <w:tc>
          <w:tcPr>
            <w:tcW w:w="220" w:type="dxa"/>
            <w:vAlign w:val="bottom"/>
            <w:tcBorders>
              <w:bottom w:val="single" w:sz="8" w:color="0067B3"/>
            </w:tcBorders>
            <w:shd w:val="clear" w:color="auto" w:fill="E2E6F4"/>
          </w:tcPr>
          <w:p>
            <w:pPr>
              <w:spacing w:after="0"/>
              <w:rPr>
                <w:sz w:val="24"/>
                <w:szCs w:val="24"/>
                <w:color w:val="auto"/>
              </w:rPr>
            </w:pPr>
          </w:p>
        </w:tc>
        <w:tc>
          <w:tcPr>
            <w:tcW w:w="1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0067B3"/>
            </w:tcBorders>
            <w:shd w:val="clear" w:color="auto" w:fill="E2E6F4"/>
          </w:tcPr>
          <w:p>
            <w:pPr>
              <w:jc w:val="right"/>
              <w:ind w:right="91"/>
              <w:spacing w:after="0"/>
              <w:rPr>
                <w:sz w:val="20"/>
                <w:szCs w:val="20"/>
                <w:color w:val="auto"/>
              </w:rPr>
            </w:pPr>
            <w:r>
              <w:rPr>
                <w:rFonts w:ascii="Arial" w:cs="Arial" w:eastAsia="Arial" w:hAnsi="Arial"/>
                <w:sz w:val="18"/>
                <w:szCs w:val="18"/>
                <w:color w:val="auto"/>
                <w:w w:val="97"/>
              </w:rPr>
              <w:t>10,362,102</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7"/>
              </w:rPr>
              <w:t>10,362,102</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135"/>
        </w:numPr>
        <w:rPr>
          <w:rFonts w:ascii="Arial" w:cs="Arial" w:eastAsia="Arial" w:hAnsi="Arial"/>
          <w:sz w:val="21"/>
          <w:szCs w:val="21"/>
          <w:color w:val="auto"/>
          <w:vertAlign w:val="superscript"/>
        </w:rPr>
      </w:pPr>
      <w:r>
        <w:rPr>
          <w:rFonts w:ascii="Arial" w:cs="Arial" w:eastAsia="Arial" w:hAnsi="Arial"/>
          <w:sz w:val="16"/>
          <w:szCs w:val="16"/>
          <w:color w:val="auto"/>
        </w:rPr>
        <w:t>Cash severance based upon a multiplier of 299% of the NEO’s base salary.</w:t>
      </w:r>
    </w:p>
    <w:p>
      <w:pPr>
        <w:spacing w:after="0" w:line="30" w:lineRule="exact"/>
        <w:rPr>
          <w:rFonts w:ascii="Arial" w:cs="Arial" w:eastAsia="Arial" w:hAnsi="Arial"/>
          <w:sz w:val="21"/>
          <w:szCs w:val="21"/>
          <w:color w:val="auto"/>
          <w:vertAlign w:val="superscript"/>
        </w:rPr>
      </w:pPr>
    </w:p>
    <w:p>
      <w:pPr>
        <w:ind w:left="200" w:right="300" w:hanging="192"/>
        <w:spacing w:after="0" w:line="203" w:lineRule="auto"/>
        <w:tabs>
          <w:tab w:leader="none" w:pos="215" w:val="left"/>
        </w:tabs>
        <w:numPr>
          <w:ilvl w:val="0"/>
          <w:numId w:val="135"/>
        </w:numPr>
        <w:rPr>
          <w:rFonts w:ascii="Arial" w:cs="Arial" w:eastAsia="Arial" w:hAnsi="Arial"/>
          <w:sz w:val="21"/>
          <w:szCs w:val="21"/>
          <w:color w:val="auto"/>
          <w:vertAlign w:val="superscript"/>
        </w:rPr>
      </w:pPr>
      <w:r>
        <w:rPr>
          <w:rFonts w:ascii="Arial" w:cs="Arial" w:eastAsia="Arial" w:hAnsi="Arial"/>
          <w:sz w:val="16"/>
          <w:szCs w:val="16"/>
          <w:color w:val="auto"/>
        </w:rPr>
        <w:t>Variable cash incentive based upon a multiplier of 299% of the sum of the NEO’s total variable cash incentive payments made to him or her in the four fiscal quarters preceding termination.</w:t>
      </w:r>
    </w:p>
    <w:p>
      <w:pPr>
        <w:spacing w:after="0" w:line="200" w:lineRule="exact"/>
        <w:rPr>
          <w:sz w:val="20"/>
          <w:szCs w:val="20"/>
          <w:color w:val="auto"/>
        </w:rPr>
      </w:pPr>
    </w:p>
    <w:p>
      <w:pPr>
        <w:spacing w:after="0" w:line="232" w:lineRule="exact"/>
        <w:rPr>
          <w:sz w:val="20"/>
          <w:szCs w:val="20"/>
          <w:color w:val="auto"/>
        </w:rPr>
      </w:pPr>
    </w:p>
    <w:p>
      <w:pPr>
        <w:ind w:left="480" w:hanging="454"/>
        <w:spacing w:after="0"/>
        <w:tabs>
          <w:tab w:leader="none" w:pos="480" w:val="left"/>
        </w:tabs>
        <w:numPr>
          <w:ilvl w:val="0"/>
          <w:numId w:val="13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57" w:right="339" w:bottom="0" w:gutter="0" w:footer="0" w:header="0"/>
        </w:sectPr>
      </w:pPr>
    </w:p>
    <w:bookmarkStart w:id="91" w:name="page92"/>
    <w:bookmarkEnd w:id="9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ind w:left="200" w:right="20" w:hanging="192"/>
        <w:spacing w:after="0" w:line="236"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The value of accelerated unvested options as of October 28, 2023 is calculated by taking the difference between the closing price of our common stock on Nasdaq on the last trading day of the fiscal year ($160.57 on October 27, 2023) and the option exercise price and multiplying it by the number of accelerated options. For time- and performance-based RSUs the value represents the closing price of our common stock on the last trading day of the fiscal year multiplied by the number of accelerated units. For PRSUs, the number of accelerated units assumes (i) vesting at the target level in the case of involuntary not for cause termination or by the NEO for good reason following a change in control and (ii) vesting at the level of achievement actually certified by the Compensation and Talent Committee.</w:t>
      </w:r>
    </w:p>
    <w:p>
      <w:pPr>
        <w:spacing w:after="0" w:line="45" w:lineRule="exact"/>
        <w:rPr>
          <w:rFonts w:ascii="Arial" w:cs="Arial" w:eastAsia="Arial" w:hAnsi="Arial"/>
          <w:sz w:val="21"/>
          <w:szCs w:val="21"/>
          <w:color w:val="auto"/>
          <w:vertAlign w:val="superscript"/>
        </w:rPr>
      </w:pPr>
    </w:p>
    <w:p>
      <w:pPr>
        <w:ind w:left="200" w:hanging="192"/>
        <w:spacing w:after="0" w:line="234"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As of October 28, 2023, upon termination by us without cause or by the NEO for good reason after a change in control event, (i) Messrs. Roche, Mahendra-Rajah, Bryant, and Jain and Ms. Sacks would be entitled to acceleration of vesting of all outstanding unvested stock options or time-based RSUs and PRSUs granted under our 2020 Plan and our 2006 Plan and (ii) Mr. Jain would be entitled to acceleration of vesting of all outstanding unvested stock options or time-based RSUs and PRSUs granted under our 1996 Plan. As of October 28, 2023, in the event of the NEO’s death, Messrs. Roche, Mahendra-Rajah, Bryant, and Jain and Ms. Sacks would be entitled to acceleration of vesting of all outstanding unvested stock options or time-based RSUs and PRSUs granted under our 2020 Plan, our 2006 Plan, and our 1996 Plan. As of October 28, 2023, in the event of the NEO’s permanent disability, Messrs. Roche, Mahendra-Rajah, Bryant, and Jain and Ms. Sacks would be entitled to acceleration of vesting of all outstanding unvested stock options or time-based RSUs and PRSUs granted under our 2020 Plan and our 2006 Plan.</w:t>
      </w:r>
    </w:p>
    <w:p>
      <w:pPr>
        <w:spacing w:after="0" w:line="47" w:lineRule="exact"/>
        <w:rPr>
          <w:rFonts w:ascii="Arial" w:cs="Arial" w:eastAsia="Arial" w:hAnsi="Arial"/>
          <w:sz w:val="21"/>
          <w:szCs w:val="21"/>
          <w:color w:val="auto"/>
          <w:vertAlign w:val="superscript"/>
        </w:rPr>
      </w:pPr>
    </w:p>
    <w:p>
      <w:pPr>
        <w:jc w:val="both"/>
        <w:ind w:left="200" w:right="40" w:hanging="192"/>
        <w:spacing w:after="0" w:line="233"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Amounts include life, disability, dental, accident, and group health insurance benefit continuation in the case of Messrs. Roche, Mahendra-Rajah, Bryant, and Jain and Ms. Sacks, for 24 months after a termination in connection with a change in control. The annual benefit costs for each executive are: $7,628 for Mr. Roche, $23,062 for each of Messrs. Mahendra-Rajah and Bryant and Ms. Sacks, and $16,367 for Mr. Jain.</w:t>
      </w:r>
    </w:p>
    <w:p>
      <w:pPr>
        <w:spacing w:after="0" w:line="42" w:lineRule="exact"/>
        <w:rPr>
          <w:rFonts w:ascii="Arial" w:cs="Arial" w:eastAsia="Arial" w:hAnsi="Arial"/>
          <w:sz w:val="21"/>
          <w:szCs w:val="21"/>
          <w:color w:val="auto"/>
          <w:vertAlign w:val="superscript"/>
        </w:rPr>
      </w:pPr>
    </w:p>
    <w:p>
      <w:pPr>
        <w:ind w:left="200" w:right="120" w:hanging="192"/>
        <w:spacing w:after="0" w:line="235"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In calculating the excise tax gross-up amounts, we take into account Mr. Roche’s earnings from ADI for the prior five years. We include the change in control cash severance and variable cash incentive, valuations of unvested stock options that become vested upon a change in control (using the fiscal year 2023 year-end closing stock price), valuations of time-based RSUs and PRSUs that become vested upon a change in control (using the fiscal year 2023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1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2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CEO Pay Ratio</w:t>
      </w:r>
    </w:p>
    <w:p>
      <w:pPr>
        <w:spacing w:after="0" w:line="15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our CEO and Chair.</w:t>
      </w:r>
    </w:p>
    <w:p>
      <w:pPr>
        <w:spacing w:after="0" w:line="6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8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As permitted by SEC rules, we used the same median employee for our fiscal year 2023 pay ratio calculation as we used for our fiscal year 2021 and fiscal year 2022 calculations included in our proxy statements for those fiscal years. We believe it is reasonable to use the same median employee for purposes of the pay ratio calculation because there was no material change in our employee population or in the median employee’s compensation arrangement or other material change that would significantly affect our pay ratio calculation. To identify the median employee in fiscal year 2021 and to determine such employee’s annual total compensation, we used the following methodology and material assumptions, adjustments and estimates:</w:t>
      </w:r>
    </w:p>
    <w:p>
      <w:pPr>
        <w:spacing w:after="0" w:line="69" w:lineRule="exact"/>
        <w:rPr>
          <w:sz w:val="20"/>
          <w:szCs w:val="20"/>
          <w:color w:val="auto"/>
        </w:rPr>
      </w:pPr>
    </w:p>
    <w:p>
      <w:pPr>
        <w:ind w:left="200" w:right="120" w:hanging="192"/>
        <w:spacing w:after="0" w:line="271" w:lineRule="auto"/>
        <w:tabs>
          <w:tab w:leader="none" w:pos="157" w:val="left"/>
        </w:tabs>
        <w:numPr>
          <w:ilvl w:val="0"/>
          <w:numId w:val="138"/>
        </w:numPr>
        <w:rPr>
          <w:rFonts w:ascii="Arial" w:cs="Arial" w:eastAsia="Arial" w:hAnsi="Arial"/>
          <w:sz w:val="13"/>
          <w:szCs w:val="13"/>
          <w:color w:val="0067B3"/>
        </w:rPr>
      </w:pPr>
      <w:r>
        <w:rPr>
          <w:rFonts w:ascii="Arial" w:cs="Arial" w:eastAsia="Arial" w:hAnsi="Arial"/>
          <w:sz w:val="18"/>
          <w:szCs w:val="18"/>
          <w:color w:val="auto"/>
        </w:rPr>
        <w:t>We selected October 30, 2021, as the date upon which we would identify the “median employee.” As noted above, we are using the same median employee for the fiscal year 2023 pay ratio calculation.</w:t>
      </w:r>
    </w:p>
    <w:p>
      <w:pPr>
        <w:spacing w:after="0" w:line="5" w:lineRule="exact"/>
        <w:rPr>
          <w:rFonts w:ascii="Arial" w:cs="Arial" w:eastAsia="Arial" w:hAnsi="Arial"/>
          <w:sz w:val="13"/>
          <w:szCs w:val="13"/>
          <w:color w:val="0067B3"/>
        </w:rPr>
      </w:pPr>
    </w:p>
    <w:p>
      <w:pPr>
        <w:ind w:left="200" w:right="100" w:hanging="192"/>
        <w:spacing w:after="0" w:line="281" w:lineRule="auto"/>
        <w:tabs>
          <w:tab w:leader="none" w:pos="157" w:val="left"/>
        </w:tabs>
        <w:numPr>
          <w:ilvl w:val="0"/>
          <w:numId w:val="138"/>
        </w:numPr>
        <w:rPr>
          <w:rFonts w:ascii="Arial" w:cs="Arial" w:eastAsia="Arial" w:hAnsi="Arial"/>
          <w:sz w:val="13"/>
          <w:szCs w:val="13"/>
          <w:color w:val="0067B3"/>
        </w:rPr>
      </w:pPr>
      <w:r>
        <w:rPr>
          <w:rFonts w:ascii="Arial" w:cs="Arial" w:eastAsia="Arial" w:hAnsi="Arial"/>
          <w:sz w:val="18"/>
          <w:szCs w:val="18"/>
          <w:color w:val="auto"/>
        </w:rPr>
        <w:t>We used our global employee population as of this date, which includes operators located in our manufacturing facilities around the world, including the Philippines.</w:t>
      </w:r>
    </w:p>
    <w:p>
      <w:pPr>
        <w:spacing w:after="0" w:line="1" w:lineRule="exact"/>
        <w:rPr>
          <w:rFonts w:ascii="Arial" w:cs="Arial" w:eastAsia="Arial" w:hAnsi="Arial"/>
          <w:sz w:val="13"/>
          <w:szCs w:val="13"/>
          <w:color w:val="0067B3"/>
        </w:rPr>
      </w:pPr>
    </w:p>
    <w:p>
      <w:pPr>
        <w:ind w:left="200" w:right="100" w:hanging="192"/>
        <w:spacing w:after="0" w:line="253" w:lineRule="auto"/>
        <w:tabs>
          <w:tab w:leader="none" w:pos="157" w:val="left"/>
        </w:tabs>
        <w:numPr>
          <w:ilvl w:val="0"/>
          <w:numId w:val="138"/>
        </w:numPr>
        <w:rPr>
          <w:rFonts w:ascii="Arial" w:cs="Arial" w:eastAsia="Arial" w:hAnsi="Arial"/>
          <w:sz w:val="13"/>
          <w:szCs w:val="13"/>
          <w:color w:val="0067B3"/>
        </w:rPr>
      </w:pPr>
      <w:r>
        <w:rPr>
          <w:rFonts w:ascii="Arial" w:cs="Arial" w:eastAsia="Arial" w:hAnsi="Arial"/>
          <w:sz w:val="18"/>
          <w:szCs w:val="18"/>
          <w:color w:val="auto"/>
        </w:rPr>
        <w:t>To identify the median employee, we used annual base salary and target variable cash incentive (or sales incentive) at a target of 1.0x of annual base salary. Base salaries were annualized for all permanent employees who were employees for less than the full fiscal year and not on an unpaid leave of absence as of the identification date.</w:t>
      </w:r>
    </w:p>
    <w:p>
      <w:pPr>
        <w:spacing w:after="0" w:line="33" w:lineRule="exact"/>
        <w:rPr>
          <w:rFonts w:ascii="Arial" w:cs="Arial" w:eastAsia="Arial" w:hAnsi="Arial"/>
          <w:sz w:val="13"/>
          <w:szCs w:val="13"/>
          <w:color w:val="0067B3"/>
        </w:rPr>
      </w:pPr>
    </w:p>
    <w:p>
      <w:pPr>
        <w:ind w:left="200" w:right="660" w:hanging="192"/>
        <w:spacing w:after="0" w:line="271" w:lineRule="auto"/>
        <w:tabs>
          <w:tab w:leader="none" w:pos="157" w:val="left"/>
        </w:tabs>
        <w:numPr>
          <w:ilvl w:val="0"/>
          <w:numId w:val="138"/>
        </w:numPr>
        <w:rPr>
          <w:rFonts w:ascii="Arial" w:cs="Arial" w:eastAsia="Arial" w:hAnsi="Arial"/>
          <w:sz w:val="13"/>
          <w:szCs w:val="13"/>
          <w:color w:val="0067B3"/>
        </w:rPr>
      </w:pPr>
      <w:r>
        <w:rPr>
          <w:rFonts w:ascii="Arial" w:cs="Arial" w:eastAsia="Arial" w:hAnsi="Arial"/>
          <w:sz w:val="18"/>
          <w:szCs w:val="18"/>
          <w:color w:val="auto"/>
        </w:rPr>
        <w:t>We identified and calculated the elements of the median employee’s total compensation for fiscal year 2023 in accordance with the requirements of Item 402(c)(2)(x) of Regulation S-K.</w:t>
      </w:r>
    </w:p>
    <w:p>
      <w:pPr>
        <w:spacing w:after="0" w:line="18" w:lineRule="exact"/>
        <w:rPr>
          <w:rFonts w:ascii="Arial" w:cs="Arial" w:eastAsia="Arial" w:hAnsi="Arial"/>
          <w:sz w:val="13"/>
          <w:szCs w:val="13"/>
          <w:color w:val="0067B3"/>
        </w:rPr>
      </w:pPr>
    </w:p>
    <w:p>
      <w:pPr>
        <w:ind w:left="200" w:right="440" w:hanging="192"/>
        <w:spacing w:after="0" w:line="271" w:lineRule="auto"/>
        <w:tabs>
          <w:tab w:leader="none" w:pos="157" w:val="left"/>
        </w:tabs>
        <w:numPr>
          <w:ilvl w:val="0"/>
          <w:numId w:val="138"/>
        </w:numPr>
        <w:rPr>
          <w:rFonts w:ascii="Arial" w:cs="Arial" w:eastAsia="Arial" w:hAnsi="Arial"/>
          <w:sz w:val="13"/>
          <w:szCs w:val="13"/>
          <w:color w:val="0067B3"/>
        </w:rPr>
      </w:pPr>
      <w:r>
        <w:rPr>
          <w:rFonts w:ascii="Arial" w:cs="Arial" w:eastAsia="Arial" w:hAnsi="Arial"/>
          <w:sz w:val="18"/>
          <w:szCs w:val="18"/>
          <w:color w:val="auto"/>
        </w:rPr>
        <w:t>We applied the exchange rate that we utilize in our accounting system, as of our fiscal year end (October 28, 2023), to convert foreign currency to U.S. dollars.</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fiscal year 2023, the annual total compensation of the same median employee was $48,425. The annual total compensation of our CEO for fiscal year 2023 was $25,543,635, which is the annual total compensation of our CEO reported in the “Total” column of the Summary Compensation Table. Based on this information, the ratio of the annual total compensation of our CEO to the median of the annual total compensation of all other employees was approximately 527 to 1.</w:t>
      </w:r>
    </w:p>
    <w:p>
      <w:pPr>
        <w:sectPr>
          <w:pgSz w:w="11900" w:h="16838" w:orient="portrait"/>
          <w:cols w:equalWidth="0" w:num="1">
            <w:col w:w="11220"/>
          </w:cols>
          <w:pgMar w:left="320" w:top="1165" w:right="359" w:bottom="1440" w:gutter="0" w:footer="0" w:header="0"/>
        </w:sectPr>
      </w:pPr>
    </w:p>
    <w:p>
      <w:pPr>
        <w:spacing w:after="0" w:line="32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41"/>
          <w:szCs w:val="41"/>
          <w:b w:val="1"/>
          <w:bCs w:val="1"/>
          <w:color w:val="0067B3"/>
        </w:rPr>
        <w:t>Pay Versus Performance</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This section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 this Proxy Statement, which includes additional discussion of the objectives of our executive compensation program and how they are aligned with our financial and operational performance.</w:t>
      </w:r>
    </w:p>
    <w:p>
      <w:pPr>
        <w:spacing w:after="0" w:line="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As required by Section 953(a) of the Dodd-Frank Wall Street Reform and Consumer Protection Act and Item 402(v) of Regulation S-K, we are providing the following information about the relationship between executive compensation actually paid to our principal executive officer (PEO) and our non-PEO NEOs, as defined by SEC rules (CAP),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section of this Proxy Statement.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Pay Versus Performance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shd w:val="clear" w:color="auto" w:fill="0067B3"/>
          </w:tcPr>
          <w:p>
            <w:pPr>
              <w:spacing w:after="0"/>
              <w:rPr>
                <w:sz w:val="17"/>
                <w:szCs w:val="17"/>
                <w:color w:val="auto"/>
              </w:rPr>
            </w:pPr>
          </w:p>
        </w:tc>
        <w:tc>
          <w:tcPr>
            <w:tcW w:w="130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260" w:type="dxa"/>
            <w:vAlign w:val="bottom"/>
            <w:shd w:val="clear" w:color="auto" w:fill="0067B3"/>
          </w:tcPr>
          <w:p>
            <w:pPr>
              <w:spacing w:after="0"/>
              <w:rPr>
                <w:sz w:val="17"/>
                <w:szCs w:val="17"/>
                <w:color w:val="auto"/>
              </w:rPr>
            </w:pPr>
          </w:p>
        </w:tc>
        <w:tc>
          <w:tcPr>
            <w:tcW w:w="1060" w:type="dxa"/>
            <w:vAlign w:val="bottom"/>
            <w:shd w:val="clear" w:color="auto" w:fill="0067B3"/>
          </w:tcPr>
          <w:p>
            <w:pPr>
              <w:spacing w:after="0"/>
              <w:rPr>
                <w:sz w:val="17"/>
                <w:szCs w:val="17"/>
                <w:color w:val="auto"/>
              </w:rPr>
            </w:pPr>
          </w:p>
        </w:tc>
        <w:tc>
          <w:tcPr>
            <w:tcW w:w="1340" w:type="dxa"/>
            <w:vAlign w:val="bottom"/>
            <w:shd w:val="clear" w:color="auto" w:fill="0067B3"/>
          </w:tcPr>
          <w:p>
            <w:pPr>
              <w:spacing w:after="0"/>
              <w:rPr>
                <w:sz w:val="17"/>
                <w:szCs w:val="17"/>
                <w:color w:val="auto"/>
              </w:rPr>
            </w:pPr>
          </w:p>
        </w:tc>
        <w:tc>
          <w:tcPr>
            <w:tcW w:w="2480" w:type="dxa"/>
            <w:vAlign w:val="bottom"/>
            <w:gridSpan w:val="2"/>
            <w:shd w:val="clear" w:color="auto" w:fill="0067B3"/>
          </w:tcPr>
          <w:p>
            <w:pPr>
              <w:jc w:val="right"/>
              <w:ind w:right="295"/>
              <w:spacing w:after="0"/>
              <w:rPr>
                <w:sz w:val="20"/>
                <w:szCs w:val="20"/>
                <w:color w:val="auto"/>
              </w:rPr>
            </w:pPr>
            <w:r>
              <w:rPr>
                <w:rFonts w:ascii="Arial" w:cs="Arial" w:eastAsia="Arial" w:hAnsi="Arial"/>
                <w:sz w:val="16"/>
                <w:szCs w:val="16"/>
                <w:b w:val="1"/>
                <w:bCs w:val="1"/>
                <w:color w:val="FFFFFF"/>
              </w:rPr>
              <w:t>Value of Initial Fixed $100</w:t>
            </w:r>
          </w:p>
        </w:tc>
        <w:tc>
          <w:tcPr>
            <w:tcW w:w="1200" w:type="dxa"/>
            <w:vAlign w:val="bottom"/>
            <w:shd w:val="clear" w:color="auto" w:fill="0067B3"/>
          </w:tcPr>
          <w:p>
            <w:pPr>
              <w:spacing w:after="0"/>
              <w:rPr>
                <w:sz w:val="17"/>
                <w:szCs w:val="17"/>
                <w:color w:val="auto"/>
              </w:rPr>
            </w:pPr>
          </w:p>
        </w:tc>
        <w:tc>
          <w:tcPr>
            <w:tcW w:w="1200" w:type="dxa"/>
            <w:vAlign w:val="bottom"/>
            <w:shd w:val="clear" w:color="auto" w:fill="0067B3"/>
          </w:tcPr>
          <w:p>
            <w:pPr>
              <w:spacing w:after="0"/>
              <w:rPr>
                <w:sz w:val="17"/>
                <w:szCs w:val="17"/>
                <w:color w:val="auto"/>
              </w:rPr>
            </w:pPr>
          </w:p>
        </w:tc>
      </w:tr>
      <w:tr>
        <w:trPr>
          <w:trHeight w:val="223"/>
        </w:trPr>
        <w:tc>
          <w:tcPr>
            <w:tcW w:w="1120" w:type="dxa"/>
            <w:vAlign w:val="bottom"/>
            <w:shd w:val="clear" w:color="auto" w:fill="0067B3"/>
          </w:tcPr>
          <w:p>
            <w:pPr>
              <w:spacing w:after="0"/>
              <w:rPr>
                <w:sz w:val="19"/>
                <w:szCs w:val="19"/>
                <w:color w:val="auto"/>
              </w:rPr>
            </w:pPr>
          </w:p>
        </w:tc>
        <w:tc>
          <w:tcPr>
            <w:tcW w:w="130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260" w:type="dxa"/>
            <w:vAlign w:val="bottom"/>
            <w:shd w:val="clear" w:color="auto" w:fill="0067B3"/>
          </w:tcPr>
          <w:p>
            <w:pPr>
              <w:spacing w:after="0"/>
              <w:rPr>
                <w:sz w:val="19"/>
                <w:szCs w:val="19"/>
                <w:color w:val="auto"/>
              </w:rPr>
            </w:pPr>
          </w:p>
        </w:tc>
        <w:tc>
          <w:tcPr>
            <w:tcW w:w="1060" w:type="dxa"/>
            <w:vAlign w:val="bottom"/>
            <w:shd w:val="clear" w:color="auto" w:fill="0067B3"/>
          </w:tcPr>
          <w:p>
            <w:pPr>
              <w:spacing w:after="0"/>
              <w:rPr>
                <w:sz w:val="19"/>
                <w:szCs w:val="19"/>
                <w:color w:val="auto"/>
              </w:rPr>
            </w:pPr>
          </w:p>
        </w:tc>
        <w:tc>
          <w:tcPr>
            <w:tcW w:w="1340" w:type="dxa"/>
            <w:vAlign w:val="bottom"/>
            <w:shd w:val="clear" w:color="auto" w:fill="0067B3"/>
          </w:tcPr>
          <w:p>
            <w:pPr>
              <w:spacing w:after="0"/>
              <w:rPr>
                <w:sz w:val="19"/>
                <w:szCs w:val="19"/>
                <w:color w:val="auto"/>
              </w:rPr>
            </w:pPr>
          </w:p>
        </w:tc>
        <w:tc>
          <w:tcPr>
            <w:tcW w:w="2480" w:type="dxa"/>
            <w:vAlign w:val="bottom"/>
            <w:gridSpan w:val="2"/>
            <w:shd w:val="clear" w:color="auto" w:fill="0067B3"/>
          </w:tcPr>
          <w:p>
            <w:pPr>
              <w:jc w:val="right"/>
              <w:ind w:right="435"/>
              <w:spacing w:after="0"/>
              <w:rPr>
                <w:sz w:val="20"/>
                <w:szCs w:val="20"/>
                <w:color w:val="auto"/>
              </w:rPr>
            </w:pPr>
            <w:r>
              <w:rPr>
                <w:rFonts w:ascii="Arial" w:cs="Arial" w:eastAsia="Arial" w:hAnsi="Arial"/>
                <w:sz w:val="16"/>
                <w:szCs w:val="16"/>
                <w:b w:val="1"/>
                <w:bCs w:val="1"/>
                <w:color w:val="FFFFFF"/>
              </w:rPr>
              <w:t>Investment Based On:</w:t>
            </w:r>
          </w:p>
        </w:tc>
        <w:tc>
          <w:tcPr>
            <w:tcW w:w="120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223"/>
        </w:trPr>
        <w:tc>
          <w:tcPr>
            <w:tcW w:w="1120" w:type="dxa"/>
            <w:vAlign w:val="bottom"/>
            <w:shd w:val="clear" w:color="auto" w:fill="0067B3"/>
          </w:tcPr>
          <w:p>
            <w:pPr>
              <w:spacing w:after="0"/>
              <w:rPr>
                <w:sz w:val="19"/>
                <w:szCs w:val="19"/>
                <w:color w:val="auto"/>
              </w:rPr>
            </w:pPr>
          </w:p>
        </w:tc>
        <w:tc>
          <w:tcPr>
            <w:tcW w:w="130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260" w:type="dxa"/>
            <w:vAlign w:val="bottom"/>
            <w:shd w:val="clear" w:color="auto" w:fill="0067B3"/>
          </w:tcPr>
          <w:p>
            <w:pPr>
              <w:spacing w:after="0"/>
              <w:rPr>
                <w:sz w:val="19"/>
                <w:szCs w:val="19"/>
                <w:color w:val="auto"/>
              </w:rPr>
            </w:pPr>
          </w:p>
        </w:tc>
        <w:tc>
          <w:tcPr>
            <w:tcW w:w="1060" w:type="dxa"/>
            <w:vAlign w:val="bottom"/>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Average</w:t>
            </w:r>
          </w:p>
        </w:tc>
        <w:tc>
          <w:tcPr>
            <w:tcW w:w="13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189"/>
        </w:trPr>
        <w:tc>
          <w:tcPr>
            <w:tcW w:w="1120" w:type="dxa"/>
            <w:vAlign w:val="bottom"/>
            <w:shd w:val="clear" w:color="auto" w:fill="0067B3"/>
          </w:tcPr>
          <w:p>
            <w:pPr>
              <w:spacing w:after="0"/>
              <w:rPr>
                <w:sz w:val="16"/>
                <w:szCs w:val="16"/>
                <w:color w:val="auto"/>
              </w:rPr>
            </w:pPr>
          </w:p>
        </w:tc>
        <w:tc>
          <w:tcPr>
            <w:tcW w:w="1300" w:type="dxa"/>
            <w:vAlign w:val="bottom"/>
            <w:shd w:val="clear" w:color="auto" w:fill="0067B3"/>
          </w:tcPr>
          <w:p>
            <w:pPr>
              <w:spacing w:after="0"/>
              <w:rPr>
                <w:sz w:val="16"/>
                <w:szCs w:val="16"/>
                <w:color w:val="auto"/>
              </w:rPr>
            </w:pPr>
          </w:p>
        </w:tc>
        <w:tc>
          <w:tcPr>
            <w:tcW w:w="1280" w:type="dxa"/>
            <w:vAlign w:val="bottom"/>
            <w:shd w:val="clear" w:color="auto" w:fill="0067B3"/>
          </w:tcPr>
          <w:p>
            <w:pPr>
              <w:spacing w:after="0"/>
              <w:rPr>
                <w:sz w:val="16"/>
                <w:szCs w:val="16"/>
                <w:color w:val="auto"/>
              </w:rPr>
            </w:pPr>
          </w:p>
        </w:tc>
        <w:tc>
          <w:tcPr>
            <w:tcW w:w="260" w:type="dxa"/>
            <w:vAlign w:val="bottom"/>
            <w:shd w:val="clear" w:color="auto" w:fill="0067B3"/>
          </w:tcPr>
          <w:p>
            <w:pPr>
              <w:spacing w:after="0"/>
              <w:rPr>
                <w:sz w:val="16"/>
                <w:szCs w:val="16"/>
                <w:color w:val="auto"/>
              </w:rPr>
            </w:pPr>
          </w:p>
        </w:tc>
        <w:tc>
          <w:tcPr>
            <w:tcW w:w="1060" w:type="dxa"/>
            <w:vAlign w:val="bottom"/>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Summary</w:t>
            </w:r>
          </w:p>
        </w:tc>
        <w:tc>
          <w:tcPr>
            <w:tcW w:w="13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Average</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189"/>
        </w:trPr>
        <w:tc>
          <w:tcPr>
            <w:tcW w:w="1120" w:type="dxa"/>
            <w:vAlign w:val="bottom"/>
            <w:shd w:val="clear" w:color="auto" w:fill="0067B3"/>
          </w:tcPr>
          <w:p>
            <w:pPr>
              <w:spacing w:after="0"/>
              <w:rPr>
                <w:sz w:val="16"/>
                <w:szCs w:val="16"/>
                <w:color w:val="auto"/>
              </w:rPr>
            </w:pP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Summary</w:t>
            </w:r>
          </w:p>
        </w:tc>
        <w:tc>
          <w:tcPr>
            <w:tcW w:w="1280" w:type="dxa"/>
            <w:vAlign w:val="bottom"/>
            <w:shd w:val="clear" w:color="auto" w:fill="0067B3"/>
          </w:tcPr>
          <w:p>
            <w:pPr>
              <w:spacing w:after="0"/>
              <w:rPr>
                <w:sz w:val="16"/>
                <w:szCs w:val="16"/>
                <w:color w:val="auto"/>
              </w:rPr>
            </w:pPr>
          </w:p>
        </w:tc>
        <w:tc>
          <w:tcPr>
            <w:tcW w:w="1320" w:type="dxa"/>
            <w:vAlign w:val="bottom"/>
            <w:gridSpan w:val="2"/>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Peer Group</w:t>
            </w:r>
          </w:p>
        </w:tc>
        <w:tc>
          <w:tcPr>
            <w:tcW w:w="120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189"/>
        </w:trPr>
        <w:tc>
          <w:tcPr>
            <w:tcW w:w="1120" w:type="dxa"/>
            <w:vAlign w:val="bottom"/>
            <w:shd w:val="clear" w:color="auto" w:fill="0067B3"/>
          </w:tcPr>
          <w:p>
            <w:pPr>
              <w:spacing w:after="0"/>
              <w:rPr>
                <w:sz w:val="16"/>
                <w:szCs w:val="16"/>
                <w:color w:val="auto"/>
              </w:rPr>
            </w:pP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Compensation</w:t>
            </w:r>
          </w:p>
        </w:tc>
        <w:tc>
          <w:tcPr>
            <w:tcW w:w="260" w:type="dxa"/>
            <w:vAlign w:val="bottom"/>
            <w:shd w:val="clear" w:color="auto" w:fill="0067B3"/>
          </w:tcPr>
          <w:p>
            <w:pPr>
              <w:spacing w:after="0"/>
              <w:rPr>
                <w:sz w:val="16"/>
                <w:szCs w:val="16"/>
                <w:color w:val="auto"/>
              </w:rPr>
            </w:pPr>
          </w:p>
        </w:tc>
        <w:tc>
          <w:tcPr>
            <w:tcW w:w="1060" w:type="dxa"/>
            <w:vAlign w:val="bottom"/>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Table Total</w:t>
            </w:r>
          </w:p>
        </w:tc>
        <w:tc>
          <w:tcPr>
            <w:tcW w:w="13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Actually Paid</w:t>
            </w:r>
          </w:p>
        </w:tc>
        <w:tc>
          <w:tcPr>
            <w:tcW w:w="12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Total</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Total</w:t>
            </w:r>
          </w:p>
        </w:tc>
        <w:tc>
          <w:tcPr>
            <w:tcW w:w="120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203"/>
        </w:trPr>
        <w:tc>
          <w:tcPr>
            <w:tcW w:w="1120" w:type="dxa"/>
            <w:vAlign w:val="bottom"/>
            <w:shd w:val="clear" w:color="auto" w:fill="0067B3"/>
          </w:tcPr>
          <w:p>
            <w:pPr>
              <w:spacing w:after="0"/>
              <w:rPr>
                <w:sz w:val="17"/>
                <w:szCs w:val="17"/>
                <w:color w:val="auto"/>
              </w:rPr>
            </w:pP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Table Total</w:t>
            </w:r>
          </w:p>
        </w:tc>
        <w:tc>
          <w:tcPr>
            <w:tcW w:w="12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Actually Paid</w:t>
            </w:r>
          </w:p>
        </w:tc>
        <w:tc>
          <w:tcPr>
            <w:tcW w:w="260" w:type="dxa"/>
            <w:vAlign w:val="bottom"/>
            <w:shd w:val="clear" w:color="auto" w:fill="0067B3"/>
          </w:tcPr>
          <w:p>
            <w:pPr>
              <w:spacing w:after="0"/>
              <w:rPr>
                <w:sz w:val="17"/>
                <w:szCs w:val="17"/>
                <w:color w:val="auto"/>
              </w:rPr>
            </w:pPr>
          </w:p>
        </w:tc>
        <w:tc>
          <w:tcPr>
            <w:tcW w:w="1060" w:type="dxa"/>
            <w:vAlign w:val="bottom"/>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for non-</w:t>
            </w:r>
          </w:p>
        </w:tc>
        <w:tc>
          <w:tcPr>
            <w:tcW w:w="13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to non-</w:t>
            </w:r>
          </w:p>
        </w:tc>
        <w:tc>
          <w:tcPr>
            <w:tcW w:w="12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Shareholder</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Shareholder</w:t>
            </w:r>
          </w:p>
        </w:tc>
        <w:tc>
          <w:tcPr>
            <w:tcW w:w="1200" w:type="dxa"/>
            <w:vAlign w:val="bottom"/>
            <w:shd w:val="clear" w:color="auto" w:fill="0067B3"/>
          </w:tcPr>
          <w:p>
            <w:pPr>
              <w:jc w:val="right"/>
              <w:ind w:right="74"/>
              <w:spacing w:after="0"/>
              <w:rPr>
                <w:sz w:val="20"/>
                <w:szCs w:val="20"/>
                <w:color w:val="auto"/>
              </w:rPr>
            </w:pPr>
            <w:r>
              <w:rPr>
                <w:rFonts w:ascii="Arial" w:cs="Arial" w:eastAsia="Arial" w:hAnsi="Arial"/>
                <w:sz w:val="16"/>
                <w:szCs w:val="16"/>
                <w:b w:val="1"/>
                <w:bCs w:val="1"/>
                <w:color w:val="FFFFFF"/>
              </w:rPr>
              <w:t>Net Income</w:t>
            </w:r>
          </w:p>
        </w:tc>
        <w:tc>
          <w:tcPr>
            <w:tcW w:w="1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OPBT Margin</w:t>
            </w:r>
          </w:p>
        </w:tc>
      </w:tr>
      <w:tr>
        <w:trPr>
          <w:trHeight w:val="244"/>
        </w:trPr>
        <w:tc>
          <w:tcPr>
            <w:tcW w:w="11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Year</w:t>
            </w:r>
            <w:r>
              <w:rPr>
                <w:rFonts w:ascii="Arial" w:cs="Arial" w:eastAsia="Arial" w:hAnsi="Arial"/>
                <w:sz w:val="21"/>
                <w:szCs w:val="21"/>
                <w:b w:val="1"/>
                <w:bCs w:val="1"/>
                <w:color w:val="FFFFFF"/>
                <w:vertAlign w:val="superscript"/>
              </w:rPr>
              <w:t>(1)</w:t>
            </w: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for PEO</w:t>
            </w:r>
          </w:p>
        </w:tc>
        <w:tc>
          <w:tcPr>
            <w:tcW w:w="12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to PEO</w:t>
            </w:r>
            <w:r>
              <w:rPr>
                <w:rFonts w:ascii="Arial" w:cs="Arial" w:eastAsia="Arial" w:hAnsi="Arial"/>
                <w:sz w:val="21"/>
                <w:szCs w:val="21"/>
                <w:b w:val="1"/>
                <w:bCs w:val="1"/>
                <w:color w:val="FFFFFF"/>
                <w:vertAlign w:val="superscript"/>
              </w:rPr>
              <w:t>(2)</w:t>
            </w:r>
          </w:p>
        </w:tc>
        <w:tc>
          <w:tcPr>
            <w:tcW w:w="260" w:type="dxa"/>
            <w:vAlign w:val="bottom"/>
            <w:shd w:val="clear" w:color="auto" w:fill="0067B3"/>
          </w:tcPr>
          <w:p>
            <w:pPr>
              <w:spacing w:after="0"/>
              <w:rPr>
                <w:sz w:val="21"/>
                <w:szCs w:val="21"/>
                <w:color w:val="auto"/>
              </w:rPr>
            </w:pPr>
          </w:p>
        </w:tc>
        <w:tc>
          <w:tcPr>
            <w:tcW w:w="1060" w:type="dxa"/>
            <w:vAlign w:val="bottom"/>
            <w:shd w:val="clear" w:color="auto" w:fill="0067B3"/>
          </w:tcPr>
          <w:p>
            <w:pPr>
              <w:jc w:val="right"/>
              <w:ind w:right="16"/>
              <w:spacing w:after="0"/>
              <w:rPr>
                <w:sz w:val="20"/>
                <w:szCs w:val="20"/>
                <w:color w:val="auto"/>
              </w:rPr>
            </w:pPr>
            <w:r>
              <w:rPr>
                <w:rFonts w:ascii="Arial" w:cs="Arial" w:eastAsia="Arial" w:hAnsi="Arial"/>
                <w:sz w:val="16"/>
                <w:szCs w:val="16"/>
                <w:b w:val="1"/>
                <w:bCs w:val="1"/>
                <w:color w:val="FFFFFF"/>
              </w:rPr>
              <w:t>PEO NEOs</w:t>
            </w:r>
          </w:p>
        </w:tc>
        <w:tc>
          <w:tcPr>
            <w:tcW w:w="13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PEO NEOs</w:t>
            </w:r>
            <w:r>
              <w:rPr>
                <w:rFonts w:ascii="Arial" w:cs="Arial" w:eastAsia="Arial" w:hAnsi="Arial"/>
                <w:sz w:val="21"/>
                <w:szCs w:val="21"/>
                <w:b w:val="1"/>
                <w:bCs w:val="1"/>
                <w:color w:val="FFFFFF"/>
                <w:vertAlign w:val="superscript"/>
              </w:rPr>
              <w:t>(2)</w:t>
            </w:r>
          </w:p>
        </w:tc>
        <w:tc>
          <w:tcPr>
            <w:tcW w:w="1240" w:type="dxa"/>
            <w:vAlign w:val="bottom"/>
            <w:shd w:val="clear" w:color="auto" w:fill="0067B3"/>
          </w:tcPr>
          <w:p>
            <w:pPr>
              <w:jc w:val="right"/>
              <w:ind w:right="56"/>
              <w:spacing w:after="0"/>
              <w:rPr>
                <w:sz w:val="20"/>
                <w:szCs w:val="20"/>
                <w:color w:val="auto"/>
              </w:rPr>
            </w:pPr>
            <w:r>
              <w:rPr>
                <w:rFonts w:ascii="Arial" w:cs="Arial" w:eastAsia="Arial" w:hAnsi="Arial"/>
                <w:sz w:val="16"/>
                <w:szCs w:val="16"/>
                <w:b w:val="1"/>
                <w:bCs w:val="1"/>
                <w:color w:val="FFFFFF"/>
              </w:rPr>
              <w:t>Return</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Return</w:t>
            </w:r>
            <w:r>
              <w:rPr>
                <w:rFonts w:ascii="Arial" w:cs="Arial" w:eastAsia="Arial" w:hAnsi="Arial"/>
                <w:sz w:val="21"/>
                <w:szCs w:val="21"/>
                <w:b w:val="1"/>
                <w:bCs w:val="1"/>
                <w:color w:val="FFFFFF"/>
                <w:vertAlign w:val="superscript"/>
              </w:rPr>
              <w:t>(3)</w:t>
            </w:r>
          </w:p>
        </w:tc>
        <w:tc>
          <w:tcPr>
            <w:tcW w:w="1200" w:type="dxa"/>
            <w:vAlign w:val="bottom"/>
            <w:shd w:val="clear" w:color="auto" w:fill="0067B3"/>
          </w:tcPr>
          <w:p>
            <w:pPr>
              <w:jc w:val="right"/>
              <w:ind w:right="74"/>
              <w:spacing w:after="0"/>
              <w:rPr>
                <w:sz w:val="20"/>
                <w:szCs w:val="20"/>
                <w:color w:val="auto"/>
              </w:rPr>
            </w:pPr>
            <w:r>
              <w:rPr>
                <w:rFonts w:ascii="Arial" w:cs="Arial" w:eastAsia="Arial" w:hAnsi="Arial"/>
                <w:sz w:val="16"/>
                <w:szCs w:val="16"/>
                <w:b w:val="1"/>
                <w:bCs w:val="1"/>
                <w:color w:val="FFFFFF"/>
              </w:rPr>
              <w:t>(in millions)</w:t>
            </w:r>
          </w:p>
        </w:tc>
        <w:tc>
          <w:tcPr>
            <w:tcW w:w="120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r>
      <w:tr>
        <w:trPr>
          <w:trHeight w:val="250"/>
        </w:trPr>
        <w:tc>
          <w:tcPr>
            <w:tcW w:w="1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2023</w:t>
            </w:r>
          </w:p>
        </w:tc>
        <w:tc>
          <w:tcPr>
            <w:tcW w:w="1300" w:type="dxa"/>
            <w:vAlign w:val="bottom"/>
            <w:tcBorders>
              <w:bottom w:val="single" w:sz="8" w:color="E2E6F4"/>
            </w:tcBorders>
            <w:shd w:val="clear" w:color="auto" w:fill="E2E6F4"/>
          </w:tcPr>
          <w:p>
            <w:pPr>
              <w:jc w:val="right"/>
              <w:ind w:right="35"/>
              <w:spacing w:after="0"/>
              <w:rPr>
                <w:sz w:val="20"/>
                <w:szCs w:val="20"/>
                <w:color w:val="auto"/>
              </w:rPr>
            </w:pPr>
            <w:r>
              <w:rPr>
                <w:rFonts w:ascii="Arial" w:cs="Arial" w:eastAsia="Arial" w:hAnsi="Arial"/>
                <w:sz w:val="18"/>
                <w:szCs w:val="18"/>
                <w:color w:val="auto"/>
              </w:rPr>
              <w:t>$25,543,635</w:t>
            </w:r>
          </w:p>
        </w:tc>
        <w:tc>
          <w:tcPr>
            <w:tcW w:w="1280" w:type="dxa"/>
            <w:vAlign w:val="bottom"/>
            <w:tcBorders>
              <w:bottom w:val="single" w:sz="8" w:color="E2E6F4"/>
            </w:tcBorders>
            <w:shd w:val="clear" w:color="auto" w:fill="E2E6F4"/>
          </w:tcPr>
          <w:p>
            <w:pPr>
              <w:jc w:val="right"/>
              <w:ind w:right="75"/>
              <w:spacing w:after="0"/>
              <w:rPr>
                <w:sz w:val="20"/>
                <w:szCs w:val="20"/>
                <w:color w:val="auto"/>
              </w:rPr>
            </w:pPr>
            <w:r>
              <w:rPr>
                <w:rFonts w:ascii="Arial" w:cs="Arial" w:eastAsia="Arial" w:hAnsi="Arial"/>
                <w:sz w:val="18"/>
                <w:szCs w:val="18"/>
                <w:color w:val="auto"/>
              </w:rPr>
              <w:t>$27,379,913</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76"/>
              <w:spacing w:after="0"/>
              <w:rPr>
                <w:sz w:val="20"/>
                <w:szCs w:val="20"/>
                <w:color w:val="auto"/>
              </w:rPr>
            </w:pPr>
            <w:r>
              <w:rPr>
                <w:rFonts w:ascii="Arial" w:cs="Arial" w:eastAsia="Arial" w:hAnsi="Arial"/>
                <w:sz w:val="18"/>
                <w:szCs w:val="18"/>
                <w:color w:val="auto"/>
              </w:rPr>
              <w:t>8,288,714</w:t>
            </w:r>
          </w:p>
        </w:tc>
        <w:tc>
          <w:tcPr>
            <w:tcW w:w="1340" w:type="dxa"/>
            <w:vAlign w:val="bottom"/>
            <w:tcBorders>
              <w:bottom w:val="single" w:sz="8" w:color="E2E6F4"/>
            </w:tcBorders>
            <w:shd w:val="clear" w:color="auto" w:fill="E2E6F4"/>
          </w:tcPr>
          <w:p>
            <w:pPr>
              <w:jc w:val="right"/>
              <w:ind w:right="116"/>
              <w:spacing w:after="0"/>
              <w:rPr>
                <w:sz w:val="20"/>
                <w:szCs w:val="20"/>
                <w:color w:val="auto"/>
              </w:rPr>
            </w:pPr>
            <w:r>
              <w:rPr>
                <w:rFonts w:ascii="Arial" w:cs="Arial" w:eastAsia="Arial" w:hAnsi="Arial"/>
                <w:sz w:val="18"/>
                <w:szCs w:val="18"/>
                <w:color w:val="auto"/>
              </w:rPr>
              <w:t>$ 8,309,413</w:t>
            </w:r>
          </w:p>
        </w:tc>
        <w:tc>
          <w:tcPr>
            <w:tcW w:w="1240" w:type="dxa"/>
            <w:vAlign w:val="bottom"/>
            <w:tcBorders>
              <w:bottom w:val="single" w:sz="8" w:color="E2E6F4"/>
            </w:tcBorders>
            <w:shd w:val="clear" w:color="auto" w:fill="E2E6F4"/>
          </w:tcPr>
          <w:p>
            <w:pPr>
              <w:jc w:val="right"/>
              <w:ind w:right="116"/>
              <w:spacing w:after="0"/>
              <w:rPr>
                <w:sz w:val="20"/>
                <w:szCs w:val="20"/>
                <w:color w:val="auto"/>
              </w:rPr>
            </w:pPr>
            <w:r>
              <w:rPr>
                <w:rFonts w:ascii="Arial" w:cs="Arial" w:eastAsia="Arial" w:hAnsi="Arial"/>
                <w:sz w:val="18"/>
                <w:szCs w:val="18"/>
                <w:color w:val="auto"/>
              </w:rPr>
              <w:t>$142.97</w:t>
            </w:r>
          </w:p>
        </w:tc>
        <w:tc>
          <w:tcPr>
            <w:tcW w:w="1240" w:type="dxa"/>
            <w:vAlign w:val="bottom"/>
            <w:tcBorders>
              <w:bottom w:val="single" w:sz="8" w:color="E2E6F4"/>
            </w:tcBorders>
            <w:shd w:val="clear" w:color="auto" w:fill="E2E6F4"/>
          </w:tcPr>
          <w:p>
            <w:pPr>
              <w:jc w:val="right"/>
              <w:ind w:right="135"/>
              <w:spacing w:after="0"/>
              <w:rPr>
                <w:sz w:val="20"/>
                <w:szCs w:val="20"/>
                <w:color w:val="auto"/>
              </w:rPr>
            </w:pPr>
            <w:r>
              <w:rPr>
                <w:rFonts w:ascii="Arial" w:cs="Arial" w:eastAsia="Arial" w:hAnsi="Arial"/>
                <w:sz w:val="18"/>
                <w:szCs w:val="18"/>
                <w:color w:val="auto"/>
              </w:rPr>
              <w:t>$131.46</w:t>
            </w:r>
          </w:p>
        </w:tc>
        <w:tc>
          <w:tcPr>
            <w:tcW w:w="1200" w:type="dxa"/>
            <w:vAlign w:val="bottom"/>
            <w:tcBorders>
              <w:bottom w:val="single" w:sz="8" w:color="E2E6F4"/>
            </w:tcBorders>
            <w:shd w:val="clear" w:color="auto" w:fill="E2E6F4"/>
          </w:tcPr>
          <w:p>
            <w:pPr>
              <w:jc w:val="right"/>
              <w:ind w:right="134"/>
              <w:spacing w:after="0"/>
              <w:rPr>
                <w:sz w:val="20"/>
                <w:szCs w:val="20"/>
                <w:color w:val="auto"/>
              </w:rPr>
            </w:pPr>
            <w:r>
              <w:rPr>
                <w:rFonts w:ascii="Arial" w:cs="Arial" w:eastAsia="Arial" w:hAnsi="Arial"/>
                <w:sz w:val="18"/>
                <w:szCs w:val="18"/>
                <w:color w:val="auto"/>
              </w:rPr>
              <w:t>$3,315</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48.9 %</w:t>
            </w:r>
          </w:p>
        </w:tc>
      </w:tr>
      <w:tr>
        <w:trPr>
          <w:trHeight w:val="247"/>
        </w:trPr>
        <w:tc>
          <w:tcPr>
            <w:tcW w:w="1120" w:type="dxa"/>
            <w:vAlign w:val="bottom"/>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$22,098,295</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$11,359,851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w w:val="97"/>
              </w:rPr>
              <w:t>14,285,882</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$17,097,847</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$126.62</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$122.16</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$2,749</w:t>
            </w:r>
          </w:p>
        </w:tc>
        <w:tc>
          <w:tcPr>
            <w:tcW w:w="1200" w:type="dxa"/>
            <w:vAlign w:val="bottom"/>
          </w:tcPr>
          <w:p>
            <w:pPr>
              <w:jc w:val="right"/>
              <w:spacing w:after="0"/>
              <w:rPr>
                <w:sz w:val="20"/>
                <w:szCs w:val="20"/>
                <w:color w:val="auto"/>
              </w:rPr>
            </w:pPr>
            <w:r>
              <w:rPr>
                <w:rFonts w:ascii="Arial" w:cs="Arial" w:eastAsia="Arial" w:hAnsi="Arial"/>
                <w:sz w:val="18"/>
                <w:szCs w:val="18"/>
                <w:color w:val="auto"/>
              </w:rPr>
              <w:t>49.4 %</w:t>
            </w:r>
          </w:p>
        </w:tc>
      </w:tr>
      <w:tr>
        <w:trPr>
          <w:trHeight w:val="23"/>
        </w:trPr>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E2E6F4"/>
            </w:tcBorders>
            <w:shd w:val="clear" w:color="auto" w:fill="E2E6F4"/>
          </w:tcPr>
          <w:p>
            <w:pPr>
              <w:jc w:val="right"/>
              <w:ind w:right="35"/>
              <w:spacing w:after="0"/>
              <w:rPr>
                <w:sz w:val="20"/>
                <w:szCs w:val="20"/>
                <w:color w:val="auto"/>
              </w:rPr>
            </w:pPr>
            <w:r>
              <w:rPr>
                <w:rFonts w:ascii="Arial" w:cs="Arial" w:eastAsia="Arial" w:hAnsi="Arial"/>
                <w:sz w:val="18"/>
                <w:szCs w:val="18"/>
                <w:color w:val="auto"/>
              </w:rPr>
              <w:t>$30,824,323</w:t>
            </w:r>
          </w:p>
        </w:tc>
        <w:tc>
          <w:tcPr>
            <w:tcW w:w="1280" w:type="dxa"/>
            <w:vAlign w:val="bottom"/>
            <w:tcBorders>
              <w:bottom w:val="single" w:sz="8" w:color="E2E6F4"/>
            </w:tcBorders>
            <w:shd w:val="clear" w:color="auto" w:fill="E2E6F4"/>
          </w:tcPr>
          <w:p>
            <w:pPr>
              <w:jc w:val="right"/>
              <w:ind w:right="75"/>
              <w:spacing w:after="0"/>
              <w:rPr>
                <w:sz w:val="20"/>
                <w:szCs w:val="20"/>
                <w:color w:val="auto"/>
              </w:rPr>
            </w:pPr>
            <w:r>
              <w:rPr>
                <w:rFonts w:ascii="Arial" w:cs="Arial" w:eastAsia="Arial" w:hAnsi="Arial"/>
                <w:sz w:val="18"/>
                <w:szCs w:val="18"/>
                <w:color w:val="auto"/>
              </w:rPr>
              <w:t>$59,576,220</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76"/>
              <w:spacing w:after="0"/>
              <w:rPr>
                <w:sz w:val="20"/>
                <w:szCs w:val="20"/>
                <w:color w:val="auto"/>
              </w:rPr>
            </w:pPr>
            <w:r>
              <w:rPr>
                <w:rFonts w:ascii="Arial" w:cs="Arial" w:eastAsia="Arial" w:hAnsi="Arial"/>
                <w:sz w:val="18"/>
                <w:szCs w:val="18"/>
                <w:color w:val="auto"/>
              </w:rPr>
              <w:t>6,010,914</w:t>
            </w:r>
          </w:p>
        </w:tc>
        <w:tc>
          <w:tcPr>
            <w:tcW w:w="1340" w:type="dxa"/>
            <w:vAlign w:val="bottom"/>
            <w:tcBorders>
              <w:bottom w:val="single" w:sz="8" w:color="E2E6F4"/>
            </w:tcBorders>
            <w:shd w:val="clear" w:color="auto" w:fill="E2E6F4"/>
          </w:tcPr>
          <w:p>
            <w:pPr>
              <w:jc w:val="right"/>
              <w:ind w:right="116"/>
              <w:spacing w:after="0"/>
              <w:rPr>
                <w:sz w:val="20"/>
                <w:szCs w:val="20"/>
                <w:color w:val="auto"/>
              </w:rPr>
            </w:pPr>
            <w:r>
              <w:rPr>
                <w:rFonts w:ascii="Arial" w:cs="Arial" w:eastAsia="Arial" w:hAnsi="Arial"/>
                <w:sz w:val="18"/>
                <w:szCs w:val="18"/>
                <w:color w:val="auto"/>
              </w:rPr>
              <w:t>$10,201,660</w:t>
            </w:r>
          </w:p>
        </w:tc>
        <w:tc>
          <w:tcPr>
            <w:tcW w:w="1240" w:type="dxa"/>
            <w:vAlign w:val="bottom"/>
            <w:tcBorders>
              <w:bottom w:val="single" w:sz="8" w:color="E2E6F4"/>
            </w:tcBorders>
            <w:shd w:val="clear" w:color="auto" w:fill="E2E6F4"/>
          </w:tcPr>
          <w:p>
            <w:pPr>
              <w:jc w:val="right"/>
              <w:ind w:right="116"/>
              <w:spacing w:after="0"/>
              <w:rPr>
                <w:sz w:val="20"/>
                <w:szCs w:val="20"/>
                <w:color w:val="auto"/>
              </w:rPr>
            </w:pPr>
            <w:r>
              <w:rPr>
                <w:rFonts w:ascii="Arial" w:cs="Arial" w:eastAsia="Arial" w:hAnsi="Arial"/>
                <w:sz w:val="18"/>
                <w:szCs w:val="18"/>
                <w:color w:val="auto"/>
              </w:rPr>
              <w:t>$148.90</w:t>
            </w:r>
          </w:p>
        </w:tc>
        <w:tc>
          <w:tcPr>
            <w:tcW w:w="1240" w:type="dxa"/>
            <w:vAlign w:val="bottom"/>
            <w:tcBorders>
              <w:bottom w:val="single" w:sz="8" w:color="E2E6F4"/>
            </w:tcBorders>
            <w:shd w:val="clear" w:color="auto" w:fill="E2E6F4"/>
          </w:tcPr>
          <w:p>
            <w:pPr>
              <w:jc w:val="right"/>
              <w:ind w:right="135"/>
              <w:spacing w:after="0"/>
              <w:rPr>
                <w:sz w:val="20"/>
                <w:szCs w:val="20"/>
                <w:color w:val="auto"/>
              </w:rPr>
            </w:pPr>
            <w:r>
              <w:rPr>
                <w:rFonts w:ascii="Arial" w:cs="Arial" w:eastAsia="Arial" w:hAnsi="Arial"/>
                <w:sz w:val="18"/>
                <w:szCs w:val="18"/>
                <w:color w:val="auto"/>
              </w:rPr>
              <w:t>$167.86</w:t>
            </w:r>
          </w:p>
        </w:tc>
        <w:tc>
          <w:tcPr>
            <w:tcW w:w="1200" w:type="dxa"/>
            <w:vAlign w:val="bottom"/>
            <w:tcBorders>
              <w:bottom w:val="single" w:sz="8" w:color="E2E6F4"/>
            </w:tcBorders>
            <w:shd w:val="clear" w:color="auto" w:fill="E2E6F4"/>
          </w:tcPr>
          <w:p>
            <w:pPr>
              <w:jc w:val="right"/>
              <w:ind w:right="134"/>
              <w:spacing w:after="0"/>
              <w:rPr>
                <w:sz w:val="20"/>
                <w:szCs w:val="20"/>
                <w:color w:val="auto"/>
              </w:rPr>
            </w:pPr>
            <w:r>
              <w:rPr>
                <w:rFonts w:ascii="Arial" w:cs="Arial" w:eastAsia="Arial" w:hAnsi="Arial"/>
                <w:sz w:val="18"/>
                <w:szCs w:val="18"/>
                <w:color w:val="auto"/>
              </w:rPr>
              <w:t>$1,390</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42.4 %</w:t>
            </w:r>
          </w:p>
        </w:tc>
      </w:tr>
      <w:tr>
        <w:trPr>
          <w:trHeight w:val="20"/>
        </w:trPr>
        <w:tc>
          <w:tcPr>
            <w:tcW w:w="1120" w:type="dxa"/>
            <w:vAlign w:val="bottom"/>
            <w:shd w:val="clear" w:color="auto" w:fill="0067B3"/>
          </w:tcPr>
          <w:p>
            <w:pPr>
              <w:spacing w:after="0" w:line="20" w:lineRule="exact"/>
              <w:rPr>
                <w:sz w:val="1"/>
                <w:szCs w:val="1"/>
                <w:color w:val="auto"/>
              </w:rPr>
            </w:pPr>
          </w:p>
        </w:tc>
        <w:tc>
          <w:tcPr>
            <w:tcW w:w="130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260" w:type="dxa"/>
            <w:vAlign w:val="bottom"/>
            <w:shd w:val="clear" w:color="auto" w:fill="0067B3"/>
          </w:tcPr>
          <w:p>
            <w:pPr>
              <w:spacing w:after="0" w:line="20" w:lineRule="exact"/>
              <w:rPr>
                <w:sz w:val="1"/>
                <w:szCs w:val="1"/>
                <w:color w:val="auto"/>
              </w:rPr>
            </w:pPr>
          </w:p>
        </w:tc>
        <w:tc>
          <w:tcPr>
            <w:tcW w:w="1060" w:type="dxa"/>
            <w:vAlign w:val="bottom"/>
            <w:shd w:val="clear" w:color="auto" w:fill="0067B3"/>
          </w:tcPr>
          <w:p>
            <w:pPr>
              <w:spacing w:after="0" w:line="20" w:lineRule="exact"/>
              <w:rPr>
                <w:sz w:val="1"/>
                <w:szCs w:val="1"/>
                <w:color w:val="auto"/>
              </w:rPr>
            </w:pPr>
          </w:p>
        </w:tc>
        <w:tc>
          <w:tcPr>
            <w:tcW w:w="134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1200" w:type="dxa"/>
            <w:vAlign w:val="bottom"/>
            <w:shd w:val="clear" w:color="auto" w:fill="0067B3"/>
          </w:tcPr>
          <w:p>
            <w:pPr>
              <w:spacing w:after="0" w:line="20" w:lineRule="exact"/>
              <w:rPr>
                <w:sz w:val="1"/>
                <w:szCs w:val="1"/>
                <w:color w:val="auto"/>
              </w:rPr>
            </w:pPr>
          </w:p>
        </w:tc>
        <w:tc>
          <w:tcPr>
            <w:tcW w:w="1200" w:type="dxa"/>
            <w:vAlign w:val="bottom"/>
            <w:shd w:val="clear" w:color="auto" w:fill="0067B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-1293495</wp:posOffset>
            </wp:positionV>
            <wp:extent cx="15601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41" w:lineRule="exact"/>
        <w:rPr>
          <w:sz w:val="20"/>
          <w:szCs w:val="20"/>
          <w:color w:val="auto"/>
        </w:rPr>
      </w:pPr>
    </w:p>
    <w:p>
      <w:pPr>
        <w:ind w:left="400" w:right="1680" w:hanging="392"/>
        <w:spacing w:after="0" w:line="296" w:lineRule="auto"/>
        <w:tabs>
          <w:tab w:leader="none" w:pos="221"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Vincent Roche is the PEO for fiscal years 2023, 2022, and 2021. The non-PEO NEOs reflect the following individuals in each year: 2023: Prashanth Mahendra-Rajah, Gregory Bryant, Vivek Jain, Anelise Sacks</w:t>
      </w:r>
    </w:p>
    <w:p>
      <w:pPr>
        <w:spacing w:after="0" w:line="1"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2022: Prashanth Mahendra-Rajah, Gregory Bryant, Vivek Jain, Anelise Sacks</w:t>
      </w:r>
    </w:p>
    <w:p>
      <w:pPr>
        <w:spacing w:after="0" w:line="72"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2021: Prashanth Mahendra-Rajah, Martin Cotter, John Hassett, Greg Henderson, Anelise Sacks</w:t>
      </w:r>
    </w:p>
    <w:p>
      <w:pPr>
        <w:spacing w:after="0" w:line="72" w:lineRule="exact"/>
        <w:rPr>
          <w:rFonts w:ascii="Arial" w:cs="Arial" w:eastAsia="Arial" w:hAnsi="Arial"/>
          <w:sz w:val="21"/>
          <w:szCs w:val="21"/>
          <w:color w:val="auto"/>
          <w:vertAlign w:val="superscript"/>
        </w:rPr>
      </w:pPr>
    </w:p>
    <w:p>
      <w:pPr>
        <w:ind w:left="200" w:right="400" w:hanging="192"/>
        <w:spacing w:after="0" w:line="227" w:lineRule="auto"/>
        <w:tabs>
          <w:tab w:leader="none" w:pos="215"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“Compensation Actually Paid” to the PEO and non-PEO NEOs reflects the following adjustments from “total compensation” reported in the Summary Compensation Table:</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20" w:type="dxa"/>
            <w:vAlign w:val="bottom"/>
            <w:shd w:val="clear" w:color="auto" w:fill="0067B3"/>
          </w:tcPr>
          <w:p>
            <w:pPr>
              <w:spacing w:after="0"/>
              <w:rPr>
                <w:sz w:val="20"/>
                <w:szCs w:val="20"/>
                <w:color w:val="auto"/>
              </w:rPr>
            </w:pPr>
          </w:p>
        </w:tc>
        <w:tc>
          <w:tcPr>
            <w:tcW w:w="12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2023</w:t>
            </w:r>
          </w:p>
        </w:tc>
        <w:tc>
          <w:tcPr>
            <w:tcW w:w="960" w:type="dxa"/>
            <w:vAlign w:val="bottom"/>
            <w:shd w:val="clear" w:color="auto" w:fill="0067B3"/>
          </w:tcPr>
          <w:p>
            <w:pPr>
              <w:spacing w:after="0"/>
              <w:rPr>
                <w:sz w:val="20"/>
                <w:szCs w:val="20"/>
                <w:color w:val="auto"/>
              </w:rPr>
            </w:pPr>
          </w:p>
        </w:tc>
        <w:tc>
          <w:tcPr>
            <w:tcW w:w="2180" w:type="dxa"/>
            <w:vAlign w:val="bottom"/>
            <w:gridSpan w:val="2"/>
            <w:shd w:val="clear" w:color="auto" w:fill="0067B3"/>
          </w:tcPr>
          <w:p>
            <w:pPr>
              <w:jc w:val="right"/>
              <w:ind w:right="881"/>
              <w:spacing w:after="0"/>
              <w:rPr>
                <w:sz w:val="20"/>
                <w:szCs w:val="20"/>
                <w:color w:val="auto"/>
              </w:rPr>
            </w:pPr>
            <w:r>
              <w:rPr>
                <w:rFonts w:ascii="Arial" w:cs="Arial" w:eastAsia="Arial" w:hAnsi="Arial"/>
                <w:sz w:val="15"/>
                <w:szCs w:val="15"/>
                <w:b w:val="1"/>
                <w:bCs w:val="1"/>
                <w:color w:val="FFFFFF"/>
              </w:rPr>
              <w:t>2022</w:t>
            </w:r>
          </w:p>
        </w:tc>
        <w:tc>
          <w:tcPr>
            <w:tcW w:w="12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2021</w:t>
            </w:r>
          </w:p>
        </w:tc>
        <w:tc>
          <w:tcPr>
            <w:tcW w:w="880" w:type="dxa"/>
            <w:vAlign w:val="bottom"/>
            <w:shd w:val="clear" w:color="auto" w:fill="0067B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960" w:type="dxa"/>
            <w:vAlign w:val="bottom"/>
            <w:shd w:val="clear" w:color="auto" w:fill="0067B3"/>
          </w:tcPr>
          <w:p>
            <w:pPr>
              <w:ind w:left="60"/>
              <w:spacing w:after="0"/>
              <w:rPr>
                <w:sz w:val="20"/>
                <w:szCs w:val="20"/>
                <w:color w:val="auto"/>
              </w:rPr>
            </w:pPr>
            <w:r>
              <w:rPr>
                <w:rFonts w:ascii="Arial" w:cs="Arial" w:eastAsia="Arial" w:hAnsi="Arial"/>
                <w:sz w:val="15"/>
                <w:szCs w:val="15"/>
                <w:b w:val="1"/>
                <w:bCs w:val="1"/>
                <w:color w:val="FFFFFF"/>
              </w:rPr>
              <w:t>Average of</w:t>
            </w:r>
          </w:p>
        </w:tc>
        <w:tc>
          <w:tcPr>
            <w:tcW w:w="1100" w:type="dxa"/>
            <w:vAlign w:val="bottom"/>
            <w:shd w:val="clear" w:color="auto" w:fill="0067B3"/>
          </w:tcPr>
          <w:p>
            <w:pPr>
              <w:spacing w:after="0"/>
              <w:rPr>
                <w:sz w:val="19"/>
                <w:szCs w:val="19"/>
                <w:color w:val="auto"/>
              </w:rPr>
            </w:pPr>
          </w:p>
        </w:tc>
        <w:tc>
          <w:tcPr>
            <w:tcW w:w="108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Average of</w:t>
            </w:r>
          </w:p>
        </w:tc>
        <w:tc>
          <w:tcPr>
            <w:tcW w:w="1220" w:type="dxa"/>
            <w:vAlign w:val="bottom"/>
            <w:shd w:val="clear" w:color="auto" w:fill="0067B3"/>
          </w:tcPr>
          <w:p>
            <w:pPr>
              <w:spacing w:after="0"/>
              <w:rPr>
                <w:sz w:val="19"/>
                <w:szCs w:val="19"/>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Average of</w:t>
            </w:r>
          </w:p>
        </w:tc>
        <w:tc>
          <w:tcPr>
            <w:tcW w:w="0" w:type="dxa"/>
            <w:vAlign w:val="bottom"/>
          </w:tcPr>
          <w:p>
            <w:pPr>
              <w:spacing w:after="0"/>
              <w:rPr>
                <w:sz w:val="1"/>
                <w:szCs w:val="1"/>
                <w:color w:val="auto"/>
              </w:rPr>
            </w:pPr>
          </w:p>
        </w:tc>
      </w:tr>
      <w:tr>
        <w:trPr>
          <w:trHeight w:val="189"/>
        </w:trPr>
        <w:tc>
          <w:tcPr>
            <w:tcW w:w="4320" w:type="dxa"/>
            <w:vAlign w:val="bottom"/>
            <w:shd w:val="clear" w:color="auto" w:fill="0067B3"/>
          </w:tcPr>
          <w:p>
            <w:pPr>
              <w:spacing w:after="0"/>
              <w:rPr>
                <w:sz w:val="16"/>
                <w:szCs w:val="16"/>
                <w:color w:val="auto"/>
              </w:rPr>
            </w:pPr>
          </w:p>
        </w:tc>
        <w:tc>
          <w:tcPr>
            <w:tcW w:w="1240" w:type="dxa"/>
            <w:vAlign w:val="bottom"/>
            <w:vMerge w:val="restart"/>
            <w:shd w:val="clear" w:color="auto" w:fill="0067B3"/>
          </w:tcPr>
          <w:p>
            <w:pPr>
              <w:jc w:val="right"/>
              <w:ind w:right="121"/>
              <w:spacing w:after="0"/>
              <w:rPr>
                <w:sz w:val="20"/>
                <w:szCs w:val="20"/>
                <w:color w:val="auto"/>
              </w:rPr>
            </w:pPr>
            <w:r>
              <w:rPr>
                <w:rFonts w:ascii="Arial" w:cs="Arial" w:eastAsia="Arial" w:hAnsi="Arial"/>
                <w:sz w:val="15"/>
                <w:szCs w:val="15"/>
                <w:b w:val="1"/>
                <w:bCs w:val="1"/>
                <w:color w:val="FFFFFF"/>
              </w:rPr>
              <w:t>PEO</w:t>
            </w:r>
          </w:p>
        </w:tc>
        <w:tc>
          <w:tcPr>
            <w:tcW w:w="96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non-</w:t>
            </w:r>
          </w:p>
        </w:tc>
        <w:tc>
          <w:tcPr>
            <w:tcW w:w="1100" w:type="dxa"/>
            <w:vAlign w:val="bottom"/>
            <w:vMerge w:val="restart"/>
            <w:shd w:val="clear" w:color="auto" w:fill="0067B3"/>
          </w:tcPr>
          <w:p>
            <w:pPr>
              <w:jc w:val="right"/>
              <w:ind w:right="1"/>
              <w:spacing w:after="0"/>
              <w:rPr>
                <w:sz w:val="20"/>
                <w:szCs w:val="20"/>
                <w:color w:val="auto"/>
              </w:rPr>
            </w:pPr>
            <w:r>
              <w:rPr>
                <w:rFonts w:ascii="Arial" w:cs="Arial" w:eastAsia="Arial" w:hAnsi="Arial"/>
                <w:sz w:val="15"/>
                <w:szCs w:val="15"/>
                <w:b w:val="1"/>
                <w:bCs w:val="1"/>
                <w:color w:val="FFFFFF"/>
              </w:rPr>
              <w:t>PEO</w:t>
            </w:r>
          </w:p>
        </w:tc>
        <w:tc>
          <w:tcPr>
            <w:tcW w:w="108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non-</w:t>
            </w:r>
          </w:p>
        </w:tc>
        <w:tc>
          <w:tcPr>
            <w:tcW w:w="1220" w:type="dxa"/>
            <w:vAlign w:val="bottom"/>
            <w:vMerge w:val="restart"/>
            <w:shd w:val="clear" w:color="auto" w:fill="0067B3"/>
          </w:tcPr>
          <w:p>
            <w:pPr>
              <w:jc w:val="right"/>
              <w:ind w:right="101"/>
              <w:spacing w:after="0"/>
              <w:rPr>
                <w:sz w:val="20"/>
                <w:szCs w:val="20"/>
                <w:color w:val="auto"/>
              </w:rPr>
            </w:pPr>
            <w:r>
              <w:rPr>
                <w:rFonts w:ascii="Arial" w:cs="Arial" w:eastAsia="Arial" w:hAnsi="Arial"/>
                <w:sz w:val="15"/>
                <w:szCs w:val="15"/>
                <w:b w:val="1"/>
                <w:bCs w:val="1"/>
                <w:color w:val="FFFFFF"/>
              </w:rPr>
              <w:t>PEO</w:t>
            </w:r>
          </w:p>
        </w:tc>
        <w:tc>
          <w:tcPr>
            <w:tcW w:w="8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non-</w:t>
            </w:r>
          </w:p>
        </w:tc>
        <w:tc>
          <w:tcPr>
            <w:tcW w:w="0" w:type="dxa"/>
            <w:vAlign w:val="bottom"/>
          </w:tcPr>
          <w:p>
            <w:pPr>
              <w:spacing w:after="0"/>
              <w:rPr>
                <w:sz w:val="1"/>
                <w:szCs w:val="1"/>
                <w:color w:val="auto"/>
              </w:rPr>
            </w:pPr>
          </w:p>
        </w:tc>
      </w:tr>
      <w:tr>
        <w:trPr>
          <w:trHeight w:val="175"/>
        </w:trPr>
        <w:tc>
          <w:tcPr>
            <w:tcW w:w="4320" w:type="dxa"/>
            <w:vAlign w:val="bottom"/>
            <w:shd w:val="clear" w:color="auto" w:fill="0067B3"/>
          </w:tcPr>
          <w:p>
            <w:pPr>
              <w:spacing w:after="0"/>
              <w:rPr>
                <w:sz w:val="15"/>
                <w:szCs w:val="15"/>
                <w:color w:val="auto"/>
              </w:rPr>
            </w:pPr>
          </w:p>
        </w:tc>
        <w:tc>
          <w:tcPr>
            <w:tcW w:w="1240" w:type="dxa"/>
            <w:vAlign w:val="bottom"/>
            <w:vMerge w:val="continue"/>
            <w:shd w:val="clear" w:color="auto" w:fill="0067B3"/>
          </w:tcPr>
          <w:p>
            <w:pPr>
              <w:spacing w:after="0"/>
              <w:rPr>
                <w:sz w:val="15"/>
                <w:szCs w:val="15"/>
                <w:color w:val="auto"/>
              </w:rPr>
            </w:pPr>
          </w:p>
        </w:tc>
        <w:tc>
          <w:tcPr>
            <w:tcW w:w="960" w:type="dxa"/>
            <w:vAlign w:val="bottom"/>
            <w:shd w:val="clear" w:color="auto" w:fill="0067B3"/>
          </w:tcPr>
          <w:p>
            <w:pPr>
              <w:ind w:left="60"/>
              <w:spacing w:after="0"/>
              <w:rPr>
                <w:sz w:val="20"/>
                <w:szCs w:val="20"/>
                <w:color w:val="auto"/>
              </w:rPr>
            </w:pPr>
            <w:r>
              <w:rPr>
                <w:rFonts w:ascii="Arial" w:cs="Arial" w:eastAsia="Arial" w:hAnsi="Arial"/>
                <w:sz w:val="15"/>
                <w:szCs w:val="15"/>
                <w:b w:val="1"/>
                <w:bCs w:val="1"/>
                <w:color w:val="FFFFFF"/>
              </w:rPr>
              <w:t>PEO NEOs</w:t>
            </w:r>
          </w:p>
        </w:tc>
        <w:tc>
          <w:tcPr>
            <w:tcW w:w="1100" w:type="dxa"/>
            <w:vAlign w:val="bottom"/>
            <w:vMerge w:val="continue"/>
            <w:shd w:val="clear" w:color="auto" w:fill="0067B3"/>
          </w:tcPr>
          <w:p>
            <w:pPr>
              <w:spacing w:after="0"/>
              <w:rPr>
                <w:sz w:val="15"/>
                <w:szCs w:val="15"/>
                <w:color w:val="auto"/>
              </w:rPr>
            </w:pPr>
          </w:p>
        </w:tc>
        <w:tc>
          <w:tcPr>
            <w:tcW w:w="108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PEO NEOs</w:t>
            </w:r>
          </w:p>
        </w:tc>
        <w:tc>
          <w:tcPr>
            <w:tcW w:w="1220" w:type="dxa"/>
            <w:vAlign w:val="bottom"/>
            <w:vMerge w:val="continue"/>
            <w:shd w:val="clear" w:color="auto" w:fill="0067B3"/>
          </w:tcPr>
          <w:p>
            <w:pPr>
              <w:spacing w:after="0"/>
              <w:rPr>
                <w:sz w:val="15"/>
                <w:szCs w:val="15"/>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PEO NEOs</w:t>
            </w:r>
          </w:p>
        </w:tc>
        <w:tc>
          <w:tcPr>
            <w:tcW w:w="0" w:type="dxa"/>
            <w:vAlign w:val="bottom"/>
          </w:tcPr>
          <w:p>
            <w:pPr>
              <w:spacing w:after="0"/>
              <w:rPr>
                <w:sz w:val="1"/>
                <w:szCs w:val="1"/>
                <w:color w:val="auto"/>
              </w:rPr>
            </w:pPr>
          </w:p>
        </w:tc>
      </w:tr>
      <w:tr>
        <w:trPr>
          <w:trHeight w:val="222"/>
        </w:trPr>
        <w:tc>
          <w:tcPr>
            <w:tcW w:w="4320" w:type="dxa"/>
            <w:vAlign w:val="bottom"/>
            <w:shd w:val="clear" w:color="auto" w:fill="0067B3"/>
          </w:tcPr>
          <w:p>
            <w:pPr>
              <w:spacing w:after="0"/>
              <w:rPr>
                <w:sz w:val="19"/>
                <w:szCs w:val="19"/>
                <w:color w:val="auto"/>
              </w:rPr>
            </w:pPr>
          </w:p>
        </w:tc>
        <w:tc>
          <w:tcPr>
            <w:tcW w:w="1240" w:type="dxa"/>
            <w:vAlign w:val="bottom"/>
            <w:shd w:val="clear" w:color="auto" w:fill="0067B3"/>
          </w:tcPr>
          <w:p>
            <w:pPr>
              <w:jc w:val="right"/>
              <w:ind w:right="121"/>
              <w:spacing w:after="0"/>
              <w:rPr>
                <w:sz w:val="20"/>
                <w:szCs w:val="20"/>
                <w:color w:val="auto"/>
              </w:rPr>
            </w:pPr>
            <w:r>
              <w:rPr>
                <w:rFonts w:ascii="Arial" w:cs="Arial" w:eastAsia="Arial" w:hAnsi="Arial"/>
                <w:sz w:val="15"/>
                <w:szCs w:val="15"/>
                <w:b w:val="1"/>
                <w:bCs w:val="1"/>
                <w:color w:val="FFFFFF"/>
              </w:rPr>
              <w:t>($)</w:t>
            </w:r>
          </w:p>
        </w:tc>
        <w:tc>
          <w:tcPr>
            <w:tcW w:w="96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w:t>
            </w:r>
          </w:p>
        </w:tc>
        <w:tc>
          <w:tcPr>
            <w:tcW w:w="1100" w:type="dxa"/>
            <w:vAlign w:val="bottom"/>
            <w:shd w:val="clear" w:color="auto" w:fill="0067B3"/>
          </w:tcPr>
          <w:p>
            <w:pPr>
              <w:jc w:val="right"/>
              <w:ind w:right="1"/>
              <w:spacing w:after="0"/>
              <w:rPr>
                <w:sz w:val="20"/>
                <w:szCs w:val="20"/>
                <w:color w:val="auto"/>
              </w:rPr>
            </w:pPr>
            <w:r>
              <w:rPr>
                <w:rFonts w:ascii="Arial" w:cs="Arial" w:eastAsia="Arial" w:hAnsi="Arial"/>
                <w:sz w:val="15"/>
                <w:szCs w:val="15"/>
                <w:b w:val="1"/>
                <w:bCs w:val="1"/>
                <w:color w:val="FFFFFF"/>
              </w:rPr>
              <w:t>($)</w:t>
            </w:r>
          </w:p>
        </w:tc>
        <w:tc>
          <w:tcPr>
            <w:tcW w:w="1080" w:type="dxa"/>
            <w:vAlign w:val="bottom"/>
            <w:shd w:val="clear" w:color="auto" w:fill="0067B3"/>
          </w:tcPr>
          <w:p>
            <w:pPr>
              <w:jc w:val="right"/>
              <w:ind w:right="21"/>
              <w:spacing w:after="0"/>
              <w:rPr>
                <w:sz w:val="20"/>
                <w:szCs w:val="20"/>
                <w:color w:val="auto"/>
              </w:rPr>
            </w:pPr>
            <w:r>
              <w:rPr>
                <w:rFonts w:ascii="Arial" w:cs="Arial" w:eastAsia="Arial" w:hAnsi="Arial"/>
                <w:sz w:val="15"/>
                <w:szCs w:val="15"/>
                <w:b w:val="1"/>
                <w:bCs w:val="1"/>
                <w:color w:val="FFFFFF"/>
              </w:rPr>
              <w:t>($)</w:t>
            </w:r>
          </w:p>
        </w:tc>
        <w:tc>
          <w:tcPr>
            <w:tcW w:w="1220" w:type="dxa"/>
            <w:vAlign w:val="bottom"/>
            <w:shd w:val="clear" w:color="auto" w:fill="0067B3"/>
          </w:tcPr>
          <w:p>
            <w:pPr>
              <w:jc w:val="right"/>
              <w:ind w:right="101"/>
              <w:spacing w:after="0"/>
              <w:rPr>
                <w:sz w:val="20"/>
                <w:szCs w:val="20"/>
                <w:color w:val="auto"/>
              </w:rPr>
            </w:pPr>
            <w:r>
              <w:rPr>
                <w:rFonts w:ascii="Arial" w:cs="Arial" w:eastAsia="Arial" w:hAnsi="Arial"/>
                <w:sz w:val="15"/>
                <w:szCs w:val="15"/>
                <w:b w:val="1"/>
                <w:bCs w:val="1"/>
                <w:color w:val="FFFFFF"/>
              </w:rPr>
              <w:t>($)</w:t>
            </w:r>
          </w:p>
        </w:tc>
        <w:tc>
          <w:tcPr>
            <w:tcW w:w="8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43"/>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auto"/>
              </w:rPr>
              <w:t>Summary Compensation Table Total</w:t>
            </w:r>
          </w:p>
        </w:tc>
        <w:tc>
          <w:tcPr>
            <w:tcW w:w="1240" w:type="dxa"/>
            <w:vAlign w:val="bottom"/>
            <w:shd w:val="clear" w:color="auto" w:fill="E2E6F4"/>
          </w:tcPr>
          <w:p>
            <w:pPr>
              <w:jc w:val="right"/>
              <w:ind w:right="181"/>
              <w:spacing w:after="0"/>
              <w:rPr>
                <w:sz w:val="20"/>
                <w:szCs w:val="20"/>
                <w:color w:val="auto"/>
              </w:rPr>
            </w:pPr>
            <w:r>
              <w:rPr>
                <w:rFonts w:ascii="Arial" w:cs="Arial" w:eastAsia="Arial" w:hAnsi="Arial"/>
                <w:sz w:val="16"/>
                <w:szCs w:val="16"/>
                <w:color w:val="auto"/>
              </w:rPr>
              <w:t>25,543,635</w:t>
            </w:r>
          </w:p>
        </w:tc>
        <w:tc>
          <w:tcPr>
            <w:tcW w:w="960" w:type="dxa"/>
            <w:vAlign w:val="bottom"/>
            <w:shd w:val="clear" w:color="auto" w:fill="E2E6F4"/>
          </w:tcPr>
          <w:p>
            <w:pPr>
              <w:ind w:left="80"/>
              <w:spacing w:after="0"/>
              <w:rPr>
                <w:sz w:val="20"/>
                <w:szCs w:val="20"/>
                <w:color w:val="auto"/>
              </w:rPr>
            </w:pPr>
            <w:r>
              <w:rPr>
                <w:rFonts w:ascii="Arial" w:cs="Arial" w:eastAsia="Arial" w:hAnsi="Arial"/>
                <w:sz w:val="16"/>
                <w:szCs w:val="16"/>
                <w:color w:val="auto"/>
              </w:rPr>
              <w:t>8,288,714</w:t>
            </w:r>
          </w:p>
        </w:tc>
        <w:tc>
          <w:tcPr>
            <w:tcW w:w="1100" w:type="dxa"/>
            <w:vAlign w:val="bottom"/>
            <w:shd w:val="clear" w:color="auto" w:fill="E2E6F4"/>
          </w:tcPr>
          <w:p>
            <w:pPr>
              <w:jc w:val="right"/>
              <w:ind w:right="41"/>
              <w:spacing w:after="0"/>
              <w:rPr>
                <w:sz w:val="20"/>
                <w:szCs w:val="20"/>
                <w:color w:val="auto"/>
              </w:rPr>
            </w:pPr>
            <w:r>
              <w:rPr>
                <w:rFonts w:ascii="Arial" w:cs="Arial" w:eastAsia="Arial" w:hAnsi="Arial"/>
                <w:sz w:val="16"/>
                <w:szCs w:val="16"/>
                <w:color w:val="auto"/>
              </w:rPr>
              <w:t>22,098,295</w:t>
            </w:r>
          </w:p>
        </w:tc>
        <w:tc>
          <w:tcPr>
            <w:tcW w:w="1080" w:type="dxa"/>
            <w:vAlign w:val="bottom"/>
            <w:shd w:val="clear" w:color="auto" w:fill="E2E6F4"/>
          </w:tcPr>
          <w:p>
            <w:pPr>
              <w:jc w:val="right"/>
              <w:ind w:right="81"/>
              <w:spacing w:after="0"/>
              <w:rPr>
                <w:sz w:val="20"/>
                <w:szCs w:val="20"/>
                <w:color w:val="auto"/>
              </w:rPr>
            </w:pPr>
            <w:r>
              <w:rPr>
                <w:rFonts w:ascii="Arial" w:cs="Arial" w:eastAsia="Arial" w:hAnsi="Arial"/>
                <w:sz w:val="16"/>
                <w:szCs w:val="16"/>
                <w:color w:val="auto"/>
              </w:rPr>
              <w:t>14,285,882</w:t>
            </w:r>
          </w:p>
        </w:tc>
        <w:tc>
          <w:tcPr>
            <w:tcW w:w="1220" w:type="dxa"/>
            <w:vAlign w:val="bottom"/>
            <w:shd w:val="clear" w:color="auto" w:fill="E2E6F4"/>
          </w:tcPr>
          <w:p>
            <w:pPr>
              <w:jc w:val="right"/>
              <w:ind w:right="161"/>
              <w:spacing w:after="0"/>
              <w:rPr>
                <w:sz w:val="20"/>
                <w:szCs w:val="20"/>
                <w:color w:val="auto"/>
              </w:rPr>
            </w:pPr>
            <w:r>
              <w:rPr>
                <w:rFonts w:ascii="Arial" w:cs="Arial" w:eastAsia="Arial" w:hAnsi="Arial"/>
                <w:sz w:val="16"/>
                <w:szCs w:val="16"/>
                <w:color w:val="auto"/>
              </w:rPr>
              <w:t>30,824,323</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6,010,914</w:t>
            </w:r>
          </w:p>
        </w:tc>
        <w:tc>
          <w:tcPr>
            <w:tcW w:w="0" w:type="dxa"/>
            <w:vAlign w:val="bottom"/>
          </w:tcPr>
          <w:p>
            <w:pPr>
              <w:spacing w:after="0"/>
              <w:rPr>
                <w:sz w:val="1"/>
                <w:szCs w:val="1"/>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6"/>
                <w:szCs w:val="16"/>
                <w:i w:val="1"/>
                <w:iCs w:val="1"/>
                <w:color w:val="auto"/>
              </w:rPr>
              <w:t>Adjustments for Stock and Option Awards:</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Subtraction: Value of "Stock Awards" and "Option Awards"</w:t>
            </w:r>
          </w:p>
        </w:tc>
        <w:tc>
          <w:tcPr>
            <w:tcW w:w="1240" w:type="dxa"/>
            <w:vAlign w:val="bottom"/>
            <w:shd w:val="clear" w:color="auto" w:fill="E2E6F4"/>
          </w:tcPr>
          <w:p>
            <w:pPr>
              <w:jc w:val="right"/>
              <w:ind w:right="141"/>
              <w:spacing w:after="0"/>
              <w:rPr>
                <w:sz w:val="20"/>
                <w:szCs w:val="20"/>
                <w:color w:val="auto"/>
              </w:rPr>
            </w:pPr>
            <w:r>
              <w:rPr>
                <w:rFonts w:ascii="Arial" w:cs="Arial" w:eastAsia="Arial" w:hAnsi="Arial"/>
                <w:sz w:val="16"/>
                <w:szCs w:val="16"/>
                <w:color w:val="auto"/>
              </w:rPr>
              <w:t>(19,997,672)</w:t>
            </w:r>
          </w:p>
        </w:tc>
        <w:tc>
          <w:tcPr>
            <w:tcW w:w="960" w:type="dxa"/>
            <w:vAlign w:val="bottom"/>
            <w:shd w:val="clear" w:color="auto" w:fill="E2E6F4"/>
          </w:tcPr>
          <w:p>
            <w:pPr>
              <w:jc w:val="right"/>
              <w:ind w:right="41"/>
              <w:spacing w:after="0"/>
              <w:rPr>
                <w:sz w:val="20"/>
                <w:szCs w:val="20"/>
                <w:color w:val="auto"/>
              </w:rPr>
            </w:pPr>
            <w:r>
              <w:rPr>
                <w:rFonts w:ascii="Arial" w:cs="Arial" w:eastAsia="Arial" w:hAnsi="Arial"/>
                <w:sz w:val="16"/>
                <w:szCs w:val="16"/>
                <w:color w:val="auto"/>
              </w:rPr>
              <w:t>(5,961,815)</w:t>
            </w:r>
          </w:p>
        </w:tc>
        <w:tc>
          <w:tcPr>
            <w:tcW w:w="110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(15,000,172)</w:t>
            </w:r>
          </w:p>
        </w:tc>
        <w:tc>
          <w:tcPr>
            <w:tcW w:w="1080" w:type="dxa"/>
            <w:vAlign w:val="bottom"/>
            <w:shd w:val="clear" w:color="auto" w:fill="E2E6F4"/>
          </w:tcPr>
          <w:p>
            <w:pPr>
              <w:jc w:val="right"/>
              <w:ind w:right="41"/>
              <w:spacing w:after="0"/>
              <w:rPr>
                <w:sz w:val="20"/>
                <w:szCs w:val="20"/>
                <w:color w:val="auto"/>
              </w:rPr>
            </w:pPr>
            <w:r>
              <w:rPr>
                <w:rFonts w:ascii="Arial" w:cs="Arial" w:eastAsia="Arial" w:hAnsi="Arial"/>
                <w:sz w:val="16"/>
                <w:szCs w:val="16"/>
                <w:color w:val="auto"/>
              </w:rPr>
              <w:t>(11,675,243)</w:t>
            </w:r>
          </w:p>
        </w:tc>
        <w:tc>
          <w:tcPr>
            <w:tcW w:w="1220" w:type="dxa"/>
            <w:vAlign w:val="bottom"/>
            <w:shd w:val="clear" w:color="auto" w:fill="E2E6F4"/>
          </w:tcPr>
          <w:p>
            <w:pPr>
              <w:jc w:val="right"/>
              <w:ind w:right="121"/>
              <w:spacing w:after="0"/>
              <w:rPr>
                <w:sz w:val="20"/>
                <w:szCs w:val="20"/>
                <w:color w:val="auto"/>
              </w:rPr>
            </w:pPr>
            <w:r>
              <w:rPr>
                <w:rFonts w:ascii="Arial" w:cs="Arial" w:eastAsia="Arial" w:hAnsi="Arial"/>
                <w:sz w:val="16"/>
                <w:szCs w:val="16"/>
                <w:color w:val="auto"/>
              </w:rPr>
              <w:t>(25,709,208)</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(4,227,970)</w:t>
            </w:r>
          </w:p>
        </w:tc>
        <w:tc>
          <w:tcPr>
            <w:tcW w:w="0" w:type="dxa"/>
            <w:vAlign w:val="bottom"/>
          </w:tcPr>
          <w:p>
            <w:pPr>
              <w:spacing w:after="0"/>
              <w:rPr>
                <w:sz w:val="1"/>
                <w:szCs w:val="1"/>
                <w:color w:val="auto"/>
              </w:rPr>
            </w:pPr>
          </w:p>
        </w:tc>
      </w:tr>
      <w:tr>
        <w:trPr>
          <w:trHeight w:val="230"/>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reported in Summary Compensation Table</w:t>
            </w:r>
          </w:p>
        </w:tc>
        <w:tc>
          <w:tcPr>
            <w:tcW w:w="1240" w:type="dxa"/>
            <w:vAlign w:val="bottom"/>
            <w:shd w:val="clear" w:color="auto" w:fill="E2E6F4"/>
          </w:tcPr>
          <w:p>
            <w:pPr>
              <w:spacing w:after="0"/>
              <w:rPr>
                <w:sz w:val="20"/>
                <w:szCs w:val="20"/>
                <w:color w:val="auto"/>
              </w:rPr>
            </w:pPr>
          </w:p>
        </w:tc>
        <w:tc>
          <w:tcPr>
            <w:tcW w:w="960" w:type="dxa"/>
            <w:vAlign w:val="bottom"/>
            <w:shd w:val="clear" w:color="auto" w:fill="E2E6F4"/>
          </w:tcPr>
          <w:p>
            <w:pPr>
              <w:spacing w:after="0"/>
              <w:rPr>
                <w:sz w:val="20"/>
                <w:szCs w:val="20"/>
                <w:color w:val="auto"/>
              </w:rPr>
            </w:pPr>
          </w:p>
        </w:tc>
        <w:tc>
          <w:tcPr>
            <w:tcW w:w="1100" w:type="dxa"/>
            <w:vAlign w:val="bottom"/>
            <w:shd w:val="clear" w:color="auto" w:fill="E2E6F4"/>
          </w:tcPr>
          <w:p>
            <w:pPr>
              <w:spacing w:after="0"/>
              <w:rPr>
                <w:sz w:val="20"/>
                <w:szCs w:val="20"/>
                <w:color w:val="auto"/>
              </w:rPr>
            </w:pPr>
          </w:p>
        </w:tc>
        <w:tc>
          <w:tcPr>
            <w:tcW w:w="1080" w:type="dxa"/>
            <w:vAlign w:val="bottom"/>
            <w:shd w:val="clear" w:color="auto" w:fill="E2E6F4"/>
          </w:tcPr>
          <w:p>
            <w:pPr>
              <w:spacing w:after="0"/>
              <w:rPr>
                <w:sz w:val="20"/>
                <w:szCs w:val="20"/>
                <w:color w:val="auto"/>
              </w:rPr>
            </w:pPr>
          </w:p>
        </w:tc>
        <w:tc>
          <w:tcPr>
            <w:tcW w:w="1220" w:type="dxa"/>
            <w:vAlign w:val="bottom"/>
            <w:shd w:val="clear" w:color="auto" w:fill="E2E6F4"/>
          </w:tcPr>
          <w:p>
            <w:pPr>
              <w:spacing w:after="0"/>
              <w:rPr>
                <w:sz w:val="20"/>
                <w:szCs w:val="20"/>
                <w:color w:val="auto"/>
              </w:rPr>
            </w:pPr>
          </w:p>
        </w:tc>
        <w:tc>
          <w:tcPr>
            <w:tcW w:w="88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Addition: Year-end fair value of equity awards granted</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10,652,649</w:t>
            </w:r>
          </w:p>
        </w:tc>
        <w:tc>
          <w:tcPr>
            <w:tcW w:w="960" w:type="dxa"/>
            <w:vAlign w:val="bottom"/>
          </w:tcPr>
          <w:p>
            <w:pPr>
              <w:ind w:left="80"/>
              <w:spacing w:after="0"/>
              <w:rPr>
                <w:sz w:val="20"/>
                <w:szCs w:val="20"/>
                <w:color w:val="auto"/>
              </w:rPr>
            </w:pPr>
            <w:r>
              <w:rPr>
                <w:rFonts w:ascii="Arial" w:cs="Arial" w:eastAsia="Arial" w:hAnsi="Arial"/>
                <w:sz w:val="16"/>
                <w:szCs w:val="16"/>
                <w:color w:val="auto"/>
              </w:rPr>
              <w:t>3,394,259</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17,591,835</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13,943,196</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37,918,044</w:t>
            </w:r>
          </w:p>
        </w:tc>
        <w:tc>
          <w:tcPr>
            <w:tcW w:w="880" w:type="dxa"/>
            <w:vAlign w:val="bottom"/>
          </w:tcPr>
          <w:p>
            <w:pPr>
              <w:jc w:val="right"/>
              <w:spacing w:after="0"/>
              <w:rPr>
                <w:sz w:val="20"/>
                <w:szCs w:val="20"/>
                <w:color w:val="auto"/>
              </w:rPr>
            </w:pPr>
            <w:r>
              <w:rPr>
                <w:rFonts w:ascii="Arial" w:cs="Arial" w:eastAsia="Arial" w:hAnsi="Arial"/>
                <w:sz w:val="16"/>
                <w:szCs w:val="16"/>
                <w:color w:val="auto"/>
              </w:rPr>
              <w:t>5,760,968</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6"/>
                <w:szCs w:val="16"/>
                <w:color w:val="auto"/>
              </w:rPr>
              <w:t>during the covered fiscal year that were outstanding and</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6"/>
                <w:szCs w:val="16"/>
                <w:color w:val="auto"/>
              </w:rPr>
              <w:t>unvested at the covered fiscal year end</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Addition (Subtraction): Year-over-year change in fair value</w:t>
            </w:r>
          </w:p>
        </w:tc>
        <w:tc>
          <w:tcPr>
            <w:tcW w:w="1240" w:type="dxa"/>
            <w:vAlign w:val="bottom"/>
            <w:shd w:val="clear" w:color="auto" w:fill="E2E6F4"/>
          </w:tcPr>
          <w:p>
            <w:pPr>
              <w:jc w:val="right"/>
              <w:ind w:right="181"/>
              <w:spacing w:after="0"/>
              <w:rPr>
                <w:sz w:val="20"/>
                <w:szCs w:val="20"/>
                <w:color w:val="auto"/>
              </w:rPr>
            </w:pPr>
            <w:r>
              <w:rPr>
                <w:rFonts w:ascii="Arial" w:cs="Arial" w:eastAsia="Arial" w:hAnsi="Arial"/>
                <w:sz w:val="16"/>
                <w:szCs w:val="16"/>
                <w:color w:val="auto"/>
              </w:rPr>
              <w:t>3,807,964</w:t>
            </w:r>
          </w:p>
        </w:tc>
        <w:tc>
          <w:tcPr>
            <w:tcW w:w="960" w:type="dxa"/>
            <w:vAlign w:val="bottom"/>
            <w:shd w:val="clear" w:color="auto" w:fill="E2E6F4"/>
          </w:tcPr>
          <w:p>
            <w:pPr>
              <w:ind w:left="80"/>
              <w:spacing w:after="0"/>
              <w:rPr>
                <w:sz w:val="20"/>
                <w:szCs w:val="20"/>
                <w:color w:val="auto"/>
              </w:rPr>
            </w:pPr>
            <w:r>
              <w:rPr>
                <w:rFonts w:ascii="Arial" w:cs="Arial" w:eastAsia="Arial" w:hAnsi="Arial"/>
                <w:sz w:val="16"/>
                <w:szCs w:val="16"/>
                <w:color w:val="auto"/>
              </w:rPr>
              <w:t>1,460,174</w:t>
            </w:r>
          </w:p>
        </w:tc>
        <w:tc>
          <w:tcPr>
            <w:tcW w:w="110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(10,815,724)</w:t>
            </w:r>
          </w:p>
        </w:tc>
        <w:tc>
          <w:tcPr>
            <w:tcW w:w="1080" w:type="dxa"/>
            <w:vAlign w:val="bottom"/>
            <w:shd w:val="clear" w:color="auto" w:fill="E2E6F4"/>
          </w:tcPr>
          <w:p>
            <w:pPr>
              <w:jc w:val="right"/>
              <w:ind w:right="81"/>
              <w:spacing w:after="0"/>
              <w:rPr>
                <w:sz w:val="20"/>
                <w:szCs w:val="20"/>
                <w:color w:val="auto"/>
              </w:rPr>
            </w:pPr>
            <w:r>
              <w:rPr>
                <w:rFonts w:ascii="Arial" w:cs="Arial" w:eastAsia="Arial" w:hAnsi="Arial"/>
                <w:sz w:val="16"/>
                <w:szCs w:val="16"/>
                <w:color w:val="auto"/>
              </w:rPr>
              <w:t>676,479</w:t>
            </w:r>
          </w:p>
        </w:tc>
        <w:tc>
          <w:tcPr>
            <w:tcW w:w="1220" w:type="dxa"/>
            <w:vAlign w:val="bottom"/>
            <w:shd w:val="clear" w:color="auto" w:fill="E2E6F4"/>
          </w:tcPr>
          <w:p>
            <w:pPr>
              <w:jc w:val="right"/>
              <w:ind w:right="161"/>
              <w:spacing w:after="0"/>
              <w:rPr>
                <w:sz w:val="20"/>
                <w:szCs w:val="20"/>
                <w:color w:val="auto"/>
              </w:rPr>
            </w:pPr>
            <w:r>
              <w:rPr>
                <w:rFonts w:ascii="Arial" w:cs="Arial" w:eastAsia="Arial" w:hAnsi="Arial"/>
                <w:sz w:val="16"/>
                <w:szCs w:val="16"/>
                <w:color w:val="auto"/>
              </w:rPr>
              <w:t>13,210,982</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2,119,798</w:t>
            </w:r>
          </w:p>
        </w:tc>
        <w:tc>
          <w:tcPr>
            <w:tcW w:w="0" w:type="dxa"/>
            <w:vAlign w:val="bottom"/>
          </w:tcPr>
          <w:p>
            <w:pPr>
              <w:spacing w:after="0"/>
              <w:rPr>
                <w:sz w:val="1"/>
                <w:szCs w:val="1"/>
                <w:color w:val="auto"/>
              </w:rPr>
            </w:pPr>
          </w:p>
        </w:tc>
      </w:tr>
      <w:tr>
        <w:trPr>
          <w:trHeight w:val="189"/>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at covered fiscal year end of equity awards granted in prior</w:t>
            </w:r>
          </w:p>
        </w:tc>
        <w:tc>
          <w:tcPr>
            <w:tcW w:w="124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1100" w:type="dxa"/>
            <w:vAlign w:val="bottom"/>
            <w:shd w:val="clear" w:color="auto" w:fill="E2E6F4"/>
          </w:tcPr>
          <w:p>
            <w:pPr>
              <w:spacing w:after="0"/>
              <w:rPr>
                <w:sz w:val="16"/>
                <w:szCs w:val="16"/>
                <w:color w:val="auto"/>
              </w:rPr>
            </w:pPr>
          </w:p>
        </w:tc>
        <w:tc>
          <w:tcPr>
            <w:tcW w:w="1080" w:type="dxa"/>
            <w:vAlign w:val="bottom"/>
            <w:shd w:val="clear" w:color="auto" w:fill="E2E6F4"/>
          </w:tcPr>
          <w:p>
            <w:pPr>
              <w:spacing w:after="0"/>
              <w:rPr>
                <w:sz w:val="16"/>
                <w:szCs w:val="16"/>
                <w:color w:val="auto"/>
              </w:rPr>
            </w:pPr>
          </w:p>
        </w:tc>
        <w:tc>
          <w:tcPr>
            <w:tcW w:w="1220" w:type="dxa"/>
            <w:vAlign w:val="bottom"/>
            <w:shd w:val="clear" w:color="auto" w:fill="E2E6F4"/>
          </w:tcPr>
          <w:p>
            <w:pPr>
              <w:spacing w:after="0"/>
              <w:rPr>
                <w:sz w:val="16"/>
                <w:szCs w:val="16"/>
                <w:color w:val="auto"/>
              </w:rPr>
            </w:pPr>
          </w:p>
        </w:tc>
        <w:tc>
          <w:tcPr>
            <w:tcW w:w="88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fiscal years that were outstanding and unvested at the</w:t>
            </w:r>
          </w:p>
        </w:tc>
        <w:tc>
          <w:tcPr>
            <w:tcW w:w="1240" w:type="dxa"/>
            <w:vAlign w:val="bottom"/>
            <w:shd w:val="clear" w:color="auto" w:fill="E2E6F4"/>
          </w:tcPr>
          <w:p>
            <w:pPr>
              <w:spacing w:after="0"/>
              <w:rPr>
                <w:sz w:val="17"/>
                <w:szCs w:val="17"/>
                <w:color w:val="auto"/>
              </w:rPr>
            </w:pPr>
          </w:p>
        </w:tc>
        <w:tc>
          <w:tcPr>
            <w:tcW w:w="960" w:type="dxa"/>
            <w:vAlign w:val="bottom"/>
            <w:shd w:val="clear" w:color="auto" w:fill="E2E6F4"/>
          </w:tcPr>
          <w:p>
            <w:pPr>
              <w:spacing w:after="0"/>
              <w:rPr>
                <w:sz w:val="17"/>
                <w:szCs w:val="17"/>
                <w:color w:val="auto"/>
              </w:rPr>
            </w:pPr>
          </w:p>
        </w:tc>
        <w:tc>
          <w:tcPr>
            <w:tcW w:w="1100" w:type="dxa"/>
            <w:vAlign w:val="bottom"/>
            <w:shd w:val="clear" w:color="auto" w:fill="E2E6F4"/>
          </w:tcPr>
          <w:p>
            <w:pPr>
              <w:spacing w:after="0"/>
              <w:rPr>
                <w:sz w:val="17"/>
                <w:szCs w:val="17"/>
                <w:color w:val="auto"/>
              </w:rPr>
            </w:pPr>
          </w:p>
        </w:tc>
        <w:tc>
          <w:tcPr>
            <w:tcW w:w="1080" w:type="dxa"/>
            <w:vAlign w:val="bottom"/>
            <w:shd w:val="clear" w:color="auto" w:fill="E2E6F4"/>
          </w:tcPr>
          <w:p>
            <w:pPr>
              <w:spacing w:after="0"/>
              <w:rPr>
                <w:sz w:val="17"/>
                <w:szCs w:val="17"/>
                <w:color w:val="auto"/>
              </w:rPr>
            </w:pPr>
          </w:p>
        </w:tc>
        <w:tc>
          <w:tcPr>
            <w:tcW w:w="1220" w:type="dxa"/>
            <w:vAlign w:val="bottom"/>
            <w:shd w:val="clear" w:color="auto" w:fill="E2E6F4"/>
          </w:tcPr>
          <w:p>
            <w:pPr>
              <w:spacing w:after="0"/>
              <w:rPr>
                <w:sz w:val="17"/>
                <w:szCs w:val="17"/>
                <w:color w:val="auto"/>
              </w:rPr>
            </w:pPr>
          </w:p>
        </w:tc>
        <w:tc>
          <w:tcPr>
            <w:tcW w:w="880" w:type="dxa"/>
            <w:vAlign w:val="bottom"/>
            <w:shd w:val="clear" w:color="auto" w:fill="E2E6F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2E6F4"/>
          </w:tcPr>
          <w:p>
            <w:pPr>
              <w:ind w:left="20"/>
              <w:spacing w:after="0"/>
              <w:rPr>
                <w:sz w:val="20"/>
                <w:szCs w:val="20"/>
                <w:color w:val="auto"/>
              </w:rPr>
            </w:pPr>
            <w:r>
              <w:rPr>
                <w:rFonts w:ascii="Arial" w:cs="Arial" w:eastAsia="Arial" w:hAnsi="Arial"/>
                <w:sz w:val="16"/>
                <w:szCs w:val="16"/>
                <w:color w:val="auto"/>
              </w:rPr>
              <w:t>covered fiscal year end</w:t>
            </w:r>
          </w:p>
        </w:tc>
        <w:tc>
          <w:tcPr>
            <w:tcW w:w="1240" w:type="dxa"/>
            <w:vAlign w:val="bottom"/>
            <w:shd w:val="clear" w:color="auto" w:fill="E2E6F4"/>
          </w:tcPr>
          <w:p>
            <w:pPr>
              <w:spacing w:after="0"/>
              <w:rPr>
                <w:sz w:val="20"/>
                <w:szCs w:val="20"/>
                <w:color w:val="auto"/>
              </w:rPr>
            </w:pPr>
          </w:p>
        </w:tc>
        <w:tc>
          <w:tcPr>
            <w:tcW w:w="960" w:type="dxa"/>
            <w:vAlign w:val="bottom"/>
            <w:shd w:val="clear" w:color="auto" w:fill="E2E6F4"/>
          </w:tcPr>
          <w:p>
            <w:pPr>
              <w:spacing w:after="0"/>
              <w:rPr>
                <w:sz w:val="20"/>
                <w:szCs w:val="20"/>
                <w:color w:val="auto"/>
              </w:rPr>
            </w:pPr>
          </w:p>
        </w:tc>
        <w:tc>
          <w:tcPr>
            <w:tcW w:w="1100" w:type="dxa"/>
            <w:vAlign w:val="bottom"/>
            <w:shd w:val="clear" w:color="auto" w:fill="E2E6F4"/>
          </w:tcPr>
          <w:p>
            <w:pPr>
              <w:spacing w:after="0"/>
              <w:rPr>
                <w:sz w:val="20"/>
                <w:szCs w:val="20"/>
                <w:color w:val="auto"/>
              </w:rPr>
            </w:pPr>
          </w:p>
        </w:tc>
        <w:tc>
          <w:tcPr>
            <w:tcW w:w="1080" w:type="dxa"/>
            <w:vAlign w:val="bottom"/>
            <w:shd w:val="clear" w:color="auto" w:fill="E2E6F4"/>
          </w:tcPr>
          <w:p>
            <w:pPr>
              <w:spacing w:after="0"/>
              <w:rPr>
                <w:sz w:val="20"/>
                <w:szCs w:val="20"/>
                <w:color w:val="auto"/>
              </w:rPr>
            </w:pPr>
          </w:p>
        </w:tc>
        <w:tc>
          <w:tcPr>
            <w:tcW w:w="1220" w:type="dxa"/>
            <w:vAlign w:val="bottom"/>
            <w:shd w:val="clear" w:color="auto" w:fill="E2E6F4"/>
          </w:tcPr>
          <w:p>
            <w:pPr>
              <w:spacing w:after="0"/>
              <w:rPr>
                <w:sz w:val="20"/>
                <w:szCs w:val="20"/>
                <w:color w:val="auto"/>
              </w:rPr>
            </w:pPr>
          </w:p>
        </w:tc>
        <w:tc>
          <w:tcPr>
            <w:tcW w:w="88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Addition (Subtraction): Change as of the vesting date (from</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7,373,337</w:t>
            </w:r>
          </w:p>
        </w:tc>
        <w:tc>
          <w:tcPr>
            <w:tcW w:w="960" w:type="dxa"/>
            <w:vAlign w:val="bottom"/>
          </w:tcPr>
          <w:p>
            <w:pPr>
              <w:ind w:left="80"/>
              <w:spacing w:after="0"/>
              <w:rPr>
                <w:sz w:val="20"/>
                <w:szCs w:val="20"/>
                <w:color w:val="auto"/>
              </w:rPr>
            </w:pPr>
            <w:r>
              <w:rPr>
                <w:rFonts w:ascii="Arial" w:cs="Arial" w:eastAsia="Arial" w:hAnsi="Arial"/>
                <w:sz w:val="16"/>
                <w:szCs w:val="16"/>
                <w:color w:val="auto"/>
              </w:rPr>
              <w:t>1,128,081</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(2,514,383)</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(132,468)</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3,332,079</w:t>
            </w:r>
          </w:p>
        </w:tc>
        <w:tc>
          <w:tcPr>
            <w:tcW w:w="880" w:type="dxa"/>
            <w:vAlign w:val="bottom"/>
          </w:tcPr>
          <w:p>
            <w:pPr>
              <w:jc w:val="right"/>
              <w:spacing w:after="0"/>
              <w:rPr>
                <w:sz w:val="20"/>
                <w:szCs w:val="20"/>
                <w:color w:val="auto"/>
              </w:rPr>
            </w:pPr>
            <w:r>
              <w:rPr>
                <w:rFonts w:ascii="Arial" w:cs="Arial" w:eastAsia="Arial" w:hAnsi="Arial"/>
                <w:sz w:val="16"/>
                <w:szCs w:val="16"/>
                <w:color w:val="auto"/>
              </w:rPr>
              <w:t>537,951</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6"/>
                <w:szCs w:val="16"/>
                <w:color w:val="auto"/>
              </w:rPr>
              <w:t>the end of the prior fiscal year) in fair value of equity</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awards granted in prior fiscal years that vested in the</w:t>
            </w: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6"/>
                <w:szCs w:val="16"/>
                <w:color w:val="auto"/>
              </w:rPr>
              <w:t>covered fiscal year</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32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6"/>
                <w:szCs w:val="16"/>
                <w:b w:val="1"/>
                <w:bCs w:val="1"/>
                <w:color w:val="auto"/>
              </w:rPr>
              <w:t>Compensation Actually Paid (as calculated)</w:t>
            </w:r>
          </w:p>
        </w:tc>
        <w:tc>
          <w:tcPr>
            <w:tcW w:w="1240" w:type="dxa"/>
            <w:vAlign w:val="bottom"/>
            <w:tcBorders>
              <w:bottom w:val="single" w:sz="8" w:color="0067B3"/>
            </w:tcBorders>
            <w:shd w:val="clear" w:color="auto" w:fill="E2E6F4"/>
          </w:tcPr>
          <w:p>
            <w:pPr>
              <w:jc w:val="right"/>
              <w:ind w:right="181"/>
              <w:spacing w:after="0"/>
              <w:rPr>
                <w:sz w:val="20"/>
                <w:szCs w:val="20"/>
                <w:color w:val="auto"/>
              </w:rPr>
            </w:pPr>
            <w:r>
              <w:rPr>
                <w:rFonts w:ascii="Arial" w:cs="Arial" w:eastAsia="Arial" w:hAnsi="Arial"/>
                <w:sz w:val="16"/>
                <w:szCs w:val="16"/>
                <w:color w:val="auto"/>
              </w:rPr>
              <w:t>27,379,913</w:t>
            </w:r>
          </w:p>
        </w:tc>
        <w:tc>
          <w:tcPr>
            <w:tcW w:w="960" w:type="dxa"/>
            <w:vAlign w:val="bottom"/>
            <w:tcBorders>
              <w:bottom w:val="single" w:sz="8" w:color="0067B3"/>
            </w:tcBorders>
            <w:shd w:val="clear" w:color="auto" w:fill="E2E6F4"/>
          </w:tcPr>
          <w:p>
            <w:pPr>
              <w:ind w:left="80"/>
              <w:spacing w:after="0"/>
              <w:rPr>
                <w:sz w:val="20"/>
                <w:szCs w:val="20"/>
                <w:color w:val="auto"/>
              </w:rPr>
            </w:pPr>
            <w:r>
              <w:rPr>
                <w:rFonts w:ascii="Arial" w:cs="Arial" w:eastAsia="Arial" w:hAnsi="Arial"/>
                <w:sz w:val="16"/>
                <w:szCs w:val="16"/>
                <w:color w:val="auto"/>
              </w:rPr>
              <w:t>8,309,413</w:t>
            </w:r>
          </w:p>
        </w:tc>
        <w:tc>
          <w:tcPr>
            <w:tcW w:w="1100" w:type="dxa"/>
            <w:vAlign w:val="bottom"/>
            <w:tcBorders>
              <w:bottom w:val="single" w:sz="8" w:color="0067B3"/>
            </w:tcBorders>
            <w:shd w:val="clear" w:color="auto" w:fill="E2E6F4"/>
          </w:tcPr>
          <w:p>
            <w:pPr>
              <w:jc w:val="right"/>
              <w:ind w:right="41"/>
              <w:spacing w:after="0"/>
              <w:rPr>
                <w:sz w:val="20"/>
                <w:szCs w:val="20"/>
                <w:color w:val="auto"/>
              </w:rPr>
            </w:pPr>
            <w:r>
              <w:rPr>
                <w:rFonts w:ascii="Arial" w:cs="Arial" w:eastAsia="Arial" w:hAnsi="Arial"/>
                <w:sz w:val="16"/>
                <w:szCs w:val="16"/>
                <w:color w:val="auto"/>
              </w:rPr>
              <w:t>11,359,851</w:t>
            </w:r>
          </w:p>
        </w:tc>
        <w:tc>
          <w:tcPr>
            <w:tcW w:w="1080" w:type="dxa"/>
            <w:vAlign w:val="bottom"/>
            <w:tcBorders>
              <w:bottom w:val="single" w:sz="8" w:color="0067B3"/>
            </w:tcBorders>
            <w:shd w:val="clear" w:color="auto" w:fill="E2E6F4"/>
          </w:tcPr>
          <w:p>
            <w:pPr>
              <w:jc w:val="right"/>
              <w:ind w:right="81"/>
              <w:spacing w:after="0"/>
              <w:rPr>
                <w:sz w:val="20"/>
                <w:szCs w:val="20"/>
                <w:color w:val="auto"/>
              </w:rPr>
            </w:pPr>
            <w:r>
              <w:rPr>
                <w:rFonts w:ascii="Arial" w:cs="Arial" w:eastAsia="Arial" w:hAnsi="Arial"/>
                <w:sz w:val="16"/>
                <w:szCs w:val="16"/>
                <w:color w:val="auto"/>
              </w:rPr>
              <w:t>17,097,847</w:t>
            </w:r>
          </w:p>
        </w:tc>
        <w:tc>
          <w:tcPr>
            <w:tcW w:w="1220" w:type="dxa"/>
            <w:vAlign w:val="bottom"/>
            <w:tcBorders>
              <w:bottom w:val="single" w:sz="8" w:color="0067B3"/>
            </w:tcBorders>
            <w:shd w:val="clear" w:color="auto" w:fill="E2E6F4"/>
          </w:tcPr>
          <w:p>
            <w:pPr>
              <w:jc w:val="right"/>
              <w:ind w:right="161"/>
              <w:spacing w:after="0"/>
              <w:rPr>
                <w:sz w:val="20"/>
                <w:szCs w:val="20"/>
                <w:color w:val="auto"/>
              </w:rPr>
            </w:pPr>
            <w:r>
              <w:rPr>
                <w:rFonts w:ascii="Arial" w:cs="Arial" w:eastAsia="Arial" w:hAnsi="Arial"/>
                <w:sz w:val="16"/>
                <w:szCs w:val="16"/>
                <w:color w:val="auto"/>
              </w:rPr>
              <w:t>59,576,220</w:t>
            </w:r>
          </w:p>
        </w:tc>
        <w:tc>
          <w:tcPr>
            <w:tcW w:w="8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w w:val="99"/>
              </w:rPr>
              <w:t>10,201,660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-2725420</wp:posOffset>
            </wp:positionV>
            <wp:extent cx="41148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80" w:hanging="454"/>
        <w:spacing w:after="0"/>
        <w:tabs>
          <w:tab w:leader="none" w:pos="480" w:val="left"/>
        </w:tabs>
        <w:numPr>
          <w:ilvl w:val="0"/>
          <w:numId w:val="14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94" w:name="page95"/>
    <w:bookmarkEnd w:id="94"/>
    <w:p>
      <w:pPr>
        <w:ind w:left="200" w:right="120"/>
        <w:spacing w:after="0" w:line="261" w:lineRule="auto"/>
        <w:rPr>
          <w:sz w:val="20"/>
          <w:szCs w:val="20"/>
          <w:color w:val="auto"/>
        </w:rPr>
      </w:pPr>
      <w:r>
        <w:rPr>
          <w:rFonts w:ascii="Arial" w:cs="Arial" w:eastAsia="Arial" w:hAnsi="Arial"/>
          <w:sz w:val="16"/>
          <w:szCs w:val="16"/>
          <w:color w:val="auto"/>
        </w:rPr>
        <w:t xml:space="preserve">“Compensation Actually Paid” does not correlate to the total amount of cash of equity compensation realized during each fiscal year and is different from “realizable” or “realized” compensation as reported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dramatically different if other measurement dates were chosen. The amount of compensation ultimately received may, in fact, be different from the amounts disclosed in these columns of the Pay Versus Performance Table.</w:t>
      </w:r>
    </w:p>
    <w:p>
      <w:pPr>
        <w:spacing w:after="0" w:line="41" w:lineRule="exact"/>
        <w:rPr>
          <w:sz w:val="20"/>
          <w:szCs w:val="20"/>
          <w:color w:val="auto"/>
        </w:rPr>
      </w:pPr>
    </w:p>
    <w:p>
      <w:pPr>
        <w:ind w:left="200" w:right="40" w:hanging="192"/>
        <w:spacing w:after="0"/>
        <w:tabs>
          <w:tab w:leader="none" w:pos="215"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The peer group TSR set forth in this table utilizes the S&amp;P Semiconductors Index, which we also utilize in the stock performance graph required by Item 201(e) of Regulation S-K included in our Annual Report on Form 10-K for the year ended October 28, 2023. The comparison assumes $100 was invested for the period starting October 31, 2020, through the end of the listed year in ADI and in the S&amp;P Semiconductors Index. Historical stock price performance is not necessarily indicative of future stock performance.</w:t>
      </w:r>
    </w:p>
    <w:p>
      <w:pPr>
        <w:spacing w:after="0" w:line="57" w:lineRule="exact"/>
        <w:rPr>
          <w:rFonts w:ascii="Arial" w:cs="Arial" w:eastAsia="Arial" w:hAnsi="Arial"/>
          <w:sz w:val="21"/>
          <w:szCs w:val="21"/>
          <w:color w:val="auto"/>
          <w:vertAlign w:val="superscript"/>
        </w:rPr>
      </w:pPr>
    </w:p>
    <w:p>
      <w:pPr>
        <w:ind w:left="200" w:hanging="192"/>
        <w:spacing w:after="0" w:line="246" w:lineRule="auto"/>
        <w:tabs>
          <w:tab w:leader="none" w:pos="215"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OPBT Margin represents the most important financial performance measure (that is not otherwise required to be disclosed in the table) used by us to link CAP to our NEOs, including our PEO, to our performance for the most recently completed fiscal year. OPBT Margin is a non-GAAP measure and is calculated as Adjusted Operating Margin excluding acquisition-related expenses, acquisition-related transaction costs, and special charges. For a reconciliation of OPBT Margin to the most directly comparable GAAP financial measure and insight into how OPBT Margin is considered by management, please see Appendix A of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Tabular List of Financial Performance Measures</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described in greater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our executive compensation program reflects a pay-for-performance philosophy. We utilize metrics for our short- and long-term incentive compensation programs based on an objective of driving profitable growth and increasing shareholder value. Listed below are the financial performance measures which, in our assessment, represent the most important performance measures we used to link CAP in fiscal year 2023 to our NEOs, including our PEO, to company performance. Of these measures, we have identified OPBT Margin as the most important of our financial performance measures.</w:t>
      </w:r>
    </w:p>
    <w:p>
      <w:pPr>
        <w:spacing w:after="0" w:line="74" w:lineRule="exact"/>
        <w:rPr>
          <w:sz w:val="20"/>
          <w:szCs w:val="20"/>
          <w:color w:val="auto"/>
        </w:rPr>
      </w:pPr>
    </w:p>
    <w:p>
      <w:pPr>
        <w:ind w:left="160" w:hanging="152"/>
        <w:spacing w:after="0"/>
        <w:tabs>
          <w:tab w:leader="none" w:pos="160" w:val="left"/>
        </w:tabs>
        <w:numPr>
          <w:ilvl w:val="0"/>
          <w:numId w:val="142"/>
        </w:numPr>
        <w:rPr>
          <w:rFonts w:ascii="Arial" w:cs="Arial" w:eastAsia="Arial" w:hAnsi="Arial"/>
          <w:sz w:val="13"/>
          <w:szCs w:val="13"/>
          <w:color w:val="0067B3"/>
        </w:rPr>
      </w:pPr>
      <w:r>
        <w:rPr>
          <w:rFonts w:ascii="Arial" w:cs="Arial" w:eastAsia="Arial" w:hAnsi="Arial"/>
          <w:sz w:val="18"/>
          <w:szCs w:val="18"/>
          <w:color w:val="auto"/>
        </w:rPr>
        <w:t>OPBT Margin*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2"/>
        </w:numPr>
        <w:rPr>
          <w:rFonts w:ascii="Arial" w:cs="Arial" w:eastAsia="Arial" w:hAnsi="Arial"/>
          <w:sz w:val="13"/>
          <w:szCs w:val="13"/>
          <w:color w:val="0067B3"/>
        </w:rPr>
      </w:pPr>
      <w:r>
        <w:rPr>
          <w:rFonts w:ascii="Arial" w:cs="Arial" w:eastAsia="Arial" w:hAnsi="Arial"/>
          <w:sz w:val="18"/>
          <w:szCs w:val="18"/>
          <w:color w:val="auto"/>
        </w:rPr>
        <w:t>Revenue Growth</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42"/>
        </w:numPr>
        <w:rPr>
          <w:rFonts w:ascii="Arial" w:cs="Arial" w:eastAsia="Arial" w:hAnsi="Arial"/>
          <w:sz w:val="13"/>
          <w:szCs w:val="13"/>
          <w:color w:val="0067B3"/>
        </w:rPr>
      </w:pPr>
      <w:r>
        <w:rPr>
          <w:rFonts w:ascii="Arial" w:cs="Arial" w:eastAsia="Arial" w:hAnsi="Arial"/>
          <w:sz w:val="18"/>
          <w:szCs w:val="18"/>
          <w:color w:val="auto"/>
        </w:rPr>
        <w:t>Adjusted Operating Income*</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2"/>
        </w:numPr>
        <w:rPr>
          <w:rFonts w:ascii="Arial" w:cs="Arial" w:eastAsia="Arial" w:hAnsi="Arial"/>
          <w:sz w:val="13"/>
          <w:szCs w:val="13"/>
          <w:color w:val="0067B3"/>
        </w:rPr>
      </w:pPr>
      <w:r>
        <w:rPr>
          <w:rFonts w:ascii="Arial" w:cs="Arial" w:eastAsia="Arial" w:hAnsi="Arial"/>
          <w:sz w:val="18"/>
          <w:szCs w:val="18"/>
          <w:color w:val="auto"/>
        </w:rPr>
        <w:t>Relative Total Shareholder Return (TSR)</w:t>
      </w:r>
    </w:p>
    <w:p>
      <w:pPr>
        <w:spacing w:after="0" w:line="81" w:lineRule="exact"/>
        <w:rPr>
          <w:sz w:val="20"/>
          <w:szCs w:val="20"/>
          <w:color w:val="auto"/>
        </w:rPr>
      </w:pPr>
    </w:p>
    <w:p>
      <w:pPr>
        <w:ind w:left="200" w:right="80" w:hanging="192"/>
        <w:spacing w:after="0" w:line="275" w:lineRule="auto"/>
        <w:tabs>
          <w:tab w:leader="none" w:pos="24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OPBT Margin and Adjusted Operating Income are not prepared in accordance with GAAP. For a reconciliation of these non-GAAP financial measures to the most directly comparable GAAP financial measures and insight into how these non-GAAP measures are considered by management, please see Appendix A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Graphical Description</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charts below provide a graphical description of CAP paid to our PEO and non-PEO NEOs (as calculated in accordance with the SEC rules) and the following measures:</w:t>
      </w:r>
    </w:p>
    <w:p>
      <w:pPr>
        <w:spacing w:after="0" w:line="45" w:lineRule="exact"/>
        <w:rPr>
          <w:sz w:val="20"/>
          <w:szCs w:val="20"/>
          <w:color w:val="auto"/>
        </w:rPr>
      </w:pPr>
    </w:p>
    <w:p>
      <w:pPr>
        <w:ind w:left="160" w:hanging="152"/>
        <w:spacing w:after="0"/>
        <w:tabs>
          <w:tab w:leader="none" w:pos="160" w:val="left"/>
        </w:tabs>
        <w:numPr>
          <w:ilvl w:val="0"/>
          <w:numId w:val="144"/>
        </w:numPr>
        <w:rPr>
          <w:rFonts w:ascii="Arial" w:cs="Arial" w:eastAsia="Arial" w:hAnsi="Arial"/>
          <w:sz w:val="13"/>
          <w:szCs w:val="13"/>
          <w:color w:val="0067B3"/>
        </w:rPr>
      </w:pPr>
      <w:r>
        <w:rPr>
          <w:rFonts w:ascii="Arial" w:cs="Arial" w:eastAsia="Arial" w:hAnsi="Arial"/>
          <w:sz w:val="18"/>
          <w:szCs w:val="18"/>
          <w:color w:val="auto"/>
        </w:rPr>
        <w:t>ADI’s cumulative TSR and the S&amp;P Semiconductors Index cumulative TSR;</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44"/>
        </w:numPr>
        <w:rPr>
          <w:rFonts w:ascii="Arial" w:cs="Arial" w:eastAsia="Arial" w:hAnsi="Arial"/>
          <w:sz w:val="13"/>
          <w:szCs w:val="13"/>
          <w:color w:val="0067B3"/>
        </w:rPr>
      </w:pPr>
      <w:r>
        <w:rPr>
          <w:rFonts w:ascii="Arial" w:cs="Arial" w:eastAsia="Arial" w:hAnsi="Arial"/>
          <w:sz w:val="18"/>
          <w:szCs w:val="18"/>
          <w:color w:val="auto"/>
        </w:rPr>
        <w:t>ADI’s Net Income; and</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4"/>
        </w:numPr>
        <w:rPr>
          <w:rFonts w:ascii="Arial" w:cs="Arial" w:eastAsia="Arial" w:hAnsi="Arial"/>
          <w:sz w:val="13"/>
          <w:szCs w:val="13"/>
          <w:color w:val="0067B3"/>
        </w:rPr>
      </w:pPr>
      <w:r>
        <w:rPr>
          <w:rFonts w:ascii="Arial" w:cs="Arial" w:eastAsia="Arial" w:hAnsi="Arial"/>
          <w:sz w:val="18"/>
          <w:szCs w:val="18"/>
          <w:color w:val="auto"/>
        </w:rPr>
        <w:t>ADI’s OPBT Margin.</w:t>
      </w:r>
    </w:p>
    <w:p>
      <w:pPr>
        <w:spacing w:after="0" w:line="34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0067B3"/>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93345</wp:posOffset>
            </wp:positionV>
            <wp:extent cx="4114800" cy="2194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148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86360</wp:posOffset>
            </wp:positionV>
            <wp:extent cx="4114800" cy="21342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and OPBT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86360</wp:posOffset>
            </wp:positionV>
            <wp:extent cx="4114800" cy="21342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 w:hanging="454"/>
        <w:spacing w:after="0"/>
        <w:tabs>
          <w:tab w:leader="none" w:pos="480" w:val="left"/>
        </w:tabs>
        <w:numPr>
          <w:ilvl w:val="0"/>
          <w:numId w:val="14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58"/>
          <w:szCs w:val="58"/>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7603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jc w:val="both"/>
        <w:ind w:left="220" w:right="86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Company’s Fiscal Year Ending November 2, 2024</w:t>
      </w:r>
    </w:p>
    <w:p>
      <w:pPr>
        <w:spacing w:after="0" w:line="217" w:lineRule="exact"/>
        <w:rPr>
          <w:sz w:val="20"/>
          <w:szCs w:val="20"/>
          <w:color w:val="auto"/>
        </w:rPr>
      </w:pPr>
    </w:p>
    <w:p>
      <w:pPr>
        <w:ind w:left="220" w:right="240"/>
        <w:spacing w:after="0" w:line="262"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ADI’s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1" w:lineRule="exact"/>
        <w:rPr>
          <w:sz w:val="20"/>
          <w:szCs w:val="20"/>
          <w:color w:val="auto"/>
        </w:rPr>
      </w:pPr>
    </w:p>
    <w:p>
      <w:pPr>
        <w:ind w:left="220" w:right="240"/>
        <w:spacing w:after="0" w:line="274" w:lineRule="auto"/>
        <w:rPr>
          <w:sz w:val="20"/>
          <w:szCs w:val="20"/>
          <w:color w:val="auto"/>
        </w:rPr>
      </w:pPr>
      <w:r>
        <w:rPr>
          <w:rFonts w:ascii="Arial" w:cs="Arial" w:eastAsia="Arial" w:hAnsi="Arial"/>
          <w:sz w:val="27"/>
          <w:szCs w:val="27"/>
          <w:b w:val="1"/>
          <w:bCs w:val="1"/>
          <w:color w:val="0067B3"/>
        </w:rPr>
        <w:t>Our Board of Directors unanimously recommends that you vote FOR the ratification of the selection of Ernst &amp; Young LLP as our independent registered public accounting firm for fiscal year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fiscal year ending November 2, 2024 (fiscal year 2024).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 are directly involved in the selection of Ernst &amp; Young LLP’s lead engagement partner. The Audit Committee also has the sole authority to approve all engagement fees paid to our independent registered public accounting firm.</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and our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year 2024.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Ernst &amp; Young LLP are expected to attend the Annual Meeting. They will have the opportunity to make a statement if they desire to do so and will also be available to respond to appropriate questions from shareholders.</w:t>
      </w:r>
    </w:p>
    <w:p>
      <w:pPr>
        <w:spacing w:after="0" w:line="31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97" w:name="page98"/>
    <w:bookmarkEnd w:id="97"/>
    <w:p>
      <w:pPr>
        <w:spacing w:after="0"/>
        <w:rPr>
          <w:sz w:val="20"/>
          <w:szCs w:val="20"/>
          <w:color w:val="auto"/>
        </w:rPr>
      </w:pPr>
      <w:r>
        <w:rPr>
          <w:rFonts w:ascii="Arial" w:cs="Arial" w:eastAsia="Arial" w:hAnsi="Arial"/>
          <w:sz w:val="41"/>
          <w:szCs w:val="41"/>
          <w:b w:val="1"/>
          <w:bCs w:val="1"/>
          <w:color w:val="0067B3"/>
        </w:rPr>
        <w:t>Independent Registered Public Accounting Firm Fees</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year 2023 and fiscal year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20" w:type="dxa"/>
            <w:vAlign w:val="bottom"/>
            <w:shd w:val="clear" w:color="auto" w:fill="0067B3"/>
          </w:tcPr>
          <w:p>
            <w:pPr>
              <w:spacing w:after="0"/>
              <w:rPr>
                <w:sz w:val="17"/>
                <w:szCs w:val="17"/>
                <w:color w:val="auto"/>
              </w:rPr>
            </w:pPr>
          </w:p>
        </w:tc>
        <w:tc>
          <w:tcPr>
            <w:tcW w:w="3760" w:type="dxa"/>
            <w:vAlign w:val="bottom"/>
            <w:shd w:val="clear" w:color="auto" w:fill="0067B3"/>
          </w:tcPr>
          <w:p>
            <w:pPr>
              <w:spacing w:after="0"/>
              <w:rPr>
                <w:sz w:val="17"/>
                <w:szCs w:val="17"/>
                <w:color w:val="auto"/>
              </w:rPr>
            </w:pPr>
          </w:p>
        </w:tc>
        <w:tc>
          <w:tcPr>
            <w:tcW w:w="10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Fiscal Year</w:t>
            </w:r>
          </w:p>
        </w:tc>
        <w:tc>
          <w:tcPr>
            <w:tcW w:w="22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w:t>
            </w:r>
          </w:p>
        </w:tc>
      </w:tr>
      <w:tr>
        <w:trPr>
          <w:trHeight w:val="244"/>
        </w:trPr>
        <w:tc>
          <w:tcPr>
            <w:tcW w:w="52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760" w:type="dxa"/>
            <w:vAlign w:val="bottom"/>
            <w:shd w:val="clear" w:color="auto" w:fill="0067B3"/>
          </w:tcPr>
          <w:p>
            <w:pPr>
              <w:spacing w:after="0"/>
              <w:rPr>
                <w:sz w:val="21"/>
                <w:szCs w:val="21"/>
                <w:color w:val="auto"/>
              </w:rPr>
            </w:pPr>
          </w:p>
        </w:tc>
        <w:tc>
          <w:tcPr>
            <w:tcW w:w="10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2023</w:t>
            </w:r>
          </w:p>
        </w:tc>
        <w:tc>
          <w:tcPr>
            <w:tcW w:w="22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2022</w:t>
            </w:r>
          </w:p>
        </w:tc>
      </w:tr>
      <w:tr>
        <w:trPr>
          <w:trHeight w:val="250"/>
        </w:trPr>
        <w:tc>
          <w:tcPr>
            <w:tcW w:w="52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Fees</w:t>
            </w:r>
          </w:p>
        </w:tc>
        <w:tc>
          <w:tcPr>
            <w:tcW w:w="3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73"/>
              <w:spacing w:after="0"/>
              <w:rPr>
                <w:sz w:val="20"/>
                <w:szCs w:val="20"/>
                <w:color w:val="auto"/>
              </w:rPr>
            </w:pPr>
            <w:r>
              <w:rPr>
                <w:rFonts w:ascii="Arial" w:cs="Arial" w:eastAsia="Arial" w:hAnsi="Arial"/>
                <w:sz w:val="18"/>
                <w:szCs w:val="18"/>
                <w:color w:val="auto"/>
              </w:rPr>
              <w:t>7,743,000</w:t>
            </w:r>
          </w:p>
        </w:tc>
        <w:tc>
          <w:tcPr>
            <w:tcW w:w="2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7,213,000</w:t>
            </w: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139,000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104,000</w:t>
            </w:r>
          </w:p>
        </w:tc>
      </w:tr>
      <w:tr>
        <w:trPr>
          <w:trHeight w:val="23"/>
        </w:trPr>
        <w:tc>
          <w:tcPr>
            <w:tcW w:w="5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Tax Fees</w:t>
            </w:r>
          </w:p>
        </w:tc>
        <w:tc>
          <w:tcPr>
            <w:tcW w:w="3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73"/>
              <w:spacing w:after="0"/>
              <w:rPr>
                <w:sz w:val="20"/>
                <w:szCs w:val="20"/>
                <w:color w:val="auto"/>
              </w:rPr>
            </w:pPr>
            <w:r>
              <w:rPr>
                <w:rFonts w:ascii="Arial" w:cs="Arial" w:eastAsia="Arial" w:hAnsi="Arial"/>
                <w:sz w:val="18"/>
                <w:szCs w:val="18"/>
                <w:color w:val="auto"/>
              </w:rPr>
              <w:t>3,160,000</w:t>
            </w:r>
          </w:p>
        </w:tc>
        <w:tc>
          <w:tcPr>
            <w:tcW w:w="2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3,975,000</w:t>
            </w: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3"/>
        </w:trPr>
        <w:tc>
          <w:tcPr>
            <w:tcW w:w="5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 Fees</w:t>
            </w:r>
          </w:p>
        </w:tc>
        <w:tc>
          <w:tcPr>
            <w:tcW w:w="3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73"/>
              <w:spacing w:after="0"/>
              <w:rPr>
                <w:sz w:val="20"/>
                <w:szCs w:val="20"/>
                <w:color w:val="auto"/>
              </w:rPr>
            </w:pPr>
            <w:r>
              <w:rPr>
                <w:rFonts w:ascii="Arial" w:cs="Arial" w:eastAsia="Arial" w:hAnsi="Arial"/>
                <w:sz w:val="18"/>
                <w:szCs w:val="18"/>
                <w:color w:val="auto"/>
                <w:w w:val="97"/>
              </w:rPr>
              <w:t>11,050,000</w:t>
            </w:r>
          </w:p>
        </w:tc>
        <w:tc>
          <w:tcPr>
            <w:tcW w:w="2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w w:val="97"/>
              </w:rPr>
              <w:t>11,427,000</w:t>
            </w:r>
          </w:p>
        </w:tc>
      </w:tr>
      <w:tr>
        <w:trPr>
          <w:trHeight w:val="20"/>
        </w:trPr>
        <w:tc>
          <w:tcPr>
            <w:tcW w:w="5220" w:type="dxa"/>
            <w:vAlign w:val="bottom"/>
            <w:shd w:val="clear" w:color="auto" w:fill="0067B3"/>
          </w:tcPr>
          <w:p>
            <w:pPr>
              <w:spacing w:after="0" w:line="20" w:lineRule="exact"/>
              <w:rPr>
                <w:sz w:val="1"/>
                <w:szCs w:val="1"/>
                <w:color w:val="auto"/>
              </w:rPr>
            </w:pPr>
          </w:p>
        </w:tc>
        <w:tc>
          <w:tcPr>
            <w:tcW w:w="3760" w:type="dxa"/>
            <w:vAlign w:val="bottom"/>
            <w:shd w:val="clear" w:color="auto" w:fill="0067B3"/>
          </w:tcPr>
          <w:p>
            <w:pPr>
              <w:spacing w:after="0" w:line="20" w:lineRule="exact"/>
              <w:rPr>
                <w:sz w:val="1"/>
                <w:szCs w:val="1"/>
                <w:color w:val="auto"/>
              </w:rPr>
            </w:pPr>
          </w:p>
        </w:tc>
        <w:tc>
          <w:tcPr>
            <w:tcW w:w="1060" w:type="dxa"/>
            <w:vAlign w:val="bottom"/>
            <w:shd w:val="clear" w:color="auto" w:fill="0067B3"/>
          </w:tcPr>
          <w:p>
            <w:pPr>
              <w:spacing w:after="0" w:line="20" w:lineRule="exact"/>
              <w:rPr>
                <w:sz w:val="1"/>
                <w:szCs w:val="1"/>
                <w:color w:val="auto"/>
              </w:rPr>
            </w:pPr>
          </w:p>
        </w:tc>
        <w:tc>
          <w:tcPr>
            <w:tcW w:w="22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are fees related to professional services rendered in connection with the audit of our consolidated financial statements, the audit 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Audit-Related Fees</w:t>
      </w:r>
    </w:p>
    <w:p>
      <w:pPr>
        <w:spacing w:after="0" w:line="17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accounting matters not related to the annual audit, and attestation services that are not required by statute or regulation.</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Fees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are fees for tax advice and services, including transfer pricing services, services relating to the integration of Maxim, assistance with preparation of certain income tax returns, tax advice and planning, and assistance with domestic and international tax audits. Included in this amount are fees of $300,000 in fiscal year 2023 and $225,000 in fiscal year 2022, for tax compliance services for our international affiliates and tax return preparation services for our expatriate employees on international assignments. Ernst &amp; Young LLP does not provide tax services to any person in a financial reporting oversight role at ADI.</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All Other Fees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These are fees for services other than the services reported above.</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84</w:t>
      </w:r>
    </w:p>
    <w:p>
      <w:pPr>
        <w:ind w:left="480"/>
        <w:spacing w:after="0"/>
        <w:rPr>
          <w:sz w:val="20"/>
          <w:szCs w:val="20"/>
          <w:color w:val="auto"/>
        </w:rPr>
      </w:pPr>
      <w:r>
        <w:rPr>
          <w:rFonts w:ascii="Arial" w:cs="Arial" w:eastAsia="Arial" w:hAnsi="Arial"/>
          <w:sz w:val="16"/>
          <w:szCs w:val="16"/>
          <w:color w:val="6D6E71"/>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98" w:name="page99"/>
    <w:bookmarkEnd w:id="98"/>
    <w:p>
      <w:pPr>
        <w:spacing w:after="0"/>
        <w:rPr>
          <w:sz w:val="20"/>
          <w:szCs w:val="20"/>
          <w:color w:val="auto"/>
        </w:rPr>
      </w:pPr>
      <w:r>
        <w:rPr>
          <w:rFonts w:ascii="Arial" w:cs="Arial" w:eastAsia="Arial" w:hAnsi="Arial"/>
          <w:sz w:val="41"/>
          <w:szCs w:val="41"/>
          <w:b w:val="1"/>
          <w:bCs w:val="1"/>
          <w:color w:val="0067B3"/>
        </w:rPr>
        <w:t>Audit Committee’s Pre-Approval Policy and Procedures</w:t>
      </w:r>
    </w:p>
    <w:p>
      <w:pPr>
        <w:spacing w:after="0" w:line="15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w:t>
      </w:r>
    </w:p>
    <w:p>
      <w:pPr>
        <w:spacing w:after="0" w:line="235" w:lineRule="auto"/>
        <w:rPr>
          <w:sz w:val="20"/>
          <w:szCs w:val="20"/>
          <w:color w:val="auto"/>
        </w:rPr>
      </w:pPr>
      <w:r>
        <w:rPr>
          <w:rFonts w:ascii="Arial" w:cs="Arial" w:eastAsia="Arial" w:hAnsi="Arial"/>
          <w:sz w:val="18"/>
          <w:szCs w:val="18"/>
          <w:color w:val="auto"/>
        </w:rPr>
        <w:t>registered public accounting firm to render any audit or non-audit service unless either the service is approved in advance by the Audit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Committee or the engagement to render the service is entered into pursuant to the Audit Committee’s pre-approval policies and procedures. On an annual basis, the Audit Committee may pre-approve services that are expected to be provided to ADI by the independent registered</w:t>
      </w:r>
    </w:p>
    <w:p>
      <w:pPr>
        <w:spacing w:after="0" w:line="235" w:lineRule="auto"/>
        <w:rPr>
          <w:sz w:val="20"/>
          <w:szCs w:val="20"/>
          <w:color w:val="auto"/>
        </w:rPr>
      </w:pPr>
      <w:r>
        <w:rPr>
          <w:rFonts w:ascii="Arial" w:cs="Arial" w:eastAsia="Arial" w:hAnsi="Arial"/>
          <w:sz w:val="18"/>
          <w:szCs w:val="18"/>
          <w:color w:val="auto"/>
        </w:rPr>
        <w:t>public accounting firm during the following 12 months. At the time the pre-approval is granted, the Audit Committee must (1) identify the</w:t>
      </w:r>
    </w:p>
    <w:p>
      <w:pPr>
        <w:jc w:val="both"/>
        <w:spacing w:after="0"/>
        <w:rPr>
          <w:sz w:val="20"/>
          <w:szCs w:val="20"/>
          <w:color w:val="auto"/>
        </w:rPr>
      </w:pPr>
      <w:r>
        <w:rPr>
          <w:rFonts w:ascii="Arial" w:cs="Arial" w:eastAsia="Arial" w:hAnsi="Arial"/>
          <w:sz w:val="17"/>
          <w:szCs w:val="17"/>
          <w:color w:val="auto"/>
        </w:rPr>
        <w:t>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w:t>
      </w:r>
    </w:p>
    <w:p>
      <w:pPr>
        <w:spacing w:after="0" w:line="235" w:lineRule="auto"/>
        <w:rPr>
          <w:sz w:val="20"/>
          <w:szCs w:val="20"/>
          <w:color w:val="auto"/>
        </w:rPr>
      </w:pPr>
      <w:r>
        <w:rPr>
          <w:rFonts w:ascii="Arial" w:cs="Arial" w:eastAsia="Arial" w:hAnsi="Arial"/>
          <w:sz w:val="18"/>
          <w:szCs w:val="18"/>
          <w:color w:val="auto"/>
        </w:rPr>
        <w:t>which limit may not be exceeded without obtaining further pre-approval under the policy. At regularly scheduled meetings of the Audit</w:t>
      </w:r>
    </w:p>
    <w:p>
      <w:pPr>
        <w:ind w:right="300"/>
        <w:spacing w:after="0" w:line="237" w:lineRule="auto"/>
        <w:rPr>
          <w:sz w:val="20"/>
          <w:szCs w:val="20"/>
          <w:color w:val="auto"/>
        </w:rPr>
      </w:pPr>
      <w:r>
        <w:rPr>
          <w:rFonts w:ascii="Arial" w:cs="Arial" w:eastAsia="Arial" w:hAnsi="Arial"/>
          <w:sz w:val="18"/>
          <w:szCs w:val="18"/>
          <w:color w:val="auto"/>
        </w:rPr>
        <w:t>Committee, management or the independent registered public accounting firm must report to the Audit Committee regarding each service actually provided to ADI.</w:t>
      </w:r>
    </w:p>
    <w:p>
      <w:pPr>
        <w:spacing w:after="0" w:line="3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Audit Committee is empowered to pre-approve all audit services to be provided to ADI and all other services to be provided to ADI by our independent registered public accounting firm. The Audit Committee has delegated authority to the Chair of the Audit Committee to pre-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approve any audit or non-audit services to be provided to ADI by the independent registered public accounting firm for which the cost is less than $100,000. During fiscal year 2023 and fiscal year 2022, all services provided to ADI by Ernst &amp; Young LLP were pre-approved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pre-approval policies and procedures described above.</w:t>
      </w:r>
    </w:p>
    <w:p>
      <w:pPr>
        <w:spacing w:after="0" w:line="29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Audit Committee Report</w:t>
      </w:r>
    </w:p>
    <w:p>
      <w:pPr>
        <w:spacing w:after="0" w:line="1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ADI’s systems of internal control over financial reporting and disclosure controls and procedures, (ii) the qualifications and independence of</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our independent registered public accounting firm, and (iii) the performance of our internal audit function and independent registered public accounting firm. The Audit Committee also met privately with our independent registered public accounting firm and our Director of Internal</w:t>
      </w:r>
    </w:p>
    <w:p>
      <w:pPr>
        <w:spacing w:after="0" w:line="236" w:lineRule="auto"/>
        <w:rPr>
          <w:sz w:val="20"/>
          <w:szCs w:val="20"/>
          <w:color w:val="auto"/>
        </w:rPr>
      </w:pPr>
      <w:r>
        <w:rPr>
          <w:rFonts w:ascii="Arial" w:cs="Arial" w:eastAsia="Arial" w:hAnsi="Arial"/>
          <w:sz w:val="18"/>
          <w:szCs w:val="18"/>
          <w:color w:val="auto"/>
        </w:rPr>
        <w:t>Audit to discuss our financial statements and disclosures, accounting policies and their application, internal control over financial reporting,</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and other matters of importance to the Audit Committee, the independent registered public accounting firm and the internal auditors. Management has the primary responsibility for the financial statements and the reporting process, including the system of internal control</w:t>
      </w:r>
    </w:p>
    <w:p>
      <w:pPr>
        <w:spacing w:after="0" w:line="235" w:lineRule="auto"/>
        <w:rPr>
          <w:sz w:val="20"/>
          <w:szCs w:val="20"/>
          <w:color w:val="auto"/>
        </w:rPr>
      </w:pPr>
      <w:r>
        <w:rPr>
          <w:rFonts w:ascii="Arial" w:cs="Arial" w:eastAsia="Arial" w:hAnsi="Arial"/>
          <w:sz w:val="18"/>
          <w:szCs w:val="18"/>
          <w:color w:val="auto"/>
        </w:rPr>
        <w:t>over financial reporting. In fulfilling its oversight responsibilities, the Audit Committee reviewed and discussed with management the audited</w:t>
      </w:r>
    </w:p>
    <w:p>
      <w:pPr>
        <w:ind w:right="220"/>
        <w:spacing w:after="0" w:line="226" w:lineRule="auto"/>
        <w:rPr>
          <w:sz w:val="20"/>
          <w:szCs w:val="20"/>
          <w:color w:val="auto"/>
        </w:rPr>
      </w:pPr>
      <w:r>
        <w:rPr>
          <w:rFonts w:ascii="Arial" w:cs="Arial" w:eastAsia="Arial" w:hAnsi="Arial"/>
          <w:sz w:val="18"/>
          <w:szCs w:val="18"/>
          <w:color w:val="auto"/>
        </w:rPr>
        <w:t>financial statements contained in our Annual Report on Form 10-K and the quarterly financial statements during fiscal year 2023, including the specific disclosures in the section titled ”Management’s Discussion and Analysis of Financial Condition and Results of Operations.”</w:t>
      </w:r>
    </w:p>
    <w:p>
      <w:pPr>
        <w:spacing w:after="0" w:line="236" w:lineRule="auto"/>
        <w:rPr>
          <w:sz w:val="20"/>
          <w:szCs w:val="20"/>
          <w:color w:val="auto"/>
        </w:rPr>
      </w:pPr>
      <w:r>
        <w:rPr>
          <w:rFonts w:ascii="Arial" w:cs="Arial" w:eastAsia="Arial" w:hAnsi="Arial"/>
          <w:sz w:val="18"/>
          <w:szCs w:val="18"/>
          <w:color w:val="auto"/>
        </w:rPr>
        <w:t>These discussions also addressed the quality, not just the acceptability, of the accounting principles, the reasonableness of significant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judgments, and the clarity of disclosures in the financial statements. The Audit Committee reported on these meetings to our Board of Directors. The Audit Committee also selected and appointed our independent registered public accounting firm, reviewed the performance of</w:t>
      </w:r>
    </w:p>
    <w:p>
      <w:pPr>
        <w:spacing w:after="0" w:line="236" w:lineRule="auto"/>
        <w:rPr>
          <w:sz w:val="20"/>
          <w:szCs w:val="20"/>
          <w:color w:val="auto"/>
        </w:rPr>
      </w:pPr>
      <w:r>
        <w:rPr>
          <w:rFonts w:ascii="Arial" w:cs="Arial" w:eastAsia="Arial" w:hAnsi="Arial"/>
          <w:sz w:val="18"/>
          <w:szCs w:val="18"/>
          <w:color w:val="auto"/>
        </w:rPr>
        <w:t>the independent registered public accounting firm during the annual audit and on assignments unrelated to the audit, assessed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independence of the independent registered public accounting firm and reviewed and approved the independent registered public accounting firm’s fees. The Audit Committee also has adopted policies and procedures for the pre-approval of audit and non-audit services for the</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purpose of maintaining the independence of our independent registered public accounting firm. The Audit Committee operates under a written charter adopted by our Board of Directors.</w:t>
      </w:r>
    </w:p>
    <w:p>
      <w:pPr>
        <w:spacing w:after="0" w:line="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w:t>
      </w:r>
    </w:p>
    <w:p>
      <w:pPr>
        <w:spacing w:after="0" w:line="235" w:lineRule="auto"/>
        <w:rPr>
          <w:sz w:val="20"/>
          <w:szCs w:val="20"/>
          <w:color w:val="auto"/>
        </w:rPr>
      </w:pPr>
      <w:r>
        <w:rPr>
          <w:rFonts w:ascii="Arial" w:cs="Arial" w:eastAsia="Arial" w:hAnsi="Arial"/>
          <w:sz w:val="18"/>
          <w:szCs w:val="18"/>
          <w:color w:val="auto"/>
        </w:rPr>
        <w:t>acceptability, of our accounting principles and such other matters as are required to be discussed with the Audit Committee under generally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accepted auditing standards. In addition, the Audit Committee has discussed with the independent registered public accounting firm (i) the matters required to be discussed by the applicable requirements of the Public Company Accounting Oversight Board (PCAOB) and the SEC</w:t>
      </w:r>
    </w:p>
    <w:p>
      <w:pPr>
        <w:spacing w:after="0" w:line="236" w:lineRule="auto"/>
        <w:rPr>
          <w:sz w:val="20"/>
          <w:szCs w:val="20"/>
          <w:color w:val="auto"/>
        </w:rPr>
      </w:pPr>
      <w:r>
        <w:rPr>
          <w:rFonts w:ascii="Arial" w:cs="Arial" w:eastAsia="Arial" w:hAnsi="Arial"/>
          <w:sz w:val="18"/>
          <w:szCs w:val="18"/>
          <w:color w:val="auto"/>
        </w:rPr>
        <w:t>and (ii) the independent registered public accounting firm’s independence from ADI and its management, including the matters in the written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disclosures and the letter we received from the independent registered public accounting firm required by applicable requirements of the PCAOB regarding the independent registered public accounting firm’s communications with the Audit Committee concerning independence.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Audit Committee considered the appropriateness of the provision of non-audit services by the independent registered public accounting firm relative to their independence.</w:t>
      </w:r>
    </w:p>
    <w:p>
      <w:pPr>
        <w:spacing w:after="0" w:line="23"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October 28, 2023. The Audit Committee also selected Ernst &amp; Young LLP as our independent registered public accounting firm for the fiscal year ending November 2, 2024.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67B3"/>
        </w:rPr>
        <w:t>Karen M. Golz,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Anantha P. Chandrakasan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Peter B. Henry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Mercedes Johnson</w:t>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58"/>
          <w:szCs w:val="58"/>
          <w:color w:val="auto"/>
        </w:rPr>
        <w:t>Beneficial Ownership of Common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Security Ownership of Certain Beneficial Owners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lists information about those holders known to ADI to be the beneficial owners of 5% or more of our outstanding shares of common stock as of January 8,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spacing w:after="0"/>
              <w:rPr>
                <w:sz w:val="17"/>
                <w:szCs w:val="17"/>
                <w:color w:val="auto"/>
              </w:rPr>
            </w:pP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189"/>
        </w:trPr>
        <w:tc>
          <w:tcPr>
            <w:tcW w:w="7940" w:type="dxa"/>
            <w:vAlign w:val="bottom"/>
            <w:shd w:val="clear" w:color="auto" w:fill="0067B3"/>
          </w:tcPr>
          <w:p>
            <w:pPr>
              <w:spacing w:after="0"/>
              <w:rPr>
                <w:sz w:val="16"/>
                <w:szCs w:val="16"/>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Shares</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r>
      <w:tr>
        <w:trPr>
          <w:trHeight w:val="203"/>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Beneficially</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r>
      <w:tr>
        <w:trPr>
          <w:trHeight w:val="244"/>
        </w:trPr>
        <w:tc>
          <w:tcPr>
            <w:tcW w:w="7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Owned</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(1)</w:t>
            </w:r>
          </w:p>
        </w:tc>
      </w:tr>
      <w:tr>
        <w:trPr>
          <w:trHeight w:val="250"/>
        </w:trPr>
        <w:tc>
          <w:tcPr>
            <w:tcW w:w="7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5% Shareholders:</w:t>
            </w:r>
          </w:p>
        </w:tc>
        <w:tc>
          <w:tcPr>
            <w:tcW w:w="1820" w:type="dxa"/>
            <w:vAlign w:val="bottom"/>
            <w:tcBorders>
              <w:bottom w:val="single" w:sz="8" w:color="E2E6F4"/>
            </w:tcBorders>
            <w:shd w:val="clear" w:color="auto" w:fill="E2E6F4"/>
          </w:tcPr>
          <w:p>
            <w:pPr>
              <w:spacing w:after="0"/>
              <w:rPr>
                <w:sz w:val="21"/>
                <w:szCs w:val="21"/>
                <w:color w:val="auto"/>
              </w:rPr>
            </w:pPr>
          </w:p>
        </w:tc>
        <w:tc>
          <w:tcPr>
            <w:tcW w:w="1480" w:type="dxa"/>
            <w:vAlign w:val="bottom"/>
            <w:tcBorders>
              <w:bottom w:val="single" w:sz="8" w:color="E2E6F4"/>
            </w:tcBorders>
            <w:shd w:val="clear" w:color="auto" w:fill="E2E6F4"/>
          </w:tcPr>
          <w:p>
            <w:pPr>
              <w:spacing w:after="0"/>
              <w:rPr>
                <w:sz w:val="21"/>
                <w:szCs w:val="21"/>
                <w:color w:val="auto"/>
              </w:rPr>
            </w:pPr>
          </w:p>
        </w:tc>
      </w:tr>
      <w:tr>
        <w:trPr>
          <w:trHeight w:val="278"/>
        </w:trPr>
        <w:tc>
          <w:tcPr>
            <w:tcW w:w="7940" w:type="dxa"/>
            <w:vAlign w:val="bottom"/>
          </w:tcPr>
          <w:p>
            <w:pPr>
              <w:ind w:left="220"/>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(2)</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9"/>
        </w:trPr>
        <w:tc>
          <w:tcPr>
            <w:tcW w:w="794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940" w:type="dxa"/>
            <w:vAlign w:val="bottom"/>
          </w:tcPr>
          <w:p>
            <w:pPr>
              <w:ind w:left="220"/>
              <w:spacing w:after="0"/>
              <w:rPr>
                <w:sz w:val="20"/>
                <w:szCs w:val="20"/>
                <w:color w:val="auto"/>
              </w:rPr>
            </w:pPr>
            <w:r>
              <w:rPr>
                <w:rFonts w:ascii="Arial" w:cs="Arial" w:eastAsia="Arial" w:hAnsi="Arial"/>
                <w:sz w:val="18"/>
                <w:szCs w:val="18"/>
                <w:color w:val="auto"/>
              </w:rPr>
              <w:t>Malvern, Pennsylvania 19355</w:t>
            </w:r>
          </w:p>
        </w:tc>
        <w:tc>
          <w:tcPr>
            <w:tcW w:w="1820" w:type="dxa"/>
            <w:vAlign w:val="bottom"/>
          </w:tcPr>
          <w:p>
            <w:pPr>
              <w:jc w:val="right"/>
              <w:ind w:right="235"/>
              <w:spacing w:after="0"/>
              <w:rPr>
                <w:sz w:val="20"/>
                <w:szCs w:val="20"/>
                <w:color w:val="auto"/>
              </w:rPr>
            </w:pPr>
            <w:r>
              <w:rPr>
                <w:rFonts w:ascii="Arial" w:cs="Arial" w:eastAsia="Arial" w:hAnsi="Arial"/>
                <w:sz w:val="18"/>
                <w:szCs w:val="18"/>
                <w:color w:val="auto"/>
              </w:rPr>
              <w:t>46,000,666</w:t>
            </w:r>
          </w:p>
        </w:tc>
        <w:tc>
          <w:tcPr>
            <w:tcW w:w="14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3"/>
        </w:trPr>
        <w:tc>
          <w:tcPr>
            <w:tcW w:w="7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40" w:type="dxa"/>
            <w:vAlign w:val="bottom"/>
            <w:shd w:val="clear" w:color="auto" w:fill="E2E6F4"/>
          </w:tcPr>
          <w:p>
            <w:pPr>
              <w:ind w:left="24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(3)</w:t>
            </w:r>
          </w:p>
        </w:tc>
        <w:tc>
          <w:tcPr>
            <w:tcW w:w="1820" w:type="dxa"/>
            <w:vAlign w:val="bottom"/>
            <w:shd w:val="clear" w:color="auto" w:fill="E2E6F4"/>
          </w:tcPr>
          <w:p>
            <w:pPr>
              <w:spacing w:after="0"/>
              <w:rPr>
                <w:sz w:val="23"/>
                <w:szCs w:val="23"/>
                <w:color w:val="auto"/>
              </w:rPr>
            </w:pPr>
          </w:p>
        </w:tc>
        <w:tc>
          <w:tcPr>
            <w:tcW w:w="1480" w:type="dxa"/>
            <w:vAlign w:val="bottom"/>
            <w:shd w:val="clear" w:color="auto" w:fill="E2E6F4"/>
          </w:tcPr>
          <w:p>
            <w:pPr>
              <w:spacing w:after="0"/>
              <w:rPr>
                <w:sz w:val="23"/>
                <w:szCs w:val="23"/>
                <w:color w:val="auto"/>
              </w:rPr>
            </w:pPr>
          </w:p>
        </w:tc>
      </w:tr>
      <w:tr>
        <w:trPr>
          <w:trHeight w:val="247"/>
        </w:trPr>
        <w:tc>
          <w:tcPr>
            <w:tcW w:w="7940" w:type="dxa"/>
            <w:vAlign w:val="bottom"/>
            <w:shd w:val="clear" w:color="auto" w:fill="E2E6F4"/>
          </w:tcPr>
          <w:p>
            <w:pPr>
              <w:ind w:left="220"/>
              <w:spacing w:after="0"/>
              <w:rPr>
                <w:sz w:val="20"/>
                <w:szCs w:val="20"/>
                <w:color w:val="auto"/>
              </w:rPr>
            </w:pPr>
            <w:r>
              <w:rPr>
                <w:rFonts w:ascii="Arial" w:cs="Arial" w:eastAsia="Arial" w:hAnsi="Arial"/>
                <w:sz w:val="18"/>
                <w:szCs w:val="18"/>
                <w:color w:val="auto"/>
              </w:rPr>
              <w:t>55 East 52nd Street</w:t>
            </w:r>
          </w:p>
        </w:tc>
        <w:tc>
          <w:tcPr>
            <w:tcW w:w="1820" w:type="dxa"/>
            <w:vAlign w:val="bottom"/>
            <w:shd w:val="clear" w:color="auto" w:fill="E2E6F4"/>
          </w:tcPr>
          <w:p>
            <w:pPr>
              <w:spacing w:after="0"/>
              <w:rPr>
                <w:sz w:val="21"/>
                <w:szCs w:val="21"/>
                <w:color w:val="auto"/>
              </w:rPr>
            </w:pPr>
          </w:p>
        </w:tc>
        <w:tc>
          <w:tcPr>
            <w:tcW w:w="1480" w:type="dxa"/>
            <w:vAlign w:val="bottom"/>
            <w:shd w:val="clear" w:color="auto" w:fill="E2E6F4"/>
          </w:tcPr>
          <w:p>
            <w:pPr>
              <w:spacing w:after="0"/>
              <w:rPr>
                <w:sz w:val="21"/>
                <w:szCs w:val="21"/>
                <w:color w:val="auto"/>
              </w:rPr>
            </w:pPr>
          </w:p>
        </w:tc>
      </w:tr>
      <w:tr>
        <w:trPr>
          <w:trHeight w:val="273"/>
        </w:trPr>
        <w:tc>
          <w:tcPr>
            <w:tcW w:w="79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New York, New York 10055</w:t>
            </w:r>
          </w:p>
        </w:tc>
        <w:tc>
          <w:tcPr>
            <w:tcW w:w="1820" w:type="dxa"/>
            <w:vAlign w:val="bottom"/>
            <w:tcBorders>
              <w:bottom w:val="single" w:sz="8" w:color="E2E6F4"/>
            </w:tcBorders>
            <w:shd w:val="clear" w:color="auto" w:fill="E2E6F4"/>
          </w:tcPr>
          <w:p>
            <w:pPr>
              <w:jc w:val="right"/>
              <w:ind w:right="235"/>
              <w:spacing w:after="0"/>
              <w:rPr>
                <w:sz w:val="20"/>
                <w:szCs w:val="20"/>
                <w:color w:val="auto"/>
              </w:rPr>
            </w:pPr>
            <w:r>
              <w:rPr>
                <w:rFonts w:ascii="Arial" w:cs="Arial" w:eastAsia="Arial" w:hAnsi="Arial"/>
                <w:sz w:val="18"/>
                <w:szCs w:val="18"/>
                <w:color w:val="auto"/>
              </w:rPr>
              <w:t>41,660,333</w:t>
            </w:r>
          </w:p>
        </w:tc>
        <w:tc>
          <w:tcPr>
            <w:tcW w:w="14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8.4 %</w:t>
            </w:r>
          </w:p>
        </w:tc>
      </w:tr>
      <w:tr>
        <w:trPr>
          <w:trHeight w:val="20"/>
        </w:trPr>
        <w:tc>
          <w:tcPr>
            <w:tcW w:w="7940" w:type="dxa"/>
            <w:vAlign w:val="bottom"/>
            <w:shd w:val="clear" w:color="auto" w:fill="0067B3"/>
          </w:tcPr>
          <w:p>
            <w:pPr>
              <w:spacing w:after="0" w:line="20" w:lineRule="exact"/>
              <w:rPr>
                <w:sz w:val="1"/>
                <w:szCs w:val="1"/>
                <w:color w:val="auto"/>
              </w:rPr>
            </w:pPr>
          </w:p>
        </w:tc>
        <w:tc>
          <w:tcPr>
            <w:tcW w:w="1820" w:type="dxa"/>
            <w:vAlign w:val="bottom"/>
            <w:shd w:val="clear" w:color="auto" w:fill="0067B3"/>
          </w:tcPr>
          <w:p>
            <w:pPr>
              <w:spacing w:after="0" w:line="20" w:lineRule="exact"/>
              <w:rPr>
                <w:sz w:val="1"/>
                <w:szCs w:val="1"/>
                <w:color w:val="auto"/>
              </w:rPr>
            </w:pPr>
          </w:p>
        </w:tc>
        <w:tc>
          <w:tcPr>
            <w:tcW w:w="148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200" w:right="640" w:hanging="192"/>
        <w:spacing w:after="0" w:line="235" w:lineRule="auto"/>
        <w:tabs>
          <w:tab w:leader="none" w:pos="215" w:val="left"/>
        </w:tabs>
        <w:numPr>
          <w:ilvl w:val="0"/>
          <w:numId w:val="146"/>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2024 is calculated by dividing (1) the total number of shares beneficially owned by the shareholder by (2) the number of shares of our common stock outstanding on January 8, 2024 (495,839,582 shares).</w:t>
      </w:r>
    </w:p>
    <w:p>
      <w:pPr>
        <w:spacing w:after="0" w:line="42" w:lineRule="exact"/>
        <w:rPr>
          <w:rFonts w:ascii="Arial" w:cs="Arial" w:eastAsia="Arial" w:hAnsi="Arial"/>
          <w:sz w:val="21"/>
          <w:szCs w:val="21"/>
          <w:color w:val="auto"/>
          <w:vertAlign w:val="superscript"/>
        </w:rPr>
      </w:pPr>
    </w:p>
    <w:p>
      <w:pPr>
        <w:ind w:left="200" w:right="120" w:hanging="192"/>
        <w:spacing w:after="0" w:line="238" w:lineRule="auto"/>
        <w:tabs>
          <w:tab w:leader="none" w:pos="215" w:val="left"/>
        </w:tabs>
        <w:numPr>
          <w:ilvl w:val="0"/>
          <w:numId w:val="146"/>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9 to Schedule 13G filed by The Vanguard Group, Inc. on February 9, 2023 reporting stock ownership as of December 30, 2022. The Vanguard Group, Inc. also reported that, as of December 30, 2022, it had sole dispositive power for 43,968,180 shares, shared voting power for 694,086 shares and shared dispositive power with respect to 2,032,486 shares.</w:t>
      </w:r>
    </w:p>
    <w:p>
      <w:pPr>
        <w:spacing w:after="0" w:line="57" w:lineRule="exact"/>
        <w:rPr>
          <w:rFonts w:ascii="Arial" w:cs="Arial" w:eastAsia="Arial" w:hAnsi="Arial"/>
          <w:sz w:val="21"/>
          <w:szCs w:val="21"/>
          <w:color w:val="auto"/>
          <w:vertAlign w:val="superscript"/>
        </w:rPr>
      </w:pPr>
    </w:p>
    <w:p>
      <w:pPr>
        <w:ind w:left="200" w:right="40" w:hanging="192"/>
        <w:spacing w:after="0" w:line="238" w:lineRule="auto"/>
        <w:tabs>
          <w:tab w:leader="none" w:pos="215" w:val="left"/>
        </w:tabs>
        <w:numPr>
          <w:ilvl w:val="0"/>
          <w:numId w:val="146"/>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10 to Schedule 13G filed by BlackRock, Inc. on February 7, 2023 reporting stock ownership as of December 31, 2022. BlackRock, Inc. also reported that, as of December 31, 2022, it had sole voting power with respect to 36,948,965 shares and sole dispositive power for 41,660,333 shares.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86</w:t>
      </w:r>
    </w:p>
    <w:p>
      <w:pPr>
        <w:ind w:left="48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00" w:name="page101"/>
    <w:bookmarkEnd w:id="100"/>
    <w:p>
      <w:pPr>
        <w:spacing w:after="0"/>
        <w:rPr>
          <w:sz w:val="20"/>
          <w:szCs w:val="20"/>
          <w:color w:val="auto"/>
        </w:rPr>
      </w:pPr>
      <w:r>
        <w:rPr>
          <w:rFonts w:ascii="Arial" w:cs="Arial" w:eastAsia="Arial" w:hAnsi="Arial"/>
          <w:sz w:val="41"/>
          <w:szCs w:val="41"/>
          <w:b w:val="1"/>
          <w:bCs w:val="1"/>
          <w:color w:val="0067B3"/>
        </w:rPr>
        <w:t>Security Ownership of Directors and Executive Officers</w:t>
      </w:r>
    </w:p>
    <w:p>
      <w:pPr>
        <w:spacing w:after="0" w:line="15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following table lists information as of January 8, 2024, about the beneficial ownership of common stock by each director or director nominee, by each executive officer named in the Summary Compensation Table included in this Proxy Statement, and by all of the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executive officers of ADI as a group. In the below table, fractional shares have been rounded up to the nearest whole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shd w:val="clear" w:color="auto" w:fill="0067B3"/>
          </w:tcPr>
          <w:p>
            <w:pPr>
              <w:spacing w:after="0"/>
              <w:rPr>
                <w:sz w:val="17"/>
                <w:szCs w:val="17"/>
                <w:color w:val="auto"/>
              </w:rPr>
            </w:pPr>
          </w:p>
        </w:tc>
        <w:tc>
          <w:tcPr>
            <w:tcW w:w="154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1060" w:type="dxa"/>
            <w:vAlign w:val="bottom"/>
            <w:shd w:val="clear" w:color="auto" w:fill="0067B3"/>
          </w:tcPr>
          <w:p>
            <w:pPr>
              <w:spacing w:after="0"/>
              <w:rPr>
                <w:sz w:val="17"/>
                <w:szCs w:val="17"/>
                <w:color w:val="auto"/>
              </w:rPr>
            </w:pP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c>
          <w:tcPr>
            <w:tcW w:w="0" w:type="dxa"/>
            <w:vAlign w:val="bottom"/>
          </w:tcPr>
          <w:p>
            <w:pPr>
              <w:spacing w:after="0"/>
              <w:rPr>
                <w:sz w:val="1"/>
                <w:szCs w:val="1"/>
                <w:color w:val="auto"/>
              </w:rPr>
            </w:pPr>
          </w:p>
        </w:tc>
      </w:tr>
      <w:tr>
        <w:trPr>
          <w:trHeight w:val="203"/>
        </w:trPr>
        <w:tc>
          <w:tcPr>
            <w:tcW w:w="6320" w:type="dxa"/>
            <w:vAlign w:val="bottom"/>
            <w:shd w:val="clear" w:color="auto" w:fill="0067B3"/>
          </w:tcPr>
          <w:p>
            <w:pPr>
              <w:spacing w:after="0"/>
              <w:rPr>
                <w:sz w:val="17"/>
                <w:szCs w:val="17"/>
                <w:color w:val="auto"/>
              </w:rPr>
            </w:pPr>
          </w:p>
        </w:tc>
        <w:tc>
          <w:tcPr>
            <w:tcW w:w="15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Acquirable</w:t>
            </w:r>
          </w:p>
        </w:tc>
        <w:tc>
          <w:tcPr>
            <w:tcW w:w="10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Total</w:t>
            </w: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c>
          <w:tcPr>
            <w:tcW w:w="0" w:type="dxa"/>
            <w:vAlign w:val="bottom"/>
          </w:tcPr>
          <w:p>
            <w:pPr>
              <w:spacing w:after="0"/>
              <w:rPr>
                <w:sz w:val="1"/>
                <w:szCs w:val="1"/>
                <w:color w:val="auto"/>
              </w:rPr>
            </w:pPr>
          </w:p>
        </w:tc>
      </w:tr>
      <w:tr>
        <w:trPr>
          <w:trHeight w:val="189"/>
        </w:trPr>
        <w:tc>
          <w:tcPr>
            <w:tcW w:w="6320" w:type="dxa"/>
            <w:vAlign w:val="bottom"/>
            <w:shd w:val="clear" w:color="auto" w:fill="0067B3"/>
          </w:tcPr>
          <w:p>
            <w:pPr>
              <w:spacing w:after="0"/>
              <w:rPr>
                <w:sz w:val="16"/>
                <w:szCs w:val="16"/>
                <w:color w:val="auto"/>
              </w:rPr>
            </w:pPr>
          </w:p>
        </w:tc>
        <w:tc>
          <w:tcPr>
            <w:tcW w:w="15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Within</w:t>
            </w:r>
          </w:p>
        </w:tc>
        <w:tc>
          <w:tcPr>
            <w:tcW w:w="10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Beneficial</w:t>
            </w: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0" w:type="dxa"/>
            <w:vAlign w:val="bottom"/>
          </w:tcPr>
          <w:p>
            <w:pPr>
              <w:spacing w:after="0"/>
              <w:rPr>
                <w:sz w:val="1"/>
                <w:szCs w:val="1"/>
                <w:color w:val="auto"/>
              </w:rPr>
            </w:pPr>
          </w:p>
        </w:tc>
      </w:tr>
      <w:tr>
        <w:trPr>
          <w:trHeight w:val="244"/>
        </w:trPr>
        <w:tc>
          <w:tcPr>
            <w:tcW w:w="63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1"/>
                <w:szCs w:val="21"/>
                <w:b w:val="1"/>
                <w:bCs w:val="1"/>
                <w:color w:val="FFFFFF"/>
                <w:vertAlign w:val="superscript"/>
              </w:rPr>
              <w:t>(1)</w:t>
            </w:r>
          </w:p>
        </w:tc>
        <w:tc>
          <w:tcPr>
            <w:tcW w:w="15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(2)</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60 Days</w:t>
            </w:r>
            <w:r>
              <w:rPr>
                <w:rFonts w:ascii="Arial" w:cs="Arial" w:eastAsia="Arial" w:hAnsi="Arial"/>
                <w:sz w:val="21"/>
                <w:szCs w:val="21"/>
                <w:b w:val="1"/>
                <w:bCs w:val="1"/>
                <w:color w:val="FFFFFF"/>
                <w:vertAlign w:val="superscript"/>
              </w:rPr>
              <w:t>(3)</w:t>
            </w:r>
          </w:p>
        </w:tc>
        <w:tc>
          <w:tcPr>
            <w:tcW w:w="10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Ownership</w:t>
            </w: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(4)</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928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2,156</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Gregory Bryant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7,645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7,645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r>
              <w:rPr>
                <w:rFonts w:ascii="Arial" w:cs="Arial" w:eastAsia="Arial" w:hAnsi="Arial"/>
                <w:sz w:val="23"/>
                <w:szCs w:val="23"/>
                <w:b w:val="1"/>
                <w:bCs w:val="1"/>
                <w:color w:val="0067B3"/>
                <w:vertAlign w:val="superscript"/>
              </w:rPr>
              <w:t>(5)</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44,687</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8,868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53,555</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Anantha P. Chandrakasan</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7,625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8,853</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r>
              <w:rPr>
                <w:rFonts w:ascii="Arial" w:cs="Arial" w:eastAsia="Arial" w:hAnsi="Arial"/>
                <w:sz w:val="23"/>
                <w:szCs w:val="23"/>
                <w:b w:val="1"/>
                <w:bCs w:val="1"/>
                <w:color w:val="0067B3"/>
                <w:vertAlign w:val="superscript"/>
              </w:rPr>
              <w:t>(6)</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10,020</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11,248</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3,530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4,758</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8,679</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9,907</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Peter B. Henry</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314</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Vivek Jain</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5,848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1,436</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7,284</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888</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888</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6,608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7,836</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(7)</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47,575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47,575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r>
              <w:rPr>
                <w:rFonts w:ascii="Arial" w:cs="Arial" w:eastAsia="Arial" w:hAnsi="Arial"/>
                <w:sz w:val="23"/>
                <w:szCs w:val="23"/>
                <w:b w:val="1"/>
                <w:bCs w:val="1"/>
                <w:color w:val="0067B3"/>
                <w:vertAlign w:val="superscript"/>
              </w:rPr>
              <w:t>(8)</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60,713</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377,178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437,891</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Anelise Sacks</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14,500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4,183</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18,683</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Kenton J. Sicchitano</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27,489</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8,868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36,357</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Ray Stata</w:t>
            </w:r>
            <w:r>
              <w:rPr>
                <w:rFonts w:ascii="Arial" w:cs="Arial" w:eastAsia="Arial" w:hAnsi="Arial"/>
                <w:sz w:val="23"/>
                <w:szCs w:val="23"/>
                <w:b w:val="1"/>
                <w:bCs w:val="1"/>
                <w:color w:val="0067B3"/>
                <w:vertAlign w:val="superscript"/>
              </w:rPr>
              <w:t>(9)</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822,047</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26,988</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849,035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5,751</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1,228</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6,979</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6320" w:type="dxa"/>
            <w:vAlign w:val="bottom"/>
          </w:tcPr>
          <w:p>
            <w:pPr>
              <w:ind w:left="20"/>
              <w:spacing w:after="0" w:line="182" w:lineRule="exact"/>
              <w:rPr>
                <w:sz w:val="20"/>
                <w:szCs w:val="20"/>
                <w:color w:val="auto"/>
              </w:rPr>
            </w:pPr>
            <w:r>
              <w:rPr>
                <w:rFonts w:ascii="Arial" w:cs="Arial" w:eastAsia="Arial" w:hAnsi="Arial"/>
                <w:sz w:val="18"/>
                <w:szCs w:val="18"/>
                <w:color w:val="auto"/>
              </w:rPr>
              <w:t>All directors and executive officers as a group (18 persons, consisting of</w:t>
            </w:r>
          </w:p>
        </w:tc>
        <w:tc>
          <w:tcPr>
            <w:tcW w:w="1540" w:type="dxa"/>
            <w:vAlign w:val="bottom"/>
            <w:vMerge w:val="restart"/>
          </w:tcPr>
          <w:p>
            <w:pPr>
              <w:jc w:val="right"/>
              <w:ind w:right="31"/>
              <w:spacing w:after="0"/>
              <w:rPr>
                <w:sz w:val="20"/>
                <w:szCs w:val="20"/>
                <w:color w:val="auto"/>
              </w:rPr>
            </w:pPr>
            <w:r>
              <w:rPr>
                <w:rFonts w:ascii="Arial" w:cs="Arial" w:eastAsia="Arial" w:hAnsi="Arial"/>
                <w:sz w:val="18"/>
                <w:szCs w:val="18"/>
                <w:color w:val="auto"/>
              </w:rPr>
              <w:t>1,076,610</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437,319</w:t>
            </w:r>
          </w:p>
        </w:tc>
        <w:tc>
          <w:tcPr>
            <w:tcW w:w="1060" w:type="dxa"/>
            <w:vAlign w:val="bottom"/>
            <w:vMerge w:val="restart"/>
          </w:tcPr>
          <w:p>
            <w:pPr>
              <w:jc w:val="right"/>
              <w:ind w:right="91"/>
              <w:spacing w:after="0"/>
              <w:rPr>
                <w:sz w:val="20"/>
                <w:szCs w:val="20"/>
                <w:color w:val="auto"/>
              </w:rPr>
            </w:pPr>
            <w:r>
              <w:rPr>
                <w:rFonts w:ascii="Arial" w:cs="Arial" w:eastAsia="Arial" w:hAnsi="Arial"/>
                <w:sz w:val="18"/>
                <w:szCs w:val="18"/>
                <w:color w:val="auto"/>
              </w:rPr>
              <w:t>1,513,929</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6320" w:type="dxa"/>
            <w:vAlign w:val="bottom"/>
            <w:tcBorders>
              <w:bottom w:val="single" w:sz="8" w:color="0067B3"/>
            </w:tcBorders>
          </w:tcPr>
          <w:p>
            <w:pPr>
              <w:ind w:left="20"/>
              <w:spacing w:after="0" w:line="251" w:lineRule="exact"/>
              <w:rPr>
                <w:sz w:val="20"/>
                <w:szCs w:val="20"/>
                <w:color w:val="auto"/>
              </w:rPr>
            </w:pPr>
            <w:r>
              <w:rPr>
                <w:rFonts w:ascii="Arial" w:cs="Arial" w:eastAsia="Arial" w:hAnsi="Arial"/>
                <w:sz w:val="18"/>
                <w:szCs w:val="18"/>
                <w:color w:val="auto"/>
              </w:rPr>
              <w:t>6 executive officers and 12 non-employee directors)</w:t>
            </w:r>
            <w:r>
              <w:rPr>
                <w:rFonts w:ascii="Arial" w:cs="Arial" w:eastAsia="Arial" w:hAnsi="Arial"/>
                <w:sz w:val="23"/>
                <w:szCs w:val="23"/>
                <w:color w:val="auto"/>
                <w:vertAlign w:val="superscript"/>
              </w:rPr>
              <w:t>(9)</w:t>
            </w:r>
          </w:p>
        </w:tc>
        <w:tc>
          <w:tcPr>
            <w:tcW w:w="1540" w:type="dxa"/>
            <w:vAlign w:val="bottom"/>
            <w:tcBorders>
              <w:bottom w:val="single" w:sz="8" w:color="0067B3"/>
            </w:tcBorders>
            <w:vMerge w:val="continue"/>
          </w:tcPr>
          <w:p>
            <w:pPr>
              <w:spacing w:after="0"/>
              <w:rPr>
                <w:sz w:val="21"/>
                <w:szCs w:val="21"/>
                <w:color w:val="auto"/>
              </w:rPr>
            </w:pPr>
          </w:p>
        </w:tc>
        <w:tc>
          <w:tcPr>
            <w:tcW w:w="980" w:type="dxa"/>
            <w:vAlign w:val="bottom"/>
            <w:tcBorders>
              <w:bottom w:val="single" w:sz="8" w:color="0067B3"/>
            </w:tcBorders>
            <w:vMerge w:val="continue"/>
          </w:tcPr>
          <w:p>
            <w:pPr>
              <w:spacing w:after="0"/>
              <w:rPr>
                <w:sz w:val="21"/>
                <w:szCs w:val="21"/>
                <w:color w:val="auto"/>
              </w:rPr>
            </w:pPr>
          </w:p>
        </w:tc>
        <w:tc>
          <w:tcPr>
            <w:tcW w:w="1060" w:type="dxa"/>
            <w:vAlign w:val="bottom"/>
            <w:tcBorders>
              <w:bottom w:val="single" w:sz="8" w:color="0067B3"/>
            </w:tcBorders>
            <w:vMerge w:val="continue"/>
          </w:tcPr>
          <w:p>
            <w:pPr>
              <w:spacing w:after="0"/>
              <w:rPr>
                <w:sz w:val="21"/>
                <w:szCs w:val="21"/>
                <w:color w:val="auto"/>
              </w:rPr>
            </w:pPr>
          </w:p>
        </w:tc>
        <w:tc>
          <w:tcPr>
            <w:tcW w:w="1340" w:type="dxa"/>
            <w:vAlign w:val="bottom"/>
            <w:tcBorders>
              <w:bottom w:val="single" w:sz="8" w:color="0067B3"/>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our common stock.</w:t>
      </w:r>
    </w:p>
    <w:p>
      <w:pPr>
        <w:spacing w:after="0" w:line="46" w:lineRule="exact"/>
        <w:rPr>
          <w:sz w:val="20"/>
          <w:szCs w:val="20"/>
          <w:color w:val="auto"/>
        </w:rPr>
      </w:pPr>
    </w:p>
    <w:p>
      <w:pPr>
        <w:ind w:left="220" w:hanging="212"/>
        <w:spacing w:after="0"/>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Unless otherwise indicated, the address of each beneficial owner listed is c/o Analog Devices, Inc., One Analog Way, Wilmington, Massachusetts 01887.</w:t>
      </w:r>
    </w:p>
    <w:p>
      <w:pPr>
        <w:spacing w:after="0" w:line="44" w:lineRule="exact"/>
        <w:rPr>
          <w:rFonts w:ascii="Arial" w:cs="Arial" w:eastAsia="Arial" w:hAnsi="Arial"/>
          <w:sz w:val="21"/>
          <w:szCs w:val="21"/>
          <w:color w:val="auto"/>
          <w:vertAlign w:val="superscript"/>
        </w:rPr>
      </w:pPr>
    </w:p>
    <w:p>
      <w:pPr>
        <w:ind w:left="200" w:right="40" w:hanging="192"/>
        <w:spacing w:after="0" w:line="221" w:lineRule="auto"/>
        <w:tabs>
          <w:tab w:leader="none" w:pos="215"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0" w:lineRule="exact"/>
        <w:rPr>
          <w:rFonts w:ascii="Arial" w:cs="Arial" w:eastAsia="Arial" w:hAnsi="Arial"/>
          <w:sz w:val="21"/>
          <w:szCs w:val="21"/>
          <w:color w:val="auto"/>
          <w:vertAlign w:val="superscript"/>
        </w:rPr>
      </w:pPr>
    </w:p>
    <w:p>
      <w:pPr>
        <w:ind w:left="200" w:right="220" w:hanging="192"/>
        <w:spacing w:after="0" w:line="228" w:lineRule="auto"/>
        <w:tabs>
          <w:tab w:leader="none" w:pos="215"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RSUs that vest within 60 days after January 8, 2024.</w:t>
      </w:r>
    </w:p>
    <w:p>
      <w:pPr>
        <w:spacing w:after="0" w:line="43" w:lineRule="exact"/>
        <w:rPr>
          <w:rFonts w:ascii="Arial" w:cs="Arial" w:eastAsia="Arial" w:hAnsi="Arial"/>
          <w:sz w:val="21"/>
          <w:szCs w:val="21"/>
          <w:color w:val="auto"/>
          <w:vertAlign w:val="superscript"/>
        </w:rPr>
      </w:pPr>
    </w:p>
    <w:p>
      <w:pPr>
        <w:ind w:left="200" w:right="640" w:hanging="192"/>
        <w:spacing w:after="0" w:line="222" w:lineRule="auto"/>
        <w:tabs>
          <w:tab w:leader="none" w:pos="215"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2024 is calculated by dividing (1) the total number of shares beneficially owned by the shareholder by (2) the number of shares of our common stock outstanding on January 8, 2024 (495,839,582 shares) plus any shares acquirable (including exercisable stock options) by the shareholder in question within 60 days after January 8, 2024.</w:t>
      </w:r>
    </w:p>
    <w:p>
      <w:pPr>
        <w:spacing w:after="0" w:line="3"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Includes 38,316 shares held in trust for the benefit of Mr. Champy’s spouse and son, as to which Mr. Champy disclaims beneficial ownership.</w:t>
      </w:r>
    </w:p>
    <w:p>
      <w:pPr>
        <w:spacing w:after="0" w:line="5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Includes 6,000 shares held by irrevocable trusts for the benefit of Dr. Frank’s daughters, of which Dr. Frank is a trustee.</w:t>
      </w:r>
    </w:p>
    <w:p>
      <w:pPr>
        <w:spacing w:after="0" w:line="58"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Mr. Mahendra-Rajah served as our Executive Vice President, Finance and Chief Financial Officer until October 28, 2023.</w:t>
      </w:r>
    </w:p>
    <w:p>
      <w:pPr>
        <w:spacing w:after="0" w:line="5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Includes 55,000 shares held by the Vincent Roche 2023 Grantor Retained Annuity Trust dated August 25, 2023.</w:t>
      </w:r>
    </w:p>
    <w:p>
      <w:pPr>
        <w:spacing w:after="0" w:line="58" w:lineRule="exact"/>
        <w:rPr>
          <w:rFonts w:ascii="Arial" w:cs="Arial" w:eastAsia="Arial" w:hAnsi="Arial"/>
          <w:sz w:val="21"/>
          <w:szCs w:val="21"/>
          <w:color w:val="auto"/>
          <w:vertAlign w:val="superscript"/>
        </w:rPr>
      </w:pPr>
    </w:p>
    <w:p>
      <w:pPr>
        <w:ind w:left="200" w:right="260" w:hanging="192"/>
        <w:spacing w:after="0" w:line="216" w:lineRule="auto"/>
        <w:tabs>
          <w:tab w:leader="none" w:pos="215" w:val="left"/>
        </w:tabs>
        <w:numPr>
          <w:ilvl w:val="0"/>
          <w:numId w:val="148"/>
        </w:numPr>
        <w:rPr>
          <w:rFonts w:ascii="Arial" w:cs="Arial" w:eastAsia="Arial" w:hAnsi="Arial"/>
          <w:sz w:val="21"/>
          <w:szCs w:val="21"/>
          <w:color w:val="auto"/>
          <w:vertAlign w:val="superscript"/>
        </w:rPr>
      </w:pPr>
      <w:r>
        <w:rPr>
          <w:rFonts w:ascii="Arial" w:cs="Arial" w:eastAsia="Arial" w:hAnsi="Arial"/>
          <w:sz w:val="16"/>
          <w:szCs w:val="16"/>
          <w:color w:val="auto"/>
        </w:rPr>
        <w:t>Includes 652,221 shares held by Mr. Stata’s spouse, as to which Mr. Stata disclaims beneficial ownership. Includes 643,396 shares held by Mr. Stata’s spouse and 133,138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39"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All directors and executive officers as a group disclaim beneficial ownership of a total of 690,537 shares.</w:t>
      </w:r>
    </w:p>
    <w:p>
      <w:pPr>
        <w:spacing w:after="0" w:line="30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01" w:name="page102"/>
    <w:bookmarkEnd w:id="101"/>
    <w:p>
      <w:pPr>
        <w:spacing w:after="0"/>
        <w:rPr>
          <w:sz w:val="20"/>
          <w:szCs w:val="20"/>
          <w:color w:val="auto"/>
        </w:rPr>
      </w:pPr>
      <w:r>
        <w:rPr>
          <w:rFonts w:ascii="Arial" w:cs="Arial" w:eastAsia="Arial" w:hAnsi="Arial"/>
          <w:sz w:val="41"/>
          <w:szCs w:val="41"/>
          <w:b w:val="1"/>
          <w:bCs w:val="1"/>
          <w:color w:val="0067B3"/>
        </w:rPr>
        <w:t>Delinquent Section 16(a) Reports</w:t>
      </w:r>
    </w:p>
    <w:p>
      <w:pPr>
        <w:spacing w:after="0" w:line="1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To our knowledge, based solely on a review of reports filed pursuant to Section 16(a) and written representations by the persons required to file these reports, all filing requirements of Section 16(a) were satisfied on a timely basis with respect to fiscal year 2023, with the exception of the following: (1) the late filing, due to administrative error, of one Form 4 by Mr. Sicchitano, reporting five transactions completed in 2021 and 2022; (2) the late filing, due to administrative error, of one Form 4 by Mr. Roche, reporting the acquisition of additional shares in connection with the certification of pre-established performance parameters related to Financial Metric PRSUs granted in fiscal year 2020; and (3) the late filings, due to administrative error, of one Form 4 by each of Messrs. Mahendra-Rajah and Jain and Ms. Sacks, reporting the acquisition of additional shares in connection with the certification of pre-established performance parameters relating to the Maxim Integration PRSUs.</w:t>
      </w: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No Hedging or Pledging Policy</w:t>
      </w:r>
    </w:p>
    <w:p>
      <w:pPr>
        <w:spacing w:after="0" w:line="1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transactions in ADI securities such as (i) short sales, including short sales “against the box”, (ii) buying or selling puts, calls or other derivative ADI securities, (iii) purchasing financial instruments (including prepaid variable forward contracts, equity swaps, collars and exchange funds) or other transactions that hedge or offset, or are designed to hedge or offset, any decrease in the market value of ADI’s securities, or (iv) purchasing securities on margin, borrowing against ADI securities held in a margin account, or pledging ADI securities as collateral for a loan, create a heightened compliance risk or could create the appearance of misalignment between ADI’s directors and employees and ADI’s shareholders. As a result, our insider trading policy prohibits such transactions without the approval of the Board of Directors.</w:t>
      </w:r>
    </w:p>
    <w:p>
      <w:pPr>
        <w:spacing w:after="0" w:line="257"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Equity Award Program Description</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executive officers and directors and to align their interests with those of our shareholders. Our shareholders approved our 2020 Plan at our 2020 annual meeting of shareholders held on March 11, 2020. Under our 2020 Plan, we may grant options to purchase shares of our common stock, stock appreciation rights, restricted stock, restricted stock units and other stock-based awards to all employees, executive officers, directors, consultants and advisors of ADI. All stock options have a maximum term of ten years, and for employees, 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a three-year performance period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three-year cumulative performance periods. RSUs and PRSUs granted under the 2020 Plan are subject to full or partial acceleration upon death, disability or a change in control.</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2006 Plan, we granted options to purchase shares of our common stock, stock appreciation rights, restricted stock, restricted stock units and other stock-based awards to all employees, executive officers, directors, consultants and advisors of ADI. The 2006 Plan expired by its terms on March 12, 2021, but awards outstanding under the 2006 Plan will remain in effect. We have not granted any new awards under the 2006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three -year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three-year cumulative performance periods. RSUs granted under the 2006 Plan are subject to full or partial acceleration upon death, disability or a change in control.</w:t>
      </w:r>
    </w:p>
    <w:p>
      <w:pPr>
        <w:sectPr>
          <w:pgSz w:w="11900" w:h="16838" w:orient="portrait"/>
          <w:cols w:equalWidth="0" w:num="1">
            <w:col w:w="11240"/>
          </w:cols>
          <w:pgMar w:left="320" w:top="1356"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88</w:t>
      </w:r>
    </w:p>
    <w:p>
      <w:pPr>
        <w:jc w:val="right"/>
        <w:ind w:right="792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02" w:name="page103"/>
    <w:bookmarkEnd w:id="102"/>
    <w:p>
      <w:pPr>
        <w:ind w:right="20"/>
        <w:spacing w:after="0" w:line="254" w:lineRule="auto"/>
        <w:rPr>
          <w:sz w:val="20"/>
          <w:szCs w:val="20"/>
          <w:color w:val="auto"/>
        </w:rPr>
      </w:pPr>
      <w:r>
        <w:rPr>
          <w:rFonts w:ascii="Arial" w:cs="Arial" w:eastAsia="Arial" w:hAnsi="Arial"/>
          <w:sz w:val="18"/>
          <w:szCs w:val="18"/>
          <w:color w:val="auto"/>
        </w:rPr>
        <w:t>Under our 2010 Plan, which we assumed as part of the Linear Technology acquisition, we granted options to purchase shares of our common stock, stock appreciation rights, restricted stock, restricted stock units and other stock-based awards to legacy Linear Technology employees. The 2010 Plan expired by its terms on September 15, 2020, but awards outstanding under the 2010 Plan will remain in effect. We have not granted any new awards under the 2010 Plan since our shareholders approved our 2020 Plan on March 10, 2020. All stock options have a term of ten years, and for employees, generally vest in four equal installments on each of the first, second, third and fourth anniversaries of the date of grant, subject to full or partial acceleration upon death or disability. The 2010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and Talent Committee has discretion to determine the treatment of outstanding awards under the 2010 Plan in the event of a change in control.</w:t>
      </w:r>
    </w:p>
    <w:p>
      <w:pPr>
        <w:spacing w:after="0" w:line="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Maxim acquisition, we assumed and amended and restated the Maxim Amended and Restated 1996 Stock Incentive Plan, or 1996 Plan. We also assumed Maxim’s existing share reserve under the 1996 Plan and may use the reserve both to settle outstanding Maxim awards previously granted by Maxim under the plan, as well as to settle future grants made by ADI to legacy Maxim employees and any new employees of the combined company. Under the 1996 Plan we may grant options to purchase shares of our common stock, restricted stock, restricted stock units and other stock-based awards. The 1996 Plan will expire by its terms on August 11, 2024, but awards outstanding under the 1996 Plan will remain in effect. There are no stock options outstanding under the 1996 Plan. If we were to issue stock options, they would have a term of ten years, and for employees, generally vest in four equal installments on each of the first, second, third and fourth anniversaries of the date of grant, subject to full or partial acceleration upon death or disability. The 1996 Plan does not permit us to grant options at exercise prices that are below the fair market value of our common stock on the date of grant. Employee time-based RSUs and RSAs previously granted by Maxim under the 1996 Plan continue to vest on the same schedule provided under the original Maxim awards. New RSUs typically will vest in four equal installments on each of the first, second, third and fourth anniversaries of the date of grant. Generally, stock options, RSUs, and RSAs under the 1996 Plan are subject to full acceleration upon death.</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shareholders approved our ESPP at our 2022 annual meeting of shareholders, which provides for 5,000,000 shares of our common stock to be available for purchase by eligible employees in accordance with the terms of the plan. The ESPP permits eligible employees to purchase shares of our common stock at a discount during consecutive six-month plan periods. Our Board of Directors, the Compensation and Talent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 Employee contributions are made through payroll deductions or other contributions at a specified whole percentage of the participating employee’s compensation,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and Talent Committee reviews and approves the grants. All members of the Compensation and Talent Committee are independent directors, as defined by the Nasdaq Rules.</w:t>
      </w:r>
    </w:p>
    <w:p>
      <w:pPr>
        <w:spacing w:after="0" w:line="328"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3" w:name="page104"/>
    <w:bookmarkEnd w:id="103"/>
    <w:p>
      <w:pPr>
        <w:ind w:right="1780"/>
        <w:spacing w:after="0" w:line="276" w:lineRule="auto"/>
        <w:rPr>
          <w:sz w:val="20"/>
          <w:szCs w:val="20"/>
          <w:color w:val="auto"/>
        </w:rPr>
      </w:pPr>
      <w:r>
        <w:rPr>
          <w:rFonts w:ascii="Arial" w:cs="Arial" w:eastAsia="Arial" w:hAnsi="Arial"/>
          <w:sz w:val="41"/>
          <w:szCs w:val="41"/>
          <w:b w:val="1"/>
          <w:bCs w:val="1"/>
          <w:color w:val="0067B3"/>
        </w:rPr>
        <w:t>Securities Authorized for Issuance under Equity Compensation Plans</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provides information as of October 28, 2023 about the securities that may be issued under outstanding equity awards, or authorized for future issuance, under our 2020 Plan, the ESPP, and the 1996 Plan, which we assumed in connection with the Maxim acquisition, and the securities that may be issued under outstanding equity awards under our 2006 Plan, as well as our 2010 Plan, which was assumed in connection with the Linear Technology acquisition.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shd w:val="clear" w:color="auto" w:fill="0067B3"/>
          </w:tcPr>
          <w:p>
            <w:pPr>
              <w:spacing w:after="0"/>
              <w:rPr>
                <w:sz w:val="21"/>
                <w:szCs w:val="21"/>
                <w:color w:val="auto"/>
              </w:rPr>
            </w:pPr>
          </w:p>
        </w:tc>
        <w:tc>
          <w:tcPr>
            <w:tcW w:w="1940" w:type="dxa"/>
            <w:vAlign w:val="bottom"/>
            <w:shd w:val="clear" w:color="auto" w:fill="0067B3"/>
          </w:tcPr>
          <w:p>
            <w:pPr>
              <w:jc w:val="right"/>
              <w:ind w:right="656"/>
              <w:spacing w:after="0"/>
              <w:rPr>
                <w:sz w:val="20"/>
                <w:szCs w:val="20"/>
                <w:color w:val="auto"/>
              </w:rPr>
            </w:pPr>
            <w:r>
              <w:rPr>
                <w:rFonts w:ascii="Arial" w:cs="Arial" w:eastAsia="Arial" w:hAnsi="Arial"/>
                <w:sz w:val="16"/>
                <w:szCs w:val="16"/>
                <w:b w:val="1"/>
                <w:bCs w:val="1"/>
                <w:color w:val="FFFFFF"/>
              </w:rPr>
              <w:t>(a)</w:t>
            </w:r>
          </w:p>
        </w:tc>
        <w:tc>
          <w:tcPr>
            <w:tcW w:w="500" w:type="dxa"/>
            <w:vAlign w:val="bottom"/>
            <w:shd w:val="clear" w:color="auto" w:fill="0067B3"/>
          </w:tcPr>
          <w:p>
            <w:pPr>
              <w:spacing w:after="0"/>
              <w:rPr>
                <w:sz w:val="21"/>
                <w:szCs w:val="21"/>
                <w:color w:val="auto"/>
              </w:rPr>
            </w:pPr>
          </w:p>
        </w:tc>
        <w:tc>
          <w:tcPr>
            <w:tcW w:w="11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w:t>
            </w:r>
          </w:p>
        </w:tc>
        <w:tc>
          <w:tcPr>
            <w:tcW w:w="580" w:type="dxa"/>
            <w:vAlign w:val="bottom"/>
            <w:shd w:val="clear" w:color="auto" w:fill="0067B3"/>
          </w:tcPr>
          <w:p>
            <w:pPr>
              <w:spacing w:after="0"/>
              <w:rPr>
                <w:sz w:val="21"/>
                <w:szCs w:val="21"/>
                <w:color w:val="auto"/>
              </w:rPr>
            </w:pPr>
          </w:p>
        </w:tc>
        <w:tc>
          <w:tcPr>
            <w:tcW w:w="420" w:type="dxa"/>
            <w:vAlign w:val="bottom"/>
            <w:shd w:val="clear" w:color="auto" w:fill="0067B3"/>
          </w:tcPr>
          <w:p>
            <w:pPr>
              <w:spacing w:after="0"/>
              <w:rPr>
                <w:sz w:val="21"/>
                <w:szCs w:val="21"/>
                <w:color w:val="auto"/>
              </w:rPr>
            </w:pPr>
          </w:p>
        </w:tc>
        <w:tc>
          <w:tcPr>
            <w:tcW w:w="1780" w:type="dxa"/>
            <w:vAlign w:val="bottom"/>
            <w:shd w:val="clear" w:color="auto" w:fill="0067B3"/>
          </w:tcPr>
          <w:p>
            <w:pPr>
              <w:jc w:val="right"/>
              <w:ind w:right="517"/>
              <w:spacing w:after="0"/>
              <w:rPr>
                <w:sz w:val="20"/>
                <w:szCs w:val="20"/>
                <w:color w:val="auto"/>
              </w:rPr>
            </w:pPr>
            <w:r>
              <w:rPr>
                <w:rFonts w:ascii="Arial" w:cs="Arial" w:eastAsia="Arial" w:hAnsi="Arial"/>
                <w:sz w:val="16"/>
                <w:szCs w:val="16"/>
                <w:b w:val="1"/>
                <w:bCs w:val="1"/>
                <w:color w:val="FFFFFF"/>
              </w:rPr>
              <w:t>(c)</w:t>
            </w:r>
          </w:p>
        </w:tc>
        <w:tc>
          <w:tcPr>
            <w:tcW w:w="26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0067B3"/>
          </w:tcPr>
          <w:p>
            <w:pPr>
              <w:spacing w:after="0"/>
              <w:rPr>
                <w:sz w:val="19"/>
                <w:szCs w:val="19"/>
                <w:color w:val="auto"/>
              </w:rPr>
            </w:pPr>
          </w:p>
        </w:tc>
        <w:tc>
          <w:tcPr>
            <w:tcW w:w="1940" w:type="dxa"/>
            <w:vAlign w:val="bottom"/>
            <w:shd w:val="clear" w:color="auto" w:fill="0067B3"/>
          </w:tcPr>
          <w:p>
            <w:pPr>
              <w:spacing w:after="0"/>
              <w:rPr>
                <w:sz w:val="19"/>
                <w:szCs w:val="19"/>
                <w:color w:val="auto"/>
              </w:rPr>
            </w:pPr>
          </w:p>
        </w:tc>
        <w:tc>
          <w:tcPr>
            <w:tcW w:w="500" w:type="dxa"/>
            <w:vAlign w:val="bottom"/>
            <w:shd w:val="clear" w:color="auto" w:fill="0067B3"/>
          </w:tcPr>
          <w:p>
            <w:pPr>
              <w:spacing w:after="0"/>
              <w:rPr>
                <w:sz w:val="19"/>
                <w:szCs w:val="19"/>
                <w:color w:val="auto"/>
              </w:rPr>
            </w:pPr>
          </w:p>
        </w:tc>
        <w:tc>
          <w:tcPr>
            <w:tcW w:w="1100" w:type="dxa"/>
            <w:vAlign w:val="bottom"/>
            <w:shd w:val="clear" w:color="auto" w:fill="0067B3"/>
          </w:tcPr>
          <w:p>
            <w:pPr>
              <w:spacing w:after="0"/>
              <w:rPr>
                <w:sz w:val="19"/>
                <w:szCs w:val="19"/>
                <w:color w:val="auto"/>
              </w:rPr>
            </w:pPr>
          </w:p>
        </w:tc>
        <w:tc>
          <w:tcPr>
            <w:tcW w:w="580" w:type="dxa"/>
            <w:vAlign w:val="bottom"/>
            <w:shd w:val="clear" w:color="auto" w:fill="0067B3"/>
          </w:tcPr>
          <w:p>
            <w:pPr>
              <w:spacing w:after="0"/>
              <w:rPr>
                <w:sz w:val="19"/>
                <w:szCs w:val="19"/>
                <w:color w:val="auto"/>
              </w:rPr>
            </w:pPr>
          </w:p>
        </w:tc>
        <w:tc>
          <w:tcPr>
            <w:tcW w:w="420" w:type="dxa"/>
            <w:vAlign w:val="bottom"/>
            <w:shd w:val="clear" w:color="auto" w:fill="0067B3"/>
          </w:tcPr>
          <w:p>
            <w:pPr>
              <w:spacing w:after="0"/>
              <w:rPr>
                <w:sz w:val="19"/>
                <w:szCs w:val="19"/>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Securities</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1940" w:type="dxa"/>
            <w:vAlign w:val="bottom"/>
            <w:shd w:val="clear" w:color="auto" w:fill="0067B3"/>
          </w:tcPr>
          <w:p>
            <w:pPr>
              <w:spacing w:after="0"/>
              <w:rPr>
                <w:sz w:val="16"/>
                <w:szCs w:val="16"/>
                <w:color w:val="auto"/>
              </w:rPr>
            </w:pPr>
          </w:p>
        </w:tc>
        <w:tc>
          <w:tcPr>
            <w:tcW w:w="50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580" w:type="dxa"/>
            <w:vAlign w:val="bottom"/>
            <w:shd w:val="clear" w:color="auto" w:fill="0067B3"/>
          </w:tcPr>
          <w:p>
            <w:pPr>
              <w:spacing w:after="0"/>
              <w:rPr>
                <w:sz w:val="16"/>
                <w:szCs w:val="16"/>
                <w:color w:val="auto"/>
              </w:rPr>
            </w:pPr>
          </w:p>
        </w:tc>
        <w:tc>
          <w:tcPr>
            <w:tcW w:w="420" w:type="dxa"/>
            <w:vAlign w:val="bottom"/>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Remaining Available for</w:t>
            </w:r>
          </w:p>
        </w:tc>
        <w:tc>
          <w:tcPr>
            <w:tcW w:w="0" w:type="dxa"/>
            <w:vAlign w:val="bottom"/>
          </w:tcPr>
          <w:p>
            <w:pPr>
              <w:spacing w:after="0"/>
              <w:rPr>
                <w:sz w:val="1"/>
                <w:szCs w:val="1"/>
                <w:color w:val="auto"/>
              </w:rPr>
            </w:pPr>
          </w:p>
        </w:tc>
      </w:tr>
      <w:tr>
        <w:trPr>
          <w:trHeight w:val="203"/>
        </w:trPr>
        <w:tc>
          <w:tcPr>
            <w:tcW w:w="4660" w:type="dxa"/>
            <w:vAlign w:val="bottom"/>
            <w:shd w:val="clear" w:color="auto" w:fill="0067B3"/>
          </w:tcPr>
          <w:p>
            <w:pPr>
              <w:spacing w:after="0"/>
              <w:rPr>
                <w:sz w:val="17"/>
                <w:szCs w:val="17"/>
                <w:color w:val="auto"/>
              </w:rPr>
            </w:pPr>
          </w:p>
        </w:tc>
        <w:tc>
          <w:tcPr>
            <w:tcW w:w="2440" w:type="dxa"/>
            <w:vAlign w:val="bottom"/>
            <w:gridSpan w:val="2"/>
            <w:vMerge w:val="restart"/>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Number of Securities to</w:t>
            </w:r>
          </w:p>
        </w:tc>
        <w:tc>
          <w:tcPr>
            <w:tcW w:w="2100" w:type="dxa"/>
            <w:vAlign w:val="bottom"/>
            <w:gridSpan w:val="3"/>
            <w:vMerge w:val="restart"/>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Weighted-Average</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Future Issuance Under</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2440" w:type="dxa"/>
            <w:vAlign w:val="bottom"/>
            <w:gridSpan w:val="2"/>
            <w:vMerge w:val="continue"/>
            <w:shd w:val="clear" w:color="auto" w:fill="0067B3"/>
          </w:tcPr>
          <w:p>
            <w:pPr>
              <w:spacing w:after="0"/>
              <w:rPr>
                <w:sz w:val="16"/>
                <w:szCs w:val="16"/>
                <w:color w:val="auto"/>
              </w:rPr>
            </w:pPr>
          </w:p>
        </w:tc>
        <w:tc>
          <w:tcPr>
            <w:tcW w:w="2100" w:type="dxa"/>
            <w:vAlign w:val="bottom"/>
            <w:gridSpan w:val="3"/>
            <w:vMerge w:val="continue"/>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24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be Issued Upon Exercise</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Exercise Price of</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203"/>
        </w:trPr>
        <w:tc>
          <w:tcPr>
            <w:tcW w:w="4660" w:type="dxa"/>
            <w:vAlign w:val="bottom"/>
            <w:shd w:val="clear" w:color="auto" w:fill="0067B3"/>
          </w:tcPr>
          <w:p>
            <w:pPr>
              <w:spacing w:after="0"/>
              <w:rPr>
                <w:sz w:val="17"/>
                <w:szCs w:val="17"/>
                <w:color w:val="auto"/>
              </w:rPr>
            </w:pPr>
          </w:p>
        </w:tc>
        <w:tc>
          <w:tcPr>
            <w:tcW w:w="24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of Outstanding Options,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Outstanding Options,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Securities Reflected</w:t>
            </w:r>
          </w:p>
        </w:tc>
        <w:tc>
          <w:tcPr>
            <w:tcW w:w="0" w:type="dxa"/>
            <w:vAlign w:val="bottom"/>
          </w:tcPr>
          <w:p>
            <w:pPr>
              <w:spacing w:after="0"/>
              <w:rPr>
                <w:sz w:val="1"/>
                <w:szCs w:val="1"/>
                <w:color w:val="auto"/>
              </w:rPr>
            </w:pPr>
          </w:p>
        </w:tc>
      </w:tr>
      <w:tr>
        <w:trPr>
          <w:trHeight w:val="230"/>
        </w:trPr>
        <w:tc>
          <w:tcPr>
            <w:tcW w:w="46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Plan Category</w:t>
            </w:r>
          </w:p>
        </w:tc>
        <w:tc>
          <w:tcPr>
            <w:tcW w:w="24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Warrants, and Rights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Warrants, and Rights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 Column (a))</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Equity compensation plans approved by shareholders</w:t>
            </w:r>
          </w:p>
        </w:tc>
        <w:tc>
          <w:tcPr>
            <w:tcW w:w="19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6,344,153</w:t>
            </w:r>
          </w:p>
        </w:tc>
        <w:tc>
          <w:tcPr>
            <w:tcW w:w="500" w:type="dxa"/>
            <w:vAlign w:val="bottom"/>
            <w:tcBorders>
              <w:bottom w:val="single" w:sz="8" w:color="E2E6F4"/>
            </w:tcBorders>
            <w:shd w:val="clear" w:color="auto" w:fill="E2E6F4"/>
          </w:tcPr>
          <w:p>
            <w:pPr>
              <w:jc w:val="right"/>
              <w:ind w:right="202"/>
              <w:spacing w:after="0"/>
              <w:rPr>
                <w:sz w:val="20"/>
                <w:szCs w:val="20"/>
                <w:color w:val="auto"/>
              </w:rPr>
            </w:pPr>
            <w:r>
              <w:rPr>
                <w:rFonts w:ascii="Arial" w:cs="Arial" w:eastAsia="Arial" w:hAnsi="Arial"/>
                <w:sz w:val="12"/>
                <w:szCs w:val="12"/>
                <w:color w:val="auto"/>
              </w:rPr>
              <w:t>(1)</w:t>
            </w: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75.77</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19,625,705</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w:t>
            </w:r>
          </w:p>
        </w:tc>
        <w:tc>
          <w:tcPr>
            <w:tcW w:w="1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60" w:type="dxa"/>
            <w:vAlign w:val="bottom"/>
          </w:tcPr>
          <w:p>
            <w:pPr>
              <w:ind w:left="20"/>
              <w:spacing w:after="0" w:line="262" w:lineRule="exact"/>
              <w:rPr>
                <w:sz w:val="20"/>
                <w:szCs w:val="20"/>
                <w:color w:val="auto"/>
              </w:rPr>
            </w:pPr>
            <w:r>
              <w:rPr>
                <w:rFonts w:ascii="Arial" w:cs="Arial" w:eastAsia="Arial" w:hAnsi="Arial"/>
                <w:sz w:val="18"/>
                <w:szCs w:val="18"/>
                <w:color w:val="auto"/>
              </w:rPr>
              <w:t>shareholders</w:t>
            </w:r>
            <w:r>
              <w:rPr>
                <w:rFonts w:ascii="Arial" w:cs="Arial" w:eastAsia="Arial" w:hAnsi="Arial"/>
                <w:sz w:val="23"/>
                <w:szCs w:val="23"/>
                <w:color w:val="auto"/>
                <w:vertAlign w:val="superscript"/>
              </w:rPr>
              <w:t>(4)</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1,297,282</w:t>
            </w:r>
          </w:p>
        </w:tc>
        <w:tc>
          <w:tcPr>
            <w:tcW w:w="500" w:type="dxa"/>
            <w:vAlign w:val="bottom"/>
          </w:tcPr>
          <w:p>
            <w:pPr>
              <w:jc w:val="right"/>
              <w:ind w:right="202"/>
              <w:spacing w:after="0"/>
              <w:rPr>
                <w:sz w:val="20"/>
                <w:szCs w:val="20"/>
                <w:color w:val="auto"/>
              </w:rPr>
            </w:pPr>
            <w:r>
              <w:rPr>
                <w:rFonts w:ascii="Arial" w:cs="Arial" w:eastAsia="Arial" w:hAnsi="Arial"/>
                <w:sz w:val="12"/>
                <w:szCs w:val="12"/>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8,530,457</w:t>
            </w: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7,641,435</w:t>
            </w:r>
          </w:p>
        </w:tc>
        <w:tc>
          <w:tcPr>
            <w:tcW w:w="500" w:type="dxa"/>
            <w:vAlign w:val="bottom"/>
            <w:tcBorders>
              <w:bottom w:val="single" w:sz="8" w:color="E2E6F4"/>
            </w:tcBorders>
            <w:shd w:val="clear" w:color="auto" w:fill="E2E6F4"/>
          </w:tcPr>
          <w:p>
            <w:pPr>
              <w:spacing w:after="0"/>
              <w:rPr>
                <w:sz w:val="21"/>
                <w:szCs w:val="21"/>
                <w:color w:val="auto"/>
              </w:rPr>
            </w:pP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75.77</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28,156,162</w:t>
            </w:r>
          </w:p>
        </w:tc>
        <w:tc>
          <w:tcPr>
            <w:tcW w:w="26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67B3"/>
          </w:tcPr>
          <w:p>
            <w:pPr>
              <w:spacing w:after="0" w:line="20" w:lineRule="exact"/>
              <w:rPr>
                <w:sz w:val="1"/>
                <w:szCs w:val="1"/>
                <w:color w:val="auto"/>
              </w:rPr>
            </w:pPr>
          </w:p>
        </w:tc>
        <w:tc>
          <w:tcPr>
            <w:tcW w:w="1940" w:type="dxa"/>
            <w:vAlign w:val="bottom"/>
            <w:shd w:val="clear" w:color="auto" w:fill="0067B3"/>
          </w:tcPr>
          <w:p>
            <w:pPr>
              <w:spacing w:after="0" w:line="20" w:lineRule="exact"/>
              <w:rPr>
                <w:sz w:val="1"/>
                <w:szCs w:val="1"/>
                <w:color w:val="auto"/>
              </w:rPr>
            </w:pPr>
          </w:p>
        </w:tc>
        <w:tc>
          <w:tcPr>
            <w:tcW w:w="50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580" w:type="dxa"/>
            <w:vAlign w:val="bottom"/>
            <w:shd w:val="clear" w:color="auto" w:fill="0067B3"/>
          </w:tcPr>
          <w:p>
            <w:pPr>
              <w:spacing w:after="0" w:line="20" w:lineRule="exact"/>
              <w:rPr>
                <w:sz w:val="1"/>
                <w:szCs w:val="1"/>
                <w:color w:val="auto"/>
              </w:rPr>
            </w:pPr>
          </w:p>
        </w:tc>
        <w:tc>
          <w:tcPr>
            <w:tcW w:w="420" w:type="dxa"/>
            <w:vAlign w:val="bottom"/>
            <w:shd w:val="clear" w:color="auto" w:fill="0067B3"/>
          </w:tcPr>
          <w:p>
            <w:pPr>
              <w:spacing w:after="0" w:line="20" w:lineRule="exact"/>
              <w:rPr>
                <w:sz w:val="1"/>
                <w:szCs w:val="1"/>
                <w:color w:val="auto"/>
              </w:rPr>
            </w:pPr>
          </w:p>
        </w:tc>
        <w:tc>
          <w:tcPr>
            <w:tcW w:w="1780" w:type="dxa"/>
            <w:vAlign w:val="bottom"/>
            <w:shd w:val="clear" w:color="auto" w:fill="0067B3"/>
          </w:tcPr>
          <w:p>
            <w:pPr>
              <w:spacing w:after="0" w:line="20" w:lineRule="exact"/>
              <w:rPr>
                <w:sz w:val="1"/>
                <w:szCs w:val="1"/>
                <w:color w:val="auto"/>
              </w:rPr>
            </w:pPr>
          </w:p>
        </w:tc>
        <w:tc>
          <w:tcPr>
            <w:tcW w:w="26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-1567815</wp:posOffset>
            </wp:positionV>
            <wp:extent cx="41833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68" w:lineRule="exact"/>
        <w:rPr>
          <w:sz w:val="20"/>
          <w:szCs w:val="20"/>
          <w:color w:val="auto"/>
        </w:rPr>
      </w:pPr>
    </w:p>
    <w:p>
      <w:pPr>
        <w:ind w:left="200" w:right="780" w:hanging="192"/>
        <w:spacing w:after="0" w:line="235" w:lineRule="auto"/>
        <w:tabs>
          <w:tab w:leader="none" w:pos="215" w:val="left"/>
        </w:tabs>
        <w:numPr>
          <w:ilvl w:val="0"/>
          <w:numId w:val="149"/>
        </w:numPr>
        <w:rPr>
          <w:rFonts w:ascii="Arial" w:cs="Arial" w:eastAsia="Arial" w:hAnsi="Arial"/>
          <w:sz w:val="21"/>
          <w:szCs w:val="21"/>
          <w:color w:val="auto"/>
          <w:vertAlign w:val="superscript"/>
        </w:rPr>
      </w:pPr>
      <w:r>
        <w:rPr>
          <w:rFonts w:ascii="Arial" w:cs="Arial" w:eastAsia="Arial" w:hAnsi="Arial"/>
          <w:sz w:val="16"/>
          <w:szCs w:val="16"/>
          <w:color w:val="auto"/>
        </w:rPr>
        <w:t>Includes 1,297,282 RSUs under our 2006 Plan that were outstanding on October 28, 2023 and 3,971,834 RSUs under our 2020 Plan that were outstanding on October 28, 2023.</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49"/>
        </w:numPr>
        <w:rPr>
          <w:rFonts w:ascii="Arial" w:cs="Arial" w:eastAsia="Arial" w:hAnsi="Arial"/>
          <w:sz w:val="21"/>
          <w:szCs w:val="21"/>
          <w:color w:val="auto"/>
          <w:vertAlign w:val="superscript"/>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70" w:lineRule="exact"/>
        <w:rPr>
          <w:rFonts w:ascii="Arial" w:cs="Arial" w:eastAsia="Arial" w:hAnsi="Arial"/>
          <w:sz w:val="21"/>
          <w:szCs w:val="21"/>
          <w:color w:val="auto"/>
          <w:vertAlign w:val="superscript"/>
        </w:rPr>
      </w:pPr>
    </w:p>
    <w:p>
      <w:pPr>
        <w:ind w:left="200" w:right="40" w:hanging="192"/>
        <w:spacing w:after="0" w:line="245" w:lineRule="auto"/>
        <w:tabs>
          <w:tab w:leader="none" w:pos="215" w:val="left"/>
        </w:tabs>
        <w:numPr>
          <w:ilvl w:val="0"/>
          <w:numId w:val="149"/>
        </w:numPr>
        <w:rPr>
          <w:rFonts w:ascii="Arial" w:cs="Arial" w:eastAsia="Arial" w:hAnsi="Arial"/>
          <w:sz w:val="21"/>
          <w:szCs w:val="21"/>
          <w:color w:val="auto"/>
          <w:vertAlign w:val="superscript"/>
        </w:rPr>
      </w:pPr>
      <w:r>
        <w:rPr>
          <w:rFonts w:ascii="Arial" w:cs="Arial" w:eastAsia="Arial" w:hAnsi="Arial"/>
          <w:sz w:val="16"/>
          <w:szCs w:val="16"/>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Plan and the 2010 Plan that remained available for grant under such plan immediately prior to the date that the 2020 Plan was approved by our shareholders and (y) the number of shares of common stock subject to awards granted under the 2006 Plan and the 2010 Plan, which awards expire, terminate or are otherwise surrendered, cancelled, forfeited or repurchased by us at their original issuance price pursuant to a contractual repurchase right. Includes 4,549,183 shares remaining available for future issuance under the ESPP. Does not include purchase rights accruing under the ESPP as of October 28, 2023, since the purchase rights (and therefore the number shares to be purchased) were not determinable until the end of the purchase period.</w:t>
      </w:r>
    </w:p>
    <w:p>
      <w:pPr>
        <w:spacing w:after="0" w:line="43" w:lineRule="exact"/>
        <w:rPr>
          <w:rFonts w:ascii="Arial" w:cs="Arial" w:eastAsia="Arial" w:hAnsi="Arial"/>
          <w:sz w:val="21"/>
          <w:szCs w:val="21"/>
          <w:color w:val="auto"/>
          <w:vertAlign w:val="superscript"/>
        </w:rPr>
      </w:pPr>
    </w:p>
    <w:p>
      <w:pPr>
        <w:ind w:left="200" w:right="80" w:hanging="192"/>
        <w:spacing w:after="0" w:line="246" w:lineRule="auto"/>
        <w:tabs>
          <w:tab w:leader="none" w:pos="215" w:val="left"/>
        </w:tabs>
        <w:numPr>
          <w:ilvl w:val="0"/>
          <w:numId w:val="149"/>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Linear Technology in March 2017, we assumed the 2010 Plan and issued approximately 2.1 million RSU and RSA awards under the 2010 Plan in replacement of outstanding and unvested Linear Technology equity awards under such plan. The 2010 Plan expired by its terms on September 15, 2020, but awards outstanding under the 2010 Plan will remain in effect. In connection with the acquisition of Maxim in August 2021, we assumed the 1996 Plan. Awards granted by Maxim under the 1996 Plan based on shares of Maxim common stock converted to awards based on shares of ADI common stock upon consummation of the acquisition based on an exchange ratio set forth in the merger agreement.</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our 1996 Plan, which we assumed as part of our acquisition of Maxim, we may grant options to purchase shares of our common stock, restricted stock awards, and restricted stock units to legacy Maxim employees or new employees hired after the completion of the Maxim acquisition. All stock options granted under the 1996 Plan will have a maximum term of ten years, and for employees, will generally vest in four equal installments on each of the first, second, third and fourth anniversaries of the date of grant, subject to accelerated vesting upon death or disability. The 1996 Plan does not permit us to grant options at exercise prices that are below the fair market value of our common stock on the date of grant. Generally, RSUs granted to employees under the 1996 Plan vest in four equal installments on each of the first, second, third and fourth anniversaries of the date of grant, subject to accelerated vesting upon death. The 1996 Plan also contains provisions addressing the consequences of a reorganization event or change in control, which may result in full or partial accelerated vesting of awards on or after the reorganization event or change in control. The 1996 Plan will terminate on August 11, 2024 unless it is terminated sooner by our Board of Directors.</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90</w:t>
      </w:r>
    </w:p>
    <w:p>
      <w:pPr>
        <w:ind w:left="48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04" w:name="page105"/>
    <w:bookmarkEnd w:id="104"/>
    <w:p>
      <w:pPr>
        <w:spacing w:after="0"/>
        <w:rPr>
          <w:sz w:val="20"/>
          <w:szCs w:val="20"/>
          <w:color w:val="auto"/>
        </w:rPr>
      </w:pPr>
      <w:r>
        <w:rPr>
          <w:rFonts w:ascii="Arial" w:cs="Arial" w:eastAsia="Arial" w:hAnsi="Arial"/>
          <w:sz w:val="58"/>
          <w:szCs w:val="58"/>
          <w:color w:val="auto"/>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4484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PROPOSAL 4</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Simple Majority Vote</w:t>
      </w:r>
    </w:p>
    <w:p>
      <w:pPr>
        <w:spacing w:after="0" w:line="362" w:lineRule="exact"/>
        <w:rPr>
          <w:sz w:val="20"/>
          <w:szCs w:val="20"/>
          <w:color w:val="auto"/>
        </w:rPr>
      </w:pPr>
    </w:p>
    <w:p>
      <w:pPr>
        <w:ind w:left="220" w:right="980"/>
        <w:spacing w:after="0" w:line="298" w:lineRule="auto"/>
        <w:rPr>
          <w:sz w:val="20"/>
          <w:szCs w:val="20"/>
          <w:color w:val="auto"/>
        </w:rPr>
      </w:pPr>
      <w:r>
        <w:rPr>
          <w:rFonts w:ascii="Arial" w:cs="Arial" w:eastAsia="Arial" w:hAnsi="Arial"/>
          <w:sz w:val="27"/>
          <w:szCs w:val="27"/>
          <w:b w:val="1"/>
          <w:bCs w:val="1"/>
          <w:color w:val="0067B3"/>
        </w:rPr>
        <w:t>Our Board of Directors unanimously recommends that you vote AGAINST this shareholder proposal.</w:t>
      </w:r>
    </w:p>
    <w:p>
      <w:pPr>
        <w:spacing w:after="0" w:line="37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Mr. John Chevedden has submitted the following proposal for consideration at the Annual Meeting. The address of, and the number of shares owned by, such shareholder will be provided upon written request to the Secretary. The shareholder proposal will be voted on at the Annual Meeting only if properly presented at the Annual Meeting by or on behalf of the shareholder proponent.</w:t>
      </w:r>
    </w:p>
    <w:p>
      <w:pPr>
        <w:spacing w:after="0" w:line="63"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text of the shareholder proposal and supporting statement set forth below appear exactly as it was received by us unless otherwise noted. All statements contained in the shareholder proposal and supporting statement are the sole responsibility of the proponent.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86360</wp:posOffset>
            </wp:positionV>
            <wp:extent cx="1474470" cy="283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7447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7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Simple majority vote would facilitate the adoption of improvements to the governance of Analog Devices which has the strong potential to improve the performance of Analog Devices. Simple majority vote is a step forward for the Board of Directors, management and shareholders.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yes: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Simple Majority Vote – Proposal 4</w:t>
      </w:r>
    </w:p>
    <w:p>
      <w:pPr>
        <w:spacing w:after="0" w:line="19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ADI’s Board of Directors’ Statement in Opposition to Shareholder Proposal</w:t>
      </w:r>
    </w:p>
    <w:p>
      <w:pPr>
        <w:spacing w:after="0" w:line="158" w:lineRule="exact"/>
        <w:rPr>
          <w:sz w:val="20"/>
          <w:szCs w:val="20"/>
          <w:color w:val="auto"/>
        </w:rPr>
      </w:pPr>
    </w:p>
    <w:p>
      <w:pPr>
        <w:ind w:right="180"/>
        <w:spacing w:after="0" w:line="284" w:lineRule="auto"/>
        <w:rPr>
          <w:sz w:val="20"/>
          <w:szCs w:val="20"/>
          <w:color w:val="auto"/>
        </w:rPr>
      </w:pPr>
      <w:r>
        <w:rPr>
          <w:rFonts w:ascii="Arial" w:cs="Arial" w:eastAsia="Arial" w:hAnsi="Arial"/>
          <w:sz w:val="23"/>
          <w:szCs w:val="23"/>
          <w:b w:val="1"/>
          <w:bCs w:val="1"/>
          <w:color w:val="auto"/>
        </w:rPr>
        <w:t>The Board of Directors unanimously recommends that shareholders vote “AGAINST” this proposal for the following reasons: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ADI has limited supermajority voting requirements, narrowly tailored and reflecting state default standards.</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Neither our articles of organization nor our bylaws expressly call for a voting standard other than a majority vote. Our bylaws can be amended with a vote of the majority of outstanding shares. However, Massachusetts corporate law, unlike the corporate law of most other states, does provide a supermajority default voting standard of two-thirds of shares entitled to vote for certain extraordinary matters – approval of mergers and amendments to our articles of organization. Because our organizational documents are otherwise silent on the required voting standard for such matters, this supermajority standard applies. Under state law, the lowest voting standard which could be imposed on these matters would be a majority of all shares eligible to vote.</w:t>
      </w:r>
    </w:p>
    <w:p>
      <w:pPr>
        <w:sectPr>
          <w:pgSz w:w="11900" w:h="16838" w:orient="portrait"/>
          <w:cols w:equalWidth="0" w:num="1">
            <w:col w:w="11220"/>
          </w:cols>
          <w:pgMar w:left="320" w:top="1126" w:right="359" w:bottom="1440" w:gutter="0" w:footer="0" w:header="0"/>
        </w:sectPr>
      </w:pPr>
    </w:p>
    <w:p>
      <w:pPr>
        <w:spacing w:after="0" w:line="326"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105" w:name="page106"/>
    <w:bookmarkEnd w:id="105"/>
    <w:p>
      <w:pPr>
        <w:ind w:right="20"/>
        <w:spacing w:after="0" w:line="262" w:lineRule="auto"/>
        <w:rPr>
          <w:sz w:val="20"/>
          <w:szCs w:val="20"/>
          <w:color w:val="auto"/>
        </w:rPr>
      </w:pPr>
      <w:r>
        <w:rPr>
          <w:rFonts w:ascii="Arial" w:cs="Arial" w:eastAsia="Arial" w:hAnsi="Arial"/>
          <w:sz w:val="18"/>
          <w:szCs w:val="18"/>
          <w:color w:val="auto"/>
        </w:rPr>
        <w:t>Our Board of Directors believes that retaining the default supermajority voting standards under Massachusetts law is in the best interests of our shareholders and ADI. In the limited circumstances in which proposals of this type are being considered, our Board of Directors believes that the higher voting requirements are appropriate because such fundamental matters should require the support of a broad consensus of shareholders.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default supermajority thresholds also assist in maximizing long-term value to all shareholders and deterring hostile takeovers of ADI that may not be in the best interests of the shareholders or the company. ADI does not have a classified (or “staggered”) board. All of ADI’s directors are up for election each year. The Board of Directors is fully accountable to shareholders, and shareholders accordingly have a powerful avenue to exercise influence over the strategic direction of ADI. The Board of Directors believes that the limited supermajority requirements the company has in place, in the context of our overall governance profile, are appropriate to maintain the stability of our operations while allowing for action to be taken where there is strong shareholder consensus.</w:t>
      </w:r>
    </w:p>
    <w:p>
      <w:pPr>
        <w:spacing w:after="0" w:line="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provisions are not intended to, and do not, preclude offers to acquire ADI or prevent amendments to ADI’s articles of organization. Both of these matters require Board approval in addition to shareholder approval, and cannot be adopted by unilateral shareholder action. Our Board of Directors recognizes the consequences to ADI shareholders of approval of a merger under state law – which may include the mandatory disposition of such shareholder’s ADI shares for designated merger consideration – or of changes to ADI’s articles of organization, which may change the fundamental rights attached to such shares. The Board believes that its willingness to subject actions which it supports to the supermajority voting requirement demonstrates its sincere belief that the requirements are beneficial to ADI shareholders broadly. The Board of Directors also took into consideration the fact that amendments to ADI’s bylaws, which can be initiated without Board action, are not subject to a supermajority voting requirement and can be adopted by the vote of a majority of outstanding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ADI has a recognized commitment to corporate governance best practices.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Board of Directors is committed to effective corporate governance and has adopted a wide range of practices and procedures that promote effective board oversight and ensure receptiveness to shareholder feedback. These include annual election of all directors; a majority voting standard in all uncontested director elections; a Board of Directors consisting of a substantial majority of independent directors and a Lead Independent Director; robust corporate governance policies and guidelines; a proxy access right; and an active shareholder engagement program.</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Given ADI’s overall shareholder-friendly governance profile and the avenues available for shareholders to exercise influence over the composition of the Board of Directors and the company’s policies and strategic direction, the Board of Directors does not believe that the supermajority voting provisions applicable to the company under state default standards constitute an undue limitation on the rights of the Company’s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Summary</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ADI recognizes that strong corporate governance practices are critical for continued success. However, in light of the company’s existing strong governance practices, we do not believe that simple majority voting standards for certain limited circumstances, as would be imposed under this proposal, are in the best interests of the company or its shareholders.</w:t>
      </w:r>
    </w:p>
    <w:p>
      <w:pPr>
        <w:spacing w:after="0" w:line="376" w:lineRule="exact"/>
        <w:rPr>
          <w:sz w:val="20"/>
          <w:szCs w:val="20"/>
          <w:color w:val="auto"/>
        </w:rPr>
      </w:pPr>
    </w:p>
    <w:p>
      <w:pPr>
        <w:ind w:left="500" w:hanging="474"/>
        <w:spacing w:after="0"/>
        <w:tabs>
          <w:tab w:leader="none" w:pos="500" w:val="left"/>
        </w:tabs>
        <w:numPr>
          <w:ilvl w:val="0"/>
          <w:numId w:val="150"/>
        </w:numPr>
        <w:rPr>
          <w:rFonts w:ascii="Arial" w:cs="Arial" w:eastAsia="Arial" w:hAnsi="Arial"/>
          <w:sz w:val="20"/>
          <w:szCs w:val="20"/>
          <w:b w:val="1"/>
          <w:bCs w:val="1"/>
          <w:color w:val="auto"/>
        </w:rPr>
      </w:pPr>
      <w:r>
        <w:rPr>
          <w:rFonts w:ascii="Arial" w:cs="Arial" w:eastAsia="Arial" w:hAnsi="Arial"/>
          <w:sz w:val="16"/>
          <w:szCs w:val="16"/>
          <w:color w:val="6D6E71"/>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106" w:name="page107"/>
    <w:bookmarkEnd w:id="106"/>
    <w:p>
      <w:pPr>
        <w:spacing w:after="0"/>
        <w:rPr>
          <w:sz w:val="20"/>
          <w:szCs w:val="20"/>
          <w:color w:val="auto"/>
        </w:rPr>
      </w:pPr>
      <w:r>
        <w:rPr>
          <w:rFonts w:ascii="Arial" w:cs="Arial" w:eastAsia="Arial" w:hAnsi="Arial"/>
          <w:sz w:val="58"/>
          <w:szCs w:val="58"/>
          <w:color w:val="auto"/>
        </w:rPr>
        <w:t>Q&amp;A About Annual Meeting and Voting</w:t>
      </w:r>
    </w:p>
    <w:p>
      <w:pPr>
        <w:spacing w:after="0" w:line="200" w:lineRule="exact"/>
        <w:rPr>
          <w:sz w:val="20"/>
          <w:szCs w:val="20"/>
          <w:color w:val="auto"/>
        </w:rPr>
      </w:pPr>
    </w:p>
    <w:p>
      <w:pPr>
        <w:spacing w:after="0" w:line="301" w:lineRule="exact"/>
        <w:rPr>
          <w:sz w:val="20"/>
          <w:szCs w:val="20"/>
          <w:color w:val="auto"/>
        </w:rPr>
      </w:pPr>
    </w:p>
    <w:p>
      <w:pPr>
        <w:ind w:left="400" w:hanging="392"/>
        <w:spacing w:after="0"/>
        <w:tabs>
          <w:tab w:leader="none" w:pos="400" w:val="left"/>
        </w:tabs>
        <w:numPr>
          <w:ilvl w:val="0"/>
          <w:numId w:val="151"/>
        </w:numPr>
        <w:rPr>
          <w:rFonts w:ascii="Arial" w:cs="Arial" w:eastAsia="Arial" w:hAnsi="Arial"/>
          <w:sz w:val="18"/>
          <w:szCs w:val="18"/>
          <w:b w:val="1"/>
          <w:bCs w:val="1"/>
          <w:color w:val="0067B3"/>
        </w:rPr>
      </w:pPr>
      <w:r>
        <w:rPr>
          <w:rFonts w:ascii="Arial" w:cs="Arial" w:eastAsia="Arial" w:hAnsi="Arial"/>
          <w:sz w:val="18"/>
          <w:szCs w:val="18"/>
          <w:b w:val="1"/>
          <w:bCs w:val="1"/>
          <w:color w:val="0067B3"/>
        </w:rPr>
        <w:t>What is the purpose of the Annual Meeting?</w:t>
      </w:r>
    </w:p>
    <w:p>
      <w:pPr>
        <w:spacing w:after="0" w:line="117"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18"/>
          <w:szCs w:val="18"/>
          <w:b w:val="1"/>
          <w:bCs w:val="1"/>
          <w:color w:val="0067B3"/>
        </w:rPr>
      </w:pPr>
      <w:r>
        <w:rPr>
          <w:rFonts w:ascii="Arial" w:cs="Arial" w:eastAsia="Arial" w:hAnsi="Arial"/>
          <w:sz w:val="18"/>
          <w:szCs w:val="18"/>
          <w:color w:val="auto"/>
        </w:rPr>
        <w:t>At the Annual Meeting, shareholders will consider and vote on the following matters:</w:t>
      </w:r>
    </w:p>
    <w:p>
      <w:pPr>
        <w:spacing w:after="0" w:line="117" w:lineRule="exact"/>
        <w:rPr>
          <w:rFonts w:ascii="Arial" w:cs="Arial" w:eastAsia="Arial" w:hAnsi="Arial"/>
          <w:sz w:val="18"/>
          <w:szCs w:val="18"/>
          <w:b w:val="1"/>
          <w:bCs w:val="1"/>
          <w:color w:val="0067B3"/>
        </w:rPr>
      </w:pPr>
    </w:p>
    <w:p>
      <w:pPr>
        <w:ind w:left="520" w:right="160" w:hanging="253"/>
        <w:spacing w:after="0" w:line="287" w:lineRule="auto"/>
        <w:tabs>
          <w:tab w:leader="none" w:pos="546" w:val="left"/>
        </w:tabs>
        <w:numPr>
          <w:ilvl w:val="1"/>
          <w:numId w:val="152"/>
        </w:numPr>
        <w:rPr>
          <w:rFonts w:ascii="Arial" w:cs="Arial" w:eastAsia="Arial" w:hAnsi="Arial"/>
          <w:sz w:val="18"/>
          <w:szCs w:val="18"/>
          <w:b w:val="1"/>
          <w:bCs w:val="1"/>
          <w:color w:val="0067B3"/>
        </w:rPr>
      </w:pPr>
      <w:r>
        <w:rPr>
          <w:rFonts w:ascii="Arial" w:cs="Arial" w:eastAsia="Arial" w:hAnsi="Arial"/>
          <w:sz w:val="18"/>
          <w:szCs w:val="18"/>
          <w:color w:val="auto"/>
        </w:rPr>
        <w:t>The election of the 11 nominees named in this Proxy Statement to our Board of Directors, each for a term expiring at the next annual meeting of shareholders.</w:t>
      </w:r>
    </w:p>
    <w:p>
      <w:pPr>
        <w:spacing w:after="0" w:line="17" w:lineRule="exact"/>
        <w:rPr>
          <w:rFonts w:ascii="Arial" w:cs="Arial" w:eastAsia="Arial" w:hAnsi="Arial"/>
          <w:sz w:val="18"/>
          <w:szCs w:val="18"/>
          <w:b w:val="1"/>
          <w:bCs w:val="1"/>
          <w:color w:val="0067B3"/>
        </w:rPr>
      </w:pPr>
    </w:p>
    <w:p>
      <w:pPr>
        <w:ind w:left="520" w:right="60" w:hanging="253"/>
        <w:spacing w:after="0" w:line="287" w:lineRule="auto"/>
        <w:tabs>
          <w:tab w:leader="none" w:pos="546" w:val="left"/>
        </w:tabs>
        <w:numPr>
          <w:ilvl w:val="1"/>
          <w:numId w:val="152"/>
        </w:numPr>
        <w:rPr>
          <w:rFonts w:ascii="Arial" w:cs="Arial" w:eastAsia="Arial" w:hAnsi="Arial"/>
          <w:sz w:val="18"/>
          <w:szCs w:val="18"/>
          <w:b w:val="1"/>
          <w:bCs w:val="1"/>
          <w:color w:val="0067B3"/>
        </w:rPr>
      </w:pPr>
      <w:r>
        <w:rPr>
          <w:rFonts w:ascii="Arial" w:cs="Arial" w:eastAsia="Arial" w:hAnsi="Arial"/>
          <w:sz w:val="18"/>
          <w:szCs w:val="18"/>
          <w:color w:val="auto"/>
        </w:rPr>
        <w:t xml:space="preserve">The approval, by non-binding “say-on-pay” vote, of the compensation of our NEOs, 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executive compensation tables and accompanying narrative disclosures in this Proxy Statement.</w:t>
      </w:r>
    </w:p>
    <w:p>
      <w:pPr>
        <w:spacing w:after="0" w:line="4" w:lineRule="exact"/>
        <w:rPr>
          <w:rFonts w:ascii="Arial" w:cs="Arial" w:eastAsia="Arial" w:hAnsi="Arial"/>
          <w:sz w:val="18"/>
          <w:szCs w:val="18"/>
          <w:b w:val="1"/>
          <w:bCs w:val="1"/>
          <w:color w:val="0067B3"/>
        </w:rPr>
      </w:pPr>
    </w:p>
    <w:p>
      <w:pPr>
        <w:ind w:left="520" w:right="240" w:hanging="253"/>
        <w:spacing w:after="0" w:line="287" w:lineRule="auto"/>
        <w:tabs>
          <w:tab w:leader="none" w:pos="546" w:val="left"/>
        </w:tabs>
        <w:numPr>
          <w:ilvl w:val="1"/>
          <w:numId w:val="152"/>
        </w:numPr>
        <w:rPr>
          <w:rFonts w:ascii="Arial" w:cs="Arial" w:eastAsia="Arial" w:hAnsi="Arial"/>
          <w:sz w:val="18"/>
          <w:szCs w:val="18"/>
          <w:b w:val="1"/>
          <w:bCs w:val="1"/>
          <w:color w:val="0067B3"/>
        </w:rPr>
      </w:pPr>
      <w:r>
        <w:rPr>
          <w:rFonts w:ascii="Arial" w:cs="Arial" w:eastAsia="Arial" w:hAnsi="Arial"/>
          <w:sz w:val="18"/>
          <w:szCs w:val="18"/>
          <w:color w:val="auto"/>
        </w:rPr>
        <w:t>The ratification of the selection of Ernst &amp; Young LLP as our independent registered public accounting firm for the fiscal year ending November 2, 2024.</w:t>
      </w:r>
    </w:p>
    <w:p>
      <w:pPr>
        <w:spacing w:after="0" w:line="4" w:lineRule="exact"/>
        <w:rPr>
          <w:rFonts w:ascii="Arial" w:cs="Arial" w:eastAsia="Arial" w:hAnsi="Arial"/>
          <w:sz w:val="18"/>
          <w:szCs w:val="18"/>
          <w:b w:val="1"/>
          <w:bCs w:val="1"/>
          <w:color w:val="0067B3"/>
        </w:rPr>
      </w:pPr>
    </w:p>
    <w:p>
      <w:pPr>
        <w:ind w:left="560" w:hanging="293"/>
        <w:spacing w:after="0"/>
        <w:tabs>
          <w:tab w:leader="none" w:pos="560" w:val="left"/>
        </w:tabs>
        <w:numPr>
          <w:ilvl w:val="1"/>
          <w:numId w:val="152"/>
        </w:numPr>
        <w:rPr>
          <w:rFonts w:ascii="Arial" w:cs="Arial" w:eastAsia="Arial" w:hAnsi="Arial"/>
          <w:sz w:val="18"/>
          <w:szCs w:val="18"/>
          <w:b w:val="1"/>
          <w:bCs w:val="1"/>
          <w:color w:val="0067B3"/>
        </w:rPr>
      </w:pPr>
      <w:r>
        <w:rPr>
          <w:rFonts w:ascii="Arial" w:cs="Arial" w:eastAsia="Arial" w:hAnsi="Arial"/>
          <w:sz w:val="18"/>
          <w:szCs w:val="18"/>
          <w:color w:val="auto"/>
        </w:rPr>
        <w:t>Shareholder proposal regarding simple majority vote, if properly presented at the Annual Meeting.</w:t>
      </w:r>
    </w:p>
    <w:p>
      <w:pPr>
        <w:spacing w:after="0" w:line="117" w:lineRule="exact"/>
        <w:rPr>
          <w:sz w:val="20"/>
          <w:szCs w:val="20"/>
          <w:color w:val="auto"/>
        </w:rPr>
      </w:pPr>
    </w:p>
    <w:p>
      <w:pPr>
        <w:ind w:left="260" w:right="440"/>
        <w:spacing w:after="0" w:line="287"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99" w:lineRule="exact"/>
        <w:rPr>
          <w:sz w:val="20"/>
          <w:szCs w:val="20"/>
          <w:color w:val="auto"/>
        </w:rPr>
      </w:pPr>
    </w:p>
    <w:p>
      <w:pPr>
        <w:ind w:left="400" w:hanging="392"/>
        <w:spacing w:after="0"/>
        <w:tabs>
          <w:tab w:leader="none" w:pos="400" w:val="left"/>
        </w:tabs>
        <w:numPr>
          <w:ilvl w:val="0"/>
          <w:numId w:val="153"/>
        </w:numPr>
        <w:rPr>
          <w:rFonts w:ascii="Arial" w:cs="Arial" w:eastAsia="Arial" w:hAnsi="Arial"/>
          <w:sz w:val="18"/>
          <w:szCs w:val="18"/>
          <w:b w:val="1"/>
          <w:bCs w:val="1"/>
          <w:color w:val="0067B3"/>
        </w:rPr>
      </w:pPr>
      <w:r>
        <w:rPr>
          <w:rFonts w:ascii="Arial" w:cs="Arial" w:eastAsia="Arial" w:hAnsi="Arial"/>
          <w:sz w:val="18"/>
          <w:szCs w:val="18"/>
          <w:b w:val="1"/>
          <w:bCs w:val="1"/>
          <w:color w:val="0067B3"/>
        </w:rPr>
        <w:t>Who can vote?</w:t>
      </w:r>
    </w:p>
    <w:p>
      <w:pPr>
        <w:spacing w:after="0" w:line="117" w:lineRule="exact"/>
        <w:rPr>
          <w:sz w:val="20"/>
          <w:szCs w:val="20"/>
          <w:color w:val="auto"/>
        </w:rPr>
      </w:pPr>
    </w:p>
    <w:p>
      <w:pPr>
        <w:ind w:left="260" w:right="80" w:hanging="252"/>
        <w:spacing w:after="0" w:line="262" w:lineRule="auto"/>
        <w:tabs>
          <w:tab w:leader="none" w:pos="388" w:val="left"/>
        </w:tabs>
        <w:numPr>
          <w:ilvl w:val="0"/>
          <w:numId w:val="154"/>
        </w:numPr>
        <w:rPr>
          <w:rFonts w:ascii="Arial" w:cs="Arial" w:eastAsia="Arial" w:hAnsi="Arial"/>
          <w:sz w:val="18"/>
          <w:szCs w:val="18"/>
          <w:b w:val="1"/>
          <w:bCs w:val="1"/>
          <w:color w:val="0067B3"/>
        </w:rPr>
      </w:pPr>
      <w:r>
        <w:rPr>
          <w:rFonts w:ascii="Arial" w:cs="Arial" w:eastAsia="Arial" w:hAnsi="Arial"/>
          <w:sz w:val="18"/>
          <w:szCs w:val="18"/>
          <w:color w:val="auto"/>
        </w:rPr>
        <w:t>To be able to vote, you must have been an ADI shareholder of record at the close of business on January 9, 2024. This date is the record date for the Annual Meeting. The number of shares entitled to vote on each proposal at the Annual Meeting is 495,869,596 shares of our common stock, which includes 495,839,582 shares of our common stock outstanding on the record date and 30,014 shares of issued restricted stock.</w:t>
      </w:r>
    </w:p>
    <w:p>
      <w:pPr>
        <w:spacing w:after="0" w:line="122" w:lineRule="exact"/>
        <w:rPr>
          <w:sz w:val="20"/>
          <w:szCs w:val="20"/>
          <w:color w:val="auto"/>
        </w:rPr>
      </w:pPr>
    </w:p>
    <w:p>
      <w:pPr>
        <w:ind w:left="400" w:hanging="392"/>
        <w:spacing w:after="0"/>
        <w:tabs>
          <w:tab w:leader="none" w:pos="400" w:val="left"/>
        </w:tabs>
        <w:numPr>
          <w:ilvl w:val="0"/>
          <w:numId w:val="155"/>
        </w:numPr>
        <w:rPr>
          <w:rFonts w:ascii="Arial" w:cs="Arial" w:eastAsia="Arial" w:hAnsi="Arial"/>
          <w:sz w:val="18"/>
          <w:szCs w:val="18"/>
          <w:b w:val="1"/>
          <w:bCs w:val="1"/>
          <w:color w:val="0067B3"/>
        </w:rPr>
      </w:pPr>
      <w:r>
        <w:rPr>
          <w:rFonts w:ascii="Arial" w:cs="Arial" w:eastAsia="Arial" w:hAnsi="Arial"/>
          <w:sz w:val="18"/>
          <w:szCs w:val="18"/>
          <w:b w:val="1"/>
          <w:bCs w:val="1"/>
          <w:color w:val="0067B3"/>
        </w:rPr>
        <w:t>How many votes do I have?</w:t>
      </w:r>
    </w:p>
    <w:p>
      <w:pPr>
        <w:spacing w:after="0" w:line="117" w:lineRule="exact"/>
        <w:rPr>
          <w:sz w:val="20"/>
          <w:szCs w:val="20"/>
          <w:color w:val="auto"/>
        </w:rPr>
      </w:pPr>
    </w:p>
    <w:p>
      <w:pPr>
        <w:ind w:left="400" w:hanging="392"/>
        <w:spacing w:after="0"/>
        <w:tabs>
          <w:tab w:leader="none" w:pos="400" w:val="left"/>
        </w:tabs>
        <w:numPr>
          <w:ilvl w:val="0"/>
          <w:numId w:val="156"/>
        </w:numPr>
        <w:rPr>
          <w:rFonts w:ascii="Arial" w:cs="Arial" w:eastAsia="Arial" w:hAnsi="Arial"/>
          <w:sz w:val="18"/>
          <w:szCs w:val="18"/>
          <w:b w:val="1"/>
          <w:bCs w:val="1"/>
          <w:color w:val="0067B3"/>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171" w:lineRule="exact"/>
        <w:rPr>
          <w:sz w:val="20"/>
          <w:szCs w:val="20"/>
          <w:color w:val="auto"/>
        </w:rPr>
      </w:pPr>
    </w:p>
    <w:p>
      <w:pPr>
        <w:ind w:left="400" w:hanging="392"/>
        <w:spacing w:after="0"/>
        <w:tabs>
          <w:tab w:leader="none" w:pos="400" w:val="left"/>
        </w:tabs>
        <w:numPr>
          <w:ilvl w:val="0"/>
          <w:numId w:val="157"/>
        </w:numPr>
        <w:rPr>
          <w:rFonts w:ascii="Arial" w:cs="Arial" w:eastAsia="Arial" w:hAnsi="Arial"/>
          <w:sz w:val="18"/>
          <w:szCs w:val="18"/>
          <w:b w:val="1"/>
          <w:bCs w:val="1"/>
          <w:color w:val="0067B3"/>
        </w:rPr>
      </w:pPr>
      <w:r>
        <w:rPr>
          <w:rFonts w:ascii="Arial" w:cs="Arial" w:eastAsia="Arial" w:hAnsi="Arial"/>
          <w:sz w:val="18"/>
          <w:szCs w:val="18"/>
          <w:b w:val="1"/>
          <w:bCs w:val="1"/>
          <w:color w:val="0067B3"/>
        </w:rPr>
        <w:t>Is my vote important?</w:t>
      </w:r>
    </w:p>
    <w:p>
      <w:pPr>
        <w:spacing w:after="0" w:line="117" w:lineRule="exact"/>
        <w:rPr>
          <w:sz w:val="20"/>
          <w:szCs w:val="20"/>
          <w:color w:val="auto"/>
        </w:rPr>
      </w:pPr>
    </w:p>
    <w:p>
      <w:pPr>
        <w:ind w:left="260" w:right="200" w:hanging="252"/>
        <w:spacing w:after="0" w:line="287" w:lineRule="auto"/>
        <w:tabs>
          <w:tab w:leader="none" w:pos="388" w:val="left"/>
        </w:tabs>
        <w:numPr>
          <w:ilvl w:val="0"/>
          <w:numId w:val="158"/>
        </w:numPr>
        <w:rPr>
          <w:rFonts w:ascii="Arial" w:cs="Arial" w:eastAsia="Arial" w:hAnsi="Arial"/>
          <w:sz w:val="18"/>
          <w:szCs w:val="18"/>
          <w:b w:val="1"/>
          <w:bCs w:val="1"/>
          <w:color w:val="0067B3"/>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99" w:lineRule="exact"/>
        <w:rPr>
          <w:sz w:val="20"/>
          <w:szCs w:val="20"/>
          <w:color w:val="auto"/>
        </w:rPr>
      </w:pPr>
    </w:p>
    <w:p>
      <w:pPr>
        <w:ind w:left="400" w:hanging="392"/>
        <w:spacing w:after="0"/>
        <w:tabs>
          <w:tab w:leader="none" w:pos="400" w:val="left"/>
        </w:tabs>
        <w:numPr>
          <w:ilvl w:val="0"/>
          <w:numId w:val="159"/>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 I vote?</w:t>
      </w:r>
    </w:p>
    <w:p>
      <w:pPr>
        <w:spacing w:after="0" w:line="117" w:lineRule="exact"/>
        <w:rPr>
          <w:sz w:val="20"/>
          <w:szCs w:val="20"/>
          <w:color w:val="auto"/>
        </w:rPr>
      </w:pPr>
    </w:p>
    <w:p>
      <w:pPr>
        <w:ind w:left="260" w:right="340" w:hanging="252"/>
        <w:spacing w:after="0" w:line="287" w:lineRule="auto"/>
        <w:tabs>
          <w:tab w:leader="none" w:pos="391" w:val="left"/>
        </w:tabs>
        <w:numPr>
          <w:ilvl w:val="0"/>
          <w:numId w:val="160"/>
        </w:numPr>
        <w:rPr>
          <w:rFonts w:ascii="Arial" w:cs="Arial" w:eastAsia="Arial" w:hAnsi="Arial"/>
          <w:sz w:val="18"/>
          <w:szCs w:val="18"/>
          <w:b w:val="1"/>
          <w:bCs w:val="1"/>
          <w:color w:val="0067B3"/>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44" w:lineRule="exact"/>
        <w:rPr>
          <w:rFonts w:ascii="Arial" w:cs="Arial" w:eastAsia="Arial" w:hAnsi="Arial"/>
          <w:sz w:val="18"/>
          <w:szCs w:val="18"/>
          <w:b w:val="1"/>
          <w:bCs w:val="1"/>
          <w:color w:val="0067B3"/>
        </w:rPr>
      </w:pPr>
    </w:p>
    <w:p>
      <w:pPr>
        <w:ind w:left="520" w:right="20" w:hanging="253"/>
        <w:spacing w:after="0" w:line="268"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By Internet. If you have Internet access, you may vote by proxy from any location in the world by going to proxyvote.com and following the Internet voting instructions on the Notice of Internet Availability of Proxy Materials or the proxy card. Proxies submitted via the Internet must be received by 11:59 p.m. Eastern Time on March 12, 2024.</w:t>
      </w:r>
    </w:p>
    <w:p>
      <w:pPr>
        <w:spacing w:after="0" w:line="35" w:lineRule="exact"/>
        <w:rPr>
          <w:rFonts w:ascii="Arial" w:cs="Arial" w:eastAsia="Arial" w:hAnsi="Arial"/>
          <w:sz w:val="18"/>
          <w:szCs w:val="18"/>
          <w:b w:val="1"/>
          <w:bCs w:val="1"/>
          <w:color w:val="0067B3"/>
        </w:rPr>
      </w:pPr>
    </w:p>
    <w:p>
      <w:pPr>
        <w:ind w:left="520" w:right="60" w:hanging="253"/>
        <w:spacing w:after="0" w:line="268"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By telephone. You may vote by proxy by calling 1-800-690-6903 toll-free within the United States, U.S. territories and Canada and following the instructions provided by the recorded message. Proxies submitted via telephone must be received by 11:59 p.m. Eastern Time, on March 12, 2024.</w:t>
      </w:r>
    </w:p>
    <w:p>
      <w:pPr>
        <w:spacing w:after="0" w:line="22" w:lineRule="exact"/>
        <w:rPr>
          <w:rFonts w:ascii="Arial" w:cs="Arial" w:eastAsia="Arial" w:hAnsi="Arial"/>
          <w:sz w:val="18"/>
          <w:szCs w:val="18"/>
          <w:b w:val="1"/>
          <w:bCs w:val="1"/>
          <w:color w:val="0067B3"/>
        </w:rPr>
      </w:pPr>
    </w:p>
    <w:p>
      <w:pPr>
        <w:ind w:left="520" w:hanging="253"/>
        <w:spacing w:after="0" w:line="257"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 xml:space="preserve">By mail. If you received a printed proxy card, you may vote by proxy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 proxy card, but do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 give any 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 Board of Directors recommends that you vote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FOR each of Proposals 2 and 3 and AGAINST the shareholder proposal in Proposal 4.</w:t>
      </w:r>
    </w:p>
    <w:p>
      <w:pPr>
        <w:spacing w:after="0" w:line="33" w:lineRule="exact"/>
        <w:rPr>
          <w:rFonts w:ascii="Arial" w:cs="Arial" w:eastAsia="Arial" w:hAnsi="Arial"/>
          <w:sz w:val="18"/>
          <w:szCs w:val="18"/>
          <w:b w:val="1"/>
          <w:bCs w:val="1"/>
          <w:color w:val="0067B3"/>
        </w:rPr>
      </w:pPr>
    </w:p>
    <w:p>
      <w:pPr>
        <w:ind w:left="520" w:hanging="253"/>
        <w:spacing w:after="0" w:line="287"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In person. If you attend the Annual Meeting, you may vote by delivering your completed proxy card in person or by completing a ballot. Ballots will be available at the Annual Meeting.</w:t>
      </w:r>
    </w:p>
    <w:p>
      <w:pPr>
        <w:spacing w:after="0" w:line="36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07" w:name="page108"/>
    <w:bookmarkEnd w:id="107"/>
    <w:p>
      <w:pPr>
        <w:ind w:left="392" w:hanging="392"/>
        <w:spacing w:after="0"/>
        <w:tabs>
          <w:tab w:leader="none" w:pos="392" w:val="left"/>
        </w:tabs>
        <w:numPr>
          <w:ilvl w:val="0"/>
          <w:numId w:val="161"/>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vote if my shares are held in “street name”?</w:t>
      </w:r>
    </w:p>
    <w:p>
      <w:pPr>
        <w:spacing w:after="0" w:line="117" w:lineRule="exact"/>
        <w:rPr>
          <w:sz w:val="20"/>
          <w:szCs w:val="20"/>
          <w:color w:val="auto"/>
        </w:rPr>
      </w:pPr>
    </w:p>
    <w:p>
      <w:pPr>
        <w:ind w:left="252" w:right="320" w:hanging="252"/>
        <w:spacing w:after="0" w:line="259" w:lineRule="auto"/>
        <w:tabs>
          <w:tab w:leader="none" w:pos="383" w:val="left"/>
        </w:tabs>
        <w:numPr>
          <w:ilvl w:val="0"/>
          <w:numId w:val="162"/>
        </w:numPr>
        <w:rPr>
          <w:rFonts w:ascii="Arial" w:cs="Arial" w:eastAsia="Arial" w:hAnsi="Arial"/>
          <w:sz w:val="18"/>
          <w:szCs w:val="18"/>
          <w:b w:val="1"/>
          <w:bCs w:val="1"/>
          <w:color w:val="0067B3"/>
        </w:rPr>
      </w:pPr>
      <w:r>
        <w:rPr>
          <w:rFonts w:ascii="Arial" w:cs="Arial" w:eastAsia="Arial" w:hAnsi="Arial"/>
          <w:sz w:val="18"/>
          <w:szCs w:val="18"/>
          <w:color w:val="auto"/>
        </w:rPr>
        <w:t>If the ADI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submitting voting instructions over the Internet or by telephone, instructions for which would be provided by your bank, broker or other nominee on your voting instruction form.</w:t>
      </w:r>
    </w:p>
    <w:p>
      <w:pPr>
        <w:spacing w:after="0" w:line="71" w:lineRule="exact"/>
        <w:rPr>
          <w:sz w:val="20"/>
          <w:szCs w:val="20"/>
          <w:color w:val="auto"/>
        </w:rPr>
      </w:pPr>
    </w:p>
    <w:p>
      <w:pPr>
        <w:ind w:left="252" w:right="220"/>
        <w:spacing w:after="0" w:line="255" w:lineRule="auto"/>
        <w:rPr>
          <w:sz w:val="20"/>
          <w:szCs w:val="20"/>
          <w:color w:val="auto"/>
        </w:rPr>
      </w:pPr>
      <w:r>
        <w:rPr>
          <w:rFonts w:ascii="Arial" w:cs="Arial" w:eastAsia="Arial" w:hAnsi="Arial"/>
          <w:sz w:val="18"/>
          <w:szCs w:val="18"/>
          <w:color w:val="auto"/>
        </w:rPr>
        <w:t>If you hold shares through an account with a broker, the voting of shares by such broker when you do not provide voting instructions is governed by applicable stock exchange rules. These rules allow brokers to vote shares at their discretion on certain matters for which their customers do not provide voting instructions. The ratification of the selection of Ernst &amp; Young LLP as our independent registered public accounting firm for fiscal year 2024 (Proposal 3) is a proposal on which your broker is expected to be able to vote even if it does not receive instructions from you, so long as it holds your shares in its name. The election of directors (Proposal 1), the “say-on-pay” advisory vote (Proposal 2), and the shareholder proposal (Proposal 4) are proposals on which your bank, broker, or other nominee may not vote if you do not instruct your bank, broker, or other nominee how to vote with respect to these proposals. “Broker non-votes” are shares that are held in “street name” by a bank, broker or other nominee that indicates on its proxy that it does not have or did not exercise discretionary authority to vote on a particular proposal.</w:t>
      </w:r>
    </w:p>
    <w:p>
      <w:pPr>
        <w:spacing w:after="0" w:line="73" w:lineRule="exact"/>
        <w:rPr>
          <w:sz w:val="20"/>
          <w:szCs w:val="20"/>
          <w:color w:val="auto"/>
        </w:rPr>
      </w:pPr>
    </w:p>
    <w:p>
      <w:pPr>
        <w:ind w:left="252"/>
        <w:spacing w:after="0" w:line="262" w:lineRule="auto"/>
        <w:rPr>
          <w:sz w:val="20"/>
          <w:szCs w:val="20"/>
          <w:color w:val="auto"/>
        </w:rPr>
      </w:pPr>
      <w:r>
        <w:rPr>
          <w:rFonts w:ascii="Arial" w:cs="Arial" w:eastAsia="Arial" w:hAnsi="Arial"/>
          <w:sz w:val="18"/>
          <w:szCs w:val="18"/>
          <w:color w:val="auto"/>
        </w:rPr>
        <w:t>If your shares are held in “street name” as of the record date January 9, 2024, you must bring an account statement or letter from your broker or other nominee, showing that you are the beneficial owner of the shares as of the record date in order to be admitted to the Annual Meeting on March 13, 2024. To be able to vote your shares held in “street name” at the Annual Meeting, you need to obtain a legal proxy from your bank, broker or other nominee, issued in your name giving the right to vote your shares.</w:t>
      </w:r>
    </w:p>
    <w:p>
      <w:pPr>
        <w:spacing w:after="0" w:line="122" w:lineRule="exact"/>
        <w:rPr>
          <w:sz w:val="20"/>
          <w:szCs w:val="20"/>
          <w:color w:val="auto"/>
        </w:rPr>
      </w:pPr>
    </w:p>
    <w:p>
      <w:pPr>
        <w:ind w:left="252" w:right="220" w:hanging="252"/>
        <w:spacing w:after="0" w:line="296" w:lineRule="auto"/>
        <w:tabs>
          <w:tab w:leader="none" w:pos="393" w:val="left"/>
        </w:tabs>
        <w:numPr>
          <w:ilvl w:val="0"/>
          <w:numId w:val="163"/>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change my vote or revoke my proxy after I have mailed my proxy card or after I have voted my shares over the Internet or by telephone?</w:t>
      </w:r>
    </w:p>
    <w:p>
      <w:pPr>
        <w:spacing w:after="0" w:line="29" w:lineRule="exact"/>
        <w:rPr>
          <w:sz w:val="20"/>
          <w:szCs w:val="20"/>
          <w:color w:val="auto"/>
        </w:rPr>
      </w:pPr>
    </w:p>
    <w:p>
      <w:pPr>
        <w:ind w:left="252" w:right="260" w:hanging="252"/>
        <w:spacing w:after="0" w:line="287" w:lineRule="auto"/>
        <w:tabs>
          <w:tab w:leader="none" w:pos="380" w:val="left"/>
        </w:tabs>
        <w:numPr>
          <w:ilvl w:val="0"/>
          <w:numId w:val="164"/>
        </w:numPr>
        <w:rPr>
          <w:rFonts w:ascii="Arial" w:cs="Arial" w:eastAsia="Arial" w:hAnsi="Arial"/>
          <w:sz w:val="18"/>
          <w:szCs w:val="18"/>
          <w:b w:val="1"/>
          <w:bCs w:val="1"/>
          <w:color w:val="0067B3"/>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45" w:lineRule="exact"/>
        <w:rPr>
          <w:sz w:val="20"/>
          <w:szCs w:val="20"/>
          <w:color w:val="auto"/>
        </w:rPr>
      </w:pPr>
    </w:p>
    <w:p>
      <w:pPr>
        <w:ind w:left="412" w:hanging="153"/>
        <w:spacing w:after="0"/>
        <w:tabs>
          <w:tab w:leader="none" w:pos="412" w:val="left"/>
        </w:tabs>
        <w:numPr>
          <w:ilvl w:val="0"/>
          <w:numId w:val="165"/>
        </w:numPr>
        <w:rPr>
          <w:rFonts w:ascii="Arial" w:cs="Arial" w:eastAsia="Arial" w:hAnsi="Arial"/>
          <w:sz w:val="13"/>
          <w:szCs w:val="13"/>
          <w:color w:val="0067B3"/>
        </w:rPr>
      </w:pPr>
      <w:r>
        <w:rPr>
          <w:rFonts w:ascii="Arial" w:cs="Arial" w:eastAsia="Arial" w:hAnsi="Arial"/>
          <w:sz w:val="18"/>
          <w:szCs w:val="18"/>
          <w:color w:val="auto"/>
        </w:rPr>
        <w:t>voting by proxy over the Internet or by telephone as instructed above (only your latest Internet or telephone vote is counted);</w:t>
      </w:r>
    </w:p>
    <w:p>
      <w:pPr>
        <w:spacing w:after="0" w:line="90" w:lineRule="exact"/>
        <w:rPr>
          <w:rFonts w:ascii="Arial" w:cs="Arial" w:eastAsia="Arial" w:hAnsi="Arial"/>
          <w:sz w:val="13"/>
          <w:szCs w:val="13"/>
          <w:color w:val="0067B3"/>
        </w:rPr>
      </w:pPr>
    </w:p>
    <w:p>
      <w:pPr>
        <w:ind w:left="412" w:hanging="153"/>
        <w:spacing w:after="0"/>
        <w:tabs>
          <w:tab w:leader="none" w:pos="412" w:val="left"/>
        </w:tabs>
        <w:numPr>
          <w:ilvl w:val="0"/>
          <w:numId w:val="165"/>
        </w:numPr>
        <w:rPr>
          <w:rFonts w:ascii="Arial" w:cs="Arial" w:eastAsia="Arial" w:hAnsi="Arial"/>
          <w:sz w:val="13"/>
          <w:szCs w:val="13"/>
          <w:color w:val="0067B3"/>
        </w:rPr>
      </w:pPr>
      <w:r>
        <w:rPr>
          <w:rFonts w:ascii="Arial" w:cs="Arial" w:eastAsia="Arial" w:hAnsi="Arial"/>
          <w:sz w:val="18"/>
          <w:szCs w:val="18"/>
          <w:color w:val="auto"/>
        </w:rPr>
        <w:t>signing and returning another proxy card with a later date;</w:t>
      </w:r>
    </w:p>
    <w:p>
      <w:pPr>
        <w:spacing w:after="0" w:line="76" w:lineRule="exact"/>
        <w:rPr>
          <w:rFonts w:ascii="Arial" w:cs="Arial" w:eastAsia="Arial" w:hAnsi="Arial"/>
          <w:sz w:val="13"/>
          <w:szCs w:val="13"/>
          <w:color w:val="0067B3"/>
        </w:rPr>
      </w:pPr>
    </w:p>
    <w:p>
      <w:pPr>
        <w:ind w:left="412" w:hanging="153"/>
        <w:spacing w:after="0"/>
        <w:tabs>
          <w:tab w:leader="none" w:pos="412" w:val="left"/>
        </w:tabs>
        <w:numPr>
          <w:ilvl w:val="0"/>
          <w:numId w:val="165"/>
        </w:numPr>
        <w:rPr>
          <w:rFonts w:ascii="Arial" w:cs="Arial" w:eastAsia="Arial" w:hAnsi="Arial"/>
          <w:sz w:val="13"/>
          <w:szCs w:val="13"/>
          <w:color w:val="0067B3"/>
        </w:rPr>
      </w:pPr>
      <w:r>
        <w:rPr>
          <w:rFonts w:ascii="Arial" w:cs="Arial" w:eastAsia="Arial" w:hAnsi="Arial"/>
          <w:sz w:val="18"/>
          <w:szCs w:val="18"/>
          <w:color w:val="auto"/>
        </w:rPr>
        <w:t>giving our Secretary a written notice before the meeting that you want to revoke your proxy; or</w:t>
      </w:r>
    </w:p>
    <w:p>
      <w:pPr>
        <w:spacing w:after="0" w:line="76" w:lineRule="exact"/>
        <w:rPr>
          <w:rFonts w:ascii="Arial" w:cs="Arial" w:eastAsia="Arial" w:hAnsi="Arial"/>
          <w:sz w:val="13"/>
          <w:szCs w:val="13"/>
          <w:color w:val="0067B3"/>
        </w:rPr>
      </w:pPr>
    </w:p>
    <w:p>
      <w:pPr>
        <w:ind w:left="412" w:hanging="153"/>
        <w:spacing w:after="0"/>
        <w:tabs>
          <w:tab w:leader="none" w:pos="412" w:val="left"/>
        </w:tabs>
        <w:numPr>
          <w:ilvl w:val="0"/>
          <w:numId w:val="165"/>
        </w:numPr>
        <w:rPr>
          <w:rFonts w:ascii="Arial" w:cs="Arial" w:eastAsia="Arial" w:hAnsi="Arial"/>
          <w:sz w:val="13"/>
          <w:szCs w:val="13"/>
          <w:color w:val="0067B3"/>
        </w:rPr>
      </w:pPr>
      <w:r>
        <w:rPr>
          <w:rFonts w:ascii="Arial" w:cs="Arial" w:eastAsia="Arial" w:hAnsi="Arial"/>
          <w:sz w:val="18"/>
          <w:szCs w:val="18"/>
          <w:color w:val="auto"/>
        </w:rPr>
        <w:t>attending the Annual Meeting, requesting that your proxy be revoked and voting in person as instructed above.</w:t>
      </w:r>
    </w:p>
    <w:p>
      <w:pPr>
        <w:spacing w:after="0" w:line="11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Your attendance at the Annual Meeting alone will not revoke your proxy.</w:t>
      </w:r>
    </w:p>
    <w:p>
      <w:pPr>
        <w:spacing w:after="0" w:line="117" w:lineRule="exact"/>
        <w:rPr>
          <w:sz w:val="20"/>
          <w:szCs w:val="20"/>
          <w:color w:val="auto"/>
        </w:rPr>
      </w:pPr>
    </w:p>
    <w:p>
      <w:pPr>
        <w:ind w:left="252" w:right="260"/>
        <w:spacing w:after="0" w:line="268"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entitled “Can I vote if my shares are held in ‘street name’”?</w:t>
      </w:r>
    </w:p>
    <w:p>
      <w:pPr>
        <w:spacing w:after="0" w:line="117" w:lineRule="exact"/>
        <w:rPr>
          <w:sz w:val="20"/>
          <w:szCs w:val="20"/>
          <w:color w:val="auto"/>
        </w:rPr>
      </w:pPr>
    </w:p>
    <w:p>
      <w:pPr>
        <w:ind w:left="392" w:hanging="392"/>
        <w:spacing w:after="0"/>
        <w:tabs>
          <w:tab w:leader="none" w:pos="392" w:val="left"/>
        </w:tabs>
        <w:numPr>
          <w:ilvl w:val="0"/>
          <w:numId w:val="166"/>
        </w:numPr>
        <w:rPr>
          <w:rFonts w:ascii="Arial" w:cs="Arial" w:eastAsia="Arial" w:hAnsi="Arial"/>
          <w:sz w:val="18"/>
          <w:szCs w:val="18"/>
          <w:b w:val="1"/>
          <w:bCs w:val="1"/>
          <w:color w:val="0067B3"/>
        </w:rPr>
      </w:pPr>
      <w:r>
        <w:rPr>
          <w:rFonts w:ascii="Arial" w:cs="Arial" w:eastAsia="Arial" w:hAnsi="Arial"/>
          <w:sz w:val="18"/>
          <w:szCs w:val="18"/>
          <w:b w:val="1"/>
          <w:bCs w:val="1"/>
          <w:color w:val="0067B3"/>
        </w:rPr>
        <w:t>What constitutes a quorum?</w:t>
      </w:r>
    </w:p>
    <w:p>
      <w:pPr>
        <w:spacing w:after="0" w:line="117" w:lineRule="exact"/>
        <w:rPr>
          <w:sz w:val="20"/>
          <w:szCs w:val="20"/>
          <w:color w:val="auto"/>
        </w:rPr>
      </w:pPr>
    </w:p>
    <w:p>
      <w:pPr>
        <w:ind w:left="252" w:right="200" w:hanging="252"/>
        <w:spacing w:after="0" w:line="268" w:lineRule="auto"/>
        <w:tabs>
          <w:tab w:leader="none" w:pos="383" w:val="left"/>
        </w:tabs>
        <w:numPr>
          <w:ilvl w:val="0"/>
          <w:numId w:val="167"/>
        </w:numPr>
        <w:rPr>
          <w:rFonts w:ascii="Arial" w:cs="Arial" w:eastAsia="Arial" w:hAnsi="Arial"/>
          <w:sz w:val="18"/>
          <w:szCs w:val="18"/>
          <w:b w:val="1"/>
          <w:bCs w:val="1"/>
          <w:color w:val="0067B3"/>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9, 2024, the record date, or at least 247,934,799 shares.</w:t>
      </w:r>
    </w:p>
    <w:p>
      <w:pPr>
        <w:spacing w:after="0" w:line="63" w:lineRule="exact"/>
        <w:rPr>
          <w:sz w:val="20"/>
          <w:szCs w:val="20"/>
          <w:color w:val="auto"/>
        </w:rPr>
      </w:pPr>
    </w:p>
    <w:p>
      <w:pPr>
        <w:ind w:left="252" w:right="340"/>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117" w:lineRule="exact"/>
        <w:rPr>
          <w:sz w:val="20"/>
          <w:szCs w:val="20"/>
          <w:color w:val="auto"/>
        </w:rPr>
      </w:pPr>
    </w:p>
    <w:p>
      <w:pPr>
        <w:ind w:left="392" w:hanging="392"/>
        <w:spacing w:after="0"/>
        <w:tabs>
          <w:tab w:leader="none" w:pos="392" w:val="left"/>
        </w:tabs>
        <w:numPr>
          <w:ilvl w:val="0"/>
          <w:numId w:val="168"/>
        </w:numPr>
        <w:rPr>
          <w:rFonts w:ascii="Arial" w:cs="Arial" w:eastAsia="Arial" w:hAnsi="Arial"/>
          <w:sz w:val="18"/>
          <w:szCs w:val="18"/>
          <w:b w:val="1"/>
          <w:bCs w:val="1"/>
          <w:color w:val="0067B3"/>
        </w:rPr>
      </w:pPr>
      <w:r>
        <w:rPr>
          <w:rFonts w:ascii="Arial" w:cs="Arial" w:eastAsia="Arial" w:hAnsi="Arial"/>
          <w:sz w:val="18"/>
          <w:szCs w:val="18"/>
          <w:b w:val="1"/>
          <w:bCs w:val="1"/>
          <w:color w:val="0067B3"/>
        </w:rPr>
        <w:t>What vote is required for each proposal?</w:t>
      </w:r>
    </w:p>
    <w:p>
      <w:pPr>
        <w:spacing w:after="0" w:line="117" w:lineRule="exact"/>
        <w:rPr>
          <w:sz w:val="20"/>
          <w:szCs w:val="20"/>
          <w:color w:val="auto"/>
        </w:rPr>
      </w:pPr>
    </w:p>
    <w:p>
      <w:pPr>
        <w:ind w:left="252" w:right="60" w:hanging="252"/>
        <w:spacing w:after="0" w:line="254" w:lineRule="auto"/>
        <w:tabs>
          <w:tab w:leader="none" w:pos="383" w:val="left"/>
        </w:tabs>
        <w:numPr>
          <w:ilvl w:val="0"/>
          <w:numId w:val="169"/>
        </w:numPr>
        <w:rPr>
          <w:rFonts w:ascii="Arial" w:cs="Arial" w:eastAsia="Arial" w:hAnsi="Arial"/>
          <w:sz w:val="18"/>
          <w:szCs w:val="18"/>
          <w:b w:val="1"/>
          <w:bCs w:val="1"/>
          <w:color w:val="0067B3"/>
        </w:rPr>
      </w:pPr>
      <w:r>
        <w:rPr>
          <w:rFonts w:ascii="Arial" w:cs="Arial" w:eastAsia="Arial" w:hAnsi="Arial"/>
          <w:sz w:val="18"/>
          <w:szCs w:val="18"/>
          <w:b w:val="1"/>
          <w:bCs w:val="1"/>
          <w:color w:val="auto"/>
        </w:rPr>
        <w:t xml:space="preserve">Election of directors (Proposal 1). </w:t>
      </w:r>
      <w:r>
        <w:rPr>
          <w:rFonts w:ascii="Arial" w:cs="Arial" w:eastAsia="Arial" w:hAnsi="Arial"/>
          <w:sz w:val="18"/>
          <w:szCs w:val="18"/>
          <w:color w:val="auto"/>
        </w:rPr>
        <w:t>Under our bylaws, a nominee will be elected to the Board of Directors if the votes cast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 respect to the election of directors. If an 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ectPr>
          <w:pgSz w:w="11900" w:h="16838" w:orient="portrait"/>
          <w:cols w:equalWidth="0" w:num="1">
            <w:col w:w="11232"/>
          </w:cols>
          <w:pgMar w:left="328" w:top="1174" w:right="339" w:bottom="1440" w:gutter="0" w:footer="0" w:header="0"/>
        </w:sectPr>
      </w:pPr>
    </w:p>
    <w:p>
      <w:pPr>
        <w:spacing w:after="0" w:line="300"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94</w:t>
      </w:r>
    </w:p>
    <w:p>
      <w:pPr>
        <w:jc w:val="right"/>
        <w:ind w:right="7940"/>
        <w:spacing w:after="0"/>
        <w:rPr>
          <w:sz w:val="20"/>
          <w:szCs w:val="20"/>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4" w:right="339" w:bottom="1440" w:gutter="0" w:footer="0" w:header="0"/>
          <w:type w:val="continuous"/>
        </w:sectPr>
      </w:pPr>
    </w:p>
    <w:bookmarkStart w:id="108" w:name="page109"/>
    <w:bookmarkEnd w:id="108"/>
    <w:p>
      <w:pPr>
        <w:ind w:left="252" w:right="100"/>
        <w:spacing w:after="0" w:line="256" w:lineRule="auto"/>
        <w:rPr>
          <w:sz w:val="20"/>
          <w:szCs w:val="20"/>
          <w:color w:val="auto"/>
        </w:rPr>
      </w:pPr>
      <w:r>
        <w:rPr>
          <w:rFonts w:ascii="Arial" w:cs="Arial" w:eastAsia="Arial" w:hAnsi="Arial"/>
          <w:sz w:val="18"/>
          <w:szCs w:val="18"/>
          <w:b w:val="1"/>
          <w:bCs w:val="1"/>
          <w:color w:val="auto"/>
        </w:rPr>
        <w:t xml:space="preserve">“Say-on-Pay” (Proposal 2). </w:t>
      </w:r>
      <w:r>
        <w:rPr>
          <w:rFonts w:ascii="Arial" w:cs="Arial" w:eastAsia="Arial" w:hAnsi="Arial"/>
          <w:sz w:val="18"/>
          <w:szCs w:val="18"/>
          <w:color w:val="auto"/>
        </w:rPr>
        <w:t>Our Board of Directors is seeking a non-binding advisory vote regarding the compensation of our NEOs,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and Talent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75" w:lineRule="exact"/>
        <w:rPr>
          <w:sz w:val="20"/>
          <w:szCs w:val="20"/>
          <w:color w:val="auto"/>
        </w:rPr>
      </w:pPr>
    </w:p>
    <w:p>
      <w:pPr>
        <w:ind w:left="252" w:right="120"/>
        <w:spacing w:after="0" w:line="262" w:lineRule="auto"/>
        <w:rPr>
          <w:sz w:val="20"/>
          <w:szCs w:val="20"/>
          <w:color w:val="auto"/>
        </w:rPr>
      </w:pPr>
      <w:r>
        <w:rPr>
          <w:rFonts w:ascii="Arial" w:cs="Arial" w:eastAsia="Arial" w:hAnsi="Arial"/>
          <w:sz w:val="18"/>
          <w:szCs w:val="18"/>
          <w:b w:val="1"/>
          <w:bCs w:val="1"/>
          <w:color w:val="auto"/>
        </w:rPr>
        <w:t xml:space="preserve">Ratification of selection of independent registered public accounting firm (Proposal 3). </w:t>
      </w:r>
      <w:r>
        <w:rPr>
          <w:rFonts w:ascii="Arial" w:cs="Arial" w:eastAsia="Arial" w:hAnsi="Arial"/>
          <w:sz w:val="18"/>
          <w:szCs w:val="18"/>
          <w:color w:val="auto"/>
        </w:rPr>
        <w:t>Under our bylaws, the affirmative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total number of votes cast on the proposal is needed to ratify the selection of Ernst &amp; Young LLP as our independent registered public accounting firm for fiscal year 2024. Even if you do not instruct your bank, broker, or other nominee how to vote with respect to this proposal, your bank, broker, or other nominee may vote your shares with respect to this proposal.</w:t>
      </w:r>
    </w:p>
    <w:p>
      <w:pPr>
        <w:spacing w:after="0" w:line="68" w:lineRule="exact"/>
        <w:rPr>
          <w:sz w:val="20"/>
          <w:szCs w:val="20"/>
          <w:color w:val="auto"/>
        </w:rPr>
      </w:pPr>
    </w:p>
    <w:p>
      <w:pPr>
        <w:ind w:left="252" w:right="60"/>
        <w:spacing w:after="0" w:line="268" w:lineRule="auto"/>
        <w:rPr>
          <w:sz w:val="20"/>
          <w:szCs w:val="20"/>
          <w:color w:val="auto"/>
        </w:rPr>
      </w:pPr>
      <w:r>
        <w:rPr>
          <w:rFonts w:ascii="Arial" w:cs="Arial" w:eastAsia="Arial" w:hAnsi="Arial"/>
          <w:sz w:val="18"/>
          <w:szCs w:val="18"/>
          <w:b w:val="1"/>
          <w:bCs w:val="1"/>
          <w:color w:val="auto"/>
        </w:rPr>
        <w:t xml:space="preserve">Shareholder proposal (Proposal 4). </w:t>
      </w:r>
      <w:r>
        <w:rPr>
          <w:rFonts w:ascii="Arial" w:cs="Arial" w:eastAsia="Arial" w:hAnsi="Arial"/>
          <w:sz w:val="18"/>
          <w:szCs w:val="18"/>
          <w:color w:val="auto"/>
        </w:rPr>
        <w:t>Under our bylaws, the affirmative vote of a majority of the total number of votes cast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is needed to approve Proposal 4. If you do not instruct your bank, broker, or other nominee how to vote with respect to Proposal 4, your bank, broker, or other nominee may not vote your shares with respect to the proposal.</w:t>
      </w:r>
    </w:p>
    <w:p>
      <w:pPr>
        <w:spacing w:after="0" w:line="117" w:lineRule="exact"/>
        <w:rPr>
          <w:sz w:val="20"/>
          <w:szCs w:val="20"/>
          <w:color w:val="auto"/>
        </w:rPr>
      </w:pPr>
    </w:p>
    <w:p>
      <w:pPr>
        <w:ind w:left="392" w:hanging="392"/>
        <w:spacing w:after="0"/>
        <w:tabs>
          <w:tab w:leader="none" w:pos="392" w:val="left"/>
        </w:tabs>
        <w:numPr>
          <w:ilvl w:val="0"/>
          <w:numId w:val="170"/>
        </w:numPr>
        <w:rPr>
          <w:rFonts w:ascii="Arial" w:cs="Arial" w:eastAsia="Arial" w:hAnsi="Arial"/>
          <w:sz w:val="18"/>
          <w:szCs w:val="18"/>
          <w:b w:val="1"/>
          <w:bCs w:val="1"/>
          <w:color w:val="0067B3"/>
        </w:rPr>
      </w:pPr>
      <w:r>
        <w:rPr>
          <w:rFonts w:ascii="Arial" w:cs="Arial" w:eastAsia="Arial" w:hAnsi="Arial"/>
          <w:sz w:val="18"/>
          <w:szCs w:val="18"/>
          <w:b w:val="1"/>
          <w:bCs w:val="1"/>
          <w:color w:val="0067B3"/>
        </w:rPr>
        <w:t>How will votes be counted?</w:t>
      </w:r>
    </w:p>
    <w:p>
      <w:pPr>
        <w:spacing w:after="0" w:line="117" w:lineRule="exact"/>
        <w:rPr>
          <w:sz w:val="20"/>
          <w:szCs w:val="20"/>
          <w:color w:val="auto"/>
        </w:rPr>
      </w:pPr>
    </w:p>
    <w:p>
      <w:pPr>
        <w:ind w:left="252" w:hanging="252"/>
        <w:spacing w:after="0" w:line="256" w:lineRule="auto"/>
        <w:tabs>
          <w:tab w:leader="none" w:pos="383" w:val="left"/>
        </w:tabs>
        <w:numPr>
          <w:ilvl w:val="0"/>
          <w:numId w:val="171"/>
        </w:numPr>
        <w:rPr>
          <w:rFonts w:ascii="Arial" w:cs="Arial" w:eastAsia="Arial" w:hAnsi="Arial"/>
          <w:sz w:val="18"/>
          <w:szCs w:val="18"/>
          <w:b w:val="1"/>
          <w:bCs w:val="1"/>
          <w:color w:val="0067B3"/>
        </w:rPr>
      </w:pPr>
      <w:r>
        <w:rPr>
          <w:rFonts w:ascii="Arial" w:cs="Arial" w:eastAsia="Arial" w:hAnsi="Arial"/>
          <w:sz w:val="18"/>
          <w:szCs w:val="18"/>
          <w:color w:val="auto"/>
        </w:rPr>
        <w:t>Each share of common stock will be counted as one vote according to the instructions contained on a properly completed proxy card, whether submitted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4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29" w:lineRule="exact"/>
        <w:rPr>
          <w:sz w:val="20"/>
          <w:szCs w:val="20"/>
          <w:color w:val="auto"/>
        </w:rPr>
      </w:pPr>
    </w:p>
    <w:p>
      <w:pPr>
        <w:ind w:left="392" w:hanging="392"/>
        <w:spacing w:after="0"/>
        <w:tabs>
          <w:tab w:leader="none" w:pos="392" w:val="left"/>
        </w:tabs>
        <w:numPr>
          <w:ilvl w:val="0"/>
          <w:numId w:val="172"/>
        </w:numPr>
        <w:rPr>
          <w:rFonts w:ascii="Arial" w:cs="Arial" w:eastAsia="Arial" w:hAnsi="Arial"/>
          <w:sz w:val="18"/>
          <w:szCs w:val="18"/>
          <w:b w:val="1"/>
          <w:bCs w:val="1"/>
          <w:color w:val="0067B3"/>
        </w:rPr>
      </w:pPr>
      <w:r>
        <w:rPr>
          <w:rFonts w:ascii="Arial" w:cs="Arial" w:eastAsia="Arial" w:hAnsi="Arial"/>
          <w:sz w:val="18"/>
          <w:szCs w:val="18"/>
          <w:b w:val="1"/>
          <w:bCs w:val="1"/>
          <w:color w:val="0067B3"/>
        </w:rPr>
        <w:t>Who will count the votes?</w:t>
      </w:r>
    </w:p>
    <w:p>
      <w:pPr>
        <w:spacing w:after="0" w:line="117" w:lineRule="exact"/>
        <w:rPr>
          <w:sz w:val="20"/>
          <w:szCs w:val="20"/>
          <w:color w:val="auto"/>
        </w:rPr>
      </w:pPr>
    </w:p>
    <w:p>
      <w:pPr>
        <w:ind w:left="392" w:hanging="392"/>
        <w:spacing w:after="0"/>
        <w:tabs>
          <w:tab w:leader="none" w:pos="392" w:val="left"/>
        </w:tabs>
        <w:numPr>
          <w:ilvl w:val="0"/>
          <w:numId w:val="173"/>
        </w:numPr>
        <w:rPr>
          <w:rFonts w:ascii="Arial" w:cs="Arial" w:eastAsia="Arial" w:hAnsi="Arial"/>
          <w:sz w:val="18"/>
          <w:szCs w:val="18"/>
          <w:b w:val="1"/>
          <w:bCs w:val="1"/>
          <w:color w:val="0067B3"/>
        </w:rPr>
      </w:pPr>
      <w:r>
        <w:rPr>
          <w:rFonts w:ascii="Arial" w:cs="Arial" w:eastAsia="Arial" w:hAnsi="Arial"/>
          <w:sz w:val="18"/>
          <w:szCs w:val="18"/>
          <w:color w:val="auto"/>
        </w:rPr>
        <w:t>The votes will be counted, tabulated and certified by Broadridge Financial Solutions, Inc.</w:t>
      </w:r>
    </w:p>
    <w:p>
      <w:pPr>
        <w:spacing w:after="0" w:line="171" w:lineRule="exact"/>
        <w:rPr>
          <w:sz w:val="20"/>
          <w:szCs w:val="20"/>
          <w:color w:val="auto"/>
        </w:rPr>
      </w:pPr>
    </w:p>
    <w:p>
      <w:pPr>
        <w:ind w:left="392" w:hanging="392"/>
        <w:spacing w:after="0"/>
        <w:tabs>
          <w:tab w:leader="none" w:pos="392" w:val="left"/>
        </w:tabs>
        <w:numPr>
          <w:ilvl w:val="0"/>
          <w:numId w:val="174"/>
        </w:numPr>
        <w:rPr>
          <w:rFonts w:ascii="Arial" w:cs="Arial" w:eastAsia="Arial" w:hAnsi="Arial"/>
          <w:sz w:val="18"/>
          <w:szCs w:val="18"/>
          <w:b w:val="1"/>
          <w:bCs w:val="1"/>
          <w:color w:val="0067B3"/>
        </w:rPr>
      </w:pPr>
      <w:r>
        <w:rPr>
          <w:rFonts w:ascii="Arial" w:cs="Arial" w:eastAsia="Arial" w:hAnsi="Arial"/>
          <w:sz w:val="18"/>
          <w:szCs w:val="18"/>
          <w:b w:val="1"/>
          <w:bCs w:val="1"/>
          <w:color w:val="0067B3"/>
        </w:rPr>
        <w:t>Will my vote be kept confidential?</w:t>
      </w:r>
    </w:p>
    <w:p>
      <w:pPr>
        <w:spacing w:after="0" w:line="117" w:lineRule="exact"/>
        <w:rPr>
          <w:sz w:val="20"/>
          <w:szCs w:val="20"/>
          <w:color w:val="auto"/>
        </w:rPr>
      </w:pPr>
    </w:p>
    <w:p>
      <w:pPr>
        <w:ind w:left="252" w:right="120" w:hanging="252"/>
        <w:spacing w:after="0" w:line="262" w:lineRule="auto"/>
        <w:tabs>
          <w:tab w:leader="none" w:pos="380" w:val="left"/>
        </w:tabs>
        <w:numPr>
          <w:ilvl w:val="0"/>
          <w:numId w:val="175"/>
        </w:numPr>
        <w:rPr>
          <w:rFonts w:ascii="Arial" w:cs="Arial" w:eastAsia="Arial" w:hAnsi="Arial"/>
          <w:sz w:val="18"/>
          <w:szCs w:val="18"/>
          <w:b w:val="1"/>
          <w:bCs w:val="1"/>
          <w:color w:val="0067B3"/>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122" w:lineRule="exact"/>
        <w:rPr>
          <w:sz w:val="20"/>
          <w:szCs w:val="20"/>
          <w:color w:val="auto"/>
        </w:rPr>
      </w:pPr>
    </w:p>
    <w:p>
      <w:pPr>
        <w:ind w:left="392" w:hanging="392"/>
        <w:spacing w:after="0"/>
        <w:tabs>
          <w:tab w:leader="none" w:pos="392" w:val="left"/>
        </w:tabs>
        <w:numPr>
          <w:ilvl w:val="0"/>
          <w:numId w:val="176"/>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does the Board of Directors recommend that I vote on the proposals?</w:t>
      </w:r>
    </w:p>
    <w:p>
      <w:pPr>
        <w:spacing w:after="0" w:line="117" w:lineRule="exact"/>
        <w:rPr>
          <w:sz w:val="20"/>
          <w:szCs w:val="20"/>
          <w:color w:val="auto"/>
        </w:rPr>
      </w:pPr>
    </w:p>
    <w:p>
      <w:pPr>
        <w:ind w:left="392" w:hanging="392"/>
        <w:spacing w:after="0"/>
        <w:tabs>
          <w:tab w:leader="none" w:pos="392" w:val="left"/>
        </w:tabs>
        <w:numPr>
          <w:ilvl w:val="0"/>
          <w:numId w:val="177"/>
        </w:numPr>
        <w:rPr>
          <w:rFonts w:ascii="Arial" w:cs="Arial" w:eastAsia="Arial" w:hAnsi="Arial"/>
          <w:sz w:val="18"/>
          <w:szCs w:val="18"/>
          <w:b w:val="1"/>
          <w:bCs w:val="1"/>
          <w:color w:val="0067B3"/>
        </w:rPr>
      </w:pPr>
      <w:r>
        <w:rPr>
          <w:rFonts w:ascii="Arial" w:cs="Arial" w:eastAsia="Arial" w:hAnsi="Arial"/>
          <w:sz w:val="18"/>
          <w:szCs w:val="18"/>
          <w:color w:val="auto"/>
        </w:rPr>
        <w:t>The Board of Directors recommends that you vote:</w:t>
      </w:r>
    </w:p>
    <w:p>
      <w:pPr>
        <w:spacing w:after="0" w:line="117" w:lineRule="exact"/>
        <w:rPr>
          <w:sz w:val="20"/>
          <w:szCs w:val="20"/>
          <w:color w:val="auto"/>
        </w:rPr>
      </w:pPr>
    </w:p>
    <w:p>
      <w:pPr>
        <w:ind w:left="252" w:right="2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11 nominees to serve as directors on the Board of Directors, each for a term expiring at the next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(Proposal 1);</w:t>
      </w:r>
    </w:p>
    <w:p>
      <w:pPr>
        <w:spacing w:after="0" w:line="45" w:lineRule="exact"/>
        <w:rPr>
          <w:sz w:val="20"/>
          <w:szCs w:val="20"/>
          <w:color w:val="auto"/>
        </w:rPr>
      </w:pPr>
    </w:p>
    <w:p>
      <w:pPr>
        <w:jc w:val="both"/>
        <w:ind w:left="252" w:right="3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“say-on-pay” vote, of the compensation of our NEOs, as described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Discussion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executive compensation tables and accompanying narrative disclosures contained in this Proxy Statement (Proposal 2);</w:t>
      </w:r>
    </w:p>
    <w:p>
      <w:pPr>
        <w:spacing w:after="0" w:line="45" w:lineRule="exact"/>
        <w:rPr>
          <w:sz w:val="20"/>
          <w:szCs w:val="20"/>
          <w:color w:val="auto"/>
        </w:rPr>
      </w:pPr>
    </w:p>
    <w:p>
      <w:pPr>
        <w:ind w:left="252" w:right="58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our independent registered public accounting firm for fiscal year 2024</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3); and</w:t>
      </w:r>
    </w:p>
    <w:p>
      <w:pPr>
        <w:spacing w:after="0" w:line="45" w:lineRule="exact"/>
        <w:rPr>
          <w:sz w:val="20"/>
          <w:szCs w:val="20"/>
          <w:color w:val="auto"/>
        </w:rPr>
      </w:pPr>
    </w:p>
    <w:p>
      <w:pPr>
        <w:ind w:left="252"/>
        <w:spacing w:after="0"/>
        <w:rPr>
          <w:sz w:val="20"/>
          <w:szCs w:val="20"/>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shareholder proposal (Proposal 4).</w:t>
      </w:r>
    </w:p>
    <w:p>
      <w:pPr>
        <w:spacing w:after="0" w:line="171" w:lineRule="exact"/>
        <w:rPr>
          <w:sz w:val="20"/>
          <w:szCs w:val="20"/>
          <w:color w:val="auto"/>
        </w:rPr>
      </w:pPr>
    </w:p>
    <w:p>
      <w:pPr>
        <w:ind w:left="392" w:hanging="392"/>
        <w:spacing w:after="0"/>
        <w:tabs>
          <w:tab w:leader="none" w:pos="392" w:val="left"/>
        </w:tabs>
        <w:numPr>
          <w:ilvl w:val="0"/>
          <w:numId w:val="178"/>
        </w:numPr>
        <w:rPr>
          <w:rFonts w:ascii="Arial" w:cs="Arial" w:eastAsia="Arial" w:hAnsi="Arial"/>
          <w:sz w:val="18"/>
          <w:szCs w:val="18"/>
          <w:b w:val="1"/>
          <w:bCs w:val="1"/>
          <w:color w:val="0067B3"/>
        </w:rPr>
      </w:pPr>
      <w:r>
        <w:rPr>
          <w:rFonts w:ascii="Arial" w:cs="Arial" w:eastAsia="Arial" w:hAnsi="Arial"/>
          <w:sz w:val="18"/>
          <w:szCs w:val="18"/>
          <w:b w:val="1"/>
          <w:bCs w:val="1"/>
          <w:color w:val="0067B3"/>
        </w:rPr>
        <w:t>Will any other matters be voted on at this meeting?</w:t>
      </w:r>
    </w:p>
    <w:p>
      <w:pPr>
        <w:spacing w:after="0" w:line="117" w:lineRule="exact"/>
        <w:rPr>
          <w:sz w:val="20"/>
          <w:szCs w:val="20"/>
          <w:color w:val="auto"/>
        </w:rPr>
      </w:pPr>
    </w:p>
    <w:p>
      <w:pPr>
        <w:ind w:left="252" w:right="60" w:hanging="252"/>
        <w:spacing w:after="0" w:line="273" w:lineRule="auto"/>
        <w:tabs>
          <w:tab w:leader="none" w:pos="383" w:val="left"/>
        </w:tabs>
        <w:numPr>
          <w:ilvl w:val="0"/>
          <w:numId w:val="179"/>
        </w:numPr>
        <w:rPr>
          <w:rFonts w:ascii="Arial" w:cs="Arial" w:eastAsia="Arial" w:hAnsi="Arial"/>
          <w:sz w:val="18"/>
          <w:szCs w:val="18"/>
          <w:b w:val="1"/>
          <w:bCs w:val="1"/>
          <w:color w:val="0067B3"/>
        </w:rPr>
      </w:pPr>
      <w:r>
        <w:rPr>
          <w:rFonts w:ascii="Arial" w:cs="Arial" w:eastAsia="Arial" w:hAnsi="Arial"/>
          <w:sz w:val="18"/>
          <w:szCs w:val="18"/>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color w:val="auto"/>
        </w:rPr>
        <w:t>Additional Information</w:t>
      </w:r>
      <w:r>
        <w:rPr>
          <w:rFonts w:ascii="Arial" w:cs="Arial" w:eastAsia="Arial" w:hAnsi="Arial"/>
          <w:sz w:val="18"/>
          <w:szCs w:val="18"/>
          <w:color w:val="auto"/>
        </w:rPr>
        <w:t>” below.</w:t>
      </w:r>
    </w:p>
    <w:p>
      <w:pPr>
        <w:spacing w:after="0" w:line="104" w:lineRule="exact"/>
        <w:rPr>
          <w:sz w:val="20"/>
          <w:szCs w:val="20"/>
          <w:color w:val="auto"/>
        </w:rPr>
      </w:pPr>
    </w:p>
    <w:p>
      <w:pPr>
        <w:ind w:left="392" w:hanging="392"/>
        <w:spacing w:after="0"/>
        <w:tabs>
          <w:tab w:leader="none" w:pos="392" w:val="left"/>
        </w:tabs>
        <w:numPr>
          <w:ilvl w:val="0"/>
          <w:numId w:val="180"/>
        </w:numPr>
        <w:rPr>
          <w:rFonts w:ascii="Arial" w:cs="Arial" w:eastAsia="Arial" w:hAnsi="Arial"/>
          <w:sz w:val="18"/>
          <w:szCs w:val="18"/>
          <w:b w:val="1"/>
          <w:bCs w:val="1"/>
          <w:color w:val="0067B3"/>
        </w:rPr>
      </w:pPr>
      <w:r>
        <w:rPr>
          <w:rFonts w:ascii="Arial" w:cs="Arial" w:eastAsia="Arial" w:hAnsi="Arial"/>
          <w:sz w:val="18"/>
          <w:szCs w:val="18"/>
          <w:b w:val="1"/>
          <w:bCs w:val="1"/>
          <w:color w:val="0067B3"/>
        </w:rPr>
        <w:t>Where can I find the voting results?</w:t>
      </w:r>
    </w:p>
    <w:p>
      <w:pPr>
        <w:spacing w:after="0" w:line="117" w:lineRule="exact"/>
        <w:rPr>
          <w:sz w:val="20"/>
          <w:szCs w:val="20"/>
          <w:color w:val="auto"/>
        </w:rPr>
      </w:pPr>
    </w:p>
    <w:p>
      <w:pPr>
        <w:ind w:left="392" w:hanging="392"/>
        <w:spacing w:after="0"/>
        <w:tabs>
          <w:tab w:leader="none" w:pos="392" w:val="left"/>
        </w:tabs>
        <w:numPr>
          <w:ilvl w:val="0"/>
          <w:numId w:val="181"/>
        </w:numPr>
        <w:rPr>
          <w:rFonts w:ascii="Arial" w:cs="Arial" w:eastAsia="Arial" w:hAnsi="Arial"/>
          <w:sz w:val="18"/>
          <w:szCs w:val="18"/>
          <w:b w:val="1"/>
          <w:bCs w:val="1"/>
          <w:color w:val="0067B3"/>
        </w:rPr>
      </w:pPr>
      <w:r>
        <w:rPr>
          <w:rFonts w:ascii="Arial" w:cs="Arial" w:eastAsia="Arial" w:hAnsi="Arial"/>
          <w:sz w:val="18"/>
          <w:szCs w:val="18"/>
          <w:color w:val="auto"/>
        </w:rPr>
        <w:t>We will report the voting results in a Form 8-K filed with the SEC within four business days after the conclusion of the Annual Meeting.</w:t>
      </w:r>
    </w:p>
    <w:p>
      <w:pPr>
        <w:sectPr>
          <w:pgSz w:w="11900" w:h="16838" w:orient="portrait"/>
          <w:cols w:equalWidth="0" w:num="1">
            <w:col w:w="11212"/>
          </w:cols>
          <w:pgMar w:left="328"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152"/>
        <w:spacing w:after="0"/>
        <w:tabs>
          <w:tab w:leader="none" w:pos="10972"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type w:val="continuous"/>
        </w:sectPr>
      </w:pPr>
    </w:p>
    <w:bookmarkStart w:id="109" w:name="page110"/>
    <w:bookmarkEnd w:id="109"/>
    <w:p>
      <w:pPr>
        <w:ind w:left="392" w:hanging="392"/>
        <w:spacing w:after="0"/>
        <w:tabs>
          <w:tab w:leader="none" w:pos="392" w:val="left"/>
        </w:tabs>
        <w:numPr>
          <w:ilvl w:val="0"/>
          <w:numId w:val="182"/>
        </w:numPr>
        <w:rPr>
          <w:rFonts w:ascii="Arial" w:cs="Arial" w:eastAsia="Arial" w:hAnsi="Arial"/>
          <w:sz w:val="18"/>
          <w:szCs w:val="18"/>
          <w:b w:val="1"/>
          <w:bCs w:val="1"/>
          <w:color w:val="0067B3"/>
        </w:rPr>
      </w:pPr>
      <w:r>
        <w:rPr>
          <w:rFonts w:ascii="Arial" w:cs="Arial" w:eastAsia="Arial" w:hAnsi="Arial"/>
          <w:sz w:val="18"/>
          <w:szCs w:val="18"/>
          <w:b w:val="1"/>
          <w:bCs w:val="1"/>
          <w:color w:val="0067B3"/>
        </w:rPr>
        <w:t>What are the costs of soliciting these proxies and who will pay?</w:t>
      </w:r>
    </w:p>
    <w:p>
      <w:pPr>
        <w:spacing w:after="0" w:line="117" w:lineRule="exact"/>
        <w:rPr>
          <w:sz w:val="20"/>
          <w:szCs w:val="20"/>
          <w:color w:val="auto"/>
        </w:rPr>
      </w:pPr>
    </w:p>
    <w:p>
      <w:pPr>
        <w:ind w:left="252" w:hanging="252"/>
        <w:spacing w:after="0" w:line="257" w:lineRule="auto"/>
        <w:tabs>
          <w:tab w:leader="none" w:pos="383" w:val="left"/>
        </w:tabs>
        <w:numPr>
          <w:ilvl w:val="0"/>
          <w:numId w:val="183"/>
        </w:numPr>
        <w:rPr>
          <w:rFonts w:ascii="Arial" w:cs="Arial" w:eastAsia="Arial" w:hAnsi="Arial"/>
          <w:sz w:val="18"/>
          <w:szCs w:val="18"/>
          <w:b w:val="1"/>
          <w:bCs w:val="1"/>
          <w:color w:val="0067B3"/>
        </w:rPr>
      </w:pPr>
      <w:r>
        <w:rPr>
          <w:rFonts w:ascii="Arial" w:cs="Arial" w:eastAsia="Arial" w:hAnsi="Arial"/>
          <w:sz w:val="18"/>
          <w:szCs w:val="18"/>
          <w:color w:val="auto"/>
        </w:rPr>
        <w:t>We will bear the costs of solicitation of proxies. We have engaged Alliance Advisors LLC to assist us with the solicitation of proxies and expect to pay Alliance Advisors approximately $16,000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28" w:lineRule="exact"/>
        <w:rPr>
          <w:sz w:val="20"/>
          <w:szCs w:val="20"/>
          <w:color w:val="auto"/>
        </w:rPr>
      </w:pPr>
    </w:p>
    <w:p>
      <w:pPr>
        <w:ind w:left="392" w:hanging="392"/>
        <w:spacing w:after="0"/>
        <w:tabs>
          <w:tab w:leader="none" w:pos="392" w:val="left"/>
        </w:tabs>
        <w:numPr>
          <w:ilvl w:val="0"/>
          <w:numId w:val="184"/>
        </w:numPr>
        <w:rPr>
          <w:rFonts w:ascii="Arial" w:cs="Arial" w:eastAsia="Arial" w:hAnsi="Arial"/>
          <w:sz w:val="18"/>
          <w:szCs w:val="18"/>
          <w:b w:val="1"/>
          <w:bCs w:val="1"/>
          <w:color w:val="0067B3"/>
        </w:rPr>
      </w:pPr>
      <w:r>
        <w:rPr>
          <w:rFonts w:ascii="Arial" w:cs="Arial" w:eastAsia="Arial" w:hAnsi="Arial"/>
          <w:sz w:val="18"/>
          <w:szCs w:val="18"/>
          <w:b w:val="1"/>
          <w:bCs w:val="1"/>
          <w:color w:val="0067B3"/>
        </w:rPr>
        <w:t>Why did I receive a “Notice of Internet Availability of Proxy Materials” but no proxy materials?</w:t>
      </w:r>
    </w:p>
    <w:p>
      <w:pPr>
        <w:spacing w:after="0" w:line="117" w:lineRule="exact"/>
        <w:rPr>
          <w:sz w:val="20"/>
          <w:szCs w:val="20"/>
          <w:color w:val="auto"/>
        </w:rPr>
      </w:pPr>
    </w:p>
    <w:p>
      <w:pPr>
        <w:ind w:left="252" w:right="160" w:hanging="252"/>
        <w:spacing w:after="0" w:line="259" w:lineRule="auto"/>
        <w:tabs>
          <w:tab w:leader="none" w:pos="383" w:val="left"/>
        </w:tabs>
        <w:numPr>
          <w:ilvl w:val="0"/>
          <w:numId w:val="185"/>
        </w:numPr>
        <w:rPr>
          <w:rFonts w:ascii="Arial" w:cs="Arial" w:eastAsia="Arial" w:hAnsi="Arial"/>
          <w:sz w:val="18"/>
          <w:szCs w:val="18"/>
          <w:b w:val="1"/>
          <w:bCs w:val="1"/>
          <w:color w:val="0067B3"/>
        </w:rPr>
      </w:pPr>
      <w:r>
        <w:rPr>
          <w:rFonts w:ascii="Arial" w:cs="Arial" w:eastAsia="Arial" w:hAnsi="Arial"/>
          <w:sz w:val="18"/>
          <w:szCs w:val="18"/>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19, 2024,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125" w:lineRule="exact"/>
        <w:rPr>
          <w:sz w:val="20"/>
          <w:szCs w:val="20"/>
          <w:color w:val="auto"/>
        </w:rPr>
      </w:pPr>
    </w:p>
    <w:p>
      <w:pPr>
        <w:ind w:left="392" w:hanging="392"/>
        <w:spacing w:after="0"/>
        <w:tabs>
          <w:tab w:leader="none" w:pos="392" w:val="left"/>
        </w:tabs>
        <w:numPr>
          <w:ilvl w:val="0"/>
          <w:numId w:val="186"/>
        </w:numPr>
        <w:rPr>
          <w:rFonts w:ascii="Arial" w:cs="Arial" w:eastAsia="Arial" w:hAnsi="Arial"/>
          <w:sz w:val="18"/>
          <w:szCs w:val="18"/>
          <w:b w:val="1"/>
          <w:bCs w:val="1"/>
          <w:color w:val="0067B3"/>
        </w:rPr>
      </w:pPr>
      <w:r>
        <w:rPr>
          <w:rFonts w:ascii="Arial" w:cs="Arial" w:eastAsia="Arial" w:hAnsi="Arial"/>
          <w:sz w:val="18"/>
          <w:szCs w:val="18"/>
          <w:b w:val="1"/>
          <w:bCs w:val="1"/>
          <w:color w:val="0067B3"/>
        </w:rPr>
        <w:t>How can I obtain an Annual Report on Form 10-K?</w:t>
      </w:r>
    </w:p>
    <w:p>
      <w:pPr>
        <w:spacing w:after="0" w:line="117" w:lineRule="exact"/>
        <w:rPr>
          <w:sz w:val="20"/>
          <w:szCs w:val="20"/>
          <w:color w:val="auto"/>
        </w:rPr>
      </w:pPr>
    </w:p>
    <w:p>
      <w:pPr>
        <w:ind w:left="252" w:right="160" w:hanging="252"/>
        <w:spacing w:after="0" w:line="268" w:lineRule="auto"/>
        <w:tabs>
          <w:tab w:leader="none" w:pos="383" w:val="left"/>
        </w:tabs>
        <w:numPr>
          <w:ilvl w:val="0"/>
          <w:numId w:val="187"/>
        </w:numPr>
        <w:rPr>
          <w:rFonts w:ascii="Arial" w:cs="Arial" w:eastAsia="Arial" w:hAnsi="Arial"/>
          <w:sz w:val="18"/>
          <w:szCs w:val="18"/>
          <w:b w:val="1"/>
          <w:bCs w:val="1"/>
          <w:color w:val="0067B3"/>
        </w:rPr>
      </w:pPr>
      <w:r>
        <w:rPr>
          <w:rFonts w:ascii="Arial" w:cs="Arial" w:eastAsia="Arial" w:hAnsi="Arial"/>
          <w:sz w:val="18"/>
          <w:szCs w:val="18"/>
          <w:color w:val="auto"/>
        </w:rPr>
        <w:t>Our Annual Report on Form 10-K for the fiscal year ended October 28, 2023 is available on our website at https://investor.analog.com/financial-info/annual-reports. If you would like a copy of our Annual Report on Form 10-K for fiscal year 2023 and/or any of its exhibits, we will send you such materials without charge. Please contact:</w:t>
      </w:r>
    </w:p>
    <w:p>
      <w:pPr>
        <w:spacing w:after="0" w:line="63" w:lineRule="exact"/>
        <w:rPr>
          <w:sz w:val="20"/>
          <w:szCs w:val="20"/>
          <w:color w:val="auto"/>
        </w:rPr>
      </w:pPr>
    </w:p>
    <w:p>
      <w:pPr>
        <w:ind w:left="252"/>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Email: investor.relations@analog.com</w:t>
      </w:r>
    </w:p>
    <w:p>
      <w:pPr>
        <w:spacing w:after="0" w:line="153" w:lineRule="exact"/>
        <w:rPr>
          <w:sz w:val="20"/>
          <w:szCs w:val="20"/>
          <w:color w:val="auto"/>
        </w:rPr>
      </w:pPr>
    </w:p>
    <w:p>
      <w:pPr>
        <w:ind w:left="392" w:hanging="392"/>
        <w:spacing w:after="0"/>
        <w:tabs>
          <w:tab w:leader="none" w:pos="392" w:val="left"/>
        </w:tabs>
        <w:numPr>
          <w:ilvl w:val="0"/>
          <w:numId w:val="188"/>
        </w:numPr>
        <w:rPr>
          <w:rFonts w:ascii="Arial" w:cs="Arial" w:eastAsia="Arial" w:hAnsi="Arial"/>
          <w:sz w:val="18"/>
          <w:szCs w:val="18"/>
          <w:b w:val="1"/>
          <w:bCs w:val="1"/>
          <w:color w:val="0067B3"/>
        </w:rPr>
      </w:pPr>
      <w:r>
        <w:rPr>
          <w:rFonts w:ascii="Arial" w:cs="Arial" w:eastAsia="Arial" w:hAnsi="Arial"/>
          <w:sz w:val="18"/>
          <w:szCs w:val="18"/>
          <w:b w:val="1"/>
          <w:bCs w:val="1"/>
          <w:color w:val="0067B3"/>
        </w:rPr>
        <w:t>Whom should I contact if I have any questions?</w:t>
      </w:r>
    </w:p>
    <w:p>
      <w:pPr>
        <w:spacing w:after="0" w:line="117" w:lineRule="exact"/>
        <w:rPr>
          <w:sz w:val="20"/>
          <w:szCs w:val="20"/>
          <w:color w:val="auto"/>
        </w:rPr>
      </w:pPr>
    </w:p>
    <w:p>
      <w:pPr>
        <w:ind w:left="252" w:right="420" w:hanging="252"/>
        <w:spacing w:after="0" w:line="287" w:lineRule="auto"/>
        <w:tabs>
          <w:tab w:leader="none" w:pos="383" w:val="left"/>
        </w:tabs>
        <w:numPr>
          <w:ilvl w:val="0"/>
          <w:numId w:val="189"/>
        </w:numPr>
        <w:rPr>
          <w:rFonts w:ascii="Arial" w:cs="Arial" w:eastAsia="Arial" w:hAnsi="Arial"/>
          <w:sz w:val="18"/>
          <w:szCs w:val="18"/>
          <w:b w:val="1"/>
          <w:bCs w:val="1"/>
          <w:color w:val="0067B3"/>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322"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96</w:t>
      </w:r>
    </w:p>
    <w:p>
      <w:pPr>
        <w:ind w:left="492"/>
        <w:spacing w:after="0"/>
        <w:rPr>
          <w:sz w:val="20"/>
          <w:szCs w:val="20"/>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sectPr>
      </w:pPr>
    </w:p>
    <w:bookmarkStart w:id="110" w:name="page111"/>
    <w:bookmarkEnd w:id="110"/>
    <w:p>
      <w:pPr>
        <w:spacing w:after="0"/>
        <w:rPr>
          <w:sz w:val="20"/>
          <w:szCs w:val="20"/>
          <w:color w:val="auto"/>
        </w:rPr>
      </w:pPr>
      <w:r>
        <w:rPr>
          <w:rFonts w:ascii="Arial" w:cs="Arial" w:eastAsia="Arial" w:hAnsi="Arial"/>
          <w:sz w:val="58"/>
          <w:szCs w:val="58"/>
          <w:color w:val="auto"/>
        </w:rPr>
        <w:t>Additional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Matters</w:t>
      </w:r>
    </w:p>
    <w:p>
      <w:pPr>
        <w:spacing w:after="0" w:line="15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judgment on such matters.</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Proposals for Inclusion in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submitting a proposal for inclusion in our proxy statement for the 2025 annual meeting of shareholders, you need to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follow the procedures outlined in Rule 14a-8 of the Exchange Act. To be eligible for inclusion, we must receive your shareholder proposal for our proxy statement for the 2025 annual meeting of shareholders at our principal corporate offices in Wilmington, Massachusetts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address below no later than September 21, 2024.</w:t>
      </w:r>
    </w:p>
    <w:p>
      <w:pPr>
        <w:spacing w:after="0" w:line="282" w:lineRule="exact"/>
        <w:rPr>
          <w:sz w:val="20"/>
          <w:szCs w:val="20"/>
          <w:color w:val="auto"/>
        </w:rPr>
      </w:pPr>
    </w:p>
    <w:p>
      <w:pPr>
        <w:ind w:right="140"/>
        <w:spacing w:after="0" w:line="273" w:lineRule="auto"/>
        <w:rPr>
          <w:sz w:val="20"/>
          <w:szCs w:val="20"/>
          <w:color w:val="auto"/>
        </w:rPr>
      </w:pPr>
      <w:r>
        <w:rPr>
          <w:rFonts w:ascii="Arial" w:cs="Arial" w:eastAsia="Arial" w:hAnsi="Arial"/>
          <w:sz w:val="41"/>
          <w:szCs w:val="41"/>
          <w:b w:val="1"/>
          <w:bCs w:val="1"/>
          <w:color w:val="0067B3"/>
        </w:rPr>
        <w:t>Shareholder Director Nominations for Inclusion in Proxy Statement</w:t>
      </w:r>
    </w:p>
    <w:p>
      <w:pPr>
        <w:ind w:right="180"/>
        <w:spacing w:after="0" w:line="251" w:lineRule="auto"/>
        <w:rPr>
          <w:sz w:val="20"/>
          <w:szCs w:val="20"/>
          <w:color w:val="auto"/>
        </w:rPr>
      </w:pPr>
      <w:r>
        <w:rPr>
          <w:rFonts w:ascii="Arial" w:cs="Arial" w:eastAsia="Arial" w:hAnsi="Arial"/>
          <w:sz w:val="17"/>
          <w:szCs w:val="17"/>
          <w:color w:val="auto"/>
        </w:rPr>
        <w:t>Our Board of Directors has implemented a proxy access provision in our bylaws, which allows a shareholder or group of up to 20 shareholders owning in aggregate 3% or more of our outstanding shares of common stock continuously for at least three years to nominate</w:t>
      </w:r>
    </w:p>
    <w:p>
      <w:pPr>
        <w:spacing w:after="0" w:line="235" w:lineRule="auto"/>
        <w:rPr>
          <w:sz w:val="20"/>
          <w:szCs w:val="20"/>
          <w:color w:val="auto"/>
        </w:rPr>
      </w:pPr>
      <w:r>
        <w:rPr>
          <w:rFonts w:ascii="Arial" w:cs="Arial" w:eastAsia="Arial" w:hAnsi="Arial"/>
          <w:sz w:val="18"/>
          <w:szCs w:val="18"/>
          <w:color w:val="auto"/>
        </w:rPr>
        <w:t>and include in our proxy materials director nominees constituting up to 20% of the number of directors in office or two nominees, whichever is</w:t>
      </w:r>
    </w:p>
    <w:p>
      <w:pPr>
        <w:ind w:right="60"/>
        <w:spacing w:after="0"/>
        <w:rPr>
          <w:sz w:val="20"/>
          <w:szCs w:val="20"/>
          <w:color w:val="auto"/>
        </w:rPr>
      </w:pPr>
      <w:r>
        <w:rPr>
          <w:rFonts w:ascii="Arial" w:cs="Arial" w:eastAsia="Arial" w:hAnsi="Arial"/>
          <w:sz w:val="17"/>
          <w:szCs w:val="17"/>
          <w:color w:val="auto"/>
        </w:rPr>
        <w:t>greater, provided the shareholder(s) and nominee(s) satisfy the requirements in the bylaws. If a shareholder or group of shareholders wishes to nominate one or more director candidates to be included in our proxy statement pursuant to these proxy access provisions in Article I,</w:t>
      </w:r>
    </w:p>
    <w:p>
      <w:pPr>
        <w:spacing w:after="0" w:line="235" w:lineRule="auto"/>
        <w:rPr>
          <w:sz w:val="20"/>
          <w:szCs w:val="20"/>
          <w:color w:val="auto"/>
        </w:rPr>
      </w:pPr>
      <w:r>
        <w:rPr>
          <w:rFonts w:ascii="Arial" w:cs="Arial" w:eastAsia="Arial" w:hAnsi="Arial"/>
          <w:sz w:val="18"/>
          <w:szCs w:val="18"/>
          <w:color w:val="auto"/>
        </w:rPr>
        <w:t>Section 1.9(c) of our bylaws, the Secretary must receive advance written notice at the address noted below not less than 120 days nor more</w:t>
      </w:r>
    </w:p>
    <w:p>
      <w:pPr>
        <w:ind w:right="240"/>
        <w:spacing w:after="0" w:line="226" w:lineRule="auto"/>
        <w:rPr>
          <w:sz w:val="20"/>
          <w:szCs w:val="20"/>
          <w:color w:val="auto"/>
        </w:rPr>
      </w:pPr>
      <w:r>
        <w:rPr>
          <w:rFonts w:ascii="Arial" w:cs="Arial" w:eastAsia="Arial" w:hAnsi="Arial"/>
          <w:sz w:val="18"/>
          <w:szCs w:val="18"/>
          <w:color w:val="auto"/>
        </w:rPr>
        <w:t>than 150 days before the first anniversary of the preceding year’s annual meeting. However, if the date of our annual meeting of shareholders is advanced by more than 20 days, or delayed by more than 60 days, from the anniversary date, or if no annual meeting was</w:t>
      </w:r>
    </w:p>
    <w:p>
      <w:pPr>
        <w:spacing w:after="0" w:line="236" w:lineRule="auto"/>
        <w:rPr>
          <w:sz w:val="20"/>
          <w:szCs w:val="20"/>
          <w:color w:val="auto"/>
        </w:rPr>
      </w:pPr>
      <w:r>
        <w:rPr>
          <w:rFonts w:ascii="Arial" w:cs="Arial" w:eastAsia="Arial" w:hAnsi="Arial"/>
          <w:sz w:val="18"/>
          <w:szCs w:val="18"/>
          <w:color w:val="auto"/>
        </w:rPr>
        <w:t>held in the preceding year, then we must receive such notice at the address noted below not earlier than the 150th day before such annual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meeting and not later than the close of business on the later of (1) the 120th day prior to such annual meeting and (2) the seventh day after the day on which notice of the meeting date was mailed or public disclosure was made, whichever occurs first. Assuming that the 2025</w:t>
      </w:r>
    </w:p>
    <w:p>
      <w:pPr>
        <w:spacing w:after="0" w:line="236" w:lineRule="auto"/>
        <w:rPr>
          <w:sz w:val="20"/>
          <w:szCs w:val="20"/>
          <w:color w:val="auto"/>
        </w:rPr>
      </w:pPr>
      <w:r>
        <w:rPr>
          <w:rFonts w:ascii="Arial" w:cs="Arial" w:eastAsia="Arial" w:hAnsi="Arial"/>
          <w:sz w:val="18"/>
          <w:szCs w:val="18"/>
          <w:color w:val="auto"/>
        </w:rPr>
        <w:t>annual meeting of shareholders is not advanced by more than 20 days nor delayed by more than 60 days from the anniversary date of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Annual Meeting, you would need to give us appropriate notice at the address noted below no earlier than October 14, 2024, and no later than November 13, 2024.</w:t>
      </w:r>
    </w:p>
    <w:p>
      <w:pPr>
        <w:spacing w:after="0" w:line="269" w:lineRule="exact"/>
        <w:rPr>
          <w:sz w:val="20"/>
          <w:szCs w:val="20"/>
          <w:color w:val="auto"/>
        </w:rPr>
      </w:pPr>
    </w:p>
    <w:p>
      <w:pPr>
        <w:ind w:right="720"/>
        <w:spacing w:after="0" w:line="273" w:lineRule="auto"/>
        <w:rPr>
          <w:sz w:val="20"/>
          <w:szCs w:val="20"/>
          <w:color w:val="auto"/>
        </w:rPr>
      </w:pPr>
      <w:r>
        <w:rPr>
          <w:rFonts w:ascii="Arial" w:cs="Arial" w:eastAsia="Arial" w:hAnsi="Arial"/>
          <w:sz w:val="41"/>
          <w:szCs w:val="41"/>
          <w:b w:val="1"/>
          <w:bCs w:val="1"/>
          <w:color w:val="0067B3"/>
        </w:rPr>
        <w:t>Shareholder Proposals and Director Nominations Not Included in Proxy Statement</w:t>
      </w:r>
    </w:p>
    <w:p>
      <w:pPr>
        <w:spacing w:after="0"/>
        <w:rPr>
          <w:sz w:val="20"/>
          <w:szCs w:val="20"/>
          <w:color w:val="auto"/>
        </w:rPr>
      </w:pPr>
      <w:r>
        <w:rPr>
          <w:rFonts w:ascii="Arial" w:cs="Arial" w:eastAsia="Arial" w:hAnsi="Arial"/>
          <w:sz w:val="18"/>
          <w:szCs w:val="18"/>
          <w:color w:val="auto"/>
        </w:rPr>
        <w:t>In addition, our bylaws require that we be given advance written notice for nominations for election to our Board of Directors and other</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matters that shareholders wish to present for action at an annual meeting of shareholders other than those to be included in our proxy statement under Rule 14a-8. The Secretary must receive such notice at the address noted below not less than 90 days or more than 120</w:t>
      </w:r>
    </w:p>
    <w:p>
      <w:pPr>
        <w:spacing w:after="0" w:line="236" w:lineRule="auto"/>
        <w:rPr>
          <w:sz w:val="20"/>
          <w:szCs w:val="20"/>
          <w:color w:val="auto"/>
        </w:rPr>
      </w:pPr>
      <w:r>
        <w:rPr>
          <w:rFonts w:ascii="Arial" w:cs="Arial" w:eastAsia="Arial" w:hAnsi="Arial"/>
          <w:sz w:val="18"/>
          <w:szCs w:val="18"/>
          <w:color w:val="auto"/>
        </w:rPr>
        <w:t>days before the first anniversary of the preceding year’s annual meeting of shareholders. However, if the date of our annual meeting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shareholders is advanced by more than 20 days, or delayed by more than 60 days, from the anniversary date, then we must receive such notice at the address noted below not earlier than the 120th day before such annual meeting and not later than the close of business on the</w:t>
      </w:r>
    </w:p>
    <w:p>
      <w:pPr>
        <w:spacing w:after="0" w:line="236" w:lineRule="auto"/>
        <w:rPr>
          <w:sz w:val="20"/>
          <w:szCs w:val="20"/>
          <w:color w:val="auto"/>
        </w:rPr>
      </w:pPr>
      <w:r>
        <w:rPr>
          <w:rFonts w:ascii="Arial" w:cs="Arial" w:eastAsia="Arial" w:hAnsi="Arial"/>
          <w:sz w:val="18"/>
          <w:szCs w:val="18"/>
          <w:color w:val="auto"/>
        </w:rPr>
        <w:t>later of (1) the 90th day before such annual meeting and (2) the seventh day after the day on which notice of the meeting date was mailed 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public disclosure was made, whichever occurs first. Assuming that the 2025 annual meeting of shareholders is not advanced by more than 20 days nor delayed by more than 60 days from the anniversary date of the Annual Meeting, you would need to give us appropriate notice at</w:t>
      </w:r>
    </w:p>
    <w:p>
      <w:pPr>
        <w:spacing w:after="0" w:line="236" w:lineRule="auto"/>
        <w:rPr>
          <w:sz w:val="20"/>
          <w:szCs w:val="20"/>
          <w:color w:val="auto"/>
        </w:rPr>
      </w:pPr>
      <w:r>
        <w:rPr>
          <w:rFonts w:ascii="Arial" w:cs="Arial" w:eastAsia="Arial" w:hAnsi="Arial"/>
          <w:sz w:val="18"/>
          <w:szCs w:val="18"/>
          <w:color w:val="auto"/>
        </w:rPr>
        <w:t>the address noted below no earlier than November 13, 2024, and no later than December 13, 2024. If a shareholder does not provide timely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notice of a nomination or other matter to be presented at the 2025 annual meeting of shareholders, under Massachusetts law, it may not be brought before our shareholders at a meeting. Our bylaws also specify requirements relating to the content of the notice (including the</w:t>
      </w:r>
    </w:p>
    <w:p>
      <w:pPr>
        <w:spacing w:after="0" w:line="236" w:lineRule="auto"/>
        <w:rPr>
          <w:sz w:val="20"/>
          <w:szCs w:val="20"/>
          <w:color w:val="auto"/>
        </w:rPr>
      </w:pPr>
      <w:r>
        <w:rPr>
          <w:rFonts w:ascii="Arial" w:cs="Arial" w:eastAsia="Arial" w:hAnsi="Arial"/>
          <w:sz w:val="18"/>
          <w:szCs w:val="18"/>
          <w:color w:val="auto"/>
        </w:rPr>
        <w:t>information required by Rule 14a-19 under the Exchange Act) that shareholders must provide to the Secretary of ADI for a shareholder</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proposal or nomination for director, to be properly presented at an annual shareholder meeting. A copy of the full text of our amended and restated bylaws is on file with the SEC and publicly available on our website.</w:t>
      </w:r>
    </w:p>
    <w:p>
      <w:pPr>
        <w:sectPr>
          <w:pgSz w:w="11900" w:h="16838" w:orient="portrait"/>
          <w:cols w:equalWidth="0" w:num="1">
            <w:col w:w="11240"/>
          </w:cols>
          <w:pgMar w:left="320" w:top="1126" w:right="339" w:bottom="1440" w:gutter="0" w:footer="0" w:header="0"/>
        </w:sectPr>
      </w:pPr>
    </w:p>
    <w:p>
      <w:pPr>
        <w:spacing w:after="0" w:line="351"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t>Any proposals, nominations or notices should be sent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781-937-1164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janene.asgeirsson@analog.com</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Householding of Annual Meeting Materials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98</w:t>
      </w:r>
    </w:p>
    <w:p>
      <w:pPr>
        <w:ind w:left="500"/>
        <w:spacing w:after="0"/>
        <w:rPr>
          <w:sz w:val="20"/>
          <w:szCs w:val="20"/>
          <w:color w:val="auto"/>
        </w:rPr>
      </w:pPr>
      <w:r>
        <w:rPr>
          <w:rFonts w:ascii="Arial" w:cs="Arial" w:eastAsia="Arial" w:hAnsi="Arial"/>
          <w:sz w:val="16"/>
          <w:szCs w:val="16"/>
          <w:color w:val="6D6E71"/>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4" w:right="479" w:bottom="1440" w:gutter="0" w:footer="0" w:header="0"/>
        </w:sectPr>
      </w:pPr>
    </w:p>
    <w:bookmarkStart w:id="112" w:name="page113"/>
    <w:bookmarkEnd w:id="112"/>
    <w:p>
      <w:pPr>
        <w:ind w:right="1980"/>
        <w:spacing w:after="0" w:line="272" w:lineRule="auto"/>
        <w:rPr>
          <w:sz w:val="20"/>
          <w:szCs w:val="20"/>
          <w:color w:val="auto"/>
        </w:rPr>
      </w:pPr>
      <w:r>
        <w:rPr>
          <w:rFonts w:ascii="Arial" w:cs="Arial" w:eastAsia="Arial" w:hAnsi="Arial"/>
          <w:sz w:val="57"/>
          <w:szCs w:val="57"/>
          <w:color w:val="auto"/>
        </w:rPr>
        <w:t>Appendix A: Reconciliation of GAAP Measures to Non-GAAP Measures</w:t>
      </w:r>
    </w:p>
    <w:p>
      <w:pPr>
        <w:spacing w:after="0" w:line="3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Non-GAAP financial measures included in the Proxy Statement are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uses these non-GAAP measures as the primary performance measurement when communicating with analysts and investors regarding ADI’s earnings results and outlook and believes that the presentation of these non-GAAP measures is useful to investors because it provides investors with the operating results that management uses to manage the company and enables investors and analysts to evaluate ADI’s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non-GAAP measures have material limitations in that they do not reflect all of the amounts associated with ADI’s results of operations as determined in accordance with GAAP and should not be considered in isolation from, or as a substitute for, ADI’s financial results presented in accordance with GAAP. ADI’s use of non-GAAP measures, and the underlying methodology when including or excluding certain items, is not necessarily an indication of the results of operations that may be expected in the future, or that ADI will not, in fact, record such items in future periods. Investors should consider the company’s non-GAAP financial measures in conjunction with the corresponding GAAP measures.</w:t>
      </w:r>
    </w:p>
    <w:p>
      <w:pPr>
        <w:spacing w:after="0" w:line="7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0067B3"/>
        </w:rPr>
        <w:t xml:space="preserve">Free Cash Flow: </w:t>
      </w:r>
      <w:r>
        <w:rPr>
          <w:rFonts w:ascii="Arial" w:cs="Arial" w:eastAsia="Arial" w:hAnsi="Arial"/>
          <w:sz w:val="18"/>
          <w:szCs w:val="18"/>
          <w:color w:val="000000"/>
        </w:rPr>
        <w:t>Net cash provided by operating activities, determined in accordance with GAAP, less additions to property, plant and</w:t>
      </w:r>
      <w:r>
        <w:rPr>
          <w:rFonts w:ascii="Arial" w:cs="Arial" w:eastAsia="Arial" w:hAnsi="Arial"/>
          <w:sz w:val="18"/>
          <w:szCs w:val="18"/>
          <w:color w:val="0067B3"/>
        </w:rPr>
        <w:t xml:space="preserve"> </w:t>
      </w:r>
      <w:r>
        <w:rPr>
          <w:rFonts w:ascii="Arial" w:cs="Arial" w:eastAsia="Arial" w:hAnsi="Arial"/>
          <w:sz w:val="18"/>
          <w:szCs w:val="18"/>
          <w:color w:val="000000"/>
        </w:rPr>
        <w:t>equipment, net. Free cash flow revenue percentage represents free cash flow divided by revenue.</w:t>
      </w:r>
    </w:p>
    <w:p>
      <w:pPr>
        <w:spacing w:after="0" w:line="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0067B3"/>
        </w:rPr>
        <w:t xml:space="preserve">Acquisition Related Expenses: </w:t>
      </w:r>
      <w:r>
        <w:rPr>
          <w:rFonts w:ascii="Arial" w:cs="Arial" w:eastAsia="Arial" w:hAnsi="Arial"/>
          <w:sz w:val="18"/>
          <w:szCs w:val="18"/>
          <w:color w:val="000000"/>
        </w:rPr>
        <w:t>Expenses incurred as a result of current and prior period acquisitions and primarily include expenses</w:t>
      </w:r>
      <w:r>
        <w:rPr>
          <w:rFonts w:ascii="Arial" w:cs="Arial" w:eastAsia="Arial" w:hAnsi="Arial"/>
          <w:sz w:val="18"/>
          <w:szCs w:val="18"/>
          <w:color w:val="0067B3"/>
        </w:rPr>
        <w:t xml:space="preserve"> </w:t>
      </w:r>
      <w:r>
        <w:rPr>
          <w:rFonts w:ascii="Arial" w:cs="Arial" w:eastAsia="Arial" w:hAnsi="Arial"/>
          <w:sz w:val="18"/>
          <w:szCs w:val="18"/>
          <w:color w:val="000000"/>
        </w:rPr>
        <w:t>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acquisition. We excluded these costs from our non-GAAP measures because they relate to specific transactions and are not reflective of our ongoing financial performance.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067B3"/>
        </w:rPr>
        <w:t xml:space="preserve">Acquisition Related Transaction Costs: </w:t>
      </w:r>
      <w:r>
        <w:rPr>
          <w:rFonts w:ascii="Arial" w:cs="Arial" w:eastAsia="Arial" w:hAnsi="Arial"/>
          <w:sz w:val="18"/>
          <w:szCs w:val="18"/>
          <w:color w:val="000000"/>
        </w:rPr>
        <w:t>Costs directly related to the Maxim acquisition, including legal, accounting and other professional fees</w:t>
      </w:r>
      <w:r>
        <w:rPr>
          <w:rFonts w:ascii="Arial" w:cs="Arial" w:eastAsia="Arial" w:hAnsi="Arial"/>
          <w:sz w:val="18"/>
          <w:szCs w:val="18"/>
          <w:color w:val="0067B3"/>
        </w:rPr>
        <w:t xml:space="preserve"> </w:t>
      </w:r>
      <w:r>
        <w:rPr>
          <w:rFonts w:ascii="Arial" w:cs="Arial" w:eastAsia="Arial" w:hAnsi="Arial"/>
          <w:sz w:val="18"/>
          <w:szCs w:val="18"/>
          <w:color w:val="000000"/>
        </w:rPr>
        <w:t>as well as integration-related costs. We excluded these costs from our non-GAAP measures because they relate to a specific transaction and are not reflective of our ongoing financial performance.</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067B3"/>
        </w:rPr>
        <w:t xml:space="preserve">Special Charges, net: </w:t>
      </w:r>
      <w:r>
        <w:rPr>
          <w:rFonts w:ascii="Arial" w:cs="Arial" w:eastAsia="Arial" w:hAnsi="Arial"/>
          <w:sz w:val="18"/>
          <w:szCs w:val="18"/>
          <w:color w:val="000000"/>
        </w:rPr>
        <w:t>Expenses, net, incurred as part of the integration of the Maxim acquisition, in connection with facility closures,</w:t>
      </w:r>
      <w:r>
        <w:rPr>
          <w:rFonts w:ascii="Arial" w:cs="Arial" w:eastAsia="Arial" w:hAnsi="Arial"/>
          <w:sz w:val="18"/>
          <w:szCs w:val="18"/>
          <w:color w:val="0067B3"/>
        </w:rPr>
        <w:t xml:space="preserve"> </w:t>
      </w:r>
      <w:r>
        <w:rPr>
          <w:rFonts w:ascii="Arial" w:cs="Arial" w:eastAsia="Arial" w:hAnsi="Arial"/>
          <w:sz w:val="18"/>
          <w:szCs w:val="18"/>
          <w:color w:val="000000"/>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0067B3"/>
        </w:rPr>
        <w:t xml:space="preserve">Tax Related Items: </w:t>
      </w:r>
      <w:r>
        <w:rPr>
          <w:rFonts w:ascii="Arial" w:cs="Arial" w:eastAsia="Arial" w:hAnsi="Arial"/>
          <w:sz w:val="18"/>
          <w:szCs w:val="18"/>
          <w:color w:val="000000"/>
        </w:rPr>
        <w:t>Income tax effect of the non-GAAP items discussed above, an income tax benefit from a discrete tax item related to a</w:t>
      </w:r>
      <w:r>
        <w:rPr>
          <w:rFonts w:ascii="Arial" w:cs="Arial" w:eastAsia="Arial" w:hAnsi="Arial"/>
          <w:sz w:val="18"/>
          <w:szCs w:val="18"/>
          <w:color w:val="0067B3"/>
        </w:rPr>
        <w:t xml:space="preserve"> </w:t>
      </w:r>
      <w:r>
        <w:rPr>
          <w:rFonts w:ascii="Arial" w:cs="Arial" w:eastAsia="Arial" w:hAnsi="Arial"/>
          <w:sz w:val="18"/>
          <w:szCs w:val="18"/>
          <w:color w:val="000000"/>
        </w:rPr>
        <w:t>federal corporate income tax relief claim, certain other income tax benefits associated with prior periods, and an income tax benefit from a discrete tax item related to the consolidation of certain subsidiaries. We excluded the income tax effect of these tax related items from our non-GAAP measures because they are not associated with the tax expense on our current operating results.</w:t>
      </w:r>
    </w:p>
    <w:p>
      <w:pPr>
        <w:spacing w:after="0" w:line="33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2024 Proxy Statement</w:t>
      </w:r>
      <w:r>
        <w:rPr>
          <w:sz w:val="20"/>
          <w:szCs w:val="20"/>
          <w:color w:val="auto"/>
        </w:rPr>
        <w:tab/>
      </w:r>
      <w:r>
        <w:rPr>
          <w:rFonts w:ascii="Arial" w:cs="Arial" w:eastAsia="Arial" w:hAnsi="Arial"/>
          <w:sz w:val="19"/>
          <w:szCs w:val="19"/>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0067B3"/>
        </w:rPr>
        <w:t>Reconciliation of GAAP Measures to Non-GAAP Results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shd w:val="clear" w:color="auto" w:fill="0067B3"/>
          </w:tcPr>
          <w:p>
            <w:pPr>
              <w:spacing w:after="0"/>
              <w:rPr>
                <w:sz w:val="17"/>
                <w:szCs w:val="17"/>
                <w:color w:val="auto"/>
              </w:rPr>
            </w:pPr>
          </w:p>
        </w:tc>
        <w:tc>
          <w:tcPr>
            <w:tcW w:w="3060" w:type="dxa"/>
            <w:vAlign w:val="bottom"/>
            <w:gridSpan w:val="2"/>
            <w:shd w:val="clear" w:color="auto" w:fill="0067B3"/>
          </w:tcPr>
          <w:p>
            <w:pPr>
              <w:jc w:val="center"/>
              <w:ind w:left="312"/>
              <w:spacing w:after="0"/>
              <w:rPr>
                <w:sz w:val="20"/>
                <w:szCs w:val="20"/>
                <w:color w:val="auto"/>
              </w:rPr>
            </w:pPr>
            <w:r>
              <w:rPr>
                <w:rFonts w:ascii="Arial" w:cs="Arial" w:eastAsia="Arial" w:hAnsi="Arial"/>
                <w:sz w:val="16"/>
                <w:szCs w:val="16"/>
                <w:b w:val="1"/>
                <w:bCs w:val="1"/>
                <w:color w:val="FFFFFF"/>
              </w:rPr>
              <w:t>Twelve months ended October 28,</w:t>
            </w:r>
          </w:p>
        </w:tc>
      </w:tr>
      <w:tr>
        <w:trPr>
          <w:trHeight w:val="224"/>
        </w:trPr>
        <w:tc>
          <w:tcPr>
            <w:tcW w:w="8180" w:type="dxa"/>
            <w:vAlign w:val="bottom"/>
            <w:tcBorders>
              <w:bottom w:val="single" w:sz="8" w:color="0067B3"/>
            </w:tcBorders>
            <w:shd w:val="clear" w:color="auto" w:fill="0067B3"/>
          </w:tcPr>
          <w:p>
            <w:pPr>
              <w:spacing w:after="0"/>
              <w:rPr>
                <w:sz w:val="19"/>
                <w:szCs w:val="19"/>
                <w:color w:val="auto"/>
              </w:rPr>
            </w:pPr>
          </w:p>
        </w:tc>
        <w:tc>
          <w:tcPr>
            <w:tcW w:w="1880" w:type="dxa"/>
            <w:vAlign w:val="bottom"/>
            <w:tcBorders>
              <w:bottom w:val="single" w:sz="8" w:color="0067B3"/>
            </w:tcBorders>
            <w:shd w:val="clear" w:color="auto" w:fill="0067B3"/>
          </w:tcPr>
          <w:p>
            <w:pPr>
              <w:spacing w:after="0"/>
              <w:rPr>
                <w:sz w:val="19"/>
                <w:szCs w:val="19"/>
                <w:color w:val="auto"/>
              </w:rPr>
            </w:pPr>
          </w:p>
        </w:tc>
        <w:tc>
          <w:tcPr>
            <w:tcW w:w="118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2023</w:t>
            </w:r>
          </w:p>
        </w:tc>
      </w:tr>
      <w:tr>
        <w:trPr>
          <w:trHeight w:val="270"/>
        </w:trPr>
        <w:tc>
          <w:tcPr>
            <w:tcW w:w="81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Gross margin</w:t>
            </w:r>
          </w:p>
        </w:tc>
        <w:tc>
          <w:tcPr>
            <w:tcW w:w="188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7,877,218</w:t>
            </w:r>
          </w:p>
        </w:tc>
      </w:tr>
      <w:tr>
        <w:trPr>
          <w:trHeight w:val="247"/>
        </w:trPr>
        <w:tc>
          <w:tcPr>
            <w:tcW w:w="8180" w:type="dxa"/>
            <w:vAlign w:val="bottom"/>
          </w:tcPr>
          <w:p>
            <w:pPr>
              <w:ind w:left="220"/>
              <w:spacing w:after="0"/>
              <w:rPr>
                <w:sz w:val="20"/>
                <w:szCs w:val="20"/>
                <w:color w:val="auto"/>
              </w:rPr>
            </w:pPr>
            <w:r>
              <w:rPr>
                <w:rFonts w:ascii="Arial" w:cs="Arial" w:eastAsia="Arial" w:hAnsi="Arial"/>
                <w:sz w:val="18"/>
                <w:szCs w:val="18"/>
                <w:color w:val="auto"/>
              </w:rPr>
              <w:t>Gross margin percentage</w:t>
            </w:r>
          </w:p>
        </w:tc>
        <w:tc>
          <w:tcPr>
            <w:tcW w:w="1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64.0 %</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Acquisition related expenses</w:t>
            </w:r>
          </w:p>
        </w:tc>
        <w:tc>
          <w:tcPr>
            <w:tcW w:w="188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1,047,309</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8,294,527</w:t>
            </w:r>
          </w:p>
        </w:tc>
      </w:tr>
      <w:tr>
        <w:trPr>
          <w:trHeight w:val="258"/>
        </w:trPr>
        <w:tc>
          <w:tcPr>
            <w:tcW w:w="818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Adjusted gross margin percentage</w:t>
            </w:r>
          </w:p>
        </w:tc>
        <w:tc>
          <w:tcPr>
            <w:tcW w:w="188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72.5 %</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3,823,112</w:t>
            </w:r>
          </w:p>
        </w:tc>
      </w:tr>
      <w:tr>
        <w:trPr>
          <w:trHeight w:val="258"/>
        </w:trPr>
        <w:tc>
          <w:tcPr>
            <w:tcW w:w="818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Operating margin</w:t>
            </w:r>
          </w:p>
        </w:tc>
        <w:tc>
          <w:tcPr>
            <w:tcW w:w="188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31.1 %</w:t>
            </w:r>
          </w:p>
        </w:tc>
      </w:tr>
      <w:tr>
        <w:trPr>
          <w:trHeight w:val="247"/>
        </w:trPr>
        <w:tc>
          <w:tcPr>
            <w:tcW w:w="818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8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2,023,532</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Acquisition related transaction costs</w:t>
            </w:r>
          </w:p>
        </w:tc>
        <w:tc>
          <w:tcPr>
            <w:tcW w:w="188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7,069</w:t>
            </w:r>
          </w:p>
        </w:tc>
      </w:tr>
      <w:tr>
        <w:trPr>
          <w:trHeight w:val="247"/>
        </w:trPr>
        <w:tc>
          <w:tcPr>
            <w:tcW w:w="8180" w:type="dxa"/>
            <w:vAlign w:val="bottom"/>
          </w:tcPr>
          <w:p>
            <w:pPr>
              <w:ind w:left="420"/>
              <w:spacing w:after="0"/>
              <w:rPr>
                <w:sz w:val="20"/>
                <w:szCs w:val="20"/>
                <w:color w:val="auto"/>
              </w:rPr>
            </w:pPr>
            <w:r>
              <w:rPr>
                <w:rFonts w:ascii="Arial" w:cs="Arial" w:eastAsia="Arial" w:hAnsi="Arial"/>
                <w:sz w:val="18"/>
                <w:szCs w:val="18"/>
                <w:color w:val="auto"/>
              </w:rPr>
              <w:t>Special charges, net</w:t>
            </w:r>
          </w:p>
        </w:tc>
        <w:tc>
          <w:tcPr>
            <w:tcW w:w="18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160,710</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88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6,014,423</w:t>
            </w:r>
          </w:p>
        </w:tc>
      </w:tr>
      <w:tr>
        <w:trPr>
          <w:trHeight w:val="247"/>
        </w:trPr>
        <w:tc>
          <w:tcPr>
            <w:tcW w:w="8180" w:type="dxa"/>
            <w:vAlign w:val="bottom"/>
          </w:tcPr>
          <w:p>
            <w:pPr>
              <w:ind w:left="220"/>
              <w:spacing w:after="0"/>
              <w:rPr>
                <w:sz w:val="20"/>
                <w:szCs w:val="20"/>
                <w:color w:val="auto"/>
              </w:rPr>
            </w:pPr>
            <w:r>
              <w:rPr>
                <w:rFonts w:ascii="Arial" w:cs="Arial" w:eastAsia="Arial" w:hAnsi="Arial"/>
                <w:sz w:val="18"/>
                <w:szCs w:val="18"/>
                <w:color w:val="auto"/>
              </w:rPr>
              <w:t>Adjusted operating margin</w:t>
            </w:r>
          </w:p>
        </w:tc>
        <w:tc>
          <w:tcPr>
            <w:tcW w:w="1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48.9 %</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Diluted EPS</w:t>
            </w:r>
          </w:p>
        </w:tc>
        <w:tc>
          <w:tcPr>
            <w:tcW w:w="188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6.55</w:t>
            </w:r>
          </w:p>
        </w:tc>
      </w:tr>
      <w:tr>
        <w:trPr>
          <w:trHeight w:val="247"/>
        </w:trPr>
        <w:tc>
          <w:tcPr>
            <w:tcW w:w="818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8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3.97</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Acquisition related transaction costs</w:t>
            </w:r>
          </w:p>
        </w:tc>
        <w:tc>
          <w:tcPr>
            <w:tcW w:w="188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0.01</w:t>
            </w:r>
          </w:p>
        </w:tc>
      </w:tr>
      <w:tr>
        <w:trPr>
          <w:trHeight w:val="247"/>
        </w:trPr>
        <w:tc>
          <w:tcPr>
            <w:tcW w:w="8180" w:type="dxa"/>
            <w:vAlign w:val="bottom"/>
          </w:tcPr>
          <w:p>
            <w:pPr>
              <w:ind w:left="420"/>
              <w:spacing w:after="0"/>
              <w:rPr>
                <w:sz w:val="20"/>
                <w:szCs w:val="20"/>
                <w:color w:val="auto"/>
              </w:rPr>
            </w:pPr>
            <w:r>
              <w:rPr>
                <w:rFonts w:ascii="Arial" w:cs="Arial" w:eastAsia="Arial" w:hAnsi="Arial"/>
                <w:sz w:val="18"/>
                <w:szCs w:val="18"/>
                <w:color w:val="auto"/>
              </w:rPr>
              <w:t>Special charges, net</w:t>
            </w:r>
          </w:p>
        </w:tc>
        <w:tc>
          <w:tcPr>
            <w:tcW w:w="18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0.32</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Tax related items</w:t>
            </w:r>
          </w:p>
        </w:tc>
        <w:tc>
          <w:tcPr>
            <w:tcW w:w="188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(0.77)</w:t>
            </w:r>
          </w:p>
        </w:tc>
      </w:tr>
      <w:tr>
        <w:trPr>
          <w:trHeight w:val="263"/>
        </w:trPr>
        <w:tc>
          <w:tcPr>
            <w:tcW w:w="818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88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0067B3"/>
            </w:tcBorders>
          </w:tcPr>
          <w:p>
            <w:pPr>
              <w:jc w:val="right"/>
              <w:ind w:right="151"/>
              <w:spacing w:after="0"/>
              <w:rPr>
                <w:sz w:val="20"/>
                <w:szCs w:val="20"/>
                <w:color w:val="auto"/>
              </w:rPr>
            </w:pPr>
            <w:r>
              <w:rPr>
                <w:rFonts w:ascii="Arial" w:cs="Arial" w:eastAsia="Arial" w:hAnsi="Arial"/>
                <w:sz w:val="18"/>
                <w:szCs w:val="18"/>
                <w:b w:val="1"/>
                <w:bCs w:val="1"/>
                <w:color w:val="auto"/>
              </w:rPr>
              <w:t>10.09</w:t>
            </w:r>
          </w:p>
        </w:tc>
      </w:tr>
      <w:tr>
        <w:trPr>
          <w:trHeight w:val="458"/>
        </w:trPr>
        <w:tc>
          <w:tcPr>
            <w:tcW w:w="8180" w:type="dxa"/>
            <w:vAlign w:val="bottom"/>
          </w:tcPr>
          <w:p>
            <w:pPr>
              <w:spacing w:after="0"/>
              <w:rPr>
                <w:sz w:val="20"/>
                <w:szCs w:val="20"/>
                <w:color w:val="auto"/>
              </w:rPr>
            </w:pPr>
            <w:r>
              <w:rPr>
                <w:rFonts w:ascii="Arial" w:cs="Arial" w:eastAsia="Arial" w:hAnsi="Arial"/>
                <w:sz w:val="18"/>
                <w:szCs w:val="18"/>
                <w:b w:val="1"/>
                <w:bCs w:val="1"/>
                <w:color w:val="0067B3"/>
              </w:rPr>
              <w:t>Reconciliation of Net Cash Provided by Operating Activities to Free Cash Flow (Unaudited)</w:t>
            </w: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7"/>
        </w:trPr>
        <w:tc>
          <w:tcPr>
            <w:tcW w:w="8180" w:type="dxa"/>
            <w:vAlign w:val="bottom"/>
          </w:tcPr>
          <w:p>
            <w:pPr>
              <w:spacing w:after="0"/>
              <w:rPr>
                <w:sz w:val="20"/>
                <w:szCs w:val="20"/>
                <w:color w:val="auto"/>
              </w:rPr>
            </w:pPr>
            <w:r>
              <w:rPr>
                <w:rFonts w:ascii="Arial" w:cs="Arial" w:eastAsia="Arial" w:hAnsi="Arial"/>
                <w:sz w:val="16"/>
                <w:szCs w:val="16"/>
                <w:color w:val="auto"/>
              </w:rPr>
              <w:t>(In thousands)</w:t>
            </w: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3"/>
        </w:trPr>
        <w:tc>
          <w:tcPr>
            <w:tcW w:w="8180" w:type="dxa"/>
            <w:vAlign w:val="bottom"/>
          </w:tcPr>
          <w:p>
            <w:pPr>
              <w:spacing w:after="0"/>
              <w:rPr>
                <w:sz w:val="10"/>
                <w:szCs w:val="10"/>
                <w:color w:val="auto"/>
              </w:rPr>
            </w:pPr>
          </w:p>
        </w:tc>
        <w:tc>
          <w:tcPr>
            <w:tcW w:w="3060" w:type="dxa"/>
            <w:vAlign w:val="bottom"/>
            <w:gridSpan w:val="2"/>
          </w:tcPr>
          <w:p>
            <w:pPr>
              <w:spacing w:after="0"/>
              <w:rPr>
                <w:sz w:val="10"/>
                <w:szCs w:val="10"/>
                <w:color w:val="auto"/>
              </w:rPr>
            </w:pPr>
          </w:p>
        </w:tc>
      </w:tr>
      <w:tr>
        <w:trPr>
          <w:trHeight w:val="215"/>
        </w:trPr>
        <w:tc>
          <w:tcPr>
            <w:tcW w:w="8180" w:type="dxa"/>
            <w:vAlign w:val="bottom"/>
            <w:shd w:val="clear" w:color="auto" w:fill="0067B3"/>
          </w:tcPr>
          <w:p>
            <w:pPr>
              <w:spacing w:after="0"/>
              <w:rPr>
                <w:sz w:val="18"/>
                <w:szCs w:val="18"/>
                <w:color w:val="auto"/>
              </w:rPr>
            </w:pPr>
          </w:p>
        </w:tc>
        <w:tc>
          <w:tcPr>
            <w:tcW w:w="3060" w:type="dxa"/>
            <w:vAlign w:val="bottom"/>
            <w:gridSpan w:val="2"/>
            <w:shd w:val="clear" w:color="auto" w:fill="0067B3"/>
          </w:tcPr>
          <w:p>
            <w:pPr>
              <w:jc w:val="center"/>
              <w:ind w:left="312"/>
              <w:spacing w:after="0"/>
              <w:rPr>
                <w:sz w:val="20"/>
                <w:szCs w:val="20"/>
                <w:color w:val="auto"/>
              </w:rPr>
            </w:pPr>
            <w:r>
              <w:rPr>
                <w:rFonts w:ascii="Arial" w:cs="Arial" w:eastAsia="Arial" w:hAnsi="Arial"/>
                <w:sz w:val="16"/>
                <w:szCs w:val="16"/>
                <w:b w:val="1"/>
                <w:bCs w:val="1"/>
                <w:color w:val="FFFFFF"/>
              </w:rPr>
              <w:t>Twelve months ended October 28,</w:t>
            </w:r>
          </w:p>
        </w:tc>
      </w:tr>
      <w:tr>
        <w:trPr>
          <w:trHeight w:val="230"/>
        </w:trPr>
        <w:tc>
          <w:tcPr>
            <w:tcW w:w="8180" w:type="dxa"/>
            <w:vAlign w:val="bottom"/>
            <w:shd w:val="clear" w:color="auto" w:fill="0067B3"/>
          </w:tcPr>
          <w:p>
            <w:pPr>
              <w:spacing w:after="0"/>
              <w:rPr>
                <w:sz w:val="20"/>
                <w:szCs w:val="20"/>
                <w:color w:val="auto"/>
              </w:rPr>
            </w:pPr>
          </w:p>
        </w:tc>
        <w:tc>
          <w:tcPr>
            <w:tcW w:w="1880" w:type="dxa"/>
            <w:vAlign w:val="bottom"/>
            <w:shd w:val="clear" w:color="auto" w:fill="0067B3"/>
          </w:tcPr>
          <w:p>
            <w:pPr>
              <w:spacing w:after="0"/>
              <w:rPr>
                <w:sz w:val="20"/>
                <w:szCs w:val="20"/>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2023</w:t>
            </w:r>
          </w:p>
        </w:tc>
      </w:tr>
      <w:tr>
        <w:trPr>
          <w:trHeight w:val="250"/>
        </w:trPr>
        <w:tc>
          <w:tcPr>
            <w:tcW w:w="81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Revenue</w:t>
            </w:r>
          </w:p>
        </w:tc>
        <w:tc>
          <w:tcPr>
            <w:tcW w:w="1880" w:type="dxa"/>
            <w:vAlign w:val="bottom"/>
            <w:tcBorders>
              <w:bottom w:val="single" w:sz="8" w:color="E2E6F4"/>
            </w:tcBorders>
            <w:shd w:val="clear" w:color="auto" w:fill="E2E6F4"/>
          </w:tcPr>
          <w:p>
            <w:pPr>
              <w:jc w:val="center"/>
              <w:ind w:left="14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12,305,539</w:t>
            </w:r>
          </w:p>
        </w:tc>
      </w:tr>
      <w:tr>
        <w:trPr>
          <w:trHeight w:val="26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880" w:type="dxa"/>
            <w:vAlign w:val="bottom"/>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4,817,634</w:t>
            </w:r>
          </w:p>
        </w:tc>
      </w:tr>
      <w:tr>
        <w:trPr>
          <w:trHeight w:val="258"/>
        </w:trPr>
        <w:tc>
          <w:tcPr>
            <w:tcW w:w="81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 of revenue</w:t>
            </w:r>
          </w:p>
        </w:tc>
        <w:tc>
          <w:tcPr>
            <w:tcW w:w="188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39 %</w:t>
            </w:r>
          </w:p>
        </w:tc>
      </w:tr>
      <w:tr>
        <w:trPr>
          <w:trHeight w:val="247"/>
        </w:trPr>
        <w:tc>
          <w:tcPr>
            <w:tcW w:w="8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880" w:type="dxa"/>
            <w:vAlign w:val="bottom"/>
          </w:tcPr>
          <w:p>
            <w:pPr>
              <w:jc w:val="center"/>
              <w:ind w:left="14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(1,261,463)</w:t>
            </w:r>
          </w:p>
        </w:tc>
      </w:tr>
      <w:tr>
        <w:trPr>
          <w:trHeight w:val="23"/>
        </w:trPr>
        <w:tc>
          <w:tcPr>
            <w:tcW w:w="8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1880" w:type="dxa"/>
            <w:vAlign w:val="bottom"/>
            <w:shd w:val="clear" w:color="auto" w:fill="E2E6F4"/>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3,556,171</w:t>
            </w:r>
          </w:p>
        </w:tc>
      </w:tr>
      <w:tr>
        <w:trPr>
          <w:trHeight w:val="247"/>
        </w:trPr>
        <w:tc>
          <w:tcPr>
            <w:tcW w:w="81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
        </w:trPr>
        <w:tc>
          <w:tcPr>
            <w:tcW w:w="8180" w:type="dxa"/>
            <w:vAlign w:val="bottom"/>
            <w:tcBorders>
              <w:bottom w:val="single" w:sz="8" w:color="0067B3"/>
            </w:tcBorders>
          </w:tcPr>
          <w:p>
            <w:pPr>
              <w:spacing w:after="0"/>
              <w:rPr>
                <w:sz w:val="2"/>
                <w:szCs w:val="2"/>
                <w:color w:val="auto"/>
              </w:rPr>
            </w:pPr>
          </w:p>
        </w:tc>
        <w:tc>
          <w:tcPr>
            <w:tcW w:w="1880" w:type="dxa"/>
            <w:vAlign w:val="bottom"/>
            <w:tcBorders>
              <w:bottom w:val="single" w:sz="8" w:color="0067B3"/>
            </w:tcBorders>
          </w:tcPr>
          <w:p>
            <w:pPr>
              <w:spacing w:after="0"/>
              <w:rPr>
                <w:sz w:val="2"/>
                <w:szCs w:val="2"/>
                <w:color w:val="auto"/>
              </w:rPr>
            </w:pPr>
          </w:p>
        </w:tc>
        <w:tc>
          <w:tcPr>
            <w:tcW w:w="1180" w:type="dxa"/>
            <w:vAlign w:val="bottom"/>
            <w:tcBorders>
              <w:bottom w:val="single" w:sz="8" w:color="0067B3"/>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Free cash flow is defined as net cash provided by operating activities, less capital expenditures.</w:t>
      </w:r>
    </w:p>
    <w:p>
      <w:pPr>
        <w:spacing w:after="0" w:line="397"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b w:val="1"/>
          <w:bCs w:val="1"/>
          <w:color w:val="auto"/>
        </w:rPr>
        <w:t>100</w:t>
      </w:r>
      <w:r>
        <w:rPr>
          <w:sz w:val="20"/>
          <w:szCs w:val="20"/>
          <w:color w:val="auto"/>
        </w:rPr>
        <w:tab/>
      </w:r>
      <w:r>
        <w:rPr>
          <w:rFonts w:ascii="Arial" w:cs="Arial" w:eastAsia="Arial" w:hAnsi="Arial"/>
          <w:sz w:val="16"/>
          <w:szCs w:val="16"/>
          <w:color w:val="6D6E71"/>
        </w:rPr>
        <w:t>Appendix A: Reconciliation of GAAP Measures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14" w:name="page115"/>
    <w:bookmarkEnd w:id="114"/>
    <w:p>
      <w:pPr>
        <w:spacing w:after="0"/>
        <w:rPr>
          <w:sz w:val="20"/>
          <w:szCs w:val="20"/>
          <w:color w:val="auto"/>
        </w:rPr>
      </w:pPr>
      <w:r>
        <w:rPr>
          <w:rFonts w:ascii="Arial" w:cs="Arial" w:eastAsia="Arial" w:hAnsi="Arial"/>
          <w:sz w:val="58"/>
          <w:szCs w:val="58"/>
          <w:color w:val="auto"/>
        </w:rPr>
        <w:t>Helpful Resources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&amp;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https://investor.analog.com/financial-info/annual-reports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Voting Your Proxy via the Internet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www.proxyvote.com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https://investor.analog.com/governance/board-of-directors</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Relations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Corporate Social Responsibility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https://www.analog.com/en/company/environment-social-governance.html</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ESG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https://www.analog.com/media/en/company-csr/2022-esg-report.pdf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Web links are provided for convenience only, and the content on the referenced websites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0067B3"/>
        </w:rPr>
        <w:t xml:space="preserve">2024 Proxy Statement  </w:t>
      </w:r>
      <w:r>
        <w:rPr>
          <w:rFonts w:ascii="Arial" w:cs="Arial" w:eastAsia="Arial" w:hAnsi="Arial"/>
          <w:sz w:val="19"/>
          <w:szCs w:val="19"/>
          <w:b w:val="1"/>
          <w:bCs w:val="1"/>
          <w:color w:val="000000"/>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7949565</wp:posOffset>
            </wp:positionV>
            <wp:extent cx="1731645" cy="7626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762635"/>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8018145</wp:posOffset>
            </wp:positionV>
            <wp:extent cx="1474470" cy="6686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668655"/>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8815705</wp:posOffset>
            </wp:positionV>
            <wp:extent cx="737235" cy="3168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7372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www.analog.com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113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1."/>
      <w:numFmt w:val="decimal"/>
      <w:start w:val="1"/>
    </w:lvl>
  </w:abstractNum>
  <w:abstractNum w:abstractNumId="6">
    <w:nsid w:val="5FB8011C"/>
    <w:multiLevelType w:val="hybridMultilevel"/>
    <w:lvl w:ilvl="0">
      <w:lvlJc w:val="left"/>
      <w:lvlText w:val="u"/>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2"/>
      <w:numFmt w:val="bullet"/>
      <w:start w:val="1"/>
    </w:lvl>
  </w:abstractNum>
  <w:abstractNum w:abstractNumId="9">
    <w:nsid w:val="6FC75AF8"/>
    <w:multiLevelType w:val="hybridMultilevel"/>
    <w:lvl w:ilvl="0">
      <w:lvlJc w:val="left"/>
      <w:lvlText w:val="u"/>
      <w:numFmt w:val="bullet"/>
      <w:start w:val="1"/>
    </w:lvl>
  </w:abstractNum>
  <w:abstractNum w:abstractNumId="10">
    <w:nsid w:val="6A5F7029"/>
    <w:multiLevelType w:val="hybridMultilevel"/>
    <w:lvl w:ilvl="0">
      <w:lvlJc w:val="left"/>
      <w:lvlText w:val="u"/>
      <w:numFmt w:val="bullet"/>
      <w:start w:val="1"/>
    </w:lvl>
  </w:abstractNum>
  <w:abstractNum w:abstractNumId="11">
    <w:nsid w:val="7D5E18F8"/>
    <w:multiLevelType w:val="hybridMultilevel"/>
    <w:lvl w:ilvl="0">
      <w:lvlJc w:val="left"/>
      <w:lvlText w:val="u"/>
      <w:numFmt w:val="bullet"/>
      <w:start w:val="1"/>
    </w:lvl>
  </w:abstractNum>
  <w:abstractNum w:abstractNumId="12">
    <w:nsid w:val="5F3534A4"/>
    <w:multiLevelType w:val="hybridMultilevel"/>
    <w:lvl w:ilvl="0">
      <w:lvlJc w:val="left"/>
      <w:lvlText w:val="u"/>
      <w:numFmt w:val="bullet"/>
      <w:start w:val="1"/>
    </w:lvl>
  </w:abstractNum>
  <w:abstractNum w:abstractNumId="13">
    <w:nsid w:val="73A1821B"/>
    <w:multiLevelType w:val="hybridMultilevel"/>
    <w:lvl w:ilvl="0">
      <w:lvlJc w:val="left"/>
      <w:lvlText w:val="u"/>
      <w:numFmt w:val="bullet"/>
      <w:start w:val="1"/>
    </w:lvl>
  </w:abstractNum>
  <w:abstractNum w:abstractNumId="14">
    <w:nsid w:val="7DE67713"/>
    <w:multiLevelType w:val="hybridMultilevel"/>
    <w:lvl w:ilvl="0">
      <w:lvlJc w:val="left"/>
      <w:lvlText w:val="u"/>
      <w:numFmt w:val="bullet"/>
      <w:start w:val="1"/>
    </w:lvl>
  </w:abstractNum>
  <w:abstractNum w:abstractNumId="15">
    <w:nsid w:val="555C55B5"/>
    <w:multiLevelType w:val="hybridMultilevel"/>
    <w:lvl w:ilvl="0">
      <w:lvlJc w:val="left"/>
      <w:lvlText w:val="u"/>
      <w:numFmt w:val="bullet"/>
      <w:start w:val="1"/>
    </w:lvl>
  </w:abstractNum>
  <w:abstractNum w:abstractNumId="16">
    <w:nsid w:val="3FA62ACA"/>
    <w:multiLevelType w:val="hybridMultilevel"/>
    <w:lvl w:ilvl="0">
      <w:lvlJc w:val="left"/>
      <w:lvlText w:val="u"/>
      <w:numFmt w:val="bullet"/>
      <w:start w:val="1"/>
    </w:lvl>
  </w:abstractNum>
  <w:abstractNum w:abstractNumId="17">
    <w:nsid w:val="14FCE74E"/>
    <w:multiLevelType w:val="hybridMultilevel"/>
    <w:lvl w:ilvl="0">
      <w:lvlJc w:val="left"/>
      <w:lvlText w:val="4"/>
      <w:numFmt w:val="bullet"/>
      <w:start w:val="1"/>
    </w:lvl>
  </w:abstractNum>
  <w:abstractNum w:abstractNumId="18">
    <w:nsid w:val="6A3DD3E8"/>
    <w:multiLevelType w:val="hybridMultilevel"/>
    <w:lvl w:ilvl="0">
      <w:lvlJc w:val="left"/>
      <w:lvlText w:val="u"/>
      <w:numFmt w:val="bullet"/>
      <w:start w:val="1"/>
    </w:lvl>
  </w:abstractNum>
  <w:abstractNum w:abstractNumId="19">
    <w:nsid w:val="71C91298"/>
    <w:multiLevelType w:val="hybridMultilevel"/>
    <w:lvl w:ilvl="0">
      <w:lvlJc w:val="left"/>
      <w:lvlText w:val="3"/>
      <w:numFmt w:val="bullet"/>
      <w:start w:val="1"/>
    </w:lvl>
  </w:abstractNum>
  <w:abstractNum w:abstractNumId="20">
    <w:nsid w:val="9DAF632"/>
    <w:multiLevelType w:val="hybridMultilevel"/>
    <w:lvl w:ilvl="0">
      <w:lvlJc w:val="left"/>
      <w:lvlText w:val="4"/>
      <w:numFmt w:val="bullet"/>
      <w:start w:val="1"/>
    </w:lvl>
  </w:abstractNum>
  <w:abstractNum w:abstractNumId="21">
    <w:nsid w:val="53299938"/>
    <w:multiLevelType w:val="hybridMultilevel"/>
    <w:lvl w:ilvl="0">
      <w:lvlJc w:val="left"/>
      <w:lvlText w:val="u"/>
      <w:numFmt w:val="bullet"/>
      <w:start w:val="1"/>
    </w:lvl>
  </w:abstractNum>
  <w:abstractNum w:abstractNumId="22">
    <w:nsid w:val="1FBFE8E0"/>
    <w:multiLevelType w:val="hybridMultilevel"/>
    <w:lvl w:ilvl="0">
      <w:lvlJc w:val="left"/>
      <w:lvlText w:val="6"/>
      <w:numFmt w:val="bullet"/>
      <w:start w:val="1"/>
    </w:lvl>
  </w:abstractNum>
  <w:abstractNum w:abstractNumId="23">
    <w:nsid w:val="5092CA79"/>
    <w:multiLevelType w:val="hybridMultilevel"/>
    <w:lvl w:ilvl="0">
      <w:lvlJc w:val="left"/>
      <w:lvlText w:val="8"/>
      <w:numFmt w:val="bullet"/>
      <w:start w:val="1"/>
    </w:lvl>
  </w:abstractNum>
  <w:abstractNum w:abstractNumId="24">
    <w:nsid w:val="1D545C4D"/>
    <w:multiLevelType w:val="hybridMultilevel"/>
    <w:lvl w:ilvl="0">
      <w:lvlJc w:val="left"/>
      <w:lvlText w:val="u"/>
      <w:numFmt w:val="bullet"/>
      <w:start w:val="1"/>
    </w:lvl>
  </w:abstractNum>
  <w:abstractNum w:abstractNumId="25">
    <w:nsid w:val="59ADEA3D"/>
    <w:multiLevelType w:val="hybridMultilevel"/>
    <w:lvl w:ilvl="0">
      <w:lvlJc w:val="left"/>
      <w:lvlText w:val="u"/>
      <w:numFmt w:val="bullet"/>
      <w:start w:val="1"/>
    </w:lvl>
  </w:abstractNum>
  <w:abstractNum w:abstractNumId="26">
    <w:nsid w:val="288F1A34"/>
    <w:multiLevelType w:val="hybridMultilevel"/>
    <w:lvl w:ilvl="0">
      <w:lvlJc w:val="left"/>
      <w:lvlText w:val="u"/>
      <w:numFmt w:val="bullet"/>
      <w:start w:val="1"/>
    </w:lvl>
  </w:abstractNum>
  <w:abstractNum w:abstractNumId="27">
    <w:nsid w:val="2A155DBC"/>
    <w:multiLevelType w:val="hybridMultilevel"/>
    <w:lvl w:ilvl="0">
      <w:lvlJc w:val="left"/>
      <w:lvlText w:val="u"/>
      <w:numFmt w:val="bullet"/>
      <w:start w:val="1"/>
    </w:lvl>
  </w:abstractNum>
  <w:abstractNum w:abstractNumId="28">
    <w:nsid w:val="1D9F6E5F"/>
    <w:multiLevelType w:val="hybridMultilevel"/>
    <w:lvl w:ilvl="0">
      <w:lvlJc w:val="left"/>
      <w:lvlText w:val="u"/>
      <w:numFmt w:val="bullet"/>
      <w:start w:val="1"/>
    </w:lvl>
  </w:abstractNum>
  <w:abstractNum w:abstractNumId="29">
    <w:nsid w:val="97E1B4E"/>
    <w:multiLevelType w:val="hybridMultilevel"/>
    <w:lvl w:ilvl="0">
      <w:lvlJc w:val="left"/>
      <w:lvlText w:val="u"/>
      <w:numFmt w:val="bullet"/>
      <w:start w:val="1"/>
    </w:lvl>
  </w:abstractNum>
  <w:abstractNum w:abstractNumId="30">
    <w:nsid w:val="51088277"/>
    <w:multiLevelType w:val="hybridMultilevel"/>
    <w:lvl w:ilvl="0">
      <w:lvlJc w:val="left"/>
      <w:lvlText w:val="u"/>
      <w:numFmt w:val="bullet"/>
      <w:start w:val="1"/>
    </w:lvl>
  </w:abstractNum>
  <w:abstractNum w:abstractNumId="31">
    <w:nsid w:val="1CA0C5FA"/>
    <w:multiLevelType w:val="hybridMultilevel"/>
    <w:lvl w:ilvl="0">
      <w:lvlJc w:val="left"/>
      <w:lvlText w:val="u"/>
      <w:numFmt w:val="bullet"/>
      <w:start w:val="1"/>
    </w:lvl>
  </w:abstractNum>
  <w:abstractNum w:abstractNumId="32">
    <w:nsid w:val="53584BCB"/>
    <w:multiLevelType w:val="hybridMultilevel"/>
    <w:lvl w:ilvl="0">
      <w:lvlJc w:val="left"/>
      <w:lvlText w:val="%1"/>
      <w:numFmt w:val="decimal"/>
      <w:start w:val="10"/>
    </w:lvl>
  </w:abstractNum>
  <w:abstractNum w:abstractNumId="33">
    <w:nsid w:val="415E286C"/>
    <w:multiLevelType w:val="hybridMultilevel"/>
    <w:lvl w:ilvl="0">
      <w:lvlJc w:val="left"/>
      <w:lvlText w:val="(%1)"/>
      <w:numFmt w:val="decimal"/>
      <w:start w:val="1"/>
    </w:lvl>
  </w:abstractNum>
  <w:abstractNum w:abstractNumId="34">
    <w:nsid w:val="7C58FD05"/>
    <w:multiLevelType w:val="hybridMultilevel"/>
    <w:lvl w:ilvl="0">
      <w:lvlJc w:val="left"/>
      <w:lvlText w:val="%1"/>
      <w:numFmt w:val="decimal"/>
      <w:start w:val="12"/>
    </w:lvl>
  </w:abstractNum>
  <w:abstractNum w:abstractNumId="35">
    <w:nsid w:val="23D86AAC"/>
    <w:multiLevelType w:val="hybridMultilevel"/>
    <w:lvl w:ilvl="0">
      <w:lvlJc w:val="left"/>
      <w:lvlText w:val="%1"/>
      <w:numFmt w:val="decimal"/>
      <w:start w:val="14"/>
    </w:lvl>
  </w:abstractNum>
  <w:abstractNum w:abstractNumId="36">
    <w:nsid w:val="45E6D486"/>
    <w:multiLevelType w:val="hybridMultilevel"/>
    <w:lvl w:ilvl="0">
      <w:lvlJc w:val="left"/>
      <w:lvlText w:val="(%1)"/>
      <w:numFmt w:val="decimal"/>
      <w:start w:val="1"/>
    </w:lvl>
  </w:abstractNum>
  <w:abstractNum w:abstractNumId="37">
    <w:nsid w:val="5C10FE21"/>
    <w:multiLevelType w:val="hybridMultilevel"/>
    <w:lvl w:ilvl="0">
      <w:lvlJc w:val="left"/>
      <w:lvlText w:val="u"/>
      <w:numFmt w:val="bullet"/>
      <w:start w:val="1"/>
    </w:lvl>
  </w:abstractNum>
  <w:abstractNum w:abstractNumId="38">
    <w:nsid w:val="E7FFA2B"/>
    <w:multiLevelType w:val="hybridMultilevel"/>
    <w:lvl w:ilvl="0">
      <w:lvlJc w:val="left"/>
      <w:lvlText w:val="u"/>
      <w:numFmt w:val="bullet"/>
      <w:start w:val="1"/>
    </w:lvl>
  </w:abstractNum>
  <w:abstractNum w:abstractNumId="39">
    <w:nsid w:val="3C5991AA"/>
    <w:multiLevelType w:val="hybridMultilevel"/>
    <w:lvl w:ilvl="0">
      <w:lvlJc w:val="left"/>
      <w:lvlText w:val="(%1)"/>
      <w:numFmt w:val="decimal"/>
      <w:start w:val="1"/>
    </w:lvl>
  </w:abstractNum>
  <w:abstractNum w:abstractNumId="40">
    <w:nsid w:val="4BD8591A"/>
    <w:multiLevelType w:val="hybridMultilevel"/>
    <w:lvl w:ilvl="0">
      <w:lvlJc w:val="left"/>
      <w:lvlText w:val="u"/>
      <w:numFmt w:val="bullet"/>
      <w:start w:val="1"/>
    </w:lvl>
  </w:abstractNum>
  <w:abstractNum w:abstractNumId="41">
    <w:nsid w:val="78DF6A55"/>
    <w:multiLevelType w:val="hybridMultilevel"/>
    <w:lvl w:ilvl="0">
      <w:lvlJc w:val="left"/>
      <w:lvlText w:val="(%1)"/>
      <w:numFmt w:val="decimal"/>
      <w:start w:val="1"/>
    </w:lvl>
  </w:abstractNum>
  <w:abstractNum w:abstractNumId="42">
    <w:nsid w:val="39B7AAA2"/>
    <w:multiLevelType w:val="hybridMultilevel"/>
    <w:lvl w:ilvl="0">
      <w:lvlJc w:val="left"/>
      <w:lvlText w:val="(%1)"/>
      <w:numFmt w:val="lowerRoman"/>
      <w:start w:val="1"/>
    </w:lvl>
  </w:abstractNum>
  <w:abstractNum w:abstractNumId="43">
    <w:nsid w:val="2B0D8DBE"/>
    <w:multiLevelType w:val="hybridMultilevel"/>
    <w:lvl w:ilvl="0">
      <w:lvlJc w:val="left"/>
      <w:lvlText w:val="u"/>
      <w:numFmt w:val="bullet"/>
      <w:start w:val="1"/>
    </w:lvl>
  </w:abstractNum>
  <w:abstractNum w:abstractNumId="44">
    <w:nsid w:val="6C80EC70"/>
    <w:multiLevelType w:val="hybridMultilevel"/>
    <w:lvl w:ilvl="0">
      <w:lvlJc w:val="left"/>
      <w:lvlText w:val="u"/>
      <w:numFmt w:val="bullet"/>
      <w:start w:val="1"/>
    </w:lvl>
  </w:abstractNum>
  <w:abstractNum w:abstractNumId="45">
    <w:nsid w:val="379E21B5"/>
    <w:multiLevelType w:val="hybridMultilevel"/>
    <w:lvl w:ilvl="0">
      <w:lvlJc w:val="left"/>
      <w:lvlText w:val="(%1)"/>
      <w:numFmt w:val="decimal"/>
      <w:start w:val="1"/>
    </w:lvl>
  </w:abstractNum>
  <w:abstractNum w:abstractNumId="46">
    <w:nsid w:val="69E373"/>
    <w:multiLevelType w:val="hybridMultilevel"/>
    <w:lvl w:ilvl="0">
      <w:lvlJc w:val="left"/>
      <w:lvlText w:val="u"/>
      <w:numFmt w:val="bullet"/>
      <w:start w:val="1"/>
    </w:lvl>
  </w:abstractNum>
  <w:abstractNum w:abstractNumId="47">
    <w:nsid w:val="2C27173B"/>
    <w:multiLevelType w:val="hybridMultilevel"/>
    <w:lvl w:ilvl="0">
      <w:lvlJc w:val="left"/>
      <w:lvlText w:val="(%1)"/>
      <w:numFmt w:val="decimal"/>
      <w:start w:val="1"/>
    </w:lvl>
  </w:abstractNum>
  <w:abstractNum w:abstractNumId="48">
    <w:nsid w:val="4C9B0904"/>
    <w:multiLevelType w:val="hybridMultilevel"/>
    <w:lvl w:ilvl="0">
      <w:lvlJc w:val="left"/>
      <w:lvlText w:val="u"/>
      <w:numFmt w:val="bullet"/>
      <w:start w:val="1"/>
    </w:lvl>
  </w:abstractNum>
  <w:abstractNum w:abstractNumId="49">
    <w:nsid w:val="6AA7B75C"/>
    <w:multiLevelType w:val="hybridMultilevel"/>
    <w:lvl w:ilvl="0">
      <w:lvlJc w:val="left"/>
      <w:lvlText w:val="u"/>
      <w:numFmt w:val="bullet"/>
      <w:start w:val="1"/>
    </w:lvl>
  </w:abstractNum>
  <w:abstractNum w:abstractNumId="50">
    <w:nsid w:val="1DF029D3"/>
    <w:multiLevelType w:val="hybridMultilevel"/>
    <w:lvl w:ilvl="0">
      <w:lvlJc w:val="left"/>
      <w:lvlText w:val="u"/>
      <w:numFmt w:val="bullet"/>
      <w:start w:val="1"/>
    </w:lvl>
  </w:abstractNum>
  <w:abstractNum w:abstractNumId="51">
    <w:nsid w:val="5675FF36"/>
    <w:multiLevelType w:val="hybridMultilevel"/>
    <w:lvl w:ilvl="0">
      <w:lvlJc w:val="left"/>
      <w:lvlText w:val="u"/>
      <w:numFmt w:val="bullet"/>
      <w:start w:val="1"/>
    </w:lvl>
  </w:abstractNum>
  <w:abstractNum w:abstractNumId="52">
    <w:nsid w:val="3DD15094"/>
    <w:multiLevelType w:val="hybridMultilevel"/>
    <w:lvl w:ilvl="0">
      <w:lvlJc w:val="left"/>
      <w:lvlText w:val="u"/>
      <w:numFmt w:val="bullet"/>
      <w:start w:val="1"/>
    </w:lvl>
  </w:abstractNum>
  <w:abstractNum w:abstractNumId="53">
    <w:nsid w:val="3DB012B3"/>
    <w:multiLevelType w:val="hybridMultilevel"/>
    <w:lvl w:ilvl="0">
      <w:lvlJc w:val="left"/>
      <w:lvlText w:val="u"/>
      <w:numFmt w:val="bullet"/>
      <w:start w:val="1"/>
    </w:lvl>
  </w:abstractNum>
  <w:abstractNum w:abstractNumId="54">
    <w:nsid w:val="2708C9AF"/>
    <w:multiLevelType w:val="hybridMultilevel"/>
    <w:lvl w:ilvl="0">
      <w:lvlJc w:val="left"/>
      <w:lvlText w:val="u"/>
      <w:numFmt w:val="bullet"/>
      <w:start w:val="1"/>
    </w:lvl>
  </w:abstractNum>
  <w:abstractNum w:abstractNumId="55">
    <w:nsid w:val="5B25ACE2"/>
    <w:multiLevelType w:val="hybridMultilevel"/>
    <w:lvl w:ilvl="0">
      <w:lvlJc w:val="left"/>
      <w:lvlText w:val="u"/>
      <w:numFmt w:val="bullet"/>
      <w:start w:val="1"/>
    </w:lvl>
  </w:abstractNum>
  <w:abstractNum w:abstractNumId="56">
    <w:nsid w:val="175DFCF0"/>
    <w:multiLevelType w:val="hybridMultilevel"/>
    <w:lvl w:ilvl="0">
      <w:lvlJc w:val="left"/>
      <w:lvlText w:val="u"/>
      <w:numFmt w:val="bullet"/>
      <w:start w:val="1"/>
    </w:lvl>
  </w:abstractNum>
  <w:abstractNum w:abstractNumId="57">
    <w:nsid w:val="4F97E3E4"/>
    <w:multiLevelType w:val="hybridMultilevel"/>
    <w:lvl w:ilvl="0">
      <w:lvlJc w:val="left"/>
      <w:lvlText w:val="u"/>
      <w:numFmt w:val="bullet"/>
      <w:start w:val="1"/>
    </w:lvl>
  </w:abstractNum>
  <w:abstractNum w:abstractNumId="58">
    <w:nsid w:val="53B0A9E"/>
    <w:multiLevelType w:val="hybridMultilevel"/>
    <w:lvl w:ilvl="0">
      <w:lvlJc w:val="left"/>
      <w:lvlText w:val="u"/>
      <w:numFmt w:val="bullet"/>
      <w:start w:val="1"/>
    </w:lvl>
  </w:abstractNum>
  <w:abstractNum w:abstractNumId="59">
    <w:nsid w:val="34FD6B4F"/>
    <w:multiLevelType w:val="hybridMultilevel"/>
    <w:lvl w:ilvl="0">
      <w:lvlJc w:val="left"/>
      <w:lvlText w:val="u"/>
      <w:numFmt w:val="bullet"/>
      <w:start w:val="1"/>
    </w:lvl>
  </w:abstractNum>
  <w:abstractNum w:abstractNumId="60">
    <w:nsid w:val="5915FF32"/>
    <w:multiLevelType w:val="hybridMultilevel"/>
    <w:lvl w:ilvl="0">
      <w:lvlJc w:val="left"/>
      <w:lvlText w:val="u"/>
      <w:numFmt w:val="bullet"/>
      <w:start w:val="1"/>
    </w:lvl>
  </w:abstractNum>
  <w:abstractNum w:abstractNumId="61">
    <w:nsid w:val="56438D15"/>
    <w:multiLevelType w:val="hybridMultilevel"/>
    <w:lvl w:ilvl="0">
      <w:lvlJc w:val="left"/>
      <w:lvlText w:val="u"/>
      <w:numFmt w:val="bullet"/>
      <w:start w:val="1"/>
    </w:lvl>
  </w:abstractNum>
  <w:abstractNum w:abstractNumId="62">
    <w:nsid w:val="519E3149"/>
    <w:multiLevelType w:val="hybridMultilevel"/>
    <w:lvl w:ilvl="0">
      <w:lvlJc w:val="left"/>
      <w:lvlText w:val="u"/>
      <w:numFmt w:val="bullet"/>
      <w:start w:val="1"/>
    </w:lvl>
  </w:abstractNum>
  <w:abstractNum w:abstractNumId="63">
    <w:nsid w:val="2C6E4AFD"/>
    <w:multiLevelType w:val="hybridMultilevel"/>
    <w:lvl w:ilvl="0">
      <w:lvlJc w:val="left"/>
      <w:lvlText w:val="u"/>
      <w:numFmt w:val="bullet"/>
      <w:start w:val="1"/>
    </w:lvl>
  </w:abstractNum>
  <w:abstractNum w:abstractNumId="64">
    <w:nsid w:val="17A1B582"/>
    <w:multiLevelType w:val="hybridMultilevel"/>
    <w:lvl w:ilvl="0">
      <w:lvlJc w:val="left"/>
      <w:lvlText w:val="u"/>
      <w:numFmt w:val="bullet"/>
      <w:start w:val="1"/>
    </w:lvl>
  </w:abstractNum>
  <w:abstractNum w:abstractNumId="65">
    <w:nsid w:val="4DF72E4E"/>
    <w:multiLevelType w:val="hybridMultilevel"/>
    <w:lvl w:ilvl="0">
      <w:lvlJc w:val="left"/>
      <w:lvlText w:val="u"/>
      <w:numFmt w:val="bullet"/>
      <w:start w:val="1"/>
    </w:lvl>
  </w:abstractNum>
  <w:abstractNum w:abstractNumId="66">
    <w:nsid w:val="5046B5A9"/>
    <w:multiLevelType w:val="hybridMultilevel"/>
    <w:lvl w:ilvl="0">
      <w:lvlJc w:val="left"/>
      <w:lvlText w:val="u"/>
      <w:numFmt w:val="bullet"/>
      <w:start w:val="1"/>
    </w:lvl>
  </w:abstractNum>
  <w:abstractNum w:abstractNumId="67">
    <w:nsid w:val="5D888A08"/>
    <w:multiLevelType w:val="hybridMultilevel"/>
    <w:lvl w:ilvl="0">
      <w:lvlJc w:val="left"/>
      <w:lvlText w:val="u"/>
      <w:numFmt w:val="bullet"/>
      <w:start w:val="1"/>
    </w:lvl>
  </w:abstractNum>
  <w:abstractNum w:abstractNumId="68">
    <w:nsid w:val="2A082C70"/>
    <w:multiLevelType w:val="hybridMultilevel"/>
    <w:lvl w:ilvl="0">
      <w:lvlJc w:val="left"/>
      <w:lvlText w:val="u"/>
      <w:numFmt w:val="bullet"/>
      <w:start w:val="1"/>
    </w:lvl>
  </w:abstractNum>
  <w:abstractNum w:abstractNumId="69">
    <w:nsid w:val="5EC6AFD4"/>
    <w:multiLevelType w:val="hybridMultilevel"/>
    <w:lvl w:ilvl="0">
      <w:lvlJc w:val="left"/>
      <w:lvlText w:val="u"/>
      <w:numFmt w:val="bullet"/>
      <w:start w:val="1"/>
    </w:lvl>
  </w:abstractNum>
  <w:abstractNum w:abstractNumId="70">
    <w:nsid w:val="19E21BB2"/>
    <w:multiLevelType w:val="hybridMultilevel"/>
    <w:lvl w:ilvl="0">
      <w:lvlJc w:val="left"/>
      <w:lvlText w:val="u"/>
      <w:numFmt w:val="bullet"/>
      <w:start w:val="1"/>
    </w:lvl>
  </w:abstractNum>
  <w:abstractNum w:abstractNumId="71">
    <w:nsid w:val="75E0858A"/>
    <w:multiLevelType w:val="hybridMultilevel"/>
    <w:lvl w:ilvl="0">
      <w:lvlJc w:val="left"/>
      <w:lvlText w:val="u"/>
      <w:numFmt w:val="bullet"/>
      <w:start w:val="1"/>
    </w:lvl>
  </w:abstractNum>
  <w:abstractNum w:abstractNumId="72">
    <w:nsid w:val="57A61A29"/>
    <w:multiLevelType w:val="hybridMultilevel"/>
    <w:lvl w:ilvl="0">
      <w:lvlJc w:val="left"/>
      <w:lvlText w:val="u"/>
      <w:numFmt w:val="bullet"/>
      <w:start w:val="1"/>
    </w:lvl>
  </w:abstractNum>
  <w:abstractNum w:abstractNumId="73">
    <w:nsid w:val="5399C654"/>
    <w:multiLevelType w:val="hybridMultilevel"/>
    <w:lvl w:ilvl="0">
      <w:lvlJc w:val="left"/>
      <w:lvlText w:val="(%1)"/>
      <w:numFmt w:val="decimal"/>
      <w:start w:val="1"/>
    </w:lvl>
  </w:abstractNum>
  <w:abstractNum w:abstractNumId="74">
    <w:nsid w:val="20EE1348"/>
    <w:multiLevelType w:val="hybridMultilevel"/>
    <w:lvl w:ilvl="0">
      <w:lvlJc w:val="left"/>
      <w:lvlText w:val="(%1)"/>
      <w:numFmt w:val="decimal"/>
      <w:start w:val="1"/>
    </w:lvl>
  </w:abstractNum>
  <w:abstractNum w:abstractNumId="75">
    <w:nsid w:val="4427069A"/>
    <w:multiLevelType w:val="hybridMultilevel"/>
    <w:lvl w:ilvl="0">
      <w:lvlJc w:val="left"/>
      <w:lvlText w:val="%1"/>
      <w:numFmt w:val="decimal"/>
      <w:start w:val="1"/>
    </w:lvl>
    <w:lvl w:ilvl="1">
      <w:lvlJc w:val="left"/>
      <w:lvlText w:val="(%2)"/>
      <w:numFmt w:val="lowerLetter"/>
      <w:start w:val="1"/>
    </w:lvl>
  </w:abstractNum>
  <w:abstractNum w:abstractNumId="76">
    <w:nsid w:val="B37E80A"/>
    <w:multiLevelType w:val="hybridMultilevel"/>
    <w:lvl w:ilvl="0">
      <w:lvlJc w:val="left"/>
      <w:lvlText w:val="(%1)"/>
      <w:numFmt w:val="decimal"/>
      <w:start w:val="5"/>
    </w:lvl>
    <w:lvl w:ilvl="1">
      <w:lvlJc w:val="left"/>
      <w:lvlText w:val="%2"/>
      <w:numFmt w:val="lowerLetter"/>
      <w:start w:val="1"/>
    </w:lvl>
  </w:abstractNum>
  <w:abstractNum w:abstractNumId="77">
    <w:nsid w:val="2157F6BC"/>
    <w:multiLevelType w:val="hybridMultilevel"/>
    <w:lvl w:ilvl="0">
      <w:lvlJc w:val="left"/>
      <w:lvlText w:val="(%1)"/>
      <w:numFmt w:val="decimal"/>
      <w:start w:val="6"/>
    </w:lvl>
  </w:abstractNum>
  <w:abstractNum w:abstractNumId="78">
    <w:nsid w:val="704E1DD5"/>
    <w:multiLevelType w:val="hybridMultilevel"/>
    <w:lvl w:ilvl="0">
      <w:lvlJc w:val="left"/>
      <w:lvlText w:val="u"/>
      <w:numFmt w:val="bullet"/>
      <w:start w:val="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1"/>
      <w:numFmt w:val="decimal"/>
      <w:start w:val="48"/>
    </w:lvl>
  </w:abstractNum>
  <w:abstractNum w:abstractNumId="81">
    <w:nsid w:val="E3E47A8"/>
    <w:multiLevelType w:val="hybridMultilevel"/>
    <w:lvl w:ilvl="0">
      <w:lvlJc w:val="left"/>
      <w:lvlText w:val="u"/>
      <w:numFmt w:val="bullet"/>
      <w:start w:val="1"/>
    </w:lvl>
  </w:abstractNum>
  <w:abstractNum w:abstractNumId="82">
    <w:nsid w:val="2E48F044"/>
    <w:multiLevelType w:val="hybridMultilevel"/>
    <w:lvl w:ilvl="0">
      <w:lvlJc w:val="left"/>
      <w:lvlText w:val="u"/>
      <w:numFmt w:val="bullet"/>
      <w:start w:val="1"/>
    </w:lvl>
  </w:abstractNum>
  <w:abstractNum w:abstractNumId="83">
    <w:nsid w:val="49D0FEAC"/>
    <w:multiLevelType w:val="hybridMultilevel"/>
    <w:lvl w:ilvl="0">
      <w:lvlJc w:val="left"/>
      <w:lvlText w:val="u"/>
      <w:numFmt w:val="bullet"/>
      <w:start w:val="1"/>
    </w:lvl>
  </w:abstractNum>
  <w:abstractNum w:abstractNumId="84">
    <w:nsid w:val="4BEE5A5B"/>
    <w:multiLevelType w:val="hybridMultilevel"/>
    <w:lvl w:ilvl="0">
      <w:lvlJc w:val="left"/>
      <w:lvlText w:val="%1"/>
      <w:numFmt w:val="decimal"/>
      <w:start w:val="50"/>
    </w:lvl>
  </w:abstractNum>
  <w:abstractNum w:abstractNumId="85">
    <w:nsid w:val="5551B9F3"/>
    <w:multiLevelType w:val="hybridMultilevel"/>
    <w:lvl w:ilvl="0">
      <w:lvlJc w:val="left"/>
      <w:lvlText w:val="u"/>
      <w:numFmt w:val="bullet"/>
      <w:start w:val="1"/>
    </w:lvl>
  </w:abstractNum>
  <w:abstractNum w:abstractNumId="86">
    <w:nsid w:val="24F6AB8E"/>
    <w:multiLevelType w:val="hybridMultilevel"/>
    <w:lvl w:ilvl="0">
      <w:lvlJc w:val="left"/>
      <w:lvlText w:val="u"/>
      <w:numFmt w:val="bullet"/>
      <w:start w:val="1"/>
    </w:lvl>
  </w:abstractNum>
  <w:abstractNum w:abstractNumId="87">
    <w:nsid w:val="634C574C"/>
    <w:multiLevelType w:val="hybridMultilevel"/>
    <w:lvl w:ilvl="0">
      <w:lvlJc w:val="left"/>
      <w:lvlText w:val="u"/>
      <w:numFmt w:val="bullet"/>
      <w:start w:val="1"/>
    </w:lvl>
  </w:abstractNum>
  <w:abstractNum w:abstractNumId="88">
    <w:nsid w:val="24E99DD7"/>
    <w:multiLevelType w:val="hybridMultilevel"/>
    <w:lvl w:ilvl="0">
      <w:lvlJc w:val="left"/>
      <w:lvlText w:val="u"/>
      <w:numFmt w:val="bullet"/>
      <w:start w:val="1"/>
    </w:lvl>
  </w:abstractNum>
  <w:abstractNum w:abstractNumId="89">
    <w:nsid w:val="2A31B62D"/>
    <w:multiLevelType w:val="hybridMultilevel"/>
    <w:lvl w:ilvl="0">
      <w:lvlJc w:val="left"/>
      <w:lvlText w:val="u"/>
      <w:numFmt w:val="bullet"/>
      <w:start w:val="1"/>
    </w:lvl>
  </w:abstractNum>
  <w:abstractNum w:abstractNumId="90">
    <w:nsid w:val="1849C29B"/>
    <w:multiLevelType w:val="hybridMultilevel"/>
    <w:lvl w:ilvl="0">
      <w:lvlJc w:val="left"/>
      <w:lvlText w:val="%1"/>
      <w:numFmt w:val="decimal"/>
      <w:start w:val="52"/>
    </w:lvl>
  </w:abstractNum>
  <w:abstractNum w:abstractNumId="91">
    <w:nsid w:val="7DFF9D09"/>
    <w:multiLevelType w:val="hybridMultilevel"/>
    <w:lvl w:ilvl="0">
      <w:lvlJc w:val="left"/>
      <w:lvlText w:val="%1"/>
      <w:numFmt w:val="decimal"/>
      <w:start w:val="54"/>
    </w:lvl>
  </w:abstractNum>
  <w:abstractNum w:abstractNumId="92">
    <w:nsid w:val="754342"/>
    <w:multiLevelType w:val="hybridMultilevel"/>
    <w:lvl w:ilvl="0">
      <w:lvlJc w:val="left"/>
      <w:lvlText w:val="u"/>
      <w:numFmt w:val="bullet"/>
      <w:start w:val="1"/>
    </w:lvl>
  </w:abstractNum>
  <w:abstractNum w:abstractNumId="93">
    <w:nsid w:val="69E7F3E5"/>
    <w:multiLevelType w:val="hybridMultilevel"/>
    <w:lvl w:ilvl="0">
      <w:lvlJc w:val="left"/>
      <w:lvlText w:val="u"/>
      <w:numFmt w:val="bullet"/>
      <w:start w:val="1"/>
    </w:lvl>
  </w:abstractNum>
  <w:abstractNum w:abstractNumId="94">
    <w:nsid w:val="2A6DE806"/>
    <w:multiLevelType w:val="hybridMultilevel"/>
    <w:lvl w:ilvl="0">
      <w:lvlJc w:val="left"/>
      <w:lvlText w:val="u"/>
      <w:numFmt w:val="bullet"/>
      <w:start w:val="1"/>
    </w:lvl>
  </w:abstractNum>
  <w:abstractNum w:abstractNumId="95">
    <w:nsid w:val="1816F8C4"/>
    <w:multiLevelType w:val="hybridMultilevel"/>
    <w:lvl w:ilvl="0">
      <w:lvlJc w:val="left"/>
      <w:lvlText w:val="u"/>
      <w:numFmt w:val="bullet"/>
      <w:start w:val="1"/>
    </w:lvl>
  </w:abstractNum>
  <w:abstractNum w:abstractNumId="96">
    <w:nsid w:val="37DF2233"/>
    <w:multiLevelType w:val="hybridMultilevel"/>
    <w:lvl w:ilvl="0">
      <w:lvlJc w:val="left"/>
      <w:lvlText w:val="%1"/>
      <w:numFmt w:val="decimal"/>
      <w:start w:val="56"/>
    </w:lvl>
  </w:abstractNum>
  <w:abstractNum w:abstractNumId="97">
    <w:nsid w:val="7AB49DAF"/>
    <w:multiLevelType w:val="hybridMultilevel"/>
    <w:lvl w:ilvl="0">
      <w:lvlJc w:val="left"/>
      <w:lvlText w:val="(%1)"/>
      <w:numFmt w:val="decimal"/>
      <w:start w:val="1"/>
    </w:lvl>
  </w:abstractNum>
  <w:abstractNum w:abstractNumId="98">
    <w:nsid w:val="759F82CD"/>
    <w:multiLevelType w:val="hybridMultilevel"/>
    <w:lvl w:ilvl="0">
      <w:lvlJc w:val="left"/>
      <w:lvlText w:val="(%1)"/>
      <w:numFmt w:val="decimal"/>
      <w:start w:val="1"/>
    </w:lvl>
  </w:abstractNum>
  <w:abstractNum w:abstractNumId="99">
    <w:nsid w:val="61E74EA3"/>
    <w:multiLevelType w:val="hybridMultilevel"/>
    <w:lvl w:ilvl="0">
      <w:lvlJc w:val="left"/>
      <w:lvlText w:val="%1"/>
      <w:numFmt w:val="decimal"/>
      <w:start w:val="58"/>
    </w:lvl>
  </w:abstractNum>
  <w:abstractNum w:abstractNumId="100">
    <w:nsid w:val="597B4D84"/>
    <w:multiLevelType w:val="hybridMultilevel"/>
    <w:lvl w:ilvl="0">
      <w:lvlJc w:val="left"/>
      <w:lvlText w:val="%1"/>
      <w:numFmt w:val="decimal"/>
      <w:start w:val="60"/>
    </w:lvl>
  </w:abstractNum>
  <w:abstractNum w:abstractNumId="101">
    <w:nsid w:val="F819E7F"/>
    <w:multiLevelType w:val="hybridMultilevel"/>
    <w:lvl w:ilvl="0">
      <w:lvlJc w:val="left"/>
      <w:lvlText w:val="(%1)"/>
      <w:numFmt w:val="decimal"/>
      <w:start w:val="1"/>
    </w:lvl>
  </w:abstractNum>
  <w:abstractNum w:abstractNumId="102">
    <w:nsid w:val="57C7D42D"/>
    <w:multiLevelType w:val="hybridMultilevel"/>
    <w:lvl w:ilvl="0">
      <w:lvlJc w:val="left"/>
      <w:lvlText w:val="%1"/>
      <w:numFmt w:val="decimal"/>
      <w:start w:val="62"/>
    </w:lvl>
  </w:abstractNum>
  <w:abstractNum w:abstractNumId="103">
    <w:nsid w:val="312167AD"/>
    <w:multiLevelType w:val="hybridMultilevel"/>
    <w:lvl w:ilvl="0">
      <w:lvlJc w:val="left"/>
      <w:lvlText w:val="u"/>
      <w:numFmt w:val="bullet"/>
      <w:start w:val="1"/>
    </w:lvl>
  </w:abstractNum>
  <w:abstractNum w:abstractNumId="104">
    <w:nsid w:val="631B64D4"/>
    <w:multiLevelType w:val="hybridMultilevel"/>
    <w:lvl w:ilvl="0">
      <w:lvlJc w:val="left"/>
      <w:lvlText w:val="u"/>
      <w:numFmt w:val="bullet"/>
      <w:start w:val="1"/>
    </w:lvl>
  </w:abstractNum>
  <w:abstractNum w:abstractNumId="105">
    <w:nsid w:val="78B5E776"/>
    <w:multiLevelType w:val="hybridMultilevel"/>
    <w:lvl w:ilvl="0">
      <w:lvlJc w:val="left"/>
      <w:lvlText w:val="(%1)"/>
      <w:numFmt w:val="decimal"/>
      <w:start w:val="1"/>
    </w:lvl>
  </w:abstractNum>
  <w:abstractNum w:abstractNumId="106">
    <w:nsid w:val="75486E47"/>
    <w:multiLevelType w:val="hybridMultilevel"/>
    <w:lvl w:ilvl="0">
      <w:lvlJc w:val="left"/>
      <w:lvlText w:val="u"/>
      <w:numFmt w:val="bullet"/>
      <w:start w:val="1"/>
    </w:lvl>
  </w:abstractNum>
  <w:abstractNum w:abstractNumId="107">
    <w:nsid w:val="6E534CDE"/>
    <w:multiLevelType w:val="hybridMultilevel"/>
    <w:lvl w:ilvl="0">
      <w:lvlJc w:val="left"/>
      <w:lvlText w:val="u"/>
      <w:numFmt w:val="bullet"/>
      <w:start w:val="1"/>
    </w:lvl>
  </w:abstractNum>
  <w:abstractNum w:abstractNumId="108">
    <w:nsid w:val="1A0DDE32"/>
    <w:multiLevelType w:val="hybridMultilevel"/>
    <w:lvl w:ilvl="0">
      <w:lvlJc w:val="left"/>
      <w:lvlText w:val="u"/>
      <w:numFmt w:val="bullet"/>
      <w:start w:val="1"/>
    </w:lvl>
    <w:lvl w:ilvl="1">
      <w:lvlJc w:val="left"/>
      <w:lvlText w:val="\emdash "/>
      <w:numFmt w:val="bullet"/>
      <w:start w:val="1"/>
    </w:lvl>
  </w:abstractNum>
  <w:abstractNum w:abstractNumId="109">
    <w:nsid w:val="65968C1C"/>
    <w:multiLevelType w:val="hybridMultilevel"/>
    <w:lvl w:ilvl="0">
      <w:lvlJc w:val="left"/>
      <w:lvlText w:val="%1"/>
      <w:numFmt w:val="decimal"/>
      <w:start w:val="64"/>
    </w:lvl>
  </w:abstractNum>
  <w:abstractNum w:abstractNumId="110">
    <w:nsid w:val="46263DEC"/>
    <w:multiLevelType w:val="hybridMultilevel"/>
    <w:lvl w:ilvl="0">
      <w:lvlJc w:val="left"/>
      <w:lvlText w:val="%1"/>
      <w:numFmt w:val="decimal"/>
      <w:start w:val="66"/>
    </w:lvl>
  </w:abstractNum>
  <w:abstractNum w:abstractNumId="111">
    <w:nsid w:val="260D8C4A"/>
    <w:multiLevelType w:val="hybridMultilevel"/>
    <w:lvl w:ilvl="0">
      <w:lvlJc w:val="left"/>
      <w:lvlText w:val="u"/>
      <w:numFmt w:val="bullet"/>
      <w:start w:val="1"/>
    </w:lvl>
  </w:abstractNum>
  <w:abstractNum w:abstractNumId="112">
    <w:nsid w:val="73D4D3C4"/>
    <w:multiLevelType w:val="hybridMultilevel"/>
    <w:lvl w:ilvl="0">
      <w:lvlJc w:val="left"/>
      <w:lvlText w:val="%1"/>
      <w:numFmt w:val="decimal"/>
      <w:start w:val="68"/>
    </w:lvl>
  </w:abstractNum>
  <w:abstractNum w:abstractNumId="113">
    <w:nsid w:val="746F2E30"/>
    <w:multiLevelType w:val="hybridMultilevel"/>
    <w:lvl w:ilvl="0">
      <w:lvlJc w:val="left"/>
      <w:lvlText w:val="(%1)"/>
      <w:numFmt w:val="decimal"/>
      <w:start w:val="1"/>
    </w:lvl>
  </w:abstractNum>
  <w:abstractNum w:abstractNumId="114">
    <w:nsid w:val="6FDE8AF6"/>
    <w:multiLevelType w:val="hybridMultilevel"/>
    <w:lvl w:ilvl="0">
      <w:lvlJc w:val="left"/>
      <w:lvlText w:val="(%1)"/>
      <w:numFmt w:val="decimal"/>
      <w:start w:val="3"/>
    </w:lvl>
  </w:abstractNum>
  <w:abstractNum w:abstractNumId="115">
    <w:nsid w:val="3FC32E20"/>
    <w:multiLevelType w:val="hybridMultilevel"/>
    <w:lvl w:ilvl="0">
      <w:lvlJc w:val="left"/>
      <w:lvlText w:val="%1"/>
      <w:numFmt w:val="decimal"/>
      <w:start w:val="1"/>
    </w:lvl>
    <w:lvl w:ilvl="1">
      <w:lvlJc w:val="left"/>
      <w:lvlText w:val="(%2)"/>
      <w:numFmt w:val="lowerLetter"/>
      <w:start w:val="1"/>
    </w:lvl>
  </w:abstractNum>
  <w:abstractNum w:abstractNumId="116">
    <w:nsid w:val="49C0E823"/>
    <w:multiLevelType w:val="hybridMultilevel"/>
    <w:lvl w:ilvl="0">
      <w:lvlJc w:val="left"/>
      <w:lvlText w:val="(%1)"/>
      <w:numFmt w:val="decimal"/>
      <w:start w:val="6"/>
    </w:lvl>
    <w:lvl w:ilvl="1">
      <w:lvlJc w:val="left"/>
      <w:lvlText w:val="%2"/>
      <w:numFmt w:val="lowerLetter"/>
      <w:start w:val="1"/>
    </w:lvl>
  </w:abstractNum>
  <w:abstractNum w:abstractNumId="117">
    <w:nsid w:val="14D53685"/>
    <w:multiLevelType w:val="hybridMultilevel"/>
    <w:lvl w:ilvl="0">
      <w:lvlJc w:val="left"/>
      <w:lvlText w:val="%1"/>
      <w:numFmt w:val="decimal"/>
      <w:start w:val="70"/>
    </w:lvl>
  </w:abstractNum>
  <w:abstractNum w:abstractNumId="118">
    <w:nsid w:val="230F856C"/>
    <w:multiLevelType w:val="hybridMultilevel"/>
    <w:lvl w:ilvl="0">
      <w:lvlJc w:val="left"/>
      <w:lvlText w:val="(%1)"/>
      <w:numFmt w:val="decimal"/>
      <w:start w:val="1"/>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decimal"/>
      <w:start w:val="2"/>
    </w:lvl>
  </w:abstractNum>
  <w:abstractNum w:abstractNumId="121">
    <w:nsid w:val="3B594807"/>
    <w:multiLevelType w:val="hybridMultilevel"/>
    <w:lvl w:ilvl="0">
      <w:lvlJc w:val="left"/>
      <w:lvlText w:val="(%1)"/>
      <w:numFmt w:val="decimal"/>
      <w:start w:val="4"/>
    </w:lvl>
  </w:abstractNum>
  <w:abstractNum w:abstractNumId="122">
    <w:nsid w:val="6CAA2304"/>
    <w:multiLevelType w:val="hybridMultilevel"/>
    <w:lvl w:ilvl="0">
      <w:lvlJc w:val="left"/>
      <w:lvlText w:val="%1"/>
      <w:numFmt w:val="decimal"/>
      <w:start w:val="72"/>
    </w:lvl>
  </w:abstractNum>
  <w:abstractNum w:abstractNumId="123">
    <w:nsid w:val="3F7C2FF4"/>
    <w:multiLevelType w:val="hybridMultilevel"/>
    <w:lvl w:ilvl="0">
      <w:lvlJc w:val="left"/>
      <w:lvlText w:val="(%1)"/>
      <w:numFmt w:val="decimal"/>
      <w:start w:val="1"/>
    </w:lvl>
  </w:abstractNum>
  <w:abstractNum w:abstractNumId="124">
    <w:nsid w:val="25413BEC"/>
    <w:multiLevelType w:val="hybridMultilevel"/>
    <w:lvl w:ilvl="0">
      <w:lvlJc w:val="left"/>
      <w:lvlText w:val="(%1)"/>
      <w:numFmt w:val="decimal"/>
      <w:start w:val="2"/>
    </w:lvl>
  </w:abstractNum>
  <w:abstractNum w:abstractNumId="125">
    <w:nsid w:val="17180B0B"/>
    <w:multiLevelType w:val="hybridMultilevel"/>
    <w:lvl w:ilvl="0">
      <w:lvlJc w:val="left"/>
      <w:lvlText w:val="(%1)"/>
      <w:numFmt w:val="decimal"/>
      <w:start w:val="5"/>
    </w:lvl>
  </w:abstractNum>
  <w:abstractNum w:abstractNumId="126">
    <w:nsid w:val="579328B9"/>
    <w:multiLevelType w:val="hybridMultilevel"/>
    <w:lvl w:ilvl="0">
      <w:lvlJc w:val="left"/>
      <w:lvlText w:val="%1"/>
      <w:numFmt w:val="decimal"/>
      <w:start w:val="74"/>
    </w:lvl>
  </w:abstractNum>
  <w:abstractNum w:abstractNumId="127">
    <w:nsid w:val="5D205E20"/>
    <w:multiLevelType w:val="hybridMultilevel"/>
    <w:lvl w:ilvl="0">
      <w:lvlJc w:val="left"/>
      <w:lvlText w:val="(%1)"/>
      <w:numFmt w:val="decimal"/>
      <w:start w:val="1"/>
    </w:lvl>
  </w:abstractNum>
  <w:abstractNum w:abstractNumId="128">
    <w:nsid w:val="11CCA8BA"/>
    <w:multiLevelType w:val="hybridMultilevel"/>
    <w:lvl w:ilvl="0">
      <w:lvlJc w:val="left"/>
      <w:lvlText w:val="(%1)"/>
      <w:numFmt w:val="decimal"/>
      <w:start w:val="1"/>
    </w:lvl>
  </w:abstractNum>
  <w:abstractNum w:abstractNumId="129">
    <w:nsid w:val="4D32AB86"/>
    <w:multiLevelType w:val="hybridMultilevel"/>
    <w:lvl w:ilvl="0">
      <w:lvlJc w:val="left"/>
      <w:lvlText w:val="(%1)"/>
      <w:numFmt w:val="decimal"/>
      <w:start w:val="4"/>
    </w:lvl>
  </w:abstractNum>
  <w:abstractNum w:abstractNumId="130">
    <w:nsid w:val="3F07ACC3"/>
    <w:multiLevelType w:val="hybridMultilevel"/>
    <w:lvl w:ilvl="0">
      <w:lvlJc w:val="left"/>
      <w:lvlText w:val="u"/>
      <w:numFmt w:val="bullet"/>
      <w:start w:val="1"/>
    </w:lvl>
  </w:abstractNum>
  <w:abstractNum w:abstractNumId="131">
    <w:nsid w:val="6B47F63E"/>
    <w:multiLevelType w:val="hybridMultilevel"/>
    <w:lvl w:ilvl="0">
      <w:lvlJc w:val="left"/>
      <w:lvlText w:val="u"/>
      <w:numFmt w:val="bullet"/>
      <w:start w:val="1"/>
    </w:lvl>
  </w:abstractNum>
  <w:abstractNum w:abstractNumId="132">
    <w:nsid w:val="5CB44A05"/>
    <w:multiLevelType w:val="hybridMultilevel"/>
    <w:lvl w:ilvl="0">
      <w:lvlJc w:val="left"/>
      <w:lvlText w:val="%1"/>
      <w:numFmt w:val="decimal"/>
      <w:start w:val="76"/>
    </w:lvl>
  </w:abstractNum>
  <w:abstractNum w:abstractNumId="133">
    <w:nsid w:val="16CF80F1"/>
    <w:multiLevelType w:val="hybridMultilevel"/>
    <w:lvl w:ilvl="0">
      <w:lvlJc w:val="left"/>
      <w:lvlText w:val="u"/>
      <w:numFmt w:val="bullet"/>
      <w:start w:val="1"/>
    </w:lvl>
  </w:abstractNum>
  <w:abstractNum w:abstractNumId="134">
    <w:nsid w:val="1C695DEC"/>
    <w:multiLevelType w:val="hybridMultilevel"/>
    <w:lvl w:ilvl="0">
      <w:lvlJc w:val="left"/>
      <w:lvlText w:val="(%1)"/>
      <w:numFmt w:val="decimal"/>
      <w:start w:val="1"/>
    </w:lvl>
  </w:abstractNum>
  <w:abstractNum w:abstractNumId="135">
    <w:nsid w:val="3FCFAED9"/>
    <w:multiLevelType w:val="hybridMultilevel"/>
    <w:lvl w:ilvl="0">
      <w:lvlJc w:val="left"/>
      <w:lvlText w:val="%1"/>
      <w:numFmt w:val="decimal"/>
      <w:start w:val="78"/>
    </w:lvl>
  </w:abstractNum>
  <w:abstractNum w:abstractNumId="136">
    <w:nsid w:val="F856867"/>
    <w:multiLevelType w:val="hybridMultilevel"/>
    <w:lvl w:ilvl="0">
      <w:lvlJc w:val="left"/>
      <w:lvlText w:val="(%1)"/>
      <w:numFmt w:val="decimal"/>
      <w:start w:val="3"/>
    </w:lvl>
  </w:abstractNum>
  <w:abstractNum w:abstractNumId="137">
    <w:nsid w:val="11B1CC33"/>
    <w:multiLevelType w:val="hybridMultilevel"/>
    <w:lvl w:ilvl="0">
      <w:lvlJc w:val="left"/>
      <w:lvlText w:val="u"/>
      <w:numFmt w:val="bullet"/>
      <w:start w:val="1"/>
    </w:lvl>
  </w:abstractNum>
  <w:abstractNum w:abstractNumId="138">
    <w:nsid w:val="2E22FBB7"/>
    <w:multiLevelType w:val="hybridMultilevel"/>
    <w:lvl w:ilvl="0">
      <w:lvlJc w:val="left"/>
      <w:lvlText w:val="(%1)"/>
      <w:numFmt w:val="decimal"/>
      <w:start w:val="1"/>
    </w:lvl>
  </w:abstractNum>
  <w:abstractNum w:abstractNumId="139">
    <w:nsid w:val="29934699"/>
    <w:multiLevelType w:val="hybridMultilevel"/>
    <w:lvl w:ilvl="0">
      <w:lvlJc w:val="left"/>
      <w:lvlText w:val="%1"/>
      <w:numFmt w:val="decimal"/>
      <w:start w:val="80"/>
    </w:lvl>
  </w:abstractNum>
  <w:abstractNum w:abstractNumId="140">
    <w:nsid w:val="77485850"/>
    <w:multiLevelType w:val="hybridMultilevel"/>
    <w:lvl w:ilvl="0">
      <w:lvlJc w:val="left"/>
      <w:lvlText w:val="(%1)"/>
      <w:numFmt w:val="decimal"/>
      <w:start w:val="3"/>
    </w:lvl>
  </w:abstractNum>
  <w:abstractNum w:abstractNumId="141">
    <w:nsid w:val="744939A3"/>
    <w:multiLevelType w:val="hybridMultilevel"/>
    <w:lvl w:ilvl="0">
      <w:lvlJc w:val="left"/>
      <w:lvlText w:val="u"/>
      <w:numFmt w:val="bullet"/>
      <w:start w:val="1"/>
    </w:lvl>
  </w:abstractNum>
  <w:abstractNum w:abstractNumId="142">
    <w:nsid w:val="4FA0D2E3"/>
    <w:multiLevelType w:val="hybridMultilevel"/>
    <w:lvl w:ilvl="0">
      <w:lvlJc w:val="left"/>
      <w:lvlText w:val="*"/>
      <w:numFmt w:val="bullet"/>
      <w:start w:val="1"/>
    </w:lvl>
  </w:abstractNum>
  <w:abstractNum w:abstractNumId="143">
    <w:nsid w:val="6B1D2C14"/>
    <w:multiLevelType w:val="hybridMultilevel"/>
    <w:lvl w:ilvl="0">
      <w:lvlJc w:val="left"/>
      <w:lvlText w:val="u"/>
      <w:numFmt w:val="bullet"/>
      <w:start w:val="1"/>
    </w:lvl>
  </w:abstractNum>
  <w:abstractNum w:abstractNumId="144">
    <w:nsid w:val="68B867D3"/>
    <w:multiLevelType w:val="hybridMultilevel"/>
    <w:lvl w:ilvl="0">
      <w:lvlJc w:val="left"/>
      <w:lvlText w:val="%1"/>
      <w:numFmt w:val="decimal"/>
      <w:start w:val="82"/>
    </w:lvl>
  </w:abstractNum>
  <w:abstractNum w:abstractNumId="145">
    <w:nsid w:val="3F7F5DD9"/>
    <w:multiLevelType w:val="hybridMultilevel"/>
    <w:lvl w:ilvl="0">
      <w:lvlJc w:val="left"/>
      <w:lvlText w:val="(%1)"/>
      <w:numFmt w:val="decimal"/>
      <w:start w:val="1"/>
    </w:lvl>
  </w:abstractNum>
  <w:abstractNum w:abstractNumId="146">
    <w:nsid w:val="2AE05A34"/>
    <w:multiLevelType w:val="hybridMultilevel"/>
    <w:lvl w:ilvl="0">
      <w:lvlJc w:val="left"/>
      <w:lvlText w:val="*"/>
      <w:numFmt w:val="bullet"/>
      <w:start w:val="1"/>
    </w:lvl>
  </w:abstractNum>
  <w:abstractNum w:abstractNumId="147">
    <w:nsid w:val="32794FF7"/>
    <w:multiLevelType w:val="hybridMultilevel"/>
    <w:lvl w:ilvl="0">
      <w:lvlJc w:val="left"/>
      <w:lvlText w:val="(%1)"/>
      <w:numFmt w:val="decimal"/>
      <w:start w:val="1"/>
    </w:lvl>
  </w:abstractNum>
  <w:abstractNum w:abstractNumId="148">
    <w:nsid w:val="5454945E"/>
    <w:multiLevelType w:val="hybridMultilevel"/>
    <w:lvl w:ilvl="0">
      <w:lvlJc w:val="left"/>
      <w:lvlText w:val="(%1)"/>
      <w:numFmt w:val="decimal"/>
      <w:start w:val="1"/>
    </w:lvl>
  </w:abstractNum>
  <w:abstractNum w:abstractNumId="149">
    <w:nsid w:val="4DEFDFA0"/>
    <w:multiLevelType w:val="hybridMultilevel"/>
    <w:lvl w:ilvl="0">
      <w:lvlJc w:val="left"/>
      <w:lvlText w:val="%1"/>
      <w:numFmt w:val="decimal"/>
      <w:start w:val="92"/>
    </w:lvl>
  </w:abstractNum>
  <w:abstractNum w:abstractNumId="150">
    <w:nsid w:val="2123D5F2"/>
    <w:multiLevelType w:val="hybridMultilevel"/>
    <w:lvl w:ilvl="0">
      <w:lvlJc w:val="left"/>
      <w:lvlText w:val="%1:"/>
      <w:numFmt w:val="upperLetter"/>
      <w:start w:val="17"/>
    </w:lvl>
  </w:abstractNum>
  <w:abstractNum w:abstractNumId="151">
    <w:nsid w:val="135B8110"/>
    <w:multiLevelType w:val="hybridMultilevel"/>
    <w:lvl w:ilvl="0">
      <w:lvlJc w:val="left"/>
      <w:lvlText w:val="%1:"/>
      <w:numFmt w:val="upperLetter"/>
      <w:start w:val="1"/>
    </w:lvl>
    <w:lvl w:ilvl="1">
      <w:lvlJc w:val="left"/>
      <w:lvlText w:val="%2."/>
      <w:numFmt w:val="decimal"/>
      <w:start w:val="1"/>
    </w:lvl>
  </w:abstractNum>
  <w:abstractNum w:abstractNumId="152">
    <w:nsid w:val="94927A8"/>
    <w:multiLevelType w:val="hybridMultilevel"/>
    <w:lvl w:ilvl="0">
      <w:lvlJc w:val="left"/>
      <w:lvlText w:val="%1:"/>
      <w:numFmt w:val="upperLetter"/>
      <w:start w:val="17"/>
    </w:lvl>
  </w:abstractNum>
  <w:abstractNum w:abstractNumId="153">
    <w:nsid w:val="DCDF8F6"/>
    <w:multiLevelType w:val="hybridMultilevel"/>
    <w:lvl w:ilvl="0">
      <w:lvlJc w:val="left"/>
      <w:lvlText w:val="%1:"/>
      <w:numFmt w:val="upperLetter"/>
      <w:start w:val="1"/>
    </w:lvl>
  </w:abstractNum>
  <w:abstractNum w:abstractNumId="154">
    <w:nsid w:val="52D7B105"/>
    <w:multiLevelType w:val="hybridMultilevel"/>
    <w:lvl w:ilvl="0">
      <w:lvlJc w:val="left"/>
      <w:lvlText w:val="%1:"/>
      <w:numFmt w:val="upperLetter"/>
      <w:start w:val="17"/>
    </w:lvl>
  </w:abstractNum>
  <w:abstractNum w:abstractNumId="155">
    <w:nsid w:val="2E8A6394"/>
    <w:multiLevelType w:val="hybridMultilevel"/>
    <w:lvl w:ilvl="0">
      <w:lvlJc w:val="left"/>
      <w:lvlText w:val="%1:"/>
      <w:numFmt w:val="upperLetter"/>
      <w:start w:val="1"/>
    </w:lvl>
  </w:abstractNum>
  <w:abstractNum w:abstractNumId="156">
    <w:nsid w:val="24E60401"/>
    <w:multiLevelType w:val="hybridMultilevel"/>
    <w:lvl w:ilvl="0">
      <w:lvlJc w:val="left"/>
      <w:lvlText w:val="%1:"/>
      <w:numFmt w:val="upperLetter"/>
      <w:start w:val="17"/>
    </w:lvl>
  </w:abstractNum>
  <w:abstractNum w:abstractNumId="157">
    <w:nsid w:val="2A6AD9BE"/>
    <w:multiLevelType w:val="hybridMultilevel"/>
    <w:lvl w:ilvl="0">
      <w:lvlJc w:val="left"/>
      <w:lvlText w:val="%1:"/>
      <w:numFmt w:val="upperLetter"/>
      <w:start w:val="1"/>
    </w:lvl>
  </w:abstractNum>
  <w:abstractNum w:abstractNumId="158">
    <w:nsid w:val="BAAC1B4"/>
    <w:multiLevelType w:val="hybridMultilevel"/>
    <w:lvl w:ilvl="0">
      <w:lvlJc w:val="left"/>
      <w:lvlText w:val="%1:"/>
      <w:numFmt w:val="upperLetter"/>
      <w:start w:val="17"/>
    </w:lvl>
  </w:abstractNum>
  <w:abstractNum w:abstractNumId="159">
    <w:nsid w:val="36B2ACBC"/>
    <w:multiLevelType w:val="hybridMultilevel"/>
    <w:lvl w:ilvl="0">
      <w:lvlJc w:val="left"/>
      <w:lvlText w:val="%1:"/>
      <w:numFmt w:val="upperLetter"/>
      <w:start w:val="1"/>
    </w:lvl>
    <w:lvl w:ilvl="1">
      <w:lvlJc w:val="left"/>
      <w:lvlText w:val="%2."/>
      <w:numFmt w:val="decimal"/>
      <w:start w:val="1"/>
    </w:lvl>
  </w:abstractNum>
  <w:abstractNum w:abstractNumId="160">
    <w:nsid w:val="779D8544"/>
    <w:multiLevelType w:val="hybridMultilevel"/>
    <w:lvl w:ilvl="0">
      <w:lvlJc w:val="left"/>
      <w:lvlText w:val="%1:"/>
      <w:numFmt w:val="upperLetter"/>
      <w:start w:val="17"/>
    </w:lvl>
  </w:abstractNum>
  <w:abstractNum w:abstractNumId="161">
    <w:nsid w:val="4AB26E78"/>
    <w:multiLevelType w:val="hybridMultilevel"/>
    <w:lvl w:ilvl="0">
      <w:lvlJc w:val="left"/>
      <w:lvlText w:val="%1:"/>
      <w:numFmt w:val="upperLetter"/>
      <w:start w:val="1"/>
    </w:lvl>
  </w:abstractNum>
  <w:abstractNum w:abstractNumId="162">
    <w:nsid w:val="21FAA2FA"/>
    <w:multiLevelType w:val="hybridMultilevel"/>
    <w:lvl w:ilvl="0">
      <w:lvlJc w:val="left"/>
      <w:lvlText w:val="%1:"/>
      <w:numFmt w:val="upperLetter"/>
      <w:start w:val="17"/>
    </w:lvl>
  </w:abstractNum>
  <w:abstractNum w:abstractNumId="163">
    <w:nsid w:val="5451CF49"/>
    <w:multiLevelType w:val="hybridMultilevel"/>
    <w:lvl w:ilvl="0">
      <w:lvlJc w:val="left"/>
      <w:lvlText w:val="%1:"/>
      <w:numFmt w:val="upperLetter"/>
      <w:start w:val="1"/>
    </w:lvl>
  </w:abstractNum>
  <w:abstractNum w:abstractNumId="164">
    <w:nsid w:val="6181EF69"/>
    <w:multiLevelType w:val="hybridMultilevel"/>
    <w:lvl w:ilvl="0">
      <w:lvlJc w:val="left"/>
      <w:lvlText w:val="u"/>
      <w:numFmt w:val="bullet"/>
      <w:start w:val="1"/>
    </w:lvl>
  </w:abstractNum>
  <w:abstractNum w:abstractNumId="165">
    <w:nsid w:val="3E6400E6"/>
    <w:multiLevelType w:val="hybridMultilevel"/>
    <w:lvl w:ilvl="0">
      <w:lvlJc w:val="left"/>
      <w:lvlText w:val="%1:"/>
      <w:numFmt w:val="upperLetter"/>
      <w:start w:val="17"/>
    </w:lvl>
  </w:abstractNum>
  <w:abstractNum w:abstractNumId="166">
    <w:nsid w:val="14217E23"/>
    <w:multiLevelType w:val="hybridMultilevel"/>
    <w:lvl w:ilvl="0">
      <w:lvlJc w:val="left"/>
      <w:lvlText w:val="%1:"/>
      <w:numFmt w:val="upperLetter"/>
      <w:start w:val="1"/>
    </w:lvl>
  </w:abstractNum>
  <w:abstractNum w:abstractNumId="167">
    <w:nsid w:val="710757D0"/>
    <w:multiLevelType w:val="hybridMultilevel"/>
    <w:lvl w:ilvl="0">
      <w:lvlJc w:val="left"/>
      <w:lvlText w:val="%1:"/>
      <w:numFmt w:val="upperLetter"/>
      <w:start w:val="17"/>
    </w:lvl>
  </w:abstractNum>
  <w:abstractNum w:abstractNumId="168">
    <w:nsid w:val="5015CD1A"/>
    <w:multiLevelType w:val="hybridMultilevel"/>
    <w:lvl w:ilvl="0">
      <w:lvlJc w:val="left"/>
      <w:lvlText w:val="%1:"/>
      <w:numFmt w:val="upperLetter"/>
      <w:start w:val="1"/>
    </w:lvl>
  </w:abstractNum>
  <w:abstractNum w:abstractNumId="169">
    <w:nsid w:val="424479DA"/>
    <w:multiLevelType w:val="hybridMultilevel"/>
    <w:lvl w:ilvl="0">
      <w:lvlJc w:val="left"/>
      <w:lvlText w:val="%1:"/>
      <w:numFmt w:val="upperLetter"/>
      <w:start w:val="17"/>
    </w:lvl>
  </w:abstractNum>
  <w:abstractNum w:abstractNumId="170">
    <w:nsid w:val="1A9A9E69"/>
    <w:multiLevelType w:val="hybridMultilevel"/>
    <w:lvl w:ilvl="0">
      <w:lvlJc w:val="left"/>
      <w:lvlText w:val="%1:"/>
      <w:numFmt w:val="upperLetter"/>
      <w:start w:val="1"/>
    </w:lvl>
  </w:abstractNum>
  <w:abstractNum w:abstractNumId="171">
    <w:nsid w:val="475E256A"/>
    <w:multiLevelType w:val="hybridMultilevel"/>
    <w:lvl w:ilvl="0">
      <w:lvlJc w:val="left"/>
      <w:lvlText w:val="%1:"/>
      <w:numFmt w:val="upperLetter"/>
      <w:start w:val="17"/>
    </w:lvl>
  </w:abstractNum>
  <w:abstractNum w:abstractNumId="172">
    <w:nsid w:val="368DB37E"/>
    <w:multiLevelType w:val="hybridMultilevel"/>
    <w:lvl w:ilvl="0">
      <w:lvlJc w:val="left"/>
      <w:lvlText w:val="%1:"/>
      <w:numFmt w:val="upperLetter"/>
      <w:start w:val="1"/>
    </w:lvl>
  </w:abstractNum>
  <w:abstractNum w:abstractNumId="173">
    <w:nsid w:val="6A3B714C"/>
    <w:multiLevelType w:val="hybridMultilevel"/>
    <w:lvl w:ilvl="0">
      <w:lvlJc w:val="left"/>
      <w:lvlText w:val="%1:"/>
      <w:numFmt w:val="upperLetter"/>
      <w:start w:val="17"/>
    </w:lvl>
  </w:abstractNum>
  <w:abstractNum w:abstractNumId="174">
    <w:nsid w:val="327B517E"/>
    <w:multiLevelType w:val="hybridMultilevel"/>
    <w:lvl w:ilvl="0">
      <w:lvlJc w:val="left"/>
      <w:lvlText w:val="%1:"/>
      <w:numFmt w:val="upperLetter"/>
      <w:start w:val="1"/>
    </w:lvl>
  </w:abstractNum>
  <w:abstractNum w:abstractNumId="175">
    <w:nsid w:val="1F461B51"/>
    <w:multiLevelType w:val="hybridMultilevel"/>
    <w:lvl w:ilvl="0">
      <w:lvlJc w:val="left"/>
      <w:lvlText w:val="%1:"/>
      <w:numFmt w:val="upperLetter"/>
      <w:start w:val="17"/>
    </w:lvl>
  </w:abstractNum>
  <w:abstractNum w:abstractNumId="176">
    <w:nsid w:val="29BACF25"/>
    <w:multiLevelType w:val="hybridMultilevel"/>
    <w:lvl w:ilvl="0">
      <w:lvlJc w:val="left"/>
      <w:lvlText w:val="%1:"/>
      <w:numFmt w:val="upperLetter"/>
      <w:start w:val="1"/>
    </w:lvl>
  </w:abstractNum>
  <w:abstractNum w:abstractNumId="177">
    <w:nsid w:val="5D5BABB3"/>
    <w:multiLevelType w:val="hybridMultilevel"/>
    <w:lvl w:ilvl="0">
      <w:lvlJc w:val="left"/>
      <w:lvlText w:val="%1:"/>
      <w:numFmt w:val="upperLetter"/>
      <w:start w:val="17"/>
    </w:lvl>
  </w:abstractNum>
  <w:abstractNum w:abstractNumId="178">
    <w:nsid w:val="51BF6B48"/>
    <w:multiLevelType w:val="hybridMultilevel"/>
    <w:lvl w:ilvl="0">
      <w:lvlJc w:val="left"/>
      <w:lvlText w:val="%1:"/>
      <w:numFmt w:val="upperLetter"/>
      <w:start w:val="1"/>
    </w:lvl>
  </w:abstractNum>
  <w:abstractNum w:abstractNumId="179">
    <w:nsid w:val="7E0F6384"/>
    <w:multiLevelType w:val="hybridMultilevel"/>
    <w:lvl w:ilvl="0">
      <w:lvlJc w:val="left"/>
      <w:lvlText w:val="%1:"/>
      <w:numFmt w:val="upperLetter"/>
      <w:start w:val="17"/>
    </w:lvl>
  </w:abstractNum>
  <w:abstractNum w:abstractNumId="180">
    <w:nsid w:val="2B4B8B53"/>
    <w:multiLevelType w:val="hybridMultilevel"/>
    <w:lvl w:ilvl="0">
      <w:lvlJc w:val="left"/>
      <w:lvlText w:val="%1:"/>
      <w:numFmt w:val="upperLetter"/>
      <w:start w:val="1"/>
    </w:lvl>
  </w:abstractNum>
  <w:abstractNum w:abstractNumId="181">
    <w:nsid w:val="72E3413A"/>
    <w:multiLevelType w:val="hybridMultilevel"/>
    <w:lvl w:ilvl="0">
      <w:lvlJc w:val="left"/>
      <w:lvlText w:val="%1:"/>
      <w:numFmt w:val="upperLetter"/>
      <w:start w:val="17"/>
    </w:lvl>
  </w:abstractNum>
  <w:abstractNum w:abstractNumId="182">
    <w:nsid w:val="116AE494"/>
    <w:multiLevelType w:val="hybridMultilevel"/>
    <w:lvl w:ilvl="0">
      <w:lvlJc w:val="left"/>
      <w:lvlText w:val="%1:"/>
      <w:numFmt w:val="upperLetter"/>
      <w:start w:val="1"/>
    </w:lvl>
  </w:abstractNum>
  <w:abstractNum w:abstractNumId="183">
    <w:nsid w:val="3494B2FB"/>
    <w:multiLevelType w:val="hybridMultilevel"/>
    <w:lvl w:ilvl="0">
      <w:lvlJc w:val="left"/>
      <w:lvlText w:val="%1:"/>
      <w:numFmt w:val="upperLetter"/>
      <w:start w:val="17"/>
    </w:lvl>
  </w:abstractNum>
  <w:abstractNum w:abstractNumId="184">
    <w:nsid w:val="B13A31"/>
    <w:multiLevelType w:val="hybridMultilevel"/>
    <w:lvl w:ilvl="0">
      <w:lvlJc w:val="left"/>
      <w:lvlText w:val="%1:"/>
      <w:numFmt w:val="upperLetter"/>
      <w:start w:val="1"/>
    </w:lvl>
  </w:abstractNum>
  <w:abstractNum w:abstractNumId="185">
    <w:nsid w:val="64429599"/>
    <w:multiLevelType w:val="hybridMultilevel"/>
    <w:lvl w:ilvl="0">
      <w:lvlJc w:val="left"/>
      <w:lvlText w:val="%1:"/>
      <w:numFmt w:val="upperLetter"/>
      <w:start w:val="17"/>
    </w:lvl>
  </w:abstractNum>
  <w:abstractNum w:abstractNumId="186">
    <w:nsid w:val="631F1690"/>
    <w:multiLevelType w:val="hybridMultilevel"/>
    <w:lvl w:ilvl="0">
      <w:lvlJc w:val="left"/>
      <w:lvlText w:val="%1:"/>
      <w:numFmt w:val="upperLetter"/>
      <w:start w:val="1"/>
    </w:lvl>
  </w:abstractNum>
  <w:abstractNum w:abstractNumId="187">
    <w:nsid w:val="25973E32"/>
    <w:multiLevelType w:val="hybridMultilevel"/>
    <w:lvl w:ilvl="0">
      <w:lvlJc w:val="left"/>
      <w:lvlText w:val="%1:"/>
      <w:numFmt w:val="upperLetter"/>
      <w:start w:val="17"/>
    </w:lvl>
  </w:abstractNum>
  <w:abstractNum w:abstractNumId="188">
    <w:nsid w:val="EAD6F5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2024-01-19T06:00:16Z</dcterms:created>
  <dcterms:modified xsi:type="dcterms:W3CDTF">2024-01-19T06:00:16Z</dcterms:modified>
</cp:coreProperties>
</file>