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219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21970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Sacks Anelise Angelino</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860" w:type="dxa"/>
            <w:vAlign w:val="bottom"/>
          </w:tcPr>
          <w:p>
            <w:pPr>
              <w:ind w:left="6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ONE ANALOG WAY</w:t>
            </w:r>
          </w:p>
        </w:tc>
        <w:tc>
          <w:tcPr>
            <w:tcW w:w="16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63"/>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WILMINGTON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01887</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ANALOG DEVICES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ADI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80" w:type="dxa"/>
            <w:vAlign w:val="bottom"/>
            <w:tcBorders>
              <w:top w:val="single" w:sz="8" w:color="0000EE"/>
            </w:tcBorders>
          </w:tcPr>
          <w:p>
            <w:pPr>
              <w:spacing w:after="0"/>
              <w:rPr>
                <w:sz w:val="12"/>
                <w:szCs w:val="12"/>
                <w:color w:val="auto"/>
              </w:rPr>
            </w:pPr>
          </w:p>
        </w:tc>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12/11/2023</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EVP, Chief Customer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8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8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w:t>
            </w: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8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8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Based</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500" w:type="dxa"/>
            <w:vAlign w:val="bottom"/>
            <w:vMerge w:val="continue"/>
          </w:tcPr>
          <w:p>
            <w:pPr>
              <w:spacing w:after="0"/>
              <w:rPr>
                <w:sz w:val="6"/>
                <w:szCs w:val="6"/>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2,289</w:t>
            </w: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84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12/11/2023</w:t>
            </w:r>
          </w:p>
        </w:tc>
        <w:tc>
          <w:tcPr>
            <w:tcW w:w="1100" w:type="dxa"/>
            <w:vAlign w:val="bottom"/>
          </w:tcPr>
          <w:p>
            <w:pPr>
              <w:spacing w:after="0"/>
              <w:rPr>
                <w:sz w:val="5"/>
                <w:szCs w:val="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2,289</w:t>
            </w:r>
          </w:p>
        </w:tc>
        <w:tc>
          <w:tcPr>
            <w:tcW w:w="260" w:type="dxa"/>
            <w:vAlign w:val="bottom"/>
          </w:tcPr>
          <w:p>
            <w:pPr>
              <w:spacing w:after="0"/>
              <w:rPr>
                <w:sz w:val="5"/>
                <w:szCs w:val="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03/15/2024</w:t>
            </w:r>
          </w:p>
        </w:tc>
        <w:tc>
          <w:tcPr>
            <w:tcW w:w="700" w:type="dxa"/>
            <w:vAlign w:val="bottom"/>
            <w:vMerge w:val="continue"/>
          </w:tcPr>
          <w:p>
            <w:pPr>
              <w:spacing w:after="0"/>
              <w:rPr>
                <w:sz w:val="5"/>
                <w:szCs w:val="5"/>
                <w:color w:val="auto"/>
              </w:rPr>
            </w:pP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 $.16-</w:t>
            </w:r>
          </w:p>
        </w:tc>
        <w:tc>
          <w:tcPr>
            <w:tcW w:w="60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4,578</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84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Restricted</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29"/>
        </w:trPr>
        <w:tc>
          <w:tcPr>
            <w:tcW w:w="37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 Unit</w:t>
            </w:r>
          </w:p>
        </w:tc>
        <w:tc>
          <w:tcPr>
            <w:tcW w:w="34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2/3</w:t>
            </w:r>
          </w:p>
        </w:tc>
        <w:tc>
          <w:tcPr>
            <w:tcW w:w="0" w:type="dxa"/>
            <w:vAlign w:val="bottom"/>
          </w:tcPr>
          <w:p>
            <w:pPr>
              <w:spacing w:after="0"/>
              <w:rPr>
                <w:sz w:val="1"/>
                <w:szCs w:val="1"/>
                <w:color w:val="auto"/>
              </w:rPr>
            </w:pPr>
          </w:p>
        </w:tc>
      </w:tr>
      <w:tr>
        <w:trPr>
          <w:trHeight w:val="90"/>
        </w:trPr>
        <w:tc>
          <w:tcPr>
            <w:tcW w:w="3740" w:type="dxa"/>
            <w:vAlign w:val="bottom"/>
            <w:vMerge w:val="continue"/>
          </w:tcPr>
          <w:p>
            <w:pPr>
              <w:spacing w:after="0"/>
              <w:rPr>
                <w:sz w:val="7"/>
                <w:szCs w:val="7"/>
                <w:color w:val="auto"/>
              </w:rPr>
            </w:pPr>
          </w:p>
        </w:tc>
        <w:tc>
          <w:tcPr>
            <w:tcW w:w="3440" w:type="dxa"/>
            <w:vAlign w:val="bottom"/>
            <w:vMerge w:val="restart"/>
          </w:tcPr>
          <w:p>
            <w:pPr>
              <w:jc w:val="center"/>
              <w:ind w:left="3095"/>
              <w:spacing w:after="0"/>
              <w:rPr>
                <w:sz w:val="20"/>
                <w:szCs w:val="20"/>
                <w:color w:val="auto"/>
              </w:rPr>
            </w:pPr>
            <w:r>
              <w:rPr>
                <w:rFonts w:ascii="Times New Roman" w:cs="Times New Roman" w:eastAsia="Times New Roman" w:hAnsi="Times New Roman"/>
                <w:sz w:val="13"/>
                <w:szCs w:val="13"/>
                <w:color w:val="0000FF"/>
                <w:w w:val="99"/>
              </w:rPr>
              <w:t>value</w:t>
            </w:r>
          </w:p>
        </w:tc>
        <w:tc>
          <w:tcPr>
            <w:tcW w:w="0" w:type="dxa"/>
            <w:vAlign w:val="bottom"/>
          </w:tcPr>
          <w:p>
            <w:pPr>
              <w:spacing w:after="0"/>
              <w:rPr>
                <w:sz w:val="1"/>
                <w:szCs w:val="1"/>
                <w:color w:val="auto"/>
              </w:rPr>
            </w:pPr>
          </w:p>
        </w:tc>
      </w:tr>
      <w:tr>
        <w:trPr>
          <w:trHeight w:val="78"/>
        </w:trPr>
        <w:tc>
          <w:tcPr>
            <w:tcW w:w="3740" w:type="dxa"/>
            <w:vAlign w:val="bottom"/>
          </w:tcPr>
          <w:p>
            <w:pPr>
              <w:spacing w:after="0"/>
              <w:rPr>
                <w:sz w:val="6"/>
                <w:szCs w:val="6"/>
                <w:color w:val="auto"/>
              </w:rPr>
            </w:pPr>
          </w:p>
        </w:tc>
        <w:tc>
          <w:tcPr>
            <w:tcW w:w="3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of the Issuer to be issued to the Reporting Person on March 15, 2024 (the "Vesting Date"), subject to the Reporting Person's continued service through the Vesting Date, as a result of the certification by the Issuer's Compensation and Talent Committee on December 11, 2023 of the achievement, at 200% of the target established, of pre-established performance parameters relating to the Issuer's financial performance with respect to the performance-based restricted stock units granted to the Reporting Person on March 10, 2021.</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Shelly Shaw, General</w:t>
            </w:r>
          </w:p>
        </w:tc>
        <w:tc>
          <w:tcPr>
            <w:tcW w:w="50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12/12/2023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Counsel, by Power of Attorney</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6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8096"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2023-12-12T15:39:57Z</dcterms:created>
  <dcterms:modified xsi:type="dcterms:W3CDTF">2023-12-12T15:39:57Z</dcterms:modified>
</cp:coreProperties>
</file>