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21, 2024</w:t>
      </w:r>
    </w:p>
    <w:p>
      <w:pPr>
        <w:spacing w:after="0" w:line="28"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ANALOG DEVICES,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tbl>
      <w:tblPr>
        <w:tblLayout w:type="fixed"/>
        <w:tblInd w:w="1960" w:type="dxa"/>
        <w:tblCellMar>
          <w:top w:w="0" w:type="dxa"/>
          <w:left w:w="0" w:type="dxa"/>
          <w:bottom w:w="0" w:type="dxa"/>
          <w:right w:w="0" w:type="dxa"/>
        </w:tblCellMar>
      </w:tblPr>
      <w:tr>
        <w:trPr>
          <w:trHeight w:val="198"/>
        </w:trPr>
        <w:tc>
          <w:tcPr>
            <w:tcW w:w="3700" w:type="dxa"/>
            <w:vAlign w:val="bottom"/>
          </w:tcPr>
          <w:p>
            <w:pPr>
              <w:jc w:val="center"/>
              <w:ind w:right="1991"/>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3300" w:type="dxa"/>
            <w:vAlign w:val="bottom"/>
          </w:tcPr>
          <w:p>
            <w:pPr>
              <w:jc w:val="center"/>
              <w:ind w:left="1991"/>
              <w:spacing w:after="0"/>
              <w:rPr>
                <w:sz w:val="20"/>
                <w:szCs w:val="20"/>
                <w:color w:val="auto"/>
              </w:rPr>
            </w:pPr>
            <w:r>
              <w:rPr>
                <w:rFonts w:ascii="Times New Roman" w:cs="Times New Roman" w:eastAsia="Times New Roman" w:hAnsi="Times New Roman"/>
                <w:sz w:val="16"/>
                <w:szCs w:val="16"/>
                <w:b w:val="1"/>
                <w:bCs w:val="1"/>
                <w:color w:val="auto"/>
              </w:rPr>
              <w:t>04-2348234</w:t>
            </w:r>
          </w:p>
        </w:tc>
      </w:tr>
      <w:tr>
        <w:trPr>
          <w:trHeight w:val="135"/>
        </w:trPr>
        <w:tc>
          <w:tcPr>
            <w:tcW w:w="3700" w:type="dxa"/>
            <w:vAlign w:val="bottom"/>
          </w:tcPr>
          <w:p>
            <w:pPr>
              <w:jc w:val="center"/>
              <w:ind w:right="19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One Analog Way</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Wilmington, MA 01887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781-935-5565</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114935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Janene I. Asgeirsson, Esq.</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Chief Legal Officer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One Analog Way</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Wilmington, MA 01887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781-935-5565</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106045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Jason L. Kropp, Esq.</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Craig Hilts, Esq.</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Wilmer Cutler Pickering Hale and Dorr LLP</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60 State Street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Boston, MA 02109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617-526-6000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127000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9" w:lineRule="exact"/>
        <w:rPr>
          <w:sz w:val="24"/>
          <w:szCs w:val="24"/>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32"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173990</wp:posOffset>
            </wp:positionV>
            <wp:extent cx="245173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173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781-935-5565.</w:t>
      </w:r>
    </w:p>
    <w:p>
      <w:pPr>
        <w:spacing w:after="0" w:line="21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debt securities involves certain risks. See the information included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debt securities.</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21, 2024.</w:t>
      </w:r>
    </w:p>
    <w:p>
      <w:pPr>
        <w:sectPr>
          <w:pgSz w:w="11900" w:h="16838" w:orient="portrait"/>
          <w:cols w:equalWidth="0" w:num="1">
            <w:col w:w="10980"/>
          </w:cols>
          <w:pgMar w:left="440" w:top="26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418"/>
        </w:trPr>
        <w:tc>
          <w:tcPr>
            <w:tcW w:w="85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478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9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66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30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0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6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4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7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II. INFORMATION NOT REQUIRED IN PROSPECTUS</w:t>
            </w:r>
          </w:p>
        </w:tc>
        <w:tc>
          <w:tcPr>
            <w:tcW w:w="388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II-1</w:t>
            </w:r>
          </w:p>
        </w:tc>
      </w:tr>
      <w:tr>
        <w:trPr>
          <w:trHeight w:val="196"/>
        </w:trPr>
        <w:tc>
          <w:tcPr>
            <w:tcW w:w="1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7480" w:type="dxa"/>
            <w:vAlign w:val="bottom"/>
            <w:gridSpan w:val="1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II-6</w:t>
            </w:r>
          </w:p>
        </w:tc>
      </w:tr>
      <w:tr>
        <w:trPr>
          <w:trHeight w:val="196"/>
        </w:trPr>
        <w:tc>
          <w:tcPr>
            <w:tcW w:w="3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SIGNATURES AND POWER OF ATTORNEY</w:t>
            </w:r>
          </w:p>
        </w:tc>
        <w:tc>
          <w:tcPr>
            <w:tcW w:w="510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II-7</w:t>
            </w:r>
          </w:p>
        </w:tc>
      </w:tr>
    </w:tbl>
    <w:p>
      <w:pPr>
        <w:jc w:val="right"/>
        <w:spacing w:after="0" w:line="196"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7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this prospectus or such accompanying prospectus supplement or an offer to sell or the solicitation of an offer to buy such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terms “the Company,” “Analog Devices,” “we,” “our,” “ours” and “us” refer to Analog Devices, Inc. and its subsidiaries on a consolidated basis, unless the context otherwise requires.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0"/>
          </w:cols>
          <w:pgMar w:left="440" w:top="266" w:right="4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https://www.analog.com</w:t>
      </w:r>
      <w:r>
        <w:rPr>
          <w:rFonts w:ascii="Times New Roman" w:cs="Times New Roman" w:eastAsia="Times New Roman" w:hAnsi="Times New Roman"/>
          <w:sz w:val="18"/>
          <w:szCs w:val="18"/>
          <w:color w:val="auto"/>
        </w:rPr>
        <w:t>. The information contained on, or that can be accessed through, our website is not a part of this prospectus and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We have included our website address in this prospectus solely as an inactive textual reference.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66" w:right="4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October 28, 2023, as filed with the SEC on November 21, 2023, including the information specifically incorporated by reference into the Annual Report on Form 10-K from our </w:t>
      </w:r>
      <w:hyperlink r:id="rId25">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2024 Annual Meeting of Stockholders, as filed with the SEC on January 19, 2024;</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February 3, 2024, as filed with the SEC on February 21,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May 4, 2024, as filed with the SEC on May 22,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August 3, 2024, as filed with the SEC on August 21, 2024; and</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as filed with the SEC on </w:t>
      </w:r>
      <w:hyperlink r:id="rId29">
        <w:r>
          <w:rPr>
            <w:rFonts w:ascii="Times New Roman" w:cs="Times New Roman" w:eastAsia="Times New Roman" w:hAnsi="Times New Roman"/>
            <w:sz w:val="18"/>
            <w:szCs w:val="18"/>
            <w:u w:val="single" w:color="auto"/>
            <w:color w:val="0000EE"/>
          </w:rPr>
          <w:t>December 7, 2023</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January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5.02 only), </w:t>
      </w:r>
      <w:hyperlink r:id="rId32">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only),</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and April 3, 2024</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(781) 461-3282</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(each as described in our Annual Report on Form 10-K for the fiscal year ended October 28, 2023 and our Quarterly Report on Form 10-Q for the quarter ended February 3, 2024); and other characterizations of future events or circumstances are forward-looking statements. Our actual results could differ materially from those anticipated in these forward-looking statements as a result of various factors.</w:t>
      </w:r>
    </w:p>
    <w:p>
      <w:pPr>
        <w:spacing w:after="0" w:line="1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and unanticipated difficulties or expenditures relating to integrating Maxim Integrated Products, Inc.</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August 3, 2024 and our Current Reports on Form 8-K.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66"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28, 2023, before making an investment decision pursuant to this prospectus and any accompanying prospectus supplement relating to a specific offering.</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66" w:right="4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We serve approximately 125,000 customers worldwide with more than 75,000 products in the industrial, automotive, communications, and consumer markets.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were incorporated in Massachusetts in 1965. Our headquarters is near Boston, in Wilmington, Massachusetts. In addition, we have manufacturing facilities primarily in the United States, Ireland and Southeast Asia. Our common stock is listed on The Nasdaq Global Select Market under the symbol ADI and is included in the Standard &amp; Poor’s 500 Index.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 935-5565.</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40"/>
          </w:cols>
          <w:pgMar w:left="440" w:top="266" w:right="51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40"/>
          </w:cols>
          <w:pgMar w:left="440" w:top="266" w:right="51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we refer to “the Company,” “we,” “our” and “us” in this section, we mean Analog Devices, Inc. excluding, unless the context otherwise requires or as otherwise expressly stated,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pay the principal on the debt securities;</w:t>
      </w:r>
    </w:p>
    <w:p>
      <w:pPr>
        <w:spacing w:after="0" w:line="225"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premium and any interest on the debt securities will be payable;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20"/>
          </w:cols>
          <w:pgMar w:left="440" w:top="266" w:right="539" w:bottom="1440" w:gutter="0" w:footer="0" w:header="0"/>
        </w:sectPr>
      </w:pPr>
    </w:p>
    <w:bookmarkStart w:id="11" w:name="page12"/>
    <w:bookmarkEnd w:id="11"/>
    <w:p>
      <w:pPr>
        <w:ind w:right="200" w:firstLine="436"/>
        <w:spacing w:after="0" w:line="28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right="520" w:firstLine="436"/>
        <w:spacing w:after="0" w:line="282" w:lineRule="auto"/>
        <w:tabs>
          <w:tab w:leader="none" w:pos="7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any interest on the debt securities will be made;</w:t>
      </w:r>
    </w:p>
    <w:p>
      <w:pPr>
        <w:spacing w:after="0" w:line="161" w:lineRule="exact"/>
        <w:rPr>
          <w:rFonts w:ascii="Times New Roman" w:cs="Times New Roman" w:eastAsia="Times New Roman" w:hAnsi="Times New Roman"/>
          <w:sz w:val="18"/>
          <w:szCs w:val="18"/>
          <w:color w:val="auto"/>
        </w:rPr>
      </w:pPr>
    </w:p>
    <w:p>
      <w:pPr>
        <w:ind w:right="20" w:firstLine="436"/>
        <w:spacing w:after="0" w:line="312" w:lineRule="auto"/>
        <w:tabs>
          <w:tab w:leader="none" w:pos="7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39" w:lineRule="exact"/>
        <w:rPr>
          <w:rFonts w:ascii="Times New Roman" w:cs="Times New Roman" w:eastAsia="Times New Roman" w:hAnsi="Times New Roman"/>
          <w:sz w:val="17"/>
          <w:szCs w:val="17"/>
          <w:color w:val="auto"/>
        </w:rPr>
      </w:pPr>
    </w:p>
    <w:p>
      <w:pPr>
        <w:ind w:right="200" w:firstLine="436"/>
        <w:spacing w:after="0" w:line="266" w:lineRule="auto"/>
        <w:tabs>
          <w:tab w:leader="none" w:pos="7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7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on a securities exchange;</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if any is established for such debt securities;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and</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7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 if other than those appointed in the indenture.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“Forms of Securities” in this prospectus for a description of transfer and exchange.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Protection in the Event of a Change of Control</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right="6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175"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with respect to any series of debt securities, any of the following unless otherwise provided in the resolutions, officers’ certificate or supplemental indenture establishing such series:</w:t>
      </w:r>
    </w:p>
    <w:p>
      <w:pPr>
        <w:spacing w:after="0" w:line="160" w:lineRule="exact"/>
        <w:rPr>
          <w:sz w:val="20"/>
          <w:szCs w:val="20"/>
          <w:color w:val="auto"/>
        </w:rPr>
      </w:pPr>
    </w:p>
    <w:p>
      <w:pPr>
        <w:ind w:right="20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that default for a period of 30 days;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that series when due and payable;</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and</w:t>
      </w:r>
    </w:p>
    <w:p>
      <w:pPr>
        <w:spacing w:after="0" w:line="22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accompanying this prospectus.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6" w:right="459" w:bottom="1440" w:gutter="0" w:footer="0" w:header="0"/>
        </w:sectPr>
      </w:pPr>
    </w:p>
    <w:bookmarkStart w:id="13" w:name="page14"/>
    <w:bookmarkEnd w:id="13"/>
    <w:p>
      <w:pPr>
        <w:ind w:right="6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20"/>
          </w:cols>
          <w:pgMar w:left="440" w:top="270" w:right="439" w:bottom="1440" w:gutter="0" w:footer="0" w:header="0"/>
        </w:sectPr>
      </w:pPr>
    </w:p>
    <w:bookmarkStart w:id="14" w:name="page15"/>
    <w:bookmarkEnd w:id="14"/>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with respect to debt securities of that series if it in good faith determines that withholding notice is in the interest of the holders of those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of one or more series without the consent of the holders of the outstanding debt securities under the indenture:</w:t>
      </w:r>
    </w:p>
    <w:p>
      <w:pPr>
        <w:spacing w:after="0" w:line="162" w:lineRule="exact"/>
        <w:rPr>
          <w:sz w:val="20"/>
          <w:szCs w:val="20"/>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contemplated by Article V of the indenture;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 under the indenture;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under the indenture as permitted thereunder;</w:t>
      </w:r>
    </w:p>
    <w:p>
      <w:pPr>
        <w:spacing w:after="0" w:line="225"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w:t>
      </w:r>
    </w:p>
    <w:p>
      <w:pPr>
        <w:spacing w:after="0" w:line="158" w:lineRule="exact"/>
        <w:rPr>
          <w:sz w:val="20"/>
          <w:szCs w:val="20"/>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 or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0940"/>
          </w:cols>
          <w:pgMar w:left="440" w:top="270" w:right="519" w:bottom="1440" w:gutter="0" w:footer="0" w:header="0"/>
        </w:sectPr>
      </w:pPr>
    </w:p>
    <w:bookmarkStart w:id="15" w:name="page16"/>
    <w:bookmarkEnd w:id="15"/>
    <w:p>
      <w:pPr>
        <w:ind w:right="200" w:firstLine="43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firstLine="43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ind w:right="40" w:firstLine="436"/>
        <w:spacing w:after="0" w:line="26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20"/>
          </w:cols>
          <w:pgMar w:left="440" w:top="270" w:right="439" w:bottom="1440" w:gutter="0" w:footer="0" w:header="0"/>
        </w:sectPr>
      </w:pPr>
    </w:p>
    <w:bookmarkStart w:id="16" w:name="page17"/>
    <w:bookmarkEnd w:id="16"/>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6" w:lineRule="exact"/>
        <w:rPr>
          <w:sz w:val="20"/>
          <w:szCs w:val="20"/>
          <w:color w:val="auto"/>
        </w:rPr>
      </w:pPr>
    </w:p>
    <w:p>
      <w:pPr>
        <w:ind w:right="100" w:firstLine="436"/>
        <w:spacing w:after="0" w:line="261"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Covenant Defeasance and Events of Default</w:t>
      </w:r>
      <w:r>
        <w:rPr>
          <w:rFonts w:ascii="Times New Roman" w:cs="Times New Roman" w:eastAsia="Times New Roman" w:hAnsi="Times New Roman"/>
          <w:sz w:val="18"/>
          <w:szCs w:val="18"/>
          <w:color w:val="auto"/>
        </w:rPr>
        <w:t>. In the event we exercise our option to effect covenant defeasance with respect to any series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debt securities of any series that are denominated in a currency other than U.S. Dollars:</w:t>
      </w:r>
    </w:p>
    <w:p>
      <w:pPr>
        <w:spacing w:after="0" w:line="227" w:lineRule="exact"/>
        <w:rPr>
          <w:sz w:val="20"/>
          <w:szCs w:val="20"/>
          <w:color w:val="auto"/>
        </w:rPr>
      </w:pPr>
    </w:p>
    <w:p>
      <w:pPr>
        <w:ind w:right="320" w:firstLine="436"/>
        <w:spacing w:after="0" w:line="282"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Prior to Maturity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0"/>
          </w:cols>
          <w:pgMar w:left="440" w:top="270" w:right="45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960"/>
          </w:cols>
          <w:pgMar w:left="440" w:top="270" w:right="49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FORMS OF SECURITIES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980"/>
          </w:cols>
          <w:pgMar w:left="440" w:top="266" w:right="479" w:bottom="1440" w:gutter="0" w:footer="0" w:header="0"/>
        </w:sectPr>
      </w:pPr>
    </w:p>
    <w:bookmarkStart w:id="19" w:name="page20"/>
    <w:bookmarkEnd w:id="19"/>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debt securities:</w:t>
      </w:r>
    </w:p>
    <w:p>
      <w:pPr>
        <w:spacing w:after="0" w:line="225" w:lineRule="exact"/>
        <w:rPr>
          <w:sz w:val="20"/>
          <w:szCs w:val="20"/>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prospectus may be used in connection with any offering of our debt securities through any of these methods or other methods described in the applicable prospectus supplement.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debt securities may be effected from time to time in one or more transactions:</w:t>
      </w:r>
    </w:p>
    <w:p>
      <w:pPr>
        <w:spacing w:after="0" w:line="225" w:lineRule="exact"/>
        <w:rPr>
          <w:sz w:val="20"/>
          <w:szCs w:val="20"/>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debt securities and any applicable restrictions.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debt securities of a particular series will describe the terms of the offering of the debt securities, including the following:</w:t>
      </w:r>
    </w:p>
    <w:p>
      <w:pPr>
        <w:spacing w:after="0" w:line="162" w:lineRule="exact"/>
        <w:rPr>
          <w:sz w:val="20"/>
          <w:szCs w:val="20"/>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debt securities will be listed.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0"/>
          </w:cols>
          <w:pgMar w:left="440" w:top="266" w:right="459" w:bottom="1440" w:gutter="0" w:footer="0" w:header="0"/>
        </w:sectPr>
      </w:pPr>
    </w:p>
    <w:bookmarkStart w:id="21" w:name="page22"/>
    <w:bookmarkEnd w:id="21"/>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3" w:lineRule="exact"/>
        <w:rPr>
          <w:sz w:val="20"/>
          <w:szCs w:val="20"/>
          <w:color w:val="auto"/>
        </w:rPr>
      </w:pPr>
    </w:p>
    <w:p>
      <w:pPr>
        <w:ind w:firstLine="436"/>
        <w:spacing w:after="0" w:line="282"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8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40"/>
          </w:cols>
          <w:pgMar w:left="440" w:top="270" w:right="51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debt securities in respect of which this prospectus is being delivered will be passed upon by Wilmer Cutler Pickering Hale and Dorr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October 28, 2023, and the effectiveness of Analog Devices, Inc.’s internal control over financial reporting as of October 28,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0960"/>
          </w:cols>
          <w:pgMar w:left="440" w:top="266" w:right="499" w:bottom="1440" w:gutter="0" w:footer="0" w:header="0"/>
        </w:sectPr>
      </w:pPr>
    </w:p>
    <w:bookmarkStart w:id="24" w:name="page25"/>
    <w:bookmarkEnd w:id="2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the registrant’s best estimate as to anticipated expenses and costs (other than underwriting discounts and commissions)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expected to be incurred in connection with a distribution of debt securities registered hereby:</w:t>
      </w:r>
    </w:p>
    <w:p>
      <w:pPr>
        <w:spacing w:after="0" w:line="25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services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of registrant’s counsel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20"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 reliance upon Rules 456(b) and 457(r) under the Securities Act.</w:t>
      </w:r>
    </w:p>
    <w:p>
      <w:pPr>
        <w:spacing w:after="0" w:line="27" w:lineRule="exact"/>
        <w:rPr>
          <w:rFonts w:ascii="Times New Roman" w:cs="Times New Roman" w:eastAsia="Times New Roman" w:hAnsi="Times New Roman"/>
          <w:sz w:val="18"/>
          <w:szCs w:val="18"/>
          <w:color w:val="auto"/>
        </w:rPr>
      </w:pPr>
    </w:p>
    <w:p>
      <w:pPr>
        <w:ind w:left="424" w:right="120" w:hanging="424"/>
        <w:spacing w:after="0" w:line="26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are calculated based on the amount of securities offered and the number of issuances and, accordingly, are not estimated at this time and will be reflected in the applicable prospectus supplement.</w:t>
      </w:r>
    </w:p>
    <w:p>
      <w:pPr>
        <w:spacing w:after="0" w:line="32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w:t>
      </w:r>
    </w:p>
    <w:p>
      <w:pPr>
        <w:spacing w:after="0" w:line="19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4"/>
          </w:cols>
          <w:pgMar w:left="436" w:top="266" w:right="459" w:bottom="1440" w:gutter="0" w:footer="0" w:header="0"/>
        </w:sectPr>
      </w:pPr>
    </w:p>
    <w:bookmarkStart w:id="25" w:name="page26"/>
    <w:bookmarkEnd w:id="25"/>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counsel in a written opinion), based on facts known to the board of directors or such independent legal counsel at such time, that such person did not act in good faith in the reasonable belief that his action was in the best interest of the Company or the participants or beneficiaries of such employee benefit plan, as the case may be.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has directors and officers liability insurance for the benefit of its directors and officers.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60" w:type="dxa"/>
            <w:vAlign w:val="bottom"/>
            <w:gridSpan w:val="1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98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988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Restated Articles of Organization of the Company, as amended, filed as Exhibit 3.1 to the Company’s Quarterly Report on Form 10-Q</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 the fiscal quarter ended May 3, 2008 (File No. 001-07819), as filed with the SEC on May 20, 2008.</w:t>
              </w:r>
            </w:hyperlink>
          </w:p>
        </w:tc>
        <w:tc>
          <w:tcPr>
            <w:tcW w:w="2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Amendment to Restated Articles of Organization of the Company, filed as Exhibit 3.1 to the Company’s Current Report on Form 8-K</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(File No. 001-07819), as filed with the SEC on December 8, 2008.</w:t>
              </w:r>
            </w:hyperlink>
          </w:p>
        </w:tc>
        <w:tc>
          <w:tcPr>
            <w:tcW w:w="5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and Restated By-laws of the Company, filed as Exhibit 3.1 to the Company’s Current Report on Form 8-K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No. 001-07819), as filed with the SEC on December 8, 2022.</w:t>
              </w:r>
            </w:hyperlink>
          </w:p>
        </w:tc>
        <w:tc>
          <w:tcPr>
            <w:tcW w:w="4360" w:type="dxa"/>
            <w:vAlign w:val="bottom"/>
            <w:tcBorders>
              <w:top w:val="single" w:sz="8" w:color="0000EE"/>
            </w:tcBorders>
            <w:gridSpan w:val="4"/>
          </w:tcPr>
          <w:p>
            <w:pPr>
              <w:spacing w:after="0"/>
              <w:rPr>
                <w:sz w:val="17"/>
                <w:szCs w:val="17"/>
                <w:color w:val="auto"/>
              </w:rPr>
            </w:pPr>
          </w:p>
        </w:tc>
        <w:tc>
          <w:tcPr>
            <w:tcW w:w="1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Indenture dated June 3, 2013, by and between the Company and The Bank of New York Mellon Trust Company, N.A. (as Trustee),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as Exhibit 4.1 to the Company’s Current Report on Form 8-K (File No. 001-07819), as filed with the SEC on June 3, 2013.</w:t>
              </w:r>
            </w:hyperlink>
          </w:p>
        </w:tc>
        <w:tc>
          <w:tcPr>
            <w:tcW w:w="10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Wilmer Cutler Pickering Hale and Dorr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tcBorders>
              <w:top w:val="single" w:sz="8" w:color="0000EE"/>
            </w:tcBorders>
          </w:tcPr>
          <w:p>
            <w:pPr>
              <w:spacing w:after="0"/>
              <w:rPr>
                <w:sz w:val="24"/>
                <w:szCs w:val="24"/>
                <w:color w:val="auto"/>
              </w:rPr>
            </w:pPr>
          </w:p>
        </w:tc>
        <w:tc>
          <w:tcPr>
            <w:tcW w:w="1820" w:type="dxa"/>
            <w:vAlign w:val="bottom"/>
            <w:tcBorders>
              <w:top w:val="single" w:sz="8" w:color="0000EE"/>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II-2</w:t>
            </w:r>
          </w:p>
        </w:tc>
        <w:tc>
          <w:tcPr>
            <w:tcW w:w="4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tcPr>
          <w:p>
            <w:pPr>
              <w:spacing w:after="0"/>
              <w:rPr>
                <w:sz w:val="22"/>
                <w:szCs w:val="22"/>
                <w:color w:val="auto"/>
              </w:rPr>
            </w:pPr>
          </w:p>
        </w:tc>
        <w:tc>
          <w:tcPr>
            <w:tcW w:w="9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Consent of Wilmer Cutler Pickering Hale and Dorr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tcPr>
          <w:p>
            <w:pPr>
              <w:spacing w:after="0"/>
              <w:rPr>
                <w:sz w:val="24"/>
                <w:szCs w:val="24"/>
                <w:color w:val="auto"/>
              </w:rPr>
            </w:pPr>
          </w:p>
        </w:tc>
        <w:tc>
          <w:tcPr>
            <w:tcW w:w="5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Powers of Attorney (included on signature pages).</w:t>
            </w:r>
          </w:p>
        </w:tc>
        <w:tc>
          <w:tcPr>
            <w:tcW w:w="3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64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Statement of Eligibility on Form T-1 of The Bank of New York Mellon Trust Company, N.A., Trustee.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44" w:hanging="1144"/>
        <w:spacing w:after="0"/>
        <w:tabs>
          <w:tab w:leader="none" w:pos="1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Tables.</w:t>
      </w:r>
    </w:p>
    <w:p>
      <w:pPr>
        <w:spacing w:after="0" w:line="252"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and incorporated herein by reference.</w:t>
      </w:r>
    </w:p>
    <w:p>
      <w:pPr>
        <w:spacing w:after="0" w:line="27"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an amendment or as an exhibit to a report filed under the Exchange Act and incorporated herein by reference.</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(a)(1) To file, during any period in which offers or sales are being made, a post-effective amendment to this registration statement:</w:t>
      </w:r>
    </w:p>
    <w:p>
      <w:pPr>
        <w:spacing w:after="0" w:line="225" w:lineRule="exact"/>
        <w:rPr>
          <w:sz w:val="20"/>
          <w:szCs w:val="20"/>
          <w:color w:val="auto"/>
        </w:rPr>
      </w:pPr>
    </w:p>
    <w:p>
      <w:pPr>
        <w:ind w:left="1204" w:hanging="213"/>
        <w:spacing w:after="0"/>
        <w:tabs>
          <w:tab w:leader="none" w:pos="1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w:t>
      </w:r>
    </w:p>
    <w:p>
      <w:pPr>
        <w:spacing w:after="0" w:line="3"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percent change in the maximum aggregate offering price set forth in the “Calculation of Registration Fee” table in the effective registration statement; and</w:t>
      </w:r>
    </w:p>
    <w:p>
      <w:pPr>
        <w:spacing w:after="0" w:line="181"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3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left="4" w:right="7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82" w:lineRule="exact"/>
        <w:rPr>
          <w:sz w:val="20"/>
          <w:szCs w:val="20"/>
          <w:color w:val="auto"/>
        </w:rPr>
      </w:pPr>
    </w:p>
    <w:p>
      <w:pPr>
        <w:jc w:val="both"/>
        <w:ind w:left="4" w:right="200" w:firstLine="436"/>
        <w:spacing w:after="0" w:line="266" w:lineRule="auto"/>
        <w:tabs>
          <w:tab w:leader="none" w:pos="6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4" w:right="660" w:firstLine="436"/>
        <w:spacing w:after="0" w:line="282" w:lineRule="auto"/>
        <w:tabs>
          <w:tab w:leader="none" w:pos="6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24"/>
          </w:cols>
          <w:pgMar w:left="436" w:top="251" w:right="439" w:bottom="1440" w:gutter="0" w:footer="0" w:header="0"/>
        </w:sectPr>
      </w:pPr>
    </w:p>
    <w:bookmarkStart w:id="27" w:name="page28"/>
    <w:bookmarkEnd w:id="27"/>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20" w:firstLine="987"/>
        <w:spacing w:after="0" w:line="253" w:lineRule="auto"/>
        <w:tabs>
          <w:tab w:leader="none" w:pos="12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such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right="260" w:firstLine="987"/>
        <w:spacing w:after="0" w:line="282" w:lineRule="auto"/>
        <w:tabs>
          <w:tab w:leader="none" w:pos="12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such undersigned Registrant or used or referred to by such undersigned Registrant;</w:t>
      </w:r>
    </w:p>
    <w:p>
      <w:pPr>
        <w:spacing w:after="0" w:line="161" w:lineRule="exact"/>
        <w:rPr>
          <w:rFonts w:ascii="Times New Roman" w:cs="Times New Roman" w:eastAsia="Times New Roman" w:hAnsi="Times New Roman"/>
          <w:sz w:val="18"/>
          <w:szCs w:val="18"/>
          <w:color w:val="auto"/>
        </w:rPr>
      </w:pPr>
    </w:p>
    <w:p>
      <w:pPr>
        <w:ind w:right="580" w:firstLine="987"/>
        <w:spacing w:after="0" w:line="282" w:lineRule="auto"/>
        <w:tabs>
          <w:tab w:leader="none" w:pos="13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such undersigned Registrant to the purchaser.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20"/>
          </w:cols>
          <w:pgMar w:left="440" w:top="270" w:right="439" w:bottom="1440" w:gutter="0" w:footer="0" w:header="0"/>
        </w:sectPr>
      </w:pPr>
    </w:p>
    <w:bookmarkStart w:id="28" w:name="page29"/>
    <w:bookmarkEnd w:id="28"/>
    <w:p>
      <w:pPr>
        <w:ind w:left="-80" w:firstLine="436"/>
        <w:spacing w:after="0" w:line="258" w:lineRule="auto"/>
        <w:tabs>
          <w:tab w:leader="none" w:pos="6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80" w:right="260" w:firstLine="436"/>
        <w:spacing w:after="0" w:line="266" w:lineRule="auto"/>
        <w:tabs>
          <w:tab w:leader="none" w:pos="6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75" w:lineRule="exact"/>
        <w:rPr>
          <w:rFonts w:ascii="Times New Roman" w:cs="Times New Roman" w:eastAsia="Times New Roman" w:hAnsi="Times New Roman"/>
          <w:sz w:val="18"/>
          <w:szCs w:val="18"/>
          <w:color w:val="auto"/>
        </w:rPr>
      </w:pPr>
    </w:p>
    <w:p>
      <w:pPr>
        <w:ind w:left="-80" w:right="40" w:firstLine="436"/>
        <w:spacing w:after="0" w:line="254" w:lineRule="auto"/>
        <w:tabs>
          <w:tab w:leader="none" w:pos="6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860"/>
          </w:cols>
          <w:pgMar w:left="520" w:top="270" w:right="519" w:bottom="1440" w:gutter="0" w:footer="0" w:header="0"/>
        </w:sectPr>
      </w:pPr>
    </w:p>
    <w:bookmarkStart w:id="29" w:name="page30"/>
    <w:bookmarkEnd w:id="29"/>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Wilmington, Commonwealth of Massachusetts, on August 21, 2024.</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Vincent Roche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Chief Executive Officer and Chair of the Board of</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Directors</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580"/>
          </w:cols>
          <w:pgMar w:left="440" w:top="266" w:right="8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 AND POWER OF ATTORNEY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Analog Devices, Inc., hereby severally constitute and appoint Vincent Roche, Richard C. Puccio, Jr. and Janene I. Asgeirsson,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5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Roche</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Vincent Roche</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C. Puccio, Jr.</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Richard C. Puccio, Jr.</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Sondel</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Vice President and Chief Accounting Officer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Michael Sondel</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André Andonian</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André Andonian</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Champy</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James A. Champy</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H. Frank</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Edward H. Frank</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Laurie H. Glimcher</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Laurie H. Glimcher</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M. Golz</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Karen M. Golz</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B. Henry</w:t>
            </w: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Peter B. Henry</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60"/>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II-7</w:t>
            </w: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0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6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 Jennings</w:t>
            </w:r>
          </w:p>
        </w:tc>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Stephen M. Jennings</w:t>
            </w: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Mercedes Johnson</w:t>
            </w:r>
          </w:p>
        </w:tc>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Mercedes Johnson</w:t>
            </w: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 Stata</w:t>
            </w:r>
          </w:p>
        </w:tc>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Ray Stata</w:t>
            </w: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Susie Wee</w:t>
            </w:r>
          </w:p>
        </w:tc>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Susie Wee</w:t>
            </w: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II-8</w:t>
            </w:r>
          </w:p>
        </w:tc>
        <w:tc>
          <w:tcPr>
            <w:tcW w:w="202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5732145</wp:posOffset>
            </wp:positionH>
            <wp:positionV relativeFrom="paragraph">
              <wp:posOffset>173990</wp:posOffset>
            </wp:positionV>
            <wp:extent cx="1260475"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12604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+1 617 526 6000 (t)</w:t>
      </w:r>
    </w:p>
    <w:p>
      <w:pPr>
        <w:spacing w:after="0" w:line="2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+1 617 526 5000 (f)</w:t>
      </w:r>
    </w:p>
    <w:p>
      <w:pPr>
        <w:spacing w:after="0" w:line="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wilmerhale.com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opinion is furnished to you in connection with a Registration Statement on Form S-3 (the “Registration Statement”) to be filed by Analog Devices, Inc., a Massachusetts corporation (the “Company”) with the Securities and Exchange Commission (the “Commission”) under the Securities Act of 1933, as amended (the “Securities Act”), for the registration of an unlimited amount of debt securities (“Debt Securities”),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filing of the Registration Statement. The Debt Securities may be issued pursuant to the Indenture dated as of June 3, 2013 (the “Indenture”) between the Company and The Bank of New York Mellon Trust Company, N.A., as trustee (the “Trustee”), which is filed as an exhibit to the Registration Statement.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examined and relied upon signed copies of the Registration Statement to be filed with the Commission, including the exhibits thereto. We have also examined and relied upon the Restated Articles of Organization of the Company (as amended or restated from time to time), the Amended and Restated By-Laws of the Company (as amended or restated from time to time) and minutes of meetings of the Board of Directors of the Company as provided to us by the Company.</w:t>
      </w:r>
    </w:p>
    <w:p>
      <w:pPr>
        <w:spacing w:after="0" w:line="180"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provided to us by the Company.</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and officers of the Company, and we have assumed (i) the Registration Statement will be effective and will comply with all applicable laws at the time any Debt Securities are offered or issued as contemplated by the Registration Statement; (ii) one or more prospectus supplements and term sheets, as applicable, will have been prepared and filed with the Commission describing the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82550</wp:posOffset>
            </wp:positionV>
            <wp:extent cx="5863590" cy="351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5863590" cy="3511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6011545</wp:posOffset>
            </wp:positionH>
            <wp:positionV relativeFrom="page">
              <wp:posOffset>182880</wp:posOffset>
            </wp:positionV>
            <wp:extent cx="1260475"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65430"/>
                    </a:xfrm>
                    <a:prstGeom prst="rect">
                      <a:avLst/>
                    </a:prstGeom>
                    <a:noFill/>
                  </pic:spPr>
                </pic:pic>
              </a:graphicData>
            </a:graphic>
          </wp:anchor>
        </w:drawing>
        <w:t>August 21,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Securities offered thereby; (iii) all Debt Securities will be issued and sold in compliance with applicable federal and state securities laws and in the manner stated in the Registration Statement, the Prospectus and any applicable prospectus supplement; (iv) the Trustee has the power, corporate or other, to enter into and perform its obligations under the Indenture; (v) the Indenture has been duly authorized, executed and delivered by the Trustee; (vi) the Trustee will be duly eligible to serve as trustee; (vii) the Indenture is a valid and binding obligation of the Trustee; (viii) the Debt Securities will be duly authenticated by the Trustee named in the Indenture; (ix) the Trustee shall have been qualified under the Trust Indenture Act of 1939, as amended; (x) a definitive purchase, underwriting or similar agreement with respect to any Debt Securities offered will be duly authorized, executed and delivered by all parties thereto other than the Company; (xi) the issuance, sale, amount and terms of the Debt Securities, to be offered from time to time, will be duly authorized and established by all requisite action, corporate or other, by the Company; and (xii) at the time of the issuance and sale of the Debt Securities, the Company will be validly existing as a corporation and in good standing under the laws of the Commonwealth of Massachusetts.</w:t>
      </w:r>
    </w:p>
    <w:p>
      <w:pPr>
        <w:spacing w:after="0" w:line="188" w:lineRule="exact"/>
        <w:rPr>
          <w:sz w:val="20"/>
          <w:szCs w:val="20"/>
          <w:color w:val="auto"/>
        </w:rPr>
      </w:pPr>
    </w:p>
    <w:p>
      <w:pPr>
        <w:jc w:val="both"/>
        <w:ind w:left="4" w:right="40"/>
        <w:spacing w:after="0" w:line="289" w:lineRule="auto"/>
        <w:rPr>
          <w:sz w:val="20"/>
          <w:szCs w:val="20"/>
          <w:color w:val="auto"/>
        </w:rPr>
      </w:pPr>
      <w:r>
        <w:rPr>
          <w:rFonts w:ascii="Times New Roman" w:cs="Times New Roman" w:eastAsia="Times New Roman" w:hAnsi="Times New Roman"/>
          <w:sz w:val="17"/>
          <w:szCs w:val="17"/>
          <w:color w:val="auto"/>
        </w:rPr>
        <w:t>We are expressing no opinion herein as to the application of any federal or state law or regulation to the power, authority or competence of any party to any agreement with respect to any Debt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58"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any Debt Securities, any change in law affecting the validity or enforceability of such Debt Securities and that at the time of the issuance and sale of any Debt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the Debt Securities.</w:t>
      </w:r>
    </w:p>
    <w:p>
      <w:pPr>
        <w:spacing w:after="0" w:line="192"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Our opinion below is qualified to the extent that it may be subject to or affected by (i) applicable bankruptcy, insolvency, reorganization, receivership, moratorium, usury, fraudulent conveyance, fraudulent transfer or similar laws relating to or affecting the rights or remedies of creditors generally;</w:t>
      </w:r>
    </w:p>
    <w:p>
      <w:pPr>
        <w:spacing w:after="0" w:line="1" w:lineRule="exact"/>
        <w:rPr>
          <w:sz w:val="20"/>
          <w:szCs w:val="20"/>
          <w:color w:val="auto"/>
        </w:rPr>
      </w:pPr>
    </w:p>
    <w:p>
      <w:pPr>
        <w:ind w:left="4" w:right="960" w:hanging="4"/>
        <w:spacing w:after="0" w:line="260"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and standards imposed on creditors and parties to contracts, including, without limitation, requirements of materiality, good faith, reasonableness and fair dealing; (iii) general equitable principles; and (iv) acceleration of the Debt Securities which may affect the</w:t>
      </w:r>
    </w:p>
    <w:p>
      <w:pPr>
        <w:sectPr>
          <w:pgSz w:w="11900" w:h="16838" w:orient="portrait"/>
          <w:cols w:equalWidth="0" w:num="1">
            <w:col w:w="11004"/>
          </w:cols>
          <w:pgMar w:left="436" w:top="796"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6011545</wp:posOffset>
            </wp:positionH>
            <wp:positionV relativeFrom="page">
              <wp:posOffset>182880</wp:posOffset>
            </wp:positionV>
            <wp:extent cx="1260475"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65430"/>
                    </a:xfrm>
                    <a:prstGeom prst="rect">
                      <a:avLst/>
                    </a:prstGeom>
                    <a:noFill/>
                  </pic:spPr>
                </pic:pic>
              </a:graphicData>
            </a:graphic>
          </wp:anchor>
        </w:drawing>
        <w:t>August 21,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state laws of the Commonwealth of Massachusetts.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also express no opinion herein as to any provision of any agreement (i) that may be deemed to or construed to waive any right, defense or counterclaim of the Company; (ii) to the effect that rights and remedies are not exclusive, or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instrument or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when (i) specifically authorized for issuance by proper action of the Board of Directors of the Company or an authorized committee thereof (the “Authorizing Resolutions”); (ii) the terms of the Debt Securities and of their issuance and sale have been duly established in conformity with the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(iii) such Debt Securities have been duly executed by the Company and duly authenticated by the Trustee in accordance with the terms of the Indenture, and delivered and sold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or other purchase agreement, such Debt Securities will constitute valid and binding obligations of the Company, enforceable against the Company in accordance with their terms.</w:t>
      </w:r>
    </w:p>
    <w:p>
      <w:pPr>
        <w:sectPr>
          <w:pgSz w:w="11900" w:h="16838" w:orient="portrait"/>
          <w:cols w:equalWidth="0" w:num="1">
            <w:col w:w="11000"/>
          </w:cols>
          <w:pgMar w:left="440" w:top="796"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6011545</wp:posOffset>
            </wp:positionH>
            <wp:positionV relativeFrom="page">
              <wp:posOffset>182880</wp:posOffset>
            </wp:positionV>
            <wp:extent cx="1260475"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65430"/>
                    </a:xfrm>
                    <a:prstGeom prst="rect">
                      <a:avLst/>
                    </a:prstGeom>
                    <a:noFill/>
                  </pic:spPr>
                </pic:pic>
              </a:graphicData>
            </a:graphic>
          </wp:anchor>
        </w:drawing>
        <w:t>August 21,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that might affect any matters or opinions set forth herein.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ectPr>
          <w:pgSz w:w="11900" w:h="16838" w:orient="portrait"/>
          <w:cols w:equalWidth="0" w:num="1">
            <w:col w:w="10880"/>
          </w:cols>
          <w:pgMar w:left="440" w:top="796" w:right="5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Analog Devices, Inc. for the registration of debt securities and to the incorporation by reference therein of our reports dated November 21, 2023, with respect to the consolidated financial statements of Analog Devices, Inc., and the effectiveness of internal control over financial reporting of Analog Devices, Inc., included in its Annual Report (Form 10-K) for the year ended October 28,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ectPr>
          <w:pgSz w:w="11900" w:h="16838" w:orient="portrait"/>
          <w:cols w:equalWidth="0" w:num="1">
            <w:col w:w="11020"/>
          </w:cols>
          <w:pgMar w:left="440" w:top="117"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right="180" w:hanging="424"/>
        <w:spacing w:after="0" w:line="262" w:lineRule="auto"/>
        <w:tabs>
          <w:tab w:leader="none" w:pos="424" w:val="left"/>
        </w:tabs>
        <w:numPr>
          <w:ilvl w:val="0"/>
          <w:numId w:val="27"/>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TRUST COMPANY, N.A.</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7040" w:type="dxa"/>
            <w:vAlign w:val="bottom"/>
            <w:gridSpan w:val="3"/>
          </w:tcPr>
          <w:p>
            <w:pPr>
              <w:jc w:val="center"/>
              <w:ind w:left="1597"/>
              <w:spacing w:after="0"/>
              <w:rPr>
                <w:sz w:val="20"/>
                <w:szCs w:val="20"/>
                <w:color w:val="auto"/>
              </w:rPr>
            </w:pPr>
            <w:r>
              <w:rPr>
                <w:rFonts w:ascii="Times New Roman" w:cs="Times New Roman" w:eastAsia="Times New Roman" w:hAnsi="Times New Roman"/>
                <w:sz w:val="18"/>
                <w:szCs w:val="18"/>
                <w:b w:val="1"/>
                <w:bCs w:val="1"/>
                <w:color w:val="auto"/>
              </w:rPr>
              <w:t>95-3571558</w:t>
            </w:r>
          </w:p>
        </w:tc>
      </w:tr>
      <w:tr>
        <w:trPr>
          <w:trHeight w:val="149"/>
        </w:trPr>
        <w:tc>
          <w:tcPr>
            <w:tcW w:w="3980" w:type="dxa"/>
            <w:vAlign w:val="bottom"/>
          </w:tcPr>
          <w:p>
            <w:pPr>
              <w:jc w:val="center"/>
              <w:ind w:left="1481"/>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36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left="1481"/>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8"/>
                <w:szCs w:val="18"/>
                <w:b w:val="1"/>
                <w:bCs w:val="1"/>
                <w:color w:val="auto"/>
                <w:w w:val="99"/>
              </w:rPr>
              <w:t>333 South Hope Street</w:t>
            </w:r>
          </w:p>
        </w:tc>
      </w:tr>
      <w:tr>
        <w:trPr>
          <w:trHeight w:val="216"/>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8"/>
                <w:szCs w:val="18"/>
                <w:b w:val="1"/>
                <w:bCs w:val="1"/>
                <w:color w:val="auto"/>
              </w:rPr>
              <w:t>Suite 2525</w:t>
            </w:r>
          </w:p>
        </w:tc>
      </w:tr>
      <w:tr>
        <w:trPr>
          <w:trHeight w:val="214"/>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80" w:type="dxa"/>
            <w:vAlign w:val="bottom"/>
            <w:gridSpan w:val="2"/>
          </w:tcPr>
          <w:p>
            <w:pPr>
              <w:jc w:val="center"/>
              <w:ind w:right="4268"/>
              <w:spacing w:after="0"/>
              <w:rPr>
                <w:sz w:val="20"/>
                <w:szCs w:val="20"/>
                <w:color w:val="auto"/>
              </w:rPr>
            </w:pPr>
            <w:r>
              <w:rPr>
                <w:rFonts w:ascii="Times New Roman" w:cs="Times New Roman" w:eastAsia="Times New Roman" w:hAnsi="Times New Roman"/>
                <w:sz w:val="18"/>
                <w:szCs w:val="18"/>
                <w:b w:val="1"/>
                <w:bCs w:val="1"/>
                <w:color w:val="auto"/>
                <w:w w:val="99"/>
              </w:rPr>
              <w:t>Los Angeles, California 90071</w:t>
            </w:r>
          </w:p>
        </w:tc>
      </w:tr>
      <w:tr>
        <w:trPr>
          <w:trHeight w:val="190"/>
        </w:trPr>
        <w:tc>
          <w:tcPr>
            <w:tcW w:w="3980" w:type="dxa"/>
            <w:vAlign w:val="bottom"/>
          </w:tcPr>
          <w:p>
            <w:pPr>
              <w:spacing w:after="0"/>
              <w:rPr>
                <w:sz w:val="16"/>
                <w:szCs w:val="16"/>
                <w:color w:val="auto"/>
              </w:rPr>
            </w:pPr>
          </w:p>
        </w:tc>
        <w:tc>
          <w:tcPr>
            <w:tcW w:w="7040" w:type="dxa"/>
            <w:vAlign w:val="bottom"/>
            <w:gridSpan w:val="3"/>
          </w:tcPr>
          <w:p>
            <w:pPr>
              <w:jc w:val="center"/>
              <w:ind w:right="39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334"/>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1"/>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268"/>
              <w:spacing w:after="0"/>
              <w:rPr>
                <w:sz w:val="20"/>
                <w:szCs w:val="20"/>
                <w:color w:val="auto"/>
              </w:rPr>
            </w:pPr>
            <w:r>
              <w:rPr>
                <w:rFonts w:ascii="Times New Roman" w:cs="Times New Roman" w:eastAsia="Times New Roman" w:hAnsi="Times New Roman"/>
                <w:sz w:val="18"/>
                <w:szCs w:val="18"/>
                <w:b w:val="1"/>
                <w:bCs w:val="1"/>
                <w:color w:val="auto"/>
                <w:w w:val="99"/>
              </w:rPr>
              <w:t>ANALOG DEVICES, INC.</w:t>
            </w:r>
          </w:p>
        </w:tc>
      </w:tr>
      <w:tr>
        <w:trPr>
          <w:trHeight w:val="190"/>
        </w:trPr>
        <w:tc>
          <w:tcPr>
            <w:tcW w:w="3980" w:type="dxa"/>
            <w:vAlign w:val="bottom"/>
          </w:tcPr>
          <w:p>
            <w:pPr>
              <w:spacing w:after="0"/>
              <w:rPr>
                <w:sz w:val="16"/>
                <w:szCs w:val="16"/>
                <w:color w:val="auto"/>
              </w:rPr>
            </w:pPr>
          </w:p>
        </w:tc>
        <w:tc>
          <w:tcPr>
            <w:tcW w:w="7040" w:type="dxa"/>
            <w:vAlign w:val="bottom"/>
            <w:gridSpan w:val="3"/>
          </w:tcPr>
          <w:p>
            <w:pPr>
              <w:jc w:val="center"/>
              <w:ind w:right="3908"/>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r>
      <w:tr>
        <w:trPr>
          <w:trHeight w:val="334"/>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68"/>
        </w:trPr>
        <w:tc>
          <w:tcPr>
            <w:tcW w:w="398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7040" w:type="dxa"/>
            <w:vAlign w:val="bottom"/>
            <w:gridSpan w:val="3"/>
          </w:tcPr>
          <w:p>
            <w:pPr>
              <w:jc w:val="center"/>
              <w:ind w:left="1597"/>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148"/>
        </w:trPr>
        <w:tc>
          <w:tcPr>
            <w:tcW w:w="3980" w:type="dxa"/>
            <w:vAlign w:val="bottom"/>
          </w:tcPr>
          <w:p>
            <w:pPr>
              <w:jc w:val="center"/>
              <w:ind w:left="15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36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98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9"/>
              </w:rPr>
              <w:t>One Analog Way</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27"/>
        </w:trPr>
        <w:tc>
          <w:tcPr>
            <w:tcW w:w="398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rPr>
              <w:t>Wilmington, MA</w:t>
            </w:r>
          </w:p>
        </w:tc>
        <w:tc>
          <w:tcPr>
            <w:tcW w:w="7040" w:type="dxa"/>
            <w:vAlign w:val="bottom"/>
            <w:gridSpan w:val="3"/>
          </w:tcPr>
          <w:p>
            <w:pPr>
              <w:jc w:val="center"/>
              <w:ind w:left="1597"/>
              <w:spacing w:after="0"/>
              <w:rPr>
                <w:sz w:val="20"/>
                <w:szCs w:val="20"/>
                <w:color w:val="auto"/>
              </w:rPr>
            </w:pPr>
            <w:r>
              <w:rPr>
                <w:rFonts w:ascii="Times New Roman" w:cs="Times New Roman" w:eastAsia="Times New Roman" w:hAnsi="Times New Roman"/>
                <w:sz w:val="18"/>
                <w:szCs w:val="18"/>
                <w:b w:val="1"/>
                <w:bCs w:val="1"/>
                <w:color w:val="auto"/>
                <w:w w:val="97"/>
              </w:rPr>
              <w:t>01887</w:t>
            </w:r>
          </w:p>
        </w:tc>
      </w:tr>
      <w:tr>
        <w:trPr>
          <w:trHeight w:val="190"/>
        </w:trPr>
        <w:tc>
          <w:tcPr>
            <w:tcW w:w="3980" w:type="dxa"/>
            <w:vAlign w:val="bottom"/>
          </w:tcPr>
          <w:p>
            <w:pPr>
              <w:jc w:val="center"/>
              <w:ind w:left="14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1"/>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r>
      <w:tr>
        <w:trPr>
          <w:trHeight w:val="190"/>
        </w:trPr>
        <w:tc>
          <w:tcPr>
            <w:tcW w:w="3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r>
      <w:tr>
        <w:trPr>
          <w:trHeight w:val="226"/>
        </w:trPr>
        <w:tc>
          <w:tcPr>
            <w:tcW w:w="3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r>
      <w:tr>
        <w:trPr>
          <w:trHeight w:val="48"/>
        </w:trPr>
        <w:tc>
          <w:tcPr>
            <w:tcW w:w="3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38" w:name="page39"/>
    <w:bookmarkEnd w:id="38"/>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04" w:type="dxa"/>
        <w:tblCellMar>
          <w:top w:w="0" w:type="dxa"/>
          <w:left w:w="0" w:type="dxa"/>
          <w:bottom w:w="0" w:type="dxa"/>
          <w:right w:w="0" w:type="dxa"/>
        </w:tblCellMar>
      </w:tblPr>
      <w:tr>
        <w:trPr>
          <w:trHeight w:val="18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6"/>
                <w:szCs w:val="16"/>
                <w:color w:val="auto"/>
              </w:rPr>
            </w:pPr>
          </w:p>
        </w:tc>
        <w:tc>
          <w:tcPr>
            <w:tcW w:w="506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Name</w:t>
            </w:r>
          </w:p>
        </w:tc>
        <w:tc>
          <w:tcPr>
            <w:tcW w:w="300" w:type="dxa"/>
            <w:vAlign w:val="bottom"/>
          </w:tcPr>
          <w:p>
            <w:pPr>
              <w:spacing w:after="0"/>
              <w:rPr>
                <w:sz w:val="16"/>
                <w:szCs w:val="16"/>
                <w:color w:val="auto"/>
              </w:rPr>
            </w:pPr>
          </w:p>
        </w:tc>
        <w:tc>
          <w:tcPr>
            <w:tcW w:w="44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Address</w:t>
            </w:r>
          </w:p>
        </w:tc>
      </w:tr>
      <w:tr>
        <w:trPr>
          <w:trHeight w:val="228"/>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Comptroller of the Currency</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400</w:t>
            </w: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7th Street SW</w:t>
            </w:r>
          </w:p>
        </w:tc>
      </w:tr>
      <w:tr>
        <w:trPr>
          <w:trHeight w:val="306"/>
        </w:trPr>
        <w:tc>
          <w:tcPr>
            <w:tcW w:w="500" w:type="dxa"/>
            <w:vAlign w:val="bottom"/>
          </w:tcPr>
          <w:p>
            <w:pPr>
              <w:spacing w:after="0"/>
              <w:rPr>
                <w:sz w:val="24"/>
                <w:szCs w:val="24"/>
                <w:color w:val="auto"/>
              </w:rPr>
            </w:pPr>
          </w:p>
        </w:tc>
        <w:tc>
          <w:tcPr>
            <w:tcW w:w="5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20219</w:t>
            </w:r>
          </w:p>
        </w:tc>
      </w:tr>
      <w:tr>
        <w:trPr>
          <w:trHeight w:val="324"/>
        </w:trPr>
        <w:tc>
          <w:tcPr>
            <w:tcW w:w="500" w:type="dxa"/>
            <w:vAlign w:val="bottom"/>
          </w:tcPr>
          <w:p>
            <w:pPr>
              <w:spacing w:after="0"/>
              <w:rPr>
                <w:sz w:val="24"/>
                <w:szCs w:val="24"/>
                <w:color w:val="auto"/>
              </w:rPr>
            </w:pPr>
          </w:p>
        </w:tc>
        <w:tc>
          <w:tcPr>
            <w:tcW w:w="5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 Reserve Bank</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Street</w:t>
            </w: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CA 94105</w:t>
            </w:r>
          </w:p>
        </w:tc>
      </w:tr>
      <w:tr>
        <w:trPr>
          <w:trHeight w:val="324"/>
        </w:trPr>
        <w:tc>
          <w:tcPr>
            <w:tcW w:w="500" w:type="dxa"/>
            <w:vAlign w:val="bottom"/>
          </w:tcPr>
          <w:p>
            <w:pPr>
              <w:spacing w:after="0"/>
              <w:rPr>
                <w:sz w:val="24"/>
                <w:szCs w:val="24"/>
                <w:color w:val="auto"/>
              </w:rPr>
            </w:pPr>
          </w:p>
        </w:tc>
        <w:tc>
          <w:tcPr>
            <w:tcW w:w="53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550</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17th Street, N.W.</w:t>
            </w: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20429</w:t>
            </w:r>
          </w:p>
        </w:tc>
      </w:tr>
    </w:tbl>
    <w:p>
      <w:pPr>
        <w:spacing w:after="0" w:line="221" w:lineRule="exact"/>
        <w:rPr>
          <w:sz w:val="20"/>
          <w:szCs w:val="20"/>
          <w:color w:val="auto"/>
        </w:rPr>
      </w:pPr>
    </w:p>
    <w:p>
      <w:pPr>
        <w:ind w:left="964" w:hanging="532"/>
        <w:spacing w:after="0"/>
        <w:tabs>
          <w:tab w:leader="none" w:pos="96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it is authorized to exercise corporate trust powers.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Yes.</w:t>
      </w:r>
    </w:p>
    <w:p>
      <w:pPr>
        <w:spacing w:after="0" w:line="370"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the obligor is an affiliate of the trustee, describe each such affiliation.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sz w:val="20"/>
          <w:szCs w:val="20"/>
          <w:color w:val="auto"/>
        </w:rPr>
      </w:pPr>
    </w:p>
    <w:p>
      <w:pPr>
        <w:ind w:left="4" w:right="480"/>
        <w:spacing w:after="0" w:line="286" w:lineRule="auto"/>
        <w:rPr>
          <w:sz w:val="20"/>
          <w:szCs w:val="20"/>
          <w:color w:val="auto"/>
        </w:rPr>
      </w:pPr>
      <w:r>
        <w:rPr>
          <w:rFonts w:ascii="Times New Roman" w:cs="Times New Roman" w:eastAsia="Times New Roman" w:hAnsi="Times New Roman"/>
          <w:sz w:val="18"/>
          <w:szCs w:val="18"/>
          <w:b w:val="1"/>
          <w:bCs w:val="1"/>
          <w:color w:val="auto"/>
        </w:rPr>
        <w:t>Exhibits identified in parentheses below, on file with the Securities and Exchange Commission, are incorporated herein by reference as an exhibit hereto, pursuant to Rule 7a-29 under the Trust Indenture Act of 1939 (the “Act”) and 17 C.F.R. 229.10(d).</w:t>
      </w:r>
    </w:p>
    <w:p>
      <w:pPr>
        <w:spacing w:after="0" w:line="64" w:lineRule="exact"/>
        <w:rPr>
          <w:sz w:val="20"/>
          <w:szCs w:val="20"/>
          <w:color w:val="auto"/>
        </w:rPr>
      </w:pPr>
    </w:p>
    <w:p>
      <w:pPr>
        <w:ind w:left="964" w:right="220" w:hanging="532"/>
        <w:spacing w:after="0" w:line="266" w:lineRule="auto"/>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1" w:lineRule="exact"/>
        <w:rPr>
          <w:rFonts w:ascii="Times New Roman" w:cs="Times New Roman" w:eastAsia="Times New Roman" w:hAnsi="Times New Roman"/>
          <w:sz w:val="18"/>
          <w:szCs w:val="18"/>
          <w:color w:val="auto"/>
        </w:rPr>
      </w:pPr>
    </w:p>
    <w:p>
      <w:pPr>
        <w:ind w:left="964" w:right="880" w:hanging="532"/>
        <w:spacing w:after="0" w:line="282" w:lineRule="auto"/>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certificate of authority of the trustee to commence business. (Exhibit 2 to Form T-1 filed with Registration Statement No. 333-121948).</w:t>
      </w:r>
    </w:p>
    <w:p>
      <w:pPr>
        <w:spacing w:after="0" w:line="67" w:lineRule="exact"/>
        <w:rPr>
          <w:rFonts w:ascii="Times New Roman" w:cs="Times New Roman" w:eastAsia="Times New Roman" w:hAnsi="Times New Roman"/>
          <w:sz w:val="18"/>
          <w:szCs w:val="18"/>
          <w:color w:val="auto"/>
        </w:rPr>
      </w:pPr>
    </w:p>
    <w:p>
      <w:pPr>
        <w:ind w:left="964" w:right="500" w:hanging="532"/>
        <w:spacing w:after="0" w:line="282" w:lineRule="auto"/>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(Exhibit 3 to Form T-1 filed with Registration Statement No. 333-152875).</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(Exhibit 4 to Form T-1 filed with Registration Statement No. 333-229762).</w:t>
      </w:r>
    </w:p>
    <w:p>
      <w:pPr>
        <w:sectPr>
          <w:pgSz w:w="11900" w:h="16838" w:orient="portrait"/>
          <w:cols w:equalWidth="0" w:num="1">
            <w:col w:w="11024"/>
          </w:cols>
          <w:pgMar w:left="436" w:top="266" w:right="439" w:bottom="1440" w:gutter="0" w:footer="0" w:header="0"/>
        </w:sectPr>
      </w:pPr>
    </w:p>
    <w:bookmarkStart w:id="39" w:name="page40"/>
    <w:bookmarkEnd w:id="39"/>
    <w:p>
      <w:pPr>
        <w:ind w:left="532" w:hanging="532"/>
        <w:spacing w:after="0"/>
        <w:tabs>
          <w:tab w:leader="none" w:pos="53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consent of the trustee required by Section 321(b) of the Act (Exhibit 6 to Form T-1 filed with Registration Statement No. 333-152875).</w:t>
      </w:r>
    </w:p>
    <w:p>
      <w:pPr>
        <w:spacing w:after="0" w:line="142" w:lineRule="exact"/>
        <w:rPr>
          <w:rFonts w:ascii="Times New Roman" w:cs="Times New Roman" w:eastAsia="Times New Roman" w:hAnsi="Times New Roman"/>
          <w:sz w:val="17"/>
          <w:szCs w:val="17"/>
          <w:color w:val="auto"/>
        </w:rPr>
      </w:pPr>
    </w:p>
    <w:p>
      <w:pPr>
        <w:ind w:left="532" w:right="380" w:hanging="532"/>
        <w:spacing w:after="0" w:line="282"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0572"/>
          </w:cols>
          <w:pgMar w:left="868" w:top="270"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Jacksonville, and State of Florida, on the 21st day of August, 2024.</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N.A.</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C. Jenkins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980"/>
          </w:cols>
          <w:pgMar w:left="440" w:top="270" w:right="4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of 333 South Hope Street, Suite 2525, Los Angeles, CA 90071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close of business March 31, 2024,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Dollar amounts</w:t>
            </w:r>
          </w:p>
        </w:tc>
      </w:tr>
      <w:tr>
        <w:trPr>
          <w:trHeight w:val="171"/>
        </w:trPr>
        <w:tc>
          <w:tcPr>
            <w:tcW w:w="64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in thousands</w:t>
            </w:r>
          </w:p>
        </w:tc>
      </w:tr>
      <w:tr>
        <w:trPr>
          <w:trHeight w:val="155"/>
        </w:trPr>
        <w:tc>
          <w:tcPr>
            <w:tcW w:w="100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21"/>
        </w:trPr>
        <w:tc>
          <w:tcPr>
            <w:tcW w:w="640" w:type="dxa"/>
            <w:vAlign w:val="bottom"/>
            <w:tcBorders>
              <w:top w:val="single" w:sz="8" w:color="auto"/>
            </w:tcBorders>
            <w:shd w:val="clear" w:color="auto" w:fill="CCEEFF"/>
          </w:tcPr>
          <w:p>
            <w:pPr>
              <w:spacing w:after="0" w:line="20" w:lineRule="exact"/>
              <w:rPr>
                <w:sz w:val="1"/>
                <w:szCs w:val="1"/>
                <w:color w:val="auto"/>
              </w:rPr>
            </w:pPr>
          </w:p>
        </w:tc>
        <w:tc>
          <w:tcPr>
            <w:tcW w:w="9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3,941</w:t>
            </w:r>
          </w:p>
        </w:tc>
        <w:tc>
          <w:tcPr>
            <w:tcW w:w="4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Interest-bearing balances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357,485</w:t>
            </w:r>
          </w:p>
        </w:tc>
        <w:tc>
          <w:tcPr>
            <w:tcW w:w="40" w:type="dxa"/>
            <w:vAlign w:val="bottom"/>
          </w:tcPr>
          <w:p>
            <w:pPr>
              <w:spacing w:after="0"/>
              <w:rPr>
                <w:sz w:val="18"/>
                <w:szCs w:val="18"/>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Allowance for credit losses on loans and leases</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12,163</w:t>
            </w: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856,313</w:t>
            </w:r>
          </w:p>
        </w:tc>
        <w:tc>
          <w:tcPr>
            <w:tcW w:w="40" w:type="dxa"/>
            <w:vAlign w:val="bottom"/>
          </w:tcPr>
          <w:p>
            <w:pPr>
              <w:spacing w:after="0"/>
              <w:rPr>
                <w:sz w:val="18"/>
                <w:szCs w:val="18"/>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102,764</w:t>
            </w:r>
          </w:p>
        </w:tc>
        <w:tc>
          <w:tcPr>
            <w:tcW w:w="40" w:type="dxa"/>
            <w:vAlign w:val="bottom"/>
            <w:shd w:val="clear" w:color="auto" w:fill="CCEEFF"/>
          </w:tcPr>
          <w:p>
            <w:pPr>
              <w:spacing w:after="0"/>
              <w:rPr>
                <w:sz w:val="18"/>
                <w:szCs w:val="18"/>
                <w:color w:val="auto"/>
              </w:rPr>
            </w:pPr>
          </w:p>
        </w:tc>
      </w:tr>
      <w:tr>
        <w:trPr>
          <w:trHeight w:val="223"/>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$ 1,333,194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916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10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Noninterest-bearing</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Interest-bearing</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276,687</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278,131</w:t>
            </w: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91"/>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CAPITAL</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10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106,705</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947,358</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bank equity capital</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1,055,063</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1,055,063</w:t>
            </w:r>
          </w:p>
        </w:tc>
        <w:tc>
          <w:tcPr>
            <w:tcW w:w="40" w:type="dxa"/>
            <w:vAlign w:val="bottom"/>
            <w:shd w:val="clear" w:color="auto" w:fill="CCEEFF"/>
          </w:tcPr>
          <w:p>
            <w:pPr>
              <w:spacing w:after="0"/>
              <w:rPr>
                <w:sz w:val="18"/>
                <w:szCs w:val="18"/>
                <w:color w:val="auto"/>
              </w:rPr>
            </w:pPr>
          </w:p>
        </w:tc>
      </w:tr>
      <w:tr>
        <w:trPr>
          <w:trHeight w:val="223"/>
        </w:trPr>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1,333,194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 Janice Shell,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Janice Shell     )         CFO</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020"/>
          </w:cols>
          <w:pgMar w:left="440" w:top="257" w:right="439" w:bottom="1440" w:gutter="0" w:footer="0" w:header="0"/>
        </w:sect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Antonio I. Portuondo, President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Loretta A. Lundberg, Managing Director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Cathleen M. Sokolowski, Managing 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(Trustees)</w:t>
      </w:r>
    </w:p>
    <w:p>
      <w:pPr>
        <w:sectPr>
          <w:pgSz w:w="11900" w:h="16838" w:orient="portrait"/>
          <w:cols w:equalWidth="0" w:num="3">
            <w:col w:w="3660" w:space="320"/>
            <w:col w:w="60" w:space="260"/>
            <w:col w:w="6720"/>
          </w:cols>
          <w:pgMar w:left="440" w:top="257" w:right="43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Analog Devices, Inc.</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52"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56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3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Paid in</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640" w:type="dxa"/>
            <w:vAlign w:val="bottom"/>
            <w:tcBorders>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26"/>
        </w:trPr>
        <w:tc>
          <w:tcPr>
            <w:tcW w:w="2560" w:type="dxa"/>
            <w:vAlign w:val="bottom"/>
            <w:tcBorders>
              <w:left w:val="single" w:sz="8" w:color="auto"/>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78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Maximum</w:t>
            </w:r>
          </w:p>
        </w:tc>
        <w:tc>
          <w:tcPr>
            <w:tcW w:w="3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Pr>
          <w:p>
            <w:pPr>
              <w:jc w:val="center"/>
              <w:ind w:left="6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20" w:type="dxa"/>
            <w:vAlign w:val="bottom"/>
          </w:tcPr>
          <w:p>
            <w:pPr>
              <w:jc w:val="center"/>
              <w:ind w:left="40"/>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color w:val="auto"/>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1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3"/>
                <w:szCs w:val="13"/>
                <w:color w:val="auto"/>
                <w:w w:val="97"/>
              </w:rPr>
              <w:t>Title</w:t>
            </w:r>
          </w:p>
        </w:tc>
        <w:tc>
          <w:tcPr>
            <w:tcW w:w="6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color w:val="auto"/>
              </w:rPr>
              <w:t>Fee</w:t>
            </w:r>
          </w:p>
        </w:tc>
        <w:tc>
          <w:tcPr>
            <w:tcW w:w="5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256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5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456(b)</w:t>
            </w: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vMerge w:val="continue"/>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120" w:type="dxa"/>
            <w:vAlign w:val="bottom"/>
          </w:tcPr>
          <w:p>
            <w:pPr>
              <w:jc w:val="center"/>
              <w:ind w:left="40"/>
              <w:spacing w:after="0" w:line="202" w:lineRule="exact"/>
              <w:rPr>
                <w:sz w:val="20"/>
                <w:szCs w:val="20"/>
                <w:color w:val="auto"/>
              </w:rPr>
            </w:pPr>
            <w:r>
              <w:rPr>
                <w:rFonts w:ascii="Times New Roman" w:cs="Times New Roman" w:eastAsia="Times New Roman" w:hAnsi="Times New Roman"/>
                <w:sz w:val="18"/>
                <w:szCs w:val="18"/>
                <w:color w:val="auto"/>
              </w:rPr>
              <w:t>Debt</w:t>
            </w:r>
          </w:p>
        </w:tc>
        <w:tc>
          <w:tcPr>
            <w:tcW w:w="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and Rule</w:t>
            </w:r>
          </w:p>
        </w:tc>
        <w:tc>
          <w:tcPr>
            <w:tcW w:w="7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1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8"/>
                <w:szCs w:val="18"/>
                <w:color w:val="auto"/>
                <w:w w:val="99"/>
              </w:rPr>
              <w:t>Securities(1)</w:t>
            </w:r>
          </w:p>
        </w:tc>
        <w:tc>
          <w:tcPr>
            <w:tcW w:w="6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Fees</w:t>
            </w:r>
          </w:p>
        </w:tc>
        <w:tc>
          <w:tcPr>
            <w:tcW w:w="5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Previously</w:t>
            </w:r>
          </w:p>
        </w:tc>
        <w:tc>
          <w:tcPr>
            <w:tcW w:w="5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56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5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5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5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2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Total Offering Amounts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66"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Analog Devices, Inc., is registering pursuant to this registration statement an indeterminate amount of its debt securities to be offered from time to time at indeterminate prices. In accordance with Rules 456(b) and 457(r) under the Securities Act of 1933, as amended, the registrant is deferring payment of all registration fees and will pay the registration fees subsequently in advance or on a “pay as you go” basis.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9"/>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07"/>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1)"/>
      <w:numFmt w:val="decimal"/>
      <w:start w:val="4"/>
    </w:lvl>
    <w:lvl w:ilvl="1">
      <w:lvlJc w:val="left"/>
      <w:lvlText w:val="(%2)"/>
      <w:numFmt w:val="lowerRoman"/>
      <w:start w:val="1"/>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1)"/>
      <w:numFmt w:val="lowerRoman"/>
      <w:start w:val="2"/>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lvl w:ilvl="1">
      <w:lvlJc w:val="left"/>
      <w:lvlText w:val="(%2)"/>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6"/>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6"/>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jpeg"/><Relationship Id="rId67" Type="http://schemas.openxmlformats.org/officeDocument/2006/relationships/image" Target="media/image45.jpeg"/><Relationship Id="rId68" Type="http://schemas.openxmlformats.org/officeDocument/2006/relationships/image" Target="media/image46.png"/><Relationship Id="rId69" Type="http://schemas.openxmlformats.org/officeDocument/2006/relationships/image" Target="media/image47.jpeg"/><Relationship Id="rId70" Type="http://schemas.openxmlformats.org/officeDocument/2006/relationships/image" Target="media/image48.png"/><Relationship Id="rId71" Type="http://schemas.openxmlformats.org/officeDocument/2006/relationships/image" Target="media/image49.jpeg"/><Relationship Id="rId72" Type="http://schemas.openxmlformats.org/officeDocument/2006/relationships/image" Target="media/image50.png"/><Relationship Id="rId73" Type="http://schemas.openxmlformats.org/officeDocument/2006/relationships/image" Target="media/image51.jpe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24" Type="http://schemas.openxmlformats.org/officeDocument/2006/relationships/hyperlink" Target="http://www.sec.gov/ix?doc=/Archives/edgar/data/0000006281/000000628123000203/adi-20231028.htm" TargetMode="External"/><Relationship Id="rId25" Type="http://schemas.openxmlformats.org/officeDocument/2006/relationships/hyperlink" Target="http://www.sec.gov/ix?doc=/Archives/edgar/data/0000006281/000000628124000014/adi-20240118.htm" TargetMode="External"/><Relationship Id="rId26" Type="http://schemas.openxmlformats.org/officeDocument/2006/relationships/hyperlink" Target="http://www.sec.gov/ix?doc=/Archives/edgar/data/0000006281/000000628124000034/adi-20240203.htm" TargetMode="External"/><Relationship Id="rId27" Type="http://schemas.openxmlformats.org/officeDocument/2006/relationships/hyperlink" Target="http://www.sec.gov/ix?doc=/Archives/edgar/data/6281/000000628124000132/adi-20240504.htm" TargetMode="External"/><Relationship Id="rId28" Type="http://schemas.openxmlformats.org/officeDocument/2006/relationships/hyperlink" Target="http://www.sec.gov/ix?doc=/Archives/edgar/data/6281/000000628124000159/adi-20240803.htm" TargetMode="External"/><Relationship Id="rId29" Type="http://schemas.openxmlformats.org/officeDocument/2006/relationships/hyperlink" Target="http://www.sec.gov/ix?doc=/Archives/edgar/data/0000006281/000000628123000209/adi-20231205.htm" TargetMode="External"/><Relationship Id="rId30" Type="http://schemas.openxmlformats.org/officeDocument/2006/relationships/hyperlink" Target="http://www.sec.gov/ix?doc=/Archives/edgar/data/0000006281/000000628124000012/adi-20240116.htm" TargetMode="External"/><Relationship Id="rId31" Type="http://schemas.openxmlformats.org/officeDocument/2006/relationships/hyperlink" Target="http://www.sec.gov/ix?doc=/Archives/edgar/data/0000006281/000000628124000019/adi-20240124.htm" TargetMode="External"/><Relationship Id="rId32" Type="http://schemas.openxmlformats.org/officeDocument/2006/relationships/hyperlink" Target="http://www.sec.gov/ix?doc=/Archives/edgar/data/0000006281/000000628124000032/adi-20240220.htm" TargetMode="External"/><Relationship Id="rId33" Type="http://schemas.openxmlformats.org/officeDocument/2006/relationships/hyperlink" Target="http://www.sec.gov/ix?doc=/Archives/edgar/data/0000006281/000000628124000071/adi-20240313.htm" TargetMode="External"/><Relationship Id="rId34" Type="http://schemas.openxmlformats.org/officeDocument/2006/relationships/hyperlink" Target="http://www.sec.gov/ix?doc=/Archives/edgar/data/0000006281/000119312524085997/d786555d8k.htm" TargetMode="External"/><Relationship Id="rId55" Type="http://schemas.openxmlformats.org/officeDocument/2006/relationships/hyperlink" Target="http://www.sec.gov/Archives/edgar/data/6281/000095013508003842/b69749adexv3w1.htm" TargetMode="External"/><Relationship Id="rId56" Type="http://schemas.openxmlformats.org/officeDocument/2006/relationships/hyperlink" Target="http://www.sec.gov/Archives/edgar/data/6281/000095013508007881/b73171adexv3w1.htm" TargetMode="External"/><Relationship Id="rId57" Type="http://schemas.openxmlformats.org/officeDocument/2006/relationships/hyperlink" Target="http://www.sec.gov/Archives/edgar/data/6281/000119312522300481/d428637dex31.htm" TargetMode="External"/><Relationship Id="rId58" Type="http://schemas.openxmlformats.org/officeDocument/2006/relationships/hyperlink" Target="http://www.sec.gov/Archives/edgar/data/6281/000119312513245264/d5487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2024-08-21T06:44:21Z</dcterms:created>
  <dcterms:modified xsi:type="dcterms:W3CDTF">2024-08-21T06:44:21Z</dcterms:modified>
</cp:coreProperties>
</file>