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76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Zinsner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Vice President, Finance &amp; CFO</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NORWOOD</w:t>
            </w:r>
          </w:p>
        </w:tc>
        <w:tc>
          <w:tcPr>
            <w:tcW w:w="1020" w:type="dxa"/>
            <w:vAlign w:val="bottom"/>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02062-9106</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 Stock - $.16-2/3 value</w:t>
            </w:r>
          </w:p>
        </w:tc>
        <w:tc>
          <w:tcPr>
            <w:tcW w:w="1780" w:type="dxa"/>
            <w:vAlign w:val="bottom"/>
            <w:gridSpan w:val="2"/>
          </w:tcPr>
          <w:p>
            <w:pPr>
              <w:ind w:left="820"/>
              <w:spacing w:after="0"/>
              <w:rPr>
                <w:sz w:val="20"/>
                <w:szCs w:val="20"/>
                <w:color w:val="auto"/>
              </w:rPr>
            </w:pPr>
            <w:r>
              <w:rPr>
                <w:rFonts w:ascii="Arial" w:cs="Arial" w:eastAsia="Arial" w:hAnsi="Arial"/>
                <w:sz w:val="18"/>
                <w:szCs w:val="18"/>
                <w:color w:val="0000FF"/>
              </w:rPr>
              <w:t>02/17/2011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rPr>
              <w:t>M</w:t>
            </w:r>
          </w:p>
        </w:tc>
        <w:tc>
          <w:tcPr>
            <w:tcW w:w="380" w:type="dxa"/>
            <w:vAlign w:val="bottom"/>
          </w:tcPr>
          <w:p>
            <w:pPr>
              <w:spacing w:after="0"/>
              <w:rPr>
                <w:sz w:val="23"/>
                <w:szCs w:val="23"/>
                <w:color w:val="auto"/>
              </w:rPr>
            </w:pPr>
          </w:p>
        </w:tc>
        <w:tc>
          <w:tcPr>
            <w:tcW w:w="620" w:type="dxa"/>
            <w:vAlign w:val="bottom"/>
          </w:tcPr>
          <w:p>
            <w:pPr>
              <w:jc w:val="center"/>
              <w:ind w:left="110"/>
              <w:spacing w:after="0"/>
              <w:rPr>
                <w:sz w:val="20"/>
                <w:szCs w:val="20"/>
                <w:color w:val="auto"/>
              </w:rPr>
            </w:pPr>
            <w:r>
              <w:rPr>
                <w:rFonts w:ascii="Arial" w:cs="Arial" w:eastAsia="Arial" w:hAnsi="Arial"/>
                <w:sz w:val="18"/>
                <w:szCs w:val="18"/>
                <w:color w:val="0000FF"/>
                <w:w w:val="88"/>
              </w:rPr>
              <w:t>7,000</w:t>
            </w:r>
          </w:p>
        </w:tc>
        <w:tc>
          <w:tcPr>
            <w:tcW w:w="540" w:type="dxa"/>
            <w:vAlign w:val="bottom"/>
          </w:tcPr>
          <w:p>
            <w:pPr>
              <w:ind w:left="400"/>
              <w:spacing w:after="0"/>
              <w:rPr>
                <w:sz w:val="20"/>
                <w:szCs w:val="20"/>
                <w:color w:val="auto"/>
              </w:rPr>
            </w:pPr>
            <w:r>
              <w:rPr>
                <w:rFonts w:ascii="Arial" w:cs="Arial" w:eastAsia="Arial" w:hAnsi="Arial"/>
                <w:sz w:val="18"/>
                <w:szCs w:val="18"/>
                <w:color w:val="0000FF"/>
                <w:w w:val="99"/>
              </w:rPr>
              <w:t>A</w:t>
            </w:r>
          </w:p>
        </w:tc>
        <w:tc>
          <w:tcPr>
            <w:tcW w:w="180" w:type="dxa"/>
            <w:vAlign w:val="bottom"/>
          </w:tcPr>
          <w:p>
            <w:pPr>
              <w:spacing w:after="0"/>
              <w:rPr>
                <w:sz w:val="23"/>
                <w:szCs w:val="23"/>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87"/>
              </w:rPr>
              <w:t>11,723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 Stock - $.16-2/3 value</w:t>
            </w: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02/17/2011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(1)</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62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6"/>
              </w:rPr>
              <w:t>700</w:t>
            </w:r>
          </w:p>
        </w:tc>
        <w:tc>
          <w:tcPr>
            <w:tcW w:w="5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91"/>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2"/>
              <w:spacing w:after="0"/>
              <w:rPr>
                <w:sz w:val="20"/>
                <w:szCs w:val="20"/>
                <w:color w:val="auto"/>
              </w:rPr>
            </w:pPr>
            <w:r>
              <w:rPr>
                <w:rFonts w:ascii="Arial" w:cs="Arial" w:eastAsia="Arial" w:hAnsi="Arial"/>
                <w:sz w:val="18"/>
                <w:szCs w:val="18"/>
                <w:color w:val="0000FF"/>
                <w:w w:val="87"/>
              </w:rPr>
              <w:t>11,023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 Stock - $.16-2/3 value</w:t>
            </w:r>
          </w:p>
        </w:tc>
        <w:tc>
          <w:tcPr>
            <w:tcW w:w="1780" w:type="dxa"/>
            <w:vAlign w:val="bottom"/>
            <w:gridSpan w:val="2"/>
          </w:tcPr>
          <w:p>
            <w:pPr>
              <w:ind w:left="820"/>
              <w:spacing w:after="0"/>
              <w:rPr>
                <w:sz w:val="20"/>
                <w:szCs w:val="20"/>
                <w:color w:val="auto"/>
              </w:rPr>
            </w:pPr>
            <w:r>
              <w:rPr>
                <w:rFonts w:ascii="Arial" w:cs="Arial" w:eastAsia="Arial" w:hAnsi="Arial"/>
                <w:sz w:val="18"/>
                <w:szCs w:val="18"/>
                <w:color w:val="0000FF"/>
              </w:rPr>
              <w:t>02/17/2011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80" w:type="dxa"/>
            <w:vAlign w:val="bottom"/>
          </w:tcPr>
          <w:p>
            <w:pPr>
              <w:spacing w:after="0"/>
              <w:rPr>
                <w:sz w:val="23"/>
                <w:szCs w:val="23"/>
                <w:color w:val="auto"/>
              </w:rPr>
            </w:pPr>
          </w:p>
        </w:tc>
        <w:tc>
          <w:tcPr>
            <w:tcW w:w="620" w:type="dxa"/>
            <w:vAlign w:val="bottom"/>
          </w:tcPr>
          <w:p>
            <w:pPr>
              <w:jc w:val="center"/>
              <w:ind w:left="110"/>
              <w:spacing w:after="0"/>
              <w:rPr>
                <w:sz w:val="20"/>
                <w:szCs w:val="20"/>
                <w:color w:val="auto"/>
              </w:rPr>
            </w:pPr>
            <w:r>
              <w:rPr>
                <w:rFonts w:ascii="Arial" w:cs="Arial" w:eastAsia="Arial" w:hAnsi="Arial"/>
                <w:sz w:val="18"/>
                <w:szCs w:val="18"/>
                <w:color w:val="0000FF"/>
                <w:w w:val="88"/>
              </w:rPr>
              <w:t>2,251</w:t>
            </w:r>
          </w:p>
        </w:tc>
        <w:tc>
          <w:tcPr>
            <w:tcW w:w="540" w:type="dxa"/>
            <w:vAlign w:val="bottom"/>
          </w:tcPr>
          <w:p>
            <w:pPr>
              <w:ind w:left="400"/>
              <w:spacing w:after="0"/>
              <w:rPr>
                <w:sz w:val="20"/>
                <w:szCs w:val="20"/>
                <w:color w:val="auto"/>
              </w:rPr>
            </w:pPr>
            <w:r>
              <w:rPr>
                <w:rFonts w:ascii="Arial" w:cs="Arial" w:eastAsia="Arial" w:hAnsi="Arial"/>
                <w:sz w:val="18"/>
                <w:szCs w:val="18"/>
                <w:color w:val="0000FF"/>
                <w:w w:val="91"/>
              </w:rPr>
              <w:t>D</w:t>
            </w:r>
          </w:p>
        </w:tc>
        <w:tc>
          <w:tcPr>
            <w:tcW w:w="180" w:type="dxa"/>
            <w:vAlign w:val="bottom"/>
          </w:tcPr>
          <w:p>
            <w:pPr>
              <w:spacing w:after="0"/>
              <w:rPr>
                <w:sz w:val="23"/>
                <w:szCs w:val="23"/>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41.19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88"/>
              </w:rPr>
              <w:t>8,772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820" w:type="dxa"/>
            <w:vAlign w:val="bottom"/>
            <w:tcBorders>
              <w:bottom w:val="single" w:sz="8" w:color="2C2C2C"/>
            </w:tcBorders>
            <w:gridSpan w:val="8"/>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0000FF"/>
              </w:rPr>
              <w:t>Comm.</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gridSpan w:val="2"/>
            <w:vMerge w:val="restart"/>
          </w:tcPr>
          <w:p>
            <w:pPr>
              <w:jc w:val="center"/>
              <w:ind w:left="100"/>
              <w:spacing w:after="0"/>
              <w:rPr>
                <w:sz w:val="20"/>
                <w:szCs w:val="20"/>
                <w:color w:val="auto"/>
              </w:rPr>
            </w:pPr>
            <w:r>
              <w:rPr>
                <w:rFonts w:ascii="Arial" w:cs="Arial" w:eastAsia="Arial" w:hAnsi="Arial"/>
                <w:sz w:val="11"/>
                <w:szCs w:val="11"/>
                <w:color w:val="008000"/>
              </w:rPr>
              <w:t>(3)</w:t>
            </w:r>
          </w:p>
        </w:tc>
        <w:tc>
          <w:tcPr>
            <w:tcW w:w="38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540" w:type="dxa"/>
            <w:vAlign w:val="bottom"/>
          </w:tcPr>
          <w:p>
            <w:pPr>
              <w:ind w:left="20"/>
              <w:spacing w:after="0" w:line="149" w:lineRule="exact"/>
              <w:rPr>
                <w:sz w:val="20"/>
                <w:szCs w:val="20"/>
                <w:color w:val="auto"/>
              </w:rPr>
            </w:pPr>
            <w:r>
              <w:rPr>
                <w:rFonts w:ascii="Arial" w:cs="Arial" w:eastAsia="Arial" w:hAnsi="Arial"/>
                <w:sz w:val="14"/>
                <w:szCs w:val="14"/>
                <w:color w:val="0000FF"/>
              </w:rPr>
              <w:t>Stock -</w:t>
            </w:r>
          </w:p>
        </w:tc>
        <w:tc>
          <w:tcPr>
            <w:tcW w:w="560" w:type="dxa"/>
            <w:vAlign w:val="bottom"/>
            <w:gridSpan w:val="2"/>
            <w:vMerge w:val="restart"/>
          </w:tcPr>
          <w:p>
            <w:pPr>
              <w:jc w:val="right"/>
              <w:ind w:right="39"/>
              <w:spacing w:after="0"/>
              <w:rPr>
                <w:sz w:val="20"/>
                <w:szCs w:val="20"/>
                <w:color w:val="auto"/>
              </w:rPr>
            </w:pPr>
            <w:r>
              <w:rPr>
                <w:rFonts w:ascii="Arial" w:cs="Arial" w:eastAsia="Arial" w:hAnsi="Arial"/>
                <w:sz w:val="18"/>
                <w:szCs w:val="18"/>
                <w:color w:val="0000FF"/>
                <w:w w:val="93"/>
              </w:rPr>
              <w:t>7,000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02/17/2011</w:t>
            </w:r>
          </w:p>
        </w:tc>
        <w:tc>
          <w:tcPr>
            <w:tcW w:w="11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7,000</w:t>
            </w: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tcPr>
          <w:p>
            <w:pPr>
              <w:jc w:val="right"/>
              <w:ind w:right="113"/>
              <w:spacing w:after="0" w:line="149" w:lineRule="exact"/>
              <w:rPr>
                <w:sz w:val="20"/>
                <w:szCs w:val="20"/>
                <w:color w:val="auto"/>
              </w:rPr>
            </w:pPr>
            <w:r>
              <w:rPr>
                <w:rFonts w:ascii="Arial" w:cs="Arial" w:eastAsia="Arial" w:hAnsi="Arial"/>
                <w:sz w:val="14"/>
                <w:szCs w:val="14"/>
                <w:color w:val="0000FF"/>
              </w:rPr>
              <w:t>$.16-</w:t>
            </w: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79"/>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0.00</w:t>
            </w:r>
          </w:p>
        </w:tc>
        <w:tc>
          <w:tcPr>
            <w:tcW w:w="900" w:type="dxa"/>
            <w:vAlign w:val="bottom"/>
          </w:tcPr>
          <w:p>
            <w:pPr>
              <w:ind w:left="380"/>
              <w:spacing w:after="0" w:line="149" w:lineRule="exact"/>
              <w:rPr>
                <w:sz w:val="20"/>
                <w:szCs w:val="20"/>
                <w:color w:val="auto"/>
              </w:rPr>
            </w:pPr>
            <w:r>
              <w:rPr>
                <w:rFonts w:ascii="Arial" w:cs="Arial" w:eastAsia="Arial" w:hAnsi="Arial"/>
                <w:sz w:val="14"/>
                <w:szCs w:val="14"/>
                <w:color w:val="0000FF"/>
              </w:rPr>
              <w:t>21,000</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(RSU)</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right"/>
              <w:ind w:right="173"/>
              <w:spacing w:after="0" w:line="149" w:lineRule="exact"/>
              <w:rPr>
                <w:sz w:val="20"/>
                <w:szCs w:val="20"/>
                <w:color w:val="auto"/>
              </w:rPr>
            </w:pPr>
            <w:r>
              <w:rPr>
                <w:rFonts w:ascii="Arial" w:cs="Arial" w:eastAsia="Arial" w:hAnsi="Arial"/>
                <w:sz w:val="14"/>
                <w:szCs w:val="14"/>
                <w:color w:val="0000FF"/>
              </w:rPr>
              <w:t>2/3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0000FF"/>
              </w:rPr>
              <w:t>value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is a gift to several individuals.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received for no consideration.</w:t>
      </w:r>
    </w:p>
    <w:p>
      <w:pPr>
        <w:spacing w:after="0" w:line="41" w:lineRule="exact"/>
        <w:rPr>
          <w:rFonts w:ascii="Arial" w:cs="Arial" w:eastAsia="Arial" w:hAnsi="Arial"/>
          <w:sz w:val="14"/>
          <w:szCs w:val="14"/>
          <w:color w:val="008000"/>
        </w:rPr>
      </w:pPr>
    </w:p>
    <w:p>
      <w:pPr>
        <w:jc w:val="both"/>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is a vesting schedule. 20% vests one, two, three, four and five years from the original grant date, which was February 17, 2009. Upon each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0000FF"/>
                <w:w w:val="89"/>
              </w:rPr>
              <w:t>Kristin S. Caplice, Esq.</w:t>
            </w:r>
          </w:p>
        </w:tc>
        <w:tc>
          <w:tcPr>
            <w:tcW w:w="4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02/22/2011</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2019-12-18T01:46:12Z</dcterms:created>
  <dcterms:modified xsi:type="dcterms:W3CDTF">2019-12-18T01:46:12Z</dcterms:modified>
</cp:coreProperties>
</file>