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ANALOG DEVICES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32654105</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2008</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3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3899" w:firstLine="8"/>
        <w:spacing w:after="0" w:line="237"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10" w:lineRule="exact"/>
        <w:rPr>
          <w:sz w:val="24"/>
          <w:szCs w:val="24"/>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Names of Reporting Persons and I.R.S. Identification No.</w:t>
      </w:r>
    </w:p>
    <w:p>
      <w:pPr>
        <w:spacing w:after="0" w:line="207" w:lineRule="exact"/>
        <w:rPr>
          <w:sz w:val="24"/>
          <w:szCs w:val="24"/>
          <w:color w:val="auto"/>
        </w:rPr>
      </w:pPr>
    </w:p>
    <w:p>
      <w:pPr>
        <w:ind w:right="4419"/>
        <w:spacing w:after="0" w:line="290" w:lineRule="auto"/>
        <w:rPr>
          <w:sz w:val="20"/>
          <w:szCs w:val="20"/>
          <w:color w:val="auto"/>
        </w:rPr>
      </w:pPr>
      <w:r>
        <w:rPr>
          <w:rFonts w:ascii="Courier New" w:cs="Courier New" w:eastAsia="Courier New" w:hAnsi="Courier New"/>
          <w:sz w:val="16"/>
          <w:szCs w:val="16"/>
          <w:color w:val="auto"/>
        </w:rPr>
        <w:t>UBS AG (for the benefit and on behalf of the UBS Global Asset Management division of UBS AG (see Item 7)</w:t>
      </w:r>
    </w:p>
    <w:p>
      <w:pPr>
        <w:spacing w:after="0" w:line="16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98-0186363</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spacing w:after="0" w:line="202" w:lineRule="exact"/>
        <w:rPr>
          <w:sz w:val="24"/>
          <w:szCs w:val="24"/>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See Item 8 of attached schedule</w:t>
      </w:r>
    </w:p>
    <w:p>
      <w:pPr>
        <w:spacing w:after="0" w:line="5"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Switzerland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60" w:type="dxa"/>
            <w:vAlign w:val="bottom"/>
          </w:tcPr>
          <w:p>
            <w:pPr>
              <w:ind w:left="120"/>
              <w:spacing w:after="0"/>
              <w:rPr>
                <w:sz w:val="20"/>
                <w:szCs w:val="20"/>
                <w:color w:val="auto"/>
              </w:rPr>
            </w:pPr>
            <w:r>
              <w:rPr>
                <w:rFonts w:ascii="Courier New" w:cs="Courier New" w:eastAsia="Courier New" w:hAnsi="Courier New"/>
                <w:sz w:val="18"/>
                <w:szCs w:val="18"/>
                <w:color w:val="auto"/>
                <w:w w:val="94"/>
              </w:rPr>
              <w:t>14,037,777</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16,171,765</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Reporting</w:t>
      </w:r>
    </w:p>
    <w:p>
      <w:pPr>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9. Aggregate Amount Beneficially Owned by Each Reporting Person:</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16,171,765 Shares*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3999" w:firstLine="8"/>
        <w:spacing w:after="0" w:line="235"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 HC</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disclaims beneficial ownership of such securities pursuant to Rule 13d-4 under the Securities Exchange Act of 1934. In accordance</w:t>
      </w:r>
    </w:p>
    <w:p>
      <w:pPr>
        <w:spacing w:after="0" w:line="6" w:lineRule="exact"/>
        <w:rPr>
          <w:rFonts w:ascii="Courier New" w:cs="Courier New" w:eastAsia="Courier New" w:hAnsi="Courier New"/>
          <w:sz w:val="18"/>
          <w:szCs w:val="18"/>
          <w:color w:val="auto"/>
        </w:rPr>
      </w:pPr>
    </w:p>
    <w:p>
      <w:pPr>
        <w:ind w:right="45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with SEC Release No. 34-39538 (January 12, 1998), this filing reflects the securities beneficially owned</w:t>
      </w:r>
    </w:p>
    <w:p>
      <w:pPr>
        <w:ind w:right="46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by the UBS Global Asset Management division of UBS AG and its subsidiaries and affiliates on behalf of its clients. This filing does not reflect securities,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any, beneficially owned by any other division of UBS AG.</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32654105</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1(a).  Name of Issuer: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ANALOG DEVICES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One Technology Way</w:t>
      </w:r>
    </w:p>
    <w:p>
      <w:pPr>
        <w:spacing w:after="0" w:line="238" w:lineRule="auto"/>
        <w:rPr>
          <w:sz w:val="20"/>
          <w:szCs w:val="20"/>
          <w:color w:val="auto"/>
        </w:rPr>
      </w:pPr>
      <w:r>
        <w:rPr>
          <w:rFonts w:ascii="Courier New" w:cs="Courier New" w:eastAsia="Courier New" w:hAnsi="Courier New"/>
          <w:sz w:val="18"/>
          <w:szCs w:val="18"/>
          <w:color w:val="auto"/>
        </w:rPr>
        <w:t>Norwood, Massachusetts 02062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UBS AG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w:t>
      </w:r>
    </w:p>
    <w:p>
      <w:pPr>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AG's principal business office is:</w:t>
      </w:r>
    </w:p>
    <w:p>
      <w:pPr>
        <w:spacing w:after="0" w:line="238" w:lineRule="auto"/>
        <w:rPr>
          <w:sz w:val="20"/>
          <w:szCs w:val="20"/>
          <w:color w:val="auto"/>
        </w:rPr>
      </w:pPr>
      <w:r>
        <w:rPr>
          <w:rFonts w:ascii="Courier New" w:cs="Courier New" w:eastAsia="Courier New" w:hAnsi="Courier New"/>
          <w:sz w:val="18"/>
          <w:szCs w:val="18"/>
          <w:color w:val="auto"/>
        </w:rPr>
        <w:t>Bahnhofstrasse 45</w:t>
      </w:r>
    </w:p>
    <w:p>
      <w:pPr>
        <w:spacing w:after="0"/>
        <w:rPr>
          <w:sz w:val="20"/>
          <w:szCs w:val="20"/>
          <w:color w:val="auto"/>
        </w:rPr>
      </w:pPr>
      <w:r>
        <w:rPr>
          <w:rFonts w:ascii="Courier New" w:cs="Courier New" w:eastAsia="Courier New" w:hAnsi="Courier New"/>
          <w:sz w:val="18"/>
          <w:szCs w:val="18"/>
          <w:color w:val="auto"/>
        </w:rPr>
        <w:t>PO Box CH-8021</w:t>
      </w:r>
    </w:p>
    <w:p>
      <w:pPr>
        <w:spacing w:after="0" w:line="237" w:lineRule="auto"/>
        <w:rPr>
          <w:sz w:val="20"/>
          <w:szCs w:val="20"/>
          <w:color w:val="auto"/>
        </w:rPr>
      </w:pPr>
      <w:r>
        <w:rPr>
          <w:rFonts w:ascii="Courier New" w:cs="Courier New" w:eastAsia="Courier New" w:hAnsi="Courier New"/>
          <w:sz w:val="18"/>
          <w:szCs w:val="18"/>
          <w:color w:val="auto"/>
        </w:rPr>
        <w:t>Zurich, Switzerland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38" w:lineRule="auto"/>
        <w:rPr>
          <w:sz w:val="20"/>
          <w:szCs w:val="20"/>
          <w:color w:val="auto"/>
        </w:rPr>
      </w:pPr>
      <w:r>
        <w:rPr>
          <w:rFonts w:ascii="Courier New" w:cs="Courier New" w:eastAsia="Courier New" w:hAnsi="Courier New"/>
          <w:sz w:val="18"/>
          <w:szCs w:val="18"/>
          <w:color w:val="auto"/>
        </w:rPr>
        <w:t>Incorporated by reference to Item 4 of the cover pages.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38" w:lineRule="auto"/>
        <w:rPr>
          <w:sz w:val="20"/>
          <w:szCs w:val="20"/>
          <w:color w:val="auto"/>
        </w:rPr>
      </w:pPr>
      <w:r>
        <w:rPr>
          <w:rFonts w:ascii="Courier New" w:cs="Courier New" w:eastAsia="Courier New" w:hAnsi="Courier New"/>
          <w:sz w:val="18"/>
          <w:szCs w:val="18"/>
          <w:color w:val="auto"/>
        </w:rPr>
        <w:t>Common Stock (the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38" w:lineRule="auto"/>
        <w:rPr>
          <w:sz w:val="20"/>
          <w:szCs w:val="20"/>
          <w:color w:val="auto"/>
        </w:rPr>
      </w:pPr>
      <w:r>
        <w:rPr>
          <w:rFonts w:ascii="Courier New" w:cs="Courier New" w:eastAsia="Courier New" w:hAnsi="Courier New"/>
          <w:sz w:val="18"/>
          <w:szCs w:val="18"/>
          <w:color w:val="auto"/>
        </w:rPr>
        <w:t>32654105</w:t>
      </w: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3.  Type of Person Filing:</w:t>
      </w:r>
    </w:p>
    <w:p>
      <w:pPr>
        <w:spacing w:after="0" w:line="207" w:lineRule="exact"/>
        <w:rPr>
          <w:sz w:val="20"/>
          <w:szCs w:val="20"/>
          <w:color w:val="auto"/>
        </w:rPr>
      </w:pPr>
    </w:p>
    <w:p>
      <w:pPr>
        <w:jc w:val="both"/>
        <w:ind w:right="3899"/>
        <w:spacing w:after="0" w:line="236" w:lineRule="auto"/>
        <w:rPr>
          <w:sz w:val="20"/>
          <w:szCs w:val="20"/>
          <w:color w:val="auto"/>
        </w:rPr>
      </w:pPr>
      <w:r>
        <w:rPr>
          <w:rFonts w:ascii="Courier New" w:cs="Courier New" w:eastAsia="Courier New" w:hAnsi="Courier New"/>
          <w:sz w:val="18"/>
          <w:szCs w:val="18"/>
          <w:color w:val="auto"/>
        </w:rPr>
        <w:t>UBS AG is classified as a Bank as defined in section 3(a)(6) of the Act pursuant to no action relief granted by the staff of the Securities and Exchange Commission.</w:t>
      </w:r>
    </w:p>
    <w:p>
      <w:pPr>
        <w:spacing w:after="0" w:line="1"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(a)-(c)(iv).  Ownership: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Items 5-11 of the cover pages.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32654105</w:t>
      </w:r>
    </w:p>
    <w:p>
      <w:pPr>
        <w:ind w:left="220" w:hanging="212"/>
        <w:spacing w:after="0" w:line="238" w:lineRule="auto"/>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ectPr>
          <w:pgSz w:w="11900" w:h="16838" w:orient="portrait"/>
          <w:cols w:equalWidth="0" w:num="1">
            <w:col w:w="10219"/>
          </w:cols>
          <w:pgMar w:left="240" w:top="142" w:right="1440" w:bottom="0" w:gutter="0" w:footer="0" w:header="0"/>
        </w:sectPr>
      </w:pPr>
    </w:p>
    <w:bookmarkStart w:id="2" w:name="page3"/>
    <w:bookmarkEnd w:id="2"/>
    <w:p>
      <w:pPr>
        <w:ind w:right="389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ind w:right="4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999"/>
        <w:spacing w:after="0" w:line="268" w:lineRule="auto"/>
        <w:rPr>
          <w:sz w:val="20"/>
          <w:szCs w:val="20"/>
          <w:color w:val="auto"/>
        </w:rPr>
      </w:pPr>
      <w:r>
        <w:rPr>
          <w:rFonts w:ascii="Courier New" w:cs="Courier New" w:eastAsia="Courier New" w:hAnsi="Courier New"/>
          <w:sz w:val="16"/>
          <w:szCs w:val="16"/>
          <w:color w:val="auto"/>
        </w:rPr>
        <w:t>Accounts managed on a discretionary basis by the UBS Global Asset Management division of UBS AG (UBS Global AM)</w:t>
      </w:r>
    </w:p>
    <w:p>
      <w:pPr>
        <w:ind w:right="3899"/>
        <w:spacing w:after="0" w:line="268" w:lineRule="auto"/>
        <w:rPr>
          <w:sz w:val="20"/>
          <w:szCs w:val="20"/>
          <w:color w:val="auto"/>
        </w:rPr>
      </w:pPr>
      <w:r>
        <w:rPr>
          <w:rFonts w:ascii="Courier New" w:cs="Courier New" w:eastAsia="Courier New" w:hAnsi="Courier New"/>
          <w:sz w:val="16"/>
          <w:szCs w:val="16"/>
          <w:color w:val="auto"/>
        </w:rPr>
        <w:t>have the right to receive or the power to direct the receipt of dividends from, or the proceeds from the sale of, the Common Stock. To the best of our knowledge, no account holds more than 5 percent of the outstanding Common Stock.</w:t>
      </w:r>
    </w:p>
    <w:p>
      <w:pPr>
        <w:ind w:left="220" w:hanging="212"/>
        <w:spacing w:after="0" w:line="234" w:lineRule="auto"/>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38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Identification:</w:t>
      </w:r>
      <w:r>
        <w:rPr>
          <w:sz w:val="20"/>
          <w:szCs w:val="20"/>
          <w:color w:val="auto"/>
        </w:rPr>
        <w:tab/>
      </w:r>
      <w:r>
        <w:rPr>
          <w:rFonts w:ascii="Courier New" w:cs="Courier New" w:eastAsia="Courier New" w:hAnsi="Courier New"/>
          <w:sz w:val="16"/>
          <w:szCs w:val="16"/>
          <w:color w:val="auto"/>
        </w:rPr>
        <w:t>UBS Global Asset Management (Americas) Inc.</w:t>
      </w:r>
    </w:p>
    <w:p>
      <w:pPr>
        <w:spacing w:after="0"/>
        <w:tabs>
          <w:tab w:leader="none" w:pos="1780" w:val="left"/>
        </w:tabs>
        <w:rPr>
          <w:sz w:val="20"/>
          <w:szCs w:val="20"/>
          <w:color w:val="auto"/>
        </w:rPr>
      </w:pPr>
      <w:r>
        <w:rPr>
          <w:rFonts w:ascii="Courier New" w:cs="Courier New" w:eastAsia="Courier New" w:hAnsi="Courier New"/>
          <w:sz w:val="18"/>
          <w:szCs w:val="18"/>
          <w:color w:val="auto"/>
        </w:rPr>
        <w:t>Classification:</w:t>
      </w:r>
      <w:r>
        <w:rPr>
          <w:sz w:val="20"/>
          <w:szCs w:val="20"/>
          <w:color w:val="auto"/>
        </w:rPr>
        <w:tab/>
      </w:r>
      <w:r>
        <w:rPr>
          <w:rFonts w:ascii="Courier New" w:cs="Courier New" w:eastAsia="Courier New" w:hAnsi="Courier New"/>
          <w:sz w:val="16"/>
          <w:szCs w:val="16"/>
          <w:color w:val="auto"/>
        </w:rPr>
        <w:t>IA</w:t>
      </w:r>
    </w:p>
    <w:p>
      <w:pPr>
        <w:spacing w:after="0" w:line="207" w:lineRule="exact"/>
        <w:rPr>
          <w:sz w:val="20"/>
          <w:szCs w:val="20"/>
          <w:color w:val="auto"/>
        </w:rPr>
      </w:pPr>
    </w:p>
    <w:p>
      <w:pPr>
        <w:ind w:right="4519"/>
        <w:spacing w:after="0" w:line="268" w:lineRule="auto"/>
        <w:rPr>
          <w:sz w:val="20"/>
          <w:szCs w:val="20"/>
          <w:color w:val="auto"/>
        </w:rPr>
      </w:pPr>
      <w:r>
        <w:rPr>
          <w:rFonts w:ascii="Courier New" w:cs="Courier New" w:eastAsia="Courier New" w:hAnsi="Courier New"/>
          <w:sz w:val="16"/>
          <w:szCs w:val="16"/>
          <w:color w:val="auto"/>
        </w:rPr>
        <w:t>In addition to UBS AG, the following UBS Global AM affiliates and subsidiaries are part of the UBS Global Asset Management division included in this filing:</w:t>
      </w:r>
    </w:p>
    <w:p>
      <w:pPr>
        <w:spacing w:after="0" w:line="1"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UBS Global Asset Management (Americas) Inc., UBS Global Asset Management Trust Company, UBS Global Asset Management (Canada) Inc., UBS Global Asset Management (Australia) Ltd., UBS Global Asset Management</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(Hong Kong) Limited, UBS (Trust &amp; Banking) Limited, UBS Global Asset Management (Japan) Ltd., UBS Global Asset Management (Singapore) Ltd., UBS Global Asset Management (Taiwan) Ltd., UBS Global Asset Management (France) SA, UBS Global Asset Management (Deutschland) GmbH, UBS Global Asset Management (Italia) SIM SpA,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Espana S.A., UBS Global Asset Management (UK) Ltd.</w:t>
      </w:r>
    </w:p>
    <w:p>
      <w:pPr>
        <w:spacing w:after="0" w:line="238" w:lineRule="auto"/>
        <w:rPr>
          <w:sz w:val="20"/>
          <w:szCs w:val="20"/>
          <w:color w:val="auto"/>
        </w:rPr>
      </w:pPr>
      <w:r>
        <w:rPr>
          <w:rFonts w:ascii="Courier New" w:cs="Courier New" w:eastAsia="Courier New" w:hAnsi="Courier New"/>
          <w:sz w:val="18"/>
          <w:szCs w:val="18"/>
          <w:color w:val="auto"/>
        </w:rPr>
        <w:t>and UBS Global Asset Management Life Limited.</w:t>
      </w: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8</w:t>
      </w:r>
    </w:p>
    <w:p>
      <w:pPr>
        <w:spacing w:after="0" w:line="207" w:lineRule="exact"/>
        <w:rPr>
          <w:sz w:val="20"/>
          <w:szCs w:val="20"/>
          <w:color w:val="auto"/>
        </w:rPr>
      </w:pPr>
    </w:p>
    <w:p>
      <w:pPr>
        <w:ind w:right="4319"/>
        <w:spacing w:after="0" w:line="237" w:lineRule="auto"/>
        <w:rPr>
          <w:sz w:val="20"/>
          <w:szCs w:val="20"/>
          <w:color w:val="auto"/>
        </w:rPr>
      </w:pPr>
      <w:r>
        <w:rPr>
          <w:rFonts w:ascii="Courier New" w:cs="Courier New" w:eastAsia="Courier New" w:hAnsi="Courier New"/>
          <w:sz w:val="18"/>
          <w:szCs w:val="18"/>
          <w:color w:val="auto"/>
        </w:rPr>
        <w:t>UBS Global AM is composed of wholly-owned subsidiaries and branches of UBS AG. UBS AG is reporting direct and indirect beneficial ownership of holdings. None of the reporting persons affirm the existence of a group within the meaning of Rule 13d-5(b)(1).</w:t>
      </w:r>
    </w:p>
    <w:p>
      <w:pPr>
        <w:spacing w:after="0" w:line="209"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6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9 Notice of Dissolution of Group: Not Applicable</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10 Certification:</w:t>
      </w:r>
    </w:p>
    <w:p>
      <w:pPr>
        <w:spacing w:after="0" w:line="4" w:lineRule="exact"/>
        <w:rPr>
          <w:rFonts w:ascii="Courier New" w:cs="Courier New" w:eastAsia="Courier New" w:hAnsi="Courier New"/>
          <w:sz w:val="18"/>
          <w:szCs w:val="18"/>
          <w:color w:val="auto"/>
        </w:rPr>
      </w:pPr>
    </w:p>
    <w:p>
      <w:pPr>
        <w:ind w:right="3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6, 2008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UBS AG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Mark F. Kemper</w:t>
      </w:r>
    </w:p>
    <w:p>
      <w:pPr>
        <w:ind w:left="860"/>
        <w:spacing w:after="0" w:line="238" w:lineRule="auto"/>
        <w:rPr>
          <w:sz w:val="20"/>
          <w:szCs w:val="20"/>
          <w:color w:val="auto"/>
        </w:rPr>
      </w:pPr>
      <w:r>
        <w:rPr>
          <w:rFonts w:ascii="Courier New" w:cs="Courier New" w:eastAsia="Courier New" w:hAnsi="Courier New"/>
          <w:sz w:val="18"/>
          <w:szCs w:val="18"/>
          <w:color w:val="auto"/>
        </w:rPr>
        <w:t>Mark F. Kemper</w:t>
      </w:r>
    </w:p>
    <w:p>
      <w:pPr>
        <w:ind w:left="860"/>
        <w:spacing w:after="0"/>
        <w:rPr>
          <w:sz w:val="20"/>
          <w:szCs w:val="20"/>
          <w:color w:val="auto"/>
        </w:rPr>
      </w:pPr>
      <w:r>
        <w:rPr>
          <w:rFonts w:ascii="Courier New" w:cs="Courier New" w:eastAsia="Courier New" w:hAnsi="Courier New"/>
          <w:sz w:val="18"/>
          <w:szCs w:val="18"/>
          <w:color w:val="auto"/>
        </w:rPr>
        <w:t>Attorney-in-Fact</w:t>
      </w:r>
    </w:p>
    <w:p>
      <w:pPr>
        <w:sectPr>
          <w:pgSz w:w="11900" w:h="16838" w:orient="portrait"/>
          <w:cols w:equalWidth="0" w:num="1">
            <w:col w:w="10219"/>
          </w:cols>
          <w:pgMar w:left="240" w:top="344" w:right="1440" w:bottom="0" w:gutter="0" w:footer="0" w:header="0"/>
        </w:sectPr>
      </w:pPr>
    </w:p>
    <w:bookmarkStart w:id="3" w:name="page4"/>
    <w:bookmarkEnd w:id="3"/>
    <w:p>
      <w:pPr>
        <w:ind w:left="860" w:right="3679"/>
        <w:spacing w:after="0" w:line="290" w:lineRule="auto"/>
        <w:rPr>
          <w:sz w:val="20"/>
          <w:szCs w:val="20"/>
          <w:color w:val="auto"/>
        </w:rPr>
      </w:pPr>
      <w:r>
        <w:rPr>
          <w:rFonts w:ascii="Courier New" w:cs="Courier New" w:eastAsia="Courier New" w:hAnsi="Courier New"/>
          <w:sz w:val="16"/>
          <w:szCs w:val="16"/>
          <w:color w:val="auto"/>
        </w:rPr>
        <w:t>pursuant to Power of Attorney, attached as Exhibit 1, for the UBS Global Asset Management division of UBS AG</w:t>
      </w:r>
    </w:p>
    <w:p>
      <w:pPr>
        <w:spacing w:after="0" w:line="36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Michael J. Calhoun</w:t>
      </w:r>
    </w:p>
    <w:p>
      <w:pPr>
        <w:ind w:left="860"/>
        <w:spacing w:after="0" w:line="238" w:lineRule="auto"/>
        <w:rPr>
          <w:sz w:val="20"/>
          <w:szCs w:val="20"/>
          <w:color w:val="auto"/>
        </w:rPr>
      </w:pPr>
      <w:r>
        <w:rPr>
          <w:rFonts w:ascii="Courier New" w:cs="Courier New" w:eastAsia="Courier New" w:hAnsi="Courier New"/>
          <w:sz w:val="18"/>
          <w:szCs w:val="18"/>
          <w:color w:val="auto"/>
        </w:rPr>
        <w:t>Michael J. Calhoun</w:t>
      </w:r>
    </w:p>
    <w:p>
      <w:pPr>
        <w:ind w:left="860"/>
        <w:spacing w:after="0"/>
        <w:rPr>
          <w:sz w:val="20"/>
          <w:szCs w:val="20"/>
          <w:color w:val="auto"/>
        </w:rPr>
      </w:pPr>
      <w:r>
        <w:rPr>
          <w:rFonts w:ascii="Courier New" w:cs="Courier New" w:eastAsia="Courier New" w:hAnsi="Courier New"/>
          <w:sz w:val="18"/>
          <w:szCs w:val="18"/>
          <w:color w:val="auto"/>
        </w:rPr>
        <w:t>Attorney-in-Fact</w:t>
      </w:r>
    </w:p>
    <w:p>
      <w:pPr>
        <w:spacing w:after="0" w:line="3" w:lineRule="exact"/>
        <w:rPr>
          <w:sz w:val="20"/>
          <w:szCs w:val="20"/>
          <w:color w:val="auto"/>
        </w:rPr>
      </w:pPr>
    </w:p>
    <w:p>
      <w:pPr>
        <w:ind w:left="860" w:right="3679"/>
        <w:spacing w:after="0" w:line="290" w:lineRule="auto"/>
        <w:rPr>
          <w:sz w:val="20"/>
          <w:szCs w:val="20"/>
          <w:color w:val="auto"/>
        </w:rPr>
      </w:pPr>
      <w:r>
        <w:rPr>
          <w:rFonts w:ascii="Courier New" w:cs="Courier New" w:eastAsia="Courier New" w:hAnsi="Courier New"/>
          <w:sz w:val="16"/>
          <w:szCs w:val="16"/>
          <w:color w:val="auto"/>
        </w:rPr>
        <w:t>pursuant to Power of Attorney, attached as Exhibit 1, for the UBS Global Asset Management division of UBS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INDEX</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Number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Description</w:t>
      </w:r>
    </w:p>
    <w:p>
      <w:pPr>
        <w:spacing w:after="0" w:line="200" w:lineRule="exact"/>
        <w:rPr>
          <w:sz w:val="20"/>
          <w:szCs w:val="20"/>
          <w:color w:val="auto"/>
        </w:rPr>
      </w:pPr>
    </w:p>
    <w:p>
      <w:pPr>
        <w:sectPr>
          <w:pgSz w:w="11900" w:h="16838" w:orient="portrait"/>
          <w:cols w:equalWidth="0" w:num="2">
            <w:col w:w="1820" w:space="720"/>
            <w:col w:w="7679"/>
          </w:cols>
          <w:pgMar w:left="240" w:top="14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Power of Attorney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as of October 28, 2008</w:t>
      </w:r>
    </w:p>
    <w:p>
      <w:pPr>
        <w:spacing w:after="0" w:line="200" w:lineRule="exact"/>
        <w:rPr>
          <w:sz w:val="20"/>
          <w:szCs w:val="20"/>
          <w:color w:val="auto"/>
        </w:rPr>
      </w:pPr>
    </w:p>
    <w:p>
      <w:pPr>
        <w:sectPr>
          <w:pgSz w:w="11900" w:h="16838" w:orient="portrait"/>
          <w:cols w:equalWidth="0" w:num="2">
            <w:col w:w="1820" w:space="720"/>
            <w:col w:w="7679"/>
          </w:cols>
          <w:pgMar w:left="240" w:top="14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1">
            <w:col w:w="10219"/>
          </w:cols>
          <w:pgMar w:left="240" w:top="142" w:right="1440" w:bottom="1440" w:gutter="0" w:footer="0" w:header="0"/>
          <w:type w:val="continuous"/>
        </w:sectPr>
      </w:pPr>
    </w:p>
    <w:p>
      <w:pPr>
        <w:spacing w:after="0" w:line="224" w:lineRule="exact"/>
        <w:rPr>
          <w:sz w:val="20"/>
          <w:szCs w:val="20"/>
          <w:color w:val="auto"/>
        </w:rPr>
      </w:pPr>
    </w:p>
    <w:p>
      <w:pPr>
        <w:ind w:right="4419"/>
        <w:spacing w:after="0" w:line="268" w:lineRule="auto"/>
        <w:rPr>
          <w:sz w:val="20"/>
          <w:szCs w:val="20"/>
          <w:color w:val="auto"/>
        </w:rPr>
      </w:pPr>
      <w:r>
        <w:rPr>
          <w:rFonts w:ascii="Courier New" w:cs="Courier New" w:eastAsia="Courier New" w:hAnsi="Courier New"/>
          <w:sz w:val="16"/>
          <w:szCs w:val="16"/>
          <w:color w:val="auto"/>
        </w:rPr>
        <w:t>Each of the following employees of UBS Global Asset Management (Americas) Inc. is hereby appointed as agent and attorney-in-fact with power and authority to</w:t>
      </w:r>
    </w:p>
    <w:p>
      <w:pPr>
        <w:spacing w:after="0" w:line="1" w:lineRule="exact"/>
        <w:rPr>
          <w:sz w:val="20"/>
          <w:szCs w:val="20"/>
          <w:color w:val="auto"/>
        </w:rPr>
      </w:pPr>
    </w:p>
    <w:p>
      <w:pPr>
        <w:ind w:right="4319"/>
        <w:spacing w:after="0" w:line="236" w:lineRule="auto"/>
        <w:rPr>
          <w:sz w:val="20"/>
          <w:szCs w:val="20"/>
          <w:color w:val="auto"/>
        </w:rPr>
      </w:pPr>
      <w:r>
        <w:rPr>
          <w:rFonts w:ascii="Courier New" w:cs="Courier New" w:eastAsia="Courier New" w:hAnsi="Courier New"/>
          <w:sz w:val="18"/>
          <w:szCs w:val="18"/>
          <w:color w:val="auto"/>
        </w:rPr>
        <w:t>sign US Regulatory Filings on behalf of UBS AG, required as a result of the operations of the UBS Global Asset Management division: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 F. Kemper</w:t>
      </w:r>
    </w:p>
    <w:p>
      <w:pPr>
        <w:spacing w:after="0" w:line="238" w:lineRule="auto"/>
        <w:rPr>
          <w:sz w:val="20"/>
          <w:szCs w:val="20"/>
          <w:color w:val="auto"/>
        </w:rPr>
      </w:pPr>
      <w:r>
        <w:rPr>
          <w:rFonts w:ascii="Courier New" w:cs="Courier New" w:eastAsia="Courier New" w:hAnsi="Courier New"/>
          <w:sz w:val="18"/>
          <w:szCs w:val="18"/>
          <w:color w:val="auto"/>
        </w:rPr>
        <w:t>Joseph McGill</w:t>
      </w:r>
    </w:p>
    <w:p>
      <w:pPr>
        <w:spacing w:after="0"/>
        <w:rPr>
          <w:sz w:val="20"/>
          <w:szCs w:val="20"/>
          <w:color w:val="auto"/>
        </w:rPr>
      </w:pPr>
      <w:r>
        <w:rPr>
          <w:rFonts w:ascii="Courier New" w:cs="Courier New" w:eastAsia="Courier New" w:hAnsi="Courier New"/>
          <w:sz w:val="18"/>
          <w:szCs w:val="18"/>
          <w:color w:val="auto"/>
        </w:rPr>
        <w:t>John Moore</w:t>
      </w:r>
    </w:p>
    <w:p>
      <w:pPr>
        <w:spacing w:after="0" w:line="237" w:lineRule="auto"/>
        <w:rPr>
          <w:sz w:val="20"/>
          <w:szCs w:val="20"/>
          <w:color w:val="auto"/>
        </w:rPr>
      </w:pPr>
      <w:r>
        <w:rPr>
          <w:rFonts w:ascii="Courier New" w:cs="Courier New" w:eastAsia="Courier New" w:hAnsi="Courier New"/>
          <w:sz w:val="18"/>
          <w:szCs w:val="18"/>
          <w:color w:val="auto"/>
        </w:rPr>
        <w:t>Michael J. Calhoun</w:t>
      </w:r>
    </w:p>
    <w:p>
      <w:pPr>
        <w:spacing w:after="0" w:line="238" w:lineRule="auto"/>
        <w:rPr>
          <w:sz w:val="20"/>
          <w:szCs w:val="20"/>
          <w:color w:val="auto"/>
        </w:rPr>
      </w:pPr>
      <w:r>
        <w:rPr>
          <w:rFonts w:ascii="Courier New" w:cs="Courier New" w:eastAsia="Courier New" w:hAnsi="Courier New"/>
          <w:sz w:val="18"/>
          <w:szCs w:val="18"/>
          <w:color w:val="auto"/>
        </w:rPr>
        <w:t>Mary T. Capasso</w:t>
      </w:r>
    </w:p>
    <w:p>
      <w:pPr>
        <w:spacing w:after="0"/>
        <w:rPr>
          <w:sz w:val="20"/>
          <w:szCs w:val="20"/>
          <w:color w:val="auto"/>
        </w:rPr>
      </w:pPr>
      <w:r>
        <w:rPr>
          <w:rFonts w:ascii="Courier New" w:cs="Courier New" w:eastAsia="Courier New" w:hAnsi="Courier New"/>
          <w:sz w:val="18"/>
          <w:szCs w:val="18"/>
          <w:color w:val="auto"/>
        </w:rPr>
        <w:t>Trevor Chambers</w:t>
      </w:r>
    </w:p>
    <w:p>
      <w:pPr>
        <w:spacing w:after="0" w:line="206"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This Power of Attorney is limited to the circumstances set forth herein and may be revoked, in whole or in part, at any time. If a person identified above ceases to perform services for UBS Global Asset Management for any reason, this Power of Attorney shall be automatically revoked with respect to that person. Nothing in this Power of Attorney is intended to limit the authority of any other persons to sign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documents relating to the subject matter hereof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extent permitted by UBS Group Policy or otherwise.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APPROVED:</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As of October 28, 2008</w:t>
      </w:r>
    </w:p>
    <w:p>
      <w:pPr>
        <w:spacing w:after="0" w:line="200" w:lineRule="exact"/>
        <w:rPr>
          <w:sz w:val="20"/>
          <w:szCs w:val="20"/>
          <w:color w:val="auto"/>
        </w:rPr>
      </w:pPr>
    </w:p>
    <w:p>
      <w:pPr>
        <w:spacing w:after="0" w:line="20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Mario Cueni</w:t>
      </w:r>
    </w:p>
    <w:p>
      <w:pPr>
        <w:spacing w:after="0" w:line="238" w:lineRule="auto"/>
        <w:rPr>
          <w:sz w:val="20"/>
          <w:szCs w:val="20"/>
          <w:color w:val="auto"/>
        </w:rPr>
      </w:pPr>
      <w:r>
        <w:rPr>
          <w:rFonts w:ascii="Courier New" w:cs="Courier New" w:eastAsia="Courier New" w:hAnsi="Courier New"/>
          <w:sz w:val="18"/>
          <w:szCs w:val="18"/>
          <w:color w:val="auto"/>
        </w:rPr>
        <w:t>Mario Cueni</w:t>
      </w:r>
    </w:p>
    <w:p>
      <w:pPr>
        <w:spacing w:after="0"/>
        <w:rPr>
          <w:sz w:val="20"/>
          <w:szCs w:val="20"/>
          <w:color w:val="auto"/>
        </w:rPr>
      </w:pPr>
      <w:r>
        <w:rPr>
          <w:rFonts w:ascii="Courier New" w:cs="Courier New" w:eastAsia="Courier New" w:hAnsi="Courier New"/>
          <w:sz w:val="18"/>
          <w:szCs w:val="18"/>
          <w:color w:val="auto"/>
        </w:rPr>
        <w:t>UBS Global Asset Management</w:t>
      </w:r>
    </w:p>
    <w:p>
      <w:pPr>
        <w:spacing w:after="0" w:line="237" w:lineRule="auto"/>
        <w:rPr>
          <w:sz w:val="20"/>
          <w:szCs w:val="20"/>
          <w:color w:val="auto"/>
        </w:rPr>
      </w:pPr>
      <w:r>
        <w:rPr>
          <w:rFonts w:ascii="Courier New" w:cs="Courier New" w:eastAsia="Courier New" w:hAnsi="Courier New"/>
          <w:sz w:val="18"/>
          <w:szCs w:val="18"/>
          <w:color w:val="auto"/>
        </w:rPr>
        <w:t>General Counsel &amp; Chief Risk Officer</w:t>
      </w:r>
    </w:p>
    <w:p>
      <w:pPr>
        <w:spacing w:after="0" w:line="238" w:lineRule="auto"/>
        <w:rPr>
          <w:sz w:val="20"/>
          <w:szCs w:val="20"/>
          <w:color w:val="auto"/>
        </w:rPr>
      </w:pPr>
      <w:r>
        <w:rPr>
          <w:rFonts w:ascii="Courier New" w:cs="Courier New" w:eastAsia="Courier New" w:hAnsi="Courier New"/>
          <w:sz w:val="18"/>
          <w:szCs w:val="18"/>
          <w:color w:val="auto"/>
        </w:rPr>
        <w:t>Member of the Group Managing Board</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Kai R. Sotorp</w:t>
      </w:r>
    </w:p>
    <w:p>
      <w:pPr>
        <w:spacing w:after="0" w:line="238" w:lineRule="auto"/>
        <w:rPr>
          <w:sz w:val="20"/>
          <w:szCs w:val="20"/>
          <w:color w:val="auto"/>
        </w:rPr>
      </w:pPr>
      <w:r>
        <w:rPr>
          <w:rFonts w:ascii="Courier New" w:cs="Courier New" w:eastAsia="Courier New" w:hAnsi="Courier New"/>
          <w:sz w:val="18"/>
          <w:szCs w:val="18"/>
          <w:color w:val="auto"/>
        </w:rPr>
        <w:t>Kai R. Sotorp</w:t>
      </w:r>
    </w:p>
    <w:p>
      <w:pPr>
        <w:spacing w:after="0"/>
        <w:rPr>
          <w:sz w:val="20"/>
          <w:szCs w:val="20"/>
          <w:color w:val="auto"/>
        </w:rPr>
      </w:pPr>
      <w:r>
        <w:rPr>
          <w:rFonts w:ascii="Courier New" w:cs="Courier New" w:eastAsia="Courier New" w:hAnsi="Courier New"/>
          <w:sz w:val="18"/>
          <w:szCs w:val="18"/>
          <w:color w:val="auto"/>
        </w:rPr>
        <w:t>UBS Global Asset Management</w:t>
      </w:r>
    </w:p>
    <w:p>
      <w:pPr>
        <w:spacing w:after="0" w:line="237" w:lineRule="auto"/>
        <w:rPr>
          <w:sz w:val="20"/>
          <w:szCs w:val="20"/>
          <w:color w:val="auto"/>
        </w:rPr>
      </w:pPr>
      <w:r>
        <w:rPr>
          <w:rFonts w:ascii="Courier New" w:cs="Courier New" w:eastAsia="Courier New" w:hAnsi="Courier New"/>
          <w:sz w:val="18"/>
          <w:szCs w:val="18"/>
          <w:color w:val="auto"/>
        </w:rPr>
        <w:t>Head of Americas Member of the Group Managing Board</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a"/>
      <w:numFmt w:val="bullet"/>
      <w:start w:val="1"/>
    </w:lvl>
  </w:abstractNum>
  <w:abstractNum w:abstractNumId="6">
    <w:nsid w:val="3352255A"/>
    <w:multiLevelType w:val="hybridMultilevel"/>
    <w:lvl w:ilvl="0">
      <w:lvlJc w:val="left"/>
      <w:lvlText w:val="b"/>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0"/>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2019-12-09T22:01:15Z</dcterms:created>
  <dcterms:modified xsi:type="dcterms:W3CDTF">2019-12-09T22:01:15Z</dcterms:modified>
</cp:coreProperties>
</file>