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Cotter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Vertical Business Units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3,284.229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46,379.455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54,405.455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aggregate shares withheld to satisfy tax withholding obligations on 1,590 Performance-based Restricted Stock Units (PRSUs) and 5,907 Restricted Stock Units (RSUs) that vested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PRSUs granted on April 3, 2023. The shares were earned based on the achievement of certain pre-established performance parameters relating to the Company's relative total shareholder return performance over a three-year period at 192.01% of target. The shares will vest on March 29, 2026, subject to the Reporting Person's continued employment with the Company.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760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2026-03-18T16:34:15Z</dcterms:created>
  <dcterms:modified xsi:type="dcterms:W3CDTF">2026-03-18T16:34:15Z</dcterms:modified>
</cp:coreProperties>
</file>