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jc w:val="center"/>
        <w:ind w:right="2735"/>
        <w:spacing w:after="0"/>
        <w:rPr>
          <w:sz w:val="20"/>
          <w:szCs w:val="20"/>
          <w:color w:val="auto"/>
        </w:rPr>
      </w:pPr>
      <w:r>
        <w:rPr>
          <w:rFonts w:ascii="Courier New" w:cs="Courier New" w:eastAsia="Courier New" w:hAnsi="Courier New"/>
          <w:sz w:val="16"/>
          <w:szCs w:val="16"/>
          <w:color w:val="auto"/>
        </w:rPr>
        <w:t>SCHEDULE 14A INFORMATION</w:t>
      </w:r>
    </w:p>
    <w:p>
      <w:pPr>
        <w:spacing w:after="0" w:line="185" w:lineRule="exact"/>
        <w:rPr>
          <w:sz w:val="24"/>
          <w:szCs w:val="24"/>
          <w:color w:val="auto"/>
        </w:rPr>
      </w:pPr>
    </w:p>
    <w:p>
      <w:pPr>
        <w:jc w:val="center"/>
        <w:ind w:right="2815"/>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5" w:lineRule="exact"/>
        <w:rPr>
          <w:sz w:val="24"/>
          <w:szCs w:val="24"/>
          <w:color w:val="auto"/>
        </w:rPr>
      </w:pPr>
    </w:p>
    <w:p>
      <w:pPr>
        <w:ind w:left="1684"/>
        <w:spacing w:after="0"/>
        <w:tabs>
          <w:tab w:leader="none" w:pos="5603"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3"/>
          </w:cols>
          <w:pgMar w:left="236" w:top="233" w:right="1440" w:bottom="1440" w:gutter="0" w:footer="0" w:header="0"/>
        </w:sectPr>
      </w:pPr>
    </w:p>
    <w:p>
      <w:pPr>
        <w:spacing w:after="0" w:line="18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FILED BY THE REGISTRANT [X]</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91" w:lineRule="exact"/>
        <w:rPr>
          <w:sz w:val="24"/>
          <w:szCs w:val="24"/>
          <w:color w:val="auto"/>
        </w:rPr>
      </w:pPr>
    </w:p>
    <w:p>
      <w:pPr>
        <w:sectPr>
          <w:pgSz w:w="11900" w:h="16838" w:orient="portrait"/>
          <w:cols w:equalWidth="0" w:num="2">
            <w:col w:w="2524" w:space="660"/>
            <w:col w:w="7039"/>
          </w:cols>
          <w:pgMar w:left="236" w:top="23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Check the appropriate box:</w:t>
      </w:r>
    </w:p>
    <w:p>
      <w:pPr>
        <w:spacing w:after="0" w:line="4" w:lineRule="exact"/>
        <w:rPr>
          <w:sz w:val="24"/>
          <w:szCs w:val="24"/>
          <w:color w:val="auto"/>
        </w:rPr>
      </w:pPr>
    </w:p>
    <w:p>
      <w:pPr>
        <w:ind w:left="4" w:right="7319" w:hanging="4"/>
        <w:spacing w:after="0" w:line="254" w:lineRule="auto"/>
        <w:tabs>
          <w:tab w:leader="none" w:pos="19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 [X] Definitive Proxy Statement</w:t>
      </w: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sec.240.14a-11(c) or sec.240.14a-12</w:t>
      </w:r>
    </w:p>
    <w:p>
      <w:pPr>
        <w:spacing w:after="0" w:line="3" w:lineRule="exact"/>
        <w:rPr>
          <w:rFonts w:ascii="Courier New" w:cs="Courier New" w:eastAsia="Courier New" w:hAnsi="Courier New"/>
          <w:sz w:val="16"/>
          <w:szCs w:val="16"/>
          <w:color w:val="auto"/>
        </w:rPr>
      </w:pPr>
    </w:p>
    <w:p>
      <w:pPr>
        <w:ind w:left="384" w:right="3659" w:hanging="384"/>
        <w:spacing w:after="0" w:line="236" w:lineRule="auto"/>
        <w:tabs>
          <w:tab w:leader="none" w:pos="19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8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ANALOG DEVICES, INC.</w:t>
      </w:r>
    </w:p>
    <w:p>
      <w:pPr>
        <w:jc w:val="center"/>
        <w:ind w:right="2715"/>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PAYMENT OF FILING FEE (CHECK THE APPROPRIATE BOX):</w:t>
      </w:r>
    </w:p>
    <w:p>
      <w:pPr>
        <w:ind w:left="4"/>
        <w:spacing w:after="0"/>
        <w:rPr>
          <w:sz w:val="20"/>
          <w:szCs w:val="20"/>
          <w:color w:val="auto"/>
        </w:rPr>
      </w:pPr>
      <w:r>
        <w:rPr>
          <w:rFonts w:ascii="Courier New" w:cs="Courier New" w:eastAsia="Courier New" w:hAnsi="Courier New"/>
          <w:sz w:val="16"/>
          <w:szCs w:val="16"/>
          <w:color w:val="auto"/>
        </w:rPr>
        <w:t>[X] No fee required.</w:t>
      </w:r>
    </w:p>
    <w:p>
      <w:pPr>
        <w:ind w:left="184" w:hanging="184"/>
        <w:spacing w:after="0" w:line="237" w:lineRule="auto"/>
        <w:tabs>
          <w:tab w:leader="none" w:pos="18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80" w:lineRule="exact"/>
        <w:rPr>
          <w:rFonts w:ascii="Courier New" w:cs="Courier New" w:eastAsia="Courier New" w:hAnsi="Courier New"/>
          <w:sz w:val="16"/>
          <w:szCs w:val="16"/>
          <w:color w:val="auto"/>
        </w:rPr>
      </w:pPr>
    </w:p>
    <w:p>
      <w:pPr>
        <w:ind w:left="664" w:hanging="289"/>
        <w:spacing w:after="0"/>
        <w:tabs>
          <w:tab w:leader="none" w:pos="66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9" w:lineRule="exact"/>
        <w:rPr>
          <w:rFonts w:ascii="Courier New" w:cs="Courier New" w:eastAsia="Courier New" w:hAnsi="Courier New"/>
          <w:sz w:val="16"/>
          <w:szCs w:val="16"/>
          <w:color w:val="auto"/>
        </w:rPr>
      </w:pPr>
    </w:p>
    <w:p>
      <w:pPr>
        <w:ind w:left="664" w:hanging="289"/>
        <w:spacing w:after="0"/>
        <w:tabs>
          <w:tab w:leader="none" w:pos="66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4" w:lineRule="exact"/>
        <w:rPr>
          <w:rFonts w:ascii="Courier New" w:cs="Courier New" w:eastAsia="Courier New" w:hAnsi="Courier New"/>
          <w:sz w:val="16"/>
          <w:szCs w:val="16"/>
          <w:color w:val="auto"/>
        </w:rPr>
      </w:pPr>
    </w:p>
    <w:p>
      <w:pPr>
        <w:ind w:left="664" w:right="2719" w:hanging="289"/>
        <w:spacing w:after="0" w:line="237" w:lineRule="auto"/>
        <w:tabs>
          <w:tab w:leader="none" w:pos="66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9" w:lineRule="exact"/>
        <w:rPr>
          <w:rFonts w:ascii="Courier New" w:cs="Courier New" w:eastAsia="Courier New" w:hAnsi="Courier New"/>
          <w:sz w:val="16"/>
          <w:szCs w:val="16"/>
          <w:color w:val="auto"/>
        </w:rPr>
      </w:pPr>
    </w:p>
    <w:p>
      <w:pPr>
        <w:ind w:left="664" w:hanging="289"/>
        <w:spacing w:after="0"/>
        <w:tabs>
          <w:tab w:leader="none" w:pos="66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9" w:lineRule="exact"/>
        <w:rPr>
          <w:rFonts w:ascii="Courier New" w:cs="Courier New" w:eastAsia="Courier New" w:hAnsi="Courier New"/>
          <w:sz w:val="16"/>
          <w:szCs w:val="16"/>
          <w:color w:val="auto"/>
        </w:rPr>
      </w:pPr>
    </w:p>
    <w:p>
      <w:pPr>
        <w:ind w:left="664" w:hanging="289"/>
        <w:spacing w:after="0"/>
        <w:tabs>
          <w:tab w:leader="none" w:pos="66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 ] Fee paid previously with preliminary materials.</w:t>
      </w:r>
    </w:p>
    <w:p>
      <w:pPr>
        <w:spacing w:after="0" w:line="185" w:lineRule="exact"/>
        <w:rPr>
          <w:sz w:val="24"/>
          <w:szCs w:val="24"/>
          <w:color w:val="auto"/>
        </w:rPr>
      </w:pPr>
    </w:p>
    <w:p>
      <w:pPr>
        <w:ind w:left="384" w:right="2819" w:hanging="384"/>
        <w:spacing w:after="0" w:line="237" w:lineRule="auto"/>
        <w:tabs>
          <w:tab w:leader="none" w:pos="19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0" w:lineRule="exact"/>
        <w:rPr>
          <w:rFonts w:ascii="Courier New" w:cs="Courier New" w:eastAsia="Courier New" w:hAnsi="Courier New"/>
          <w:sz w:val="16"/>
          <w:szCs w:val="16"/>
          <w:color w:val="auto"/>
        </w:rPr>
      </w:pPr>
    </w:p>
    <w:p>
      <w:pPr>
        <w:ind w:left="664" w:hanging="289"/>
        <w:spacing w:after="0"/>
        <w:tabs>
          <w:tab w:leader="none" w:pos="66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9" w:lineRule="exact"/>
        <w:rPr>
          <w:rFonts w:ascii="Courier New" w:cs="Courier New" w:eastAsia="Courier New" w:hAnsi="Courier New"/>
          <w:sz w:val="16"/>
          <w:szCs w:val="16"/>
          <w:color w:val="auto"/>
        </w:rPr>
      </w:pPr>
    </w:p>
    <w:p>
      <w:pPr>
        <w:ind w:left="664" w:hanging="289"/>
        <w:spacing w:after="0"/>
        <w:tabs>
          <w:tab w:leader="none" w:pos="66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9" w:lineRule="exact"/>
        <w:rPr>
          <w:rFonts w:ascii="Courier New" w:cs="Courier New" w:eastAsia="Courier New" w:hAnsi="Courier New"/>
          <w:sz w:val="16"/>
          <w:szCs w:val="16"/>
          <w:color w:val="auto"/>
        </w:rPr>
      </w:pPr>
    </w:p>
    <w:p>
      <w:pPr>
        <w:ind w:left="664" w:hanging="289"/>
        <w:spacing w:after="0"/>
        <w:tabs>
          <w:tab w:leader="none" w:pos="66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9" w:lineRule="exact"/>
        <w:rPr>
          <w:rFonts w:ascii="Courier New" w:cs="Courier New" w:eastAsia="Courier New" w:hAnsi="Courier New"/>
          <w:sz w:val="16"/>
          <w:szCs w:val="16"/>
          <w:color w:val="auto"/>
        </w:rPr>
      </w:pPr>
    </w:p>
    <w:p>
      <w:pPr>
        <w:ind w:left="664" w:hanging="289"/>
        <w:spacing w:after="0"/>
        <w:tabs>
          <w:tab w:leader="none" w:pos="66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8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3"/>
          </w:cols>
          <w:pgMar w:left="236" w:top="233"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ANALOG DEVICES, INC.</w:t>
      </w:r>
    </w:p>
    <w:p>
      <w:pPr>
        <w:ind w:left="2900"/>
        <w:spacing w:after="0"/>
        <w:rPr>
          <w:sz w:val="20"/>
          <w:szCs w:val="20"/>
          <w:color w:val="auto"/>
        </w:rPr>
      </w:pPr>
      <w:r>
        <w:rPr>
          <w:rFonts w:ascii="Courier New" w:cs="Courier New" w:eastAsia="Courier New" w:hAnsi="Courier New"/>
          <w:sz w:val="16"/>
          <w:szCs w:val="16"/>
          <w:color w:val="auto"/>
        </w:rPr>
        <w:t>ONE TECHNOLOGY WAY</w:t>
      </w:r>
    </w:p>
    <w:p>
      <w:pPr>
        <w:ind w:left="2160"/>
        <w:spacing w:after="0" w:line="237" w:lineRule="auto"/>
        <w:rPr>
          <w:sz w:val="20"/>
          <w:szCs w:val="20"/>
          <w:color w:val="auto"/>
        </w:rPr>
      </w:pPr>
      <w:r>
        <w:rPr>
          <w:rFonts w:ascii="Courier New" w:cs="Courier New" w:eastAsia="Courier New" w:hAnsi="Courier New"/>
          <w:sz w:val="16"/>
          <w:szCs w:val="16"/>
          <w:color w:val="auto"/>
        </w:rPr>
        <w:t>NORWOOD, MASSACHUSETTS 02062-9106</w:t>
      </w:r>
    </w:p>
    <w:p>
      <w:pPr>
        <w:spacing w:after="0" w:line="180"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NOTICE OF 2001 ANNUAL MEETING OF STOCKHOLDERS</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TO BE HELD ON MARCH 13, 2001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w:t>
      </w:r>
    </w:p>
    <w:p>
      <w:pPr>
        <w:spacing w:after="0" w:line="185" w:lineRule="exact"/>
        <w:rPr>
          <w:sz w:val="20"/>
          <w:szCs w:val="20"/>
          <w:color w:val="auto"/>
        </w:rPr>
      </w:pPr>
    </w:p>
    <w:p>
      <w:pPr>
        <w:ind w:right="3099" w:firstLine="469"/>
        <w:spacing w:after="0" w:line="257" w:lineRule="auto"/>
        <w:rPr>
          <w:sz w:val="20"/>
          <w:szCs w:val="20"/>
          <w:color w:val="auto"/>
        </w:rPr>
      </w:pPr>
      <w:r>
        <w:rPr>
          <w:rFonts w:ascii="Courier New" w:cs="Courier New" w:eastAsia="Courier New" w:hAnsi="Courier New"/>
          <w:sz w:val="15"/>
          <w:szCs w:val="15"/>
          <w:color w:val="auto"/>
        </w:rPr>
        <w:t>The 2001 Annual Meeting of Stockholders of Analog Devices, Inc. will be held at the Hilton at Dedham Place, 25 Allied Drive, Dedham, Massachusetts 02026, on Tuesday, March 13, 2001 at 10:00 a.m. local time. At the meeting, stockholders will consider and vote on the following matters:</w:t>
      </w:r>
    </w:p>
    <w:p>
      <w:pPr>
        <w:spacing w:after="0" w:line="174" w:lineRule="exact"/>
        <w:rPr>
          <w:sz w:val="20"/>
          <w:szCs w:val="20"/>
          <w:color w:val="auto"/>
        </w:rPr>
      </w:pPr>
    </w:p>
    <w:p>
      <w:pPr>
        <w:ind w:left="1020" w:right="3099" w:hanging="273"/>
        <w:spacing w:after="0" w:line="236" w:lineRule="auto"/>
        <w:tabs>
          <w:tab w:leader="none" w:pos="10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two members to our board of directors to serve as Class II directors, each for a term of three years.</w:t>
      </w:r>
    </w:p>
    <w:p>
      <w:pPr>
        <w:spacing w:after="0" w:line="184" w:lineRule="exact"/>
        <w:rPr>
          <w:rFonts w:ascii="Courier New" w:cs="Courier New" w:eastAsia="Courier New" w:hAnsi="Courier New"/>
          <w:sz w:val="16"/>
          <w:szCs w:val="16"/>
          <w:color w:val="auto"/>
        </w:rPr>
      </w:pPr>
    </w:p>
    <w:p>
      <w:pPr>
        <w:ind w:left="1020" w:right="2899" w:hanging="273"/>
        <w:spacing w:after="0" w:line="236" w:lineRule="auto"/>
        <w:tabs>
          <w:tab w:leader="none" w:pos="10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ratification of the selection by our directors of Ernst &amp; Young LLP as our independent auditors for the 2001 fiscal year.</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stockholders will also act on any other business that may properly come before the meeting.</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Stockholders of record at the close of business on January 26, 2001 are entitled to vote. Your vote is important regardless of the number of shares you own. Whether you expect to attend the meeting or not, please complete, sign, date and promptly return the enclosed proxy card in the envelope we have provided. Your prompt response is necessary to assure that your shares are represented at the meeting.</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stockholders are cordially invited to attend the meeting.</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PAUL P. BROUNTAS</w:t>
      </w:r>
    </w:p>
    <w:p>
      <w:pPr>
        <w:ind w:left="4120"/>
        <w:spacing w:after="0"/>
        <w:rPr>
          <w:sz w:val="20"/>
          <w:szCs w:val="20"/>
          <w:color w:val="auto"/>
        </w:rPr>
      </w:pPr>
      <w:r>
        <w:rPr>
          <w:rFonts w:ascii="Courier New" w:cs="Courier New" w:eastAsia="Courier New" w:hAnsi="Courier New"/>
          <w:sz w:val="16"/>
          <w:szCs w:val="16"/>
          <w:color w:val="auto"/>
        </w:rPr>
        <w:t>Clerk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Norwood, Massachusetts</w:t>
      </w:r>
    </w:p>
    <w:p>
      <w:pPr>
        <w:spacing w:after="0"/>
        <w:rPr>
          <w:sz w:val="20"/>
          <w:szCs w:val="20"/>
          <w:color w:val="auto"/>
        </w:rPr>
      </w:pPr>
      <w:r>
        <w:rPr>
          <w:rFonts w:ascii="Courier New" w:cs="Courier New" w:eastAsia="Courier New" w:hAnsi="Courier New"/>
          <w:sz w:val="16"/>
          <w:szCs w:val="16"/>
          <w:color w:val="auto"/>
        </w:rPr>
        <w:t>February 9, 2001</w:t>
      </w:r>
    </w:p>
    <w:p>
      <w:pPr>
        <w:sectPr>
          <w:pgSz w:w="11900" w:h="16838" w:orient="portrait"/>
          <w:cols w:equalWidth="0" w:num="1">
            <w:col w:w="10219"/>
          </w:cols>
          <w:pgMar w:left="240" w:top="293"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ANALOG DEVICES, INC.</w:t>
      </w:r>
    </w:p>
    <w:p>
      <w:pPr>
        <w:ind w:left="2900"/>
        <w:spacing w:after="0"/>
        <w:rPr>
          <w:sz w:val="20"/>
          <w:szCs w:val="20"/>
          <w:color w:val="auto"/>
        </w:rPr>
      </w:pPr>
      <w:r>
        <w:rPr>
          <w:rFonts w:ascii="Courier New" w:cs="Courier New" w:eastAsia="Courier New" w:hAnsi="Courier New"/>
          <w:sz w:val="16"/>
          <w:szCs w:val="16"/>
          <w:color w:val="auto"/>
        </w:rPr>
        <w:t>ONE TECHNOLOGY WAY</w:t>
      </w:r>
    </w:p>
    <w:p>
      <w:pPr>
        <w:ind w:left="2160"/>
        <w:spacing w:after="0" w:line="237" w:lineRule="auto"/>
        <w:rPr>
          <w:sz w:val="20"/>
          <w:szCs w:val="20"/>
          <w:color w:val="auto"/>
        </w:rPr>
      </w:pPr>
      <w:r>
        <w:rPr>
          <w:rFonts w:ascii="Courier New" w:cs="Courier New" w:eastAsia="Courier New" w:hAnsi="Courier New"/>
          <w:sz w:val="16"/>
          <w:szCs w:val="16"/>
          <w:color w:val="auto"/>
        </w:rPr>
        <w:t>NORWOOD, MASSACHUSETTS 02062-9106</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PROXY STATEMENT FOR ANNUAL MEETING OF STOCKHOLDERS</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MARCH 13, 2001</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This proxy statement contains information about the 2001 Annual Meeting of Stockholders of Analog Devices, Inc. The meeting is scheduled to be held on Tuesday, March 13, 2001, beginning at 10:00 a.m. local time, at the Hilton at Dedham Place, 25 Allied Drive, Dedham, Massachusetts, 02026.</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This proxy statement is furnished in connection with the solicitation of proxies by the board of directors of Analog Devices, Inc. for use at the annual meeting and at any adjournment of that meeting. All proxies will be voted in accordance with the instructions they contain. If no instruction is specified on a proxy it will be voted in favor of the proposals set forth in the notice of the meeting. A stockholder may revoke any proxy at any time before it is exercised by giving our clerk written notice to that effect.</w:t>
      </w:r>
    </w:p>
    <w:p>
      <w:pPr>
        <w:spacing w:after="0" w:line="180"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INFORMATION ABOUT THE ANNUAL MEETING AND VOTING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IS THE PURPOSE OF THE ANNUAL MEETING?</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At the annual meeting, stockholders will consider and vote on the following matters:</w:t>
      </w:r>
    </w:p>
    <w:p>
      <w:pPr>
        <w:spacing w:after="0" w:line="185" w:lineRule="exact"/>
        <w:rPr>
          <w:sz w:val="20"/>
          <w:szCs w:val="20"/>
          <w:color w:val="auto"/>
        </w:rPr>
      </w:pPr>
    </w:p>
    <w:p>
      <w:pPr>
        <w:ind w:right="2819" w:firstLine="465"/>
        <w:spacing w:after="0" w:line="236" w:lineRule="auto"/>
        <w:tabs>
          <w:tab w:leader="none" w:pos="75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two members to our board of directors to serve as Class II directors, each for a term of three years.</w:t>
      </w:r>
    </w:p>
    <w:p>
      <w:pPr>
        <w:spacing w:after="0" w:line="184" w:lineRule="exact"/>
        <w:rPr>
          <w:rFonts w:ascii="Courier New" w:cs="Courier New" w:eastAsia="Courier New" w:hAnsi="Courier New"/>
          <w:sz w:val="16"/>
          <w:szCs w:val="16"/>
          <w:color w:val="auto"/>
        </w:rPr>
      </w:pPr>
    </w:p>
    <w:p>
      <w:pPr>
        <w:ind w:right="2819" w:firstLine="465"/>
        <w:spacing w:after="0" w:line="236" w:lineRule="auto"/>
        <w:tabs>
          <w:tab w:leader="none" w:pos="75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ratification of the selection by our directors of Ernst &amp; Young LLP as our independent auditors for the 2001 fiscal year.</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stockholders will also act on any other business that may properly come before the meeting.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 CAN VOTE?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To be able to vote, you must have been a stockholder of record at the close of business on January 26, 2001. This date is the record date for the annual meeting.</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On January 26, 2001, there were 359,749,555 shares of our common stock issued, outstanding, and entitled to vote at the annual meeting.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 MANY VOTES DO I HAVE?</w:t>
      </w:r>
    </w:p>
    <w:p>
      <w:pPr>
        <w:spacing w:after="0" w:line="185" w:lineRule="exact"/>
        <w:rPr>
          <w:sz w:val="20"/>
          <w:szCs w:val="20"/>
          <w:color w:val="auto"/>
        </w:rPr>
      </w:pPr>
    </w:p>
    <w:p>
      <w:pPr>
        <w:jc w:val="both"/>
        <w:ind w:right="2899" w:firstLine="469"/>
        <w:spacing w:after="0" w:line="236" w:lineRule="auto"/>
        <w:rPr>
          <w:sz w:val="20"/>
          <w:szCs w:val="20"/>
          <w:color w:val="auto"/>
        </w:rPr>
      </w:pPr>
      <w:r>
        <w:rPr>
          <w:rFonts w:ascii="Courier New" w:cs="Courier New" w:eastAsia="Courier New" w:hAnsi="Courier New"/>
          <w:sz w:val="16"/>
          <w:szCs w:val="16"/>
          <w:color w:val="auto"/>
        </w:rPr>
        <w:t>Each share of our common stock that you owned on the record date entitles you to one vote on each matter that is voted 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MY VOTE IMPORTANT?</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Your vote is important regardless of how many shares you own. Please take the time to vote. Take a moment to read the instructions below. Choose the way to vote that is easiest and most convenient for you and cast your vote as soon as possible.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 CAN I VOTE?</w:t>
      </w:r>
    </w:p>
    <w:p>
      <w:pPr>
        <w:spacing w:after="0" w:line="185" w:lineRule="exact"/>
        <w:rPr>
          <w:sz w:val="20"/>
          <w:szCs w:val="20"/>
          <w:color w:val="auto"/>
        </w:rPr>
      </w:pPr>
    </w:p>
    <w:p>
      <w:pPr>
        <w:jc w:val="both"/>
        <w:ind w:right="2899" w:firstLine="469"/>
        <w:spacing w:after="0" w:line="236" w:lineRule="auto"/>
        <w:rPr>
          <w:sz w:val="20"/>
          <w:szCs w:val="20"/>
          <w:color w:val="auto"/>
        </w:rPr>
      </w:pPr>
      <w:r>
        <w:rPr>
          <w:rFonts w:ascii="Courier New" w:cs="Courier New" w:eastAsia="Courier New" w:hAnsi="Courier New"/>
          <w:sz w:val="16"/>
          <w:szCs w:val="16"/>
          <w:color w:val="auto"/>
        </w:rPr>
        <w:t>You can vote in one of two ways. You can vote by mail, or you can vote in person at the meeting.</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You may vote by mail. You may vote by completing and signing the proxy card that accompanies this proxy statement and promptly mailing it in the enclosed envelope. You do not need to put a stamp on the enclosed envelope if you mail it in the United States.</w:t>
      </w:r>
    </w:p>
    <w:p>
      <w:pPr>
        <w:spacing w:after="0" w:line="186"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shares you own will be voted according to the instructions on the proxy card you mail. If you return the proxy card, but do not give any instructions on a particular matter described in this proxy statement, the shares you own will be voted for each agenda item as recommended by our board of directors.</w:t>
      </w:r>
    </w:p>
    <w:p>
      <w:pPr>
        <w:spacing w:after="0" w:line="17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You may vote in person. If you attend the meeting, you may vote by delivering your completed proxy card in person or you may vote by completing a ballot. Ballots will be available at the meeting.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 I VOTE IF MY SHARES ARE HELD IN "STREET NAME"?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If you do not give instructions to your bank or brokerage firm, it will still be able to vote your shares with respect to certain "discretionary" items, but will not be allowed to vote your shares with respect to certain "non-discretionary" items. In the case of non-discretionary items, the shares will be treated as "broker non-votes."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your shares are held in street name, you must bring an account statement or letter from your brokerage firm or bank showing that you are the beneficial owner of the shares in order to be admitted to the meeting on March 13, 2001. To be able to vote your shares held in street name at the meeting, you will need to obtain a proxy from the holder of record.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 I CHANGE MY VOTE AFTER I MAIL MY PROXY CARD?</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Yes. You can change your vote and revoke your proxy at any time before the polls close at the meeting by doing any one of the following things:</w:t>
      </w:r>
    </w:p>
    <w:p>
      <w:pPr>
        <w:spacing w:after="0" w:line="180" w:lineRule="exact"/>
        <w:rPr>
          <w:sz w:val="20"/>
          <w:szCs w:val="20"/>
          <w:color w:val="auto"/>
        </w:rPr>
      </w:pPr>
    </w:p>
    <w:p>
      <w:pPr>
        <w:ind w:left="660" w:hanging="195"/>
        <w:spacing w:after="0"/>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signing another proxy with a later date;</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giving our clerk a written notice before or at the meeting that you want to revoke your proxy;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in person at the meeting.</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Your attendance at the meeting alone will not revoke your proxy.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CONSTITUTES A QUORUM?</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order for business to be conducted at the meeting, a quorum must be present. A quorum consists of the holders of a majority of the shares of common stock issued, outstanding and entitled to vote at the meeting, or at least 179,874,778 shares.</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Shares of common stock represented in person or by proxy (including "broker non-votes" and shares that abstain or do not vote with respect to one or more of the matters to be voted upon) will be counted for the purpose of determining whether a quorum exists. "Broker non-votes" are shares that are held in "street name" by a bank or brokerage firm that indicates on its proxy that it does not have discretionary authority to vote on a particular matter.</w:t>
      </w:r>
    </w:p>
    <w:p>
      <w:pPr>
        <w:spacing w:after="0" w:line="189"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If a quorum is not present, the meeting will be adjourned until a quorum is obtained.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VOTE IS REQUIRED FOR EACH ITEM?</w:t>
      </w:r>
    </w:p>
    <w:p>
      <w:pPr>
        <w:spacing w:after="0" w:line="185" w:lineRule="exact"/>
        <w:rPr>
          <w:sz w:val="20"/>
          <w:szCs w:val="20"/>
          <w:color w:val="auto"/>
        </w:rPr>
      </w:pPr>
    </w:p>
    <w:p>
      <w:pPr>
        <w:jc w:val="both"/>
        <w:ind w:right="3099" w:firstLine="469"/>
        <w:spacing w:after="0" w:line="237" w:lineRule="auto"/>
        <w:rPr>
          <w:sz w:val="20"/>
          <w:szCs w:val="20"/>
          <w:color w:val="auto"/>
        </w:rPr>
      </w:pPr>
      <w:r>
        <w:rPr>
          <w:rFonts w:ascii="Courier New" w:cs="Courier New" w:eastAsia="Courier New" w:hAnsi="Courier New"/>
          <w:sz w:val="16"/>
          <w:szCs w:val="16"/>
          <w:color w:val="auto"/>
        </w:rPr>
        <w:t>Election of directors. The two nominees receiving the highest number of votes cast at the meeting will be elected, regardless of whether that number represents a majority of the votes cast.</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Other matters. The affirmative vote of a majority of the total number of votes cast at the meeting is needed to approve other matters to be voted on at the meeting.</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3" w:right="1440" w:bottom="1440" w:gutter="0" w:footer="0" w:header="0"/>
          <w:type w:val="continuous"/>
        </w:sectPr>
      </w:pPr>
    </w:p>
    <w:bookmarkStart w:id="4" w:name="page5"/>
    <w:bookmarkEnd w:id="4"/>
    <w:p>
      <w:pPr>
        <w:ind w:left="284"/>
        <w:spacing w:after="0"/>
        <w:rPr>
          <w:sz w:val="20"/>
          <w:szCs w:val="20"/>
          <w:color w:val="auto"/>
        </w:rPr>
      </w:pPr>
      <w:r>
        <w:rPr>
          <w:rFonts w:ascii="Courier New" w:cs="Courier New" w:eastAsia="Courier New" w:hAnsi="Courier New"/>
          <w:sz w:val="16"/>
          <w:szCs w:val="16"/>
          <w:color w:val="auto"/>
        </w:rPr>
        <w:t>5</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HOW WILL VOTES BE COUNTED?</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Each share of common stock will be counted as one vote according to the instructions contained on a proper proxy card or on a ballot voted in person at the meeting. Shares will not be voted in favor of a matter, and will not be counted as voting on a matter, if they either (1) abstain from voting on a particular matter, or (2) are broker non-votes. As a result, abstentions and broker non-votes will have no effect on the outcome of voting at the meeting.</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WHO WILL COUNT THE VOTES?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votes will be counted, tabulated and certified by our transfer agent, Equiserve. A representative of the transfer agent will serve as the inspector of elections.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WILL MY VOTE BE KEPT CONFIDENTIAL?</w:t>
      </w:r>
    </w:p>
    <w:p>
      <w:pPr>
        <w:spacing w:after="0" w:line="18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Yes, your vote will be kept confidential and we will not disclose your vote, unless (1) we are required to do so by law (including in connection with the pursuit or defense of a legal or administrative action or proceeding), or</w:t>
      </w:r>
    </w:p>
    <w:p>
      <w:pPr>
        <w:spacing w:after="0" w:line="2" w:lineRule="exact"/>
        <w:rPr>
          <w:sz w:val="20"/>
          <w:szCs w:val="20"/>
          <w:color w:val="auto"/>
        </w:rPr>
      </w:pPr>
    </w:p>
    <w:p>
      <w:pPr>
        <w:jc w:val="both"/>
        <w:ind w:left="4" w:right="2819" w:hanging="4"/>
        <w:spacing w:after="0" w:line="237" w:lineRule="auto"/>
        <w:tabs>
          <w:tab w:leader="none" w:pos="37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contested election for the board of directors. The inspector of elections will forward any written comments that you make on the proxy card to management without providing your name, unless you expressly request disclosure on your proxy.</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HOW DOES THE BOARD OF DIRECTORS RECOMMEND THAT I VOTE ON THE PROPOSALS?</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Your board of directors recommends that you vote:</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FOR the election of the two nominees to serve as Class II directors on the board of directors, each for a term of three years; and</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FOR the ratification of the selection by our directors of Ernst &amp; Young LLP as our independent auditors for the 2001 fiscal year.</w:t>
      </w:r>
    </w:p>
    <w:p>
      <w:pPr>
        <w:spacing w:after="0" w:line="185" w:lineRule="exact"/>
        <w:rPr>
          <w:sz w:val="20"/>
          <w:szCs w:val="20"/>
          <w:color w:val="auto"/>
        </w:rPr>
      </w:pPr>
    </w:p>
    <w:p>
      <w:pPr>
        <w:ind w:left="4" w:right="3099"/>
        <w:spacing w:after="0" w:line="236" w:lineRule="auto"/>
        <w:rPr>
          <w:sz w:val="20"/>
          <w:szCs w:val="20"/>
          <w:color w:val="auto"/>
        </w:rPr>
      </w:pPr>
      <w:r>
        <w:rPr>
          <w:rFonts w:ascii="Courier New" w:cs="Courier New" w:eastAsia="Courier New" w:hAnsi="Courier New"/>
          <w:sz w:val="16"/>
          <w:szCs w:val="16"/>
          <w:color w:val="auto"/>
        </w:rPr>
        <w:t>WILL ANY OTHER BUSINESS BE CONDUCTED AT THE MEETING OR WILL OTHER MATTERS BE VOTED ON?</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board of directors does not know of any other matters that may come before the meeting. Under our by-laws, the deadline for stockholders to notify Analog Devices of any proposals or nominations for director to be presented for action at the annual meeting has passed. If any other matter properly comes before the meeting, or if any other proposal properly comes before the stockholders for a vote at the meeting, the persons named in the proxy that accompanies this proxy statement will exercise their judgment in deciding how to vote, or otherwise act, at the meeting with respect to that matter or proposal.</w:t>
      </w:r>
    </w:p>
    <w:p>
      <w:pPr>
        <w:spacing w:after="0" w:line="16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WHERE CAN I FIND THE VOTING RESULTS?</w:t>
      </w:r>
    </w:p>
    <w:p>
      <w:pPr>
        <w:spacing w:after="0" w:line="185" w:lineRule="exact"/>
        <w:rPr>
          <w:sz w:val="20"/>
          <w:szCs w:val="20"/>
          <w:color w:val="auto"/>
        </w:rPr>
      </w:pPr>
    </w:p>
    <w:p>
      <w:pPr>
        <w:ind w:left="4" w:right="2819" w:firstLine="469"/>
        <w:spacing w:after="0" w:line="259" w:lineRule="auto"/>
        <w:rPr>
          <w:sz w:val="20"/>
          <w:szCs w:val="20"/>
          <w:color w:val="auto"/>
        </w:rPr>
      </w:pPr>
      <w:r>
        <w:rPr>
          <w:rFonts w:ascii="Courier New" w:cs="Courier New" w:eastAsia="Courier New" w:hAnsi="Courier New"/>
          <w:sz w:val="15"/>
          <w:szCs w:val="15"/>
          <w:color w:val="auto"/>
        </w:rPr>
        <w:t>We will report the voting results in our quarterly report on Form 10-Q for the second quarter of fiscal 2001, which we expect to file with the Securities and Exchange Commission, commonly referred to as the SEC, in June 2001.</w:t>
      </w:r>
    </w:p>
    <w:p>
      <w:pPr>
        <w:spacing w:after="0" w:line="1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WHAT ARE THE COSTS OF SOLICITING THESE PROXIES?</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We will bear all costs of solicitation of proxies. We have engaged Corporate Investor Communications, Inc. ("CIC") to assist with the solicitation of proxies. We expect to pay CIC less than $10,000 for their services. In addition to solicitations by mail, CIC and our directors, officers and regular employees may solicit proxies by telephone, telegraph and personal interviews without additional remuneration. Brokers, custodians and fiduciaries will be requested to forward proxy soliciting material to the owners of stock they hold in their names. We will reimburse banks and brokers for their reasonable out-of-pocket expenses incurred in connection with the distribution of proxy materials.</w:t>
      </w:r>
    </w:p>
    <w:p>
      <w:pPr>
        <w:spacing w:after="0" w:line="182"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293"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 CAN I OBTAIN AN ANNUAL REPORT ON FORM 10-K?</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 copy of our annual report on Form 10-K for the fiscal year ended October 28, 2000 was included with this proxy statement. Our annual report is also available on our website at www.analog.com. If you would like another copy, we will send you one without charge. Please write to:</w:t>
      </w:r>
    </w:p>
    <w:p>
      <w:pPr>
        <w:spacing w:after="0" w:line="18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James O. Fishbeck</w:t>
      </w:r>
    </w:p>
    <w:p>
      <w:pPr>
        <w:ind w:left="460"/>
        <w:spacing w:after="0"/>
        <w:rPr>
          <w:sz w:val="20"/>
          <w:szCs w:val="20"/>
          <w:color w:val="auto"/>
        </w:rPr>
      </w:pPr>
      <w:r>
        <w:rPr>
          <w:rFonts w:ascii="Courier New" w:cs="Courier New" w:eastAsia="Courier New" w:hAnsi="Courier New"/>
          <w:sz w:val="16"/>
          <w:szCs w:val="16"/>
          <w:color w:val="auto"/>
        </w:rPr>
        <w:t>Director, Corporate Communications</w:t>
      </w:r>
    </w:p>
    <w:p>
      <w:pPr>
        <w:ind w:left="460"/>
        <w:spacing w:after="0" w:line="237" w:lineRule="auto"/>
        <w:rPr>
          <w:sz w:val="20"/>
          <w:szCs w:val="20"/>
          <w:color w:val="auto"/>
        </w:rPr>
      </w:pPr>
      <w:r>
        <w:rPr>
          <w:rFonts w:ascii="Courier New" w:cs="Courier New" w:eastAsia="Courier New" w:hAnsi="Courier New"/>
          <w:sz w:val="16"/>
          <w:szCs w:val="16"/>
          <w:color w:val="auto"/>
        </w:rPr>
        <w:t>Analog Devices, Inc.</w:t>
      </w:r>
    </w:p>
    <w:p>
      <w:pPr>
        <w:ind w:left="460"/>
        <w:spacing w:after="0"/>
        <w:rPr>
          <w:sz w:val="20"/>
          <w:szCs w:val="20"/>
          <w:color w:val="auto"/>
        </w:rPr>
      </w:pPr>
      <w:r>
        <w:rPr>
          <w:rFonts w:ascii="Courier New" w:cs="Courier New" w:eastAsia="Courier New" w:hAnsi="Courier New"/>
          <w:sz w:val="16"/>
          <w:szCs w:val="16"/>
          <w:color w:val="auto"/>
        </w:rPr>
        <w:t>One Technology Way</w:t>
      </w:r>
    </w:p>
    <w:p>
      <w:pPr>
        <w:ind w:left="460"/>
        <w:spacing w:after="0" w:line="238" w:lineRule="auto"/>
        <w:rPr>
          <w:sz w:val="20"/>
          <w:szCs w:val="20"/>
          <w:color w:val="auto"/>
        </w:rPr>
      </w:pPr>
      <w:r>
        <w:rPr>
          <w:rFonts w:ascii="Courier New" w:cs="Courier New" w:eastAsia="Courier New" w:hAnsi="Courier New"/>
          <w:sz w:val="16"/>
          <w:szCs w:val="16"/>
          <w:color w:val="auto"/>
        </w:rPr>
        <w:t>Norwood, MA 02062</w:t>
      </w:r>
    </w:p>
    <w:p>
      <w:pPr>
        <w:ind w:left="460"/>
        <w:spacing w:after="0"/>
        <w:rPr>
          <w:sz w:val="20"/>
          <w:szCs w:val="20"/>
          <w:color w:val="auto"/>
        </w:rPr>
      </w:pPr>
      <w:r>
        <w:rPr>
          <w:rFonts w:ascii="Courier New" w:cs="Courier New" w:eastAsia="Courier New" w:hAnsi="Courier New"/>
          <w:sz w:val="16"/>
          <w:szCs w:val="16"/>
          <w:color w:val="auto"/>
        </w:rPr>
        <w:t>(781) 461-3282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WHOM SHOULD I CONTACT IF I HAVE ANY QUESTIONS?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you have any questions about the annual meeting or your ownership of our common stock, please contact James O. Fishbeck, our director of corporate communications, at the address or telephone number listed above.</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3" w:right="1440" w:bottom="1440" w:gutter="0" w:footer="0" w:header="0"/>
        </w:sectPr>
      </w:pPr>
    </w:p>
    <w:bookmarkStart w:id="6" w:name="page7"/>
    <w:bookmarkEnd w:id="6"/>
    <w:p>
      <w:pPr>
        <w:ind w:left="284"/>
        <w:spacing w:after="0"/>
        <w:rPr>
          <w:sz w:val="20"/>
          <w:szCs w:val="20"/>
          <w:color w:val="auto"/>
        </w:rPr>
      </w:pPr>
      <w:r>
        <w:rPr>
          <w:rFonts w:ascii="Courier New" w:cs="Courier New" w:eastAsia="Courier New" w:hAnsi="Courier New"/>
          <w:sz w:val="16"/>
          <w:szCs w:val="16"/>
          <w:color w:val="auto"/>
        </w:rPr>
        <w:t>7</w:t>
      </w:r>
    </w:p>
    <w:p>
      <w:pPr>
        <w:spacing w:after="0" w:line="179"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STOCK OWNERSHIP INFORMATION</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OWNERSHIP BY DIRECTORS, MANAGEMENT AND PRINCIPAL STOCKHOLDERS</w:t>
      </w:r>
    </w:p>
    <w:p>
      <w:pPr>
        <w:spacing w:after="0" w:line="185" w:lineRule="exact"/>
        <w:rPr>
          <w:sz w:val="20"/>
          <w:szCs w:val="20"/>
          <w:color w:val="auto"/>
        </w:rPr>
      </w:pPr>
    </w:p>
    <w:p>
      <w:pPr>
        <w:ind w:left="4" w:right="2999" w:firstLine="469"/>
        <w:spacing w:after="0" w:line="263" w:lineRule="auto"/>
        <w:rPr>
          <w:sz w:val="20"/>
          <w:szCs w:val="20"/>
          <w:color w:val="auto"/>
        </w:rPr>
      </w:pPr>
      <w:r>
        <w:rPr>
          <w:rFonts w:ascii="Courier New" w:cs="Courier New" w:eastAsia="Courier New" w:hAnsi="Courier New"/>
          <w:sz w:val="15"/>
          <w:szCs w:val="15"/>
          <w:color w:val="auto"/>
        </w:rPr>
        <w:t>The following table contains information required by applicable rules of the SEC regarding the ownership of our common stock on December 31, 2000 by:</w:t>
      </w:r>
    </w:p>
    <w:p>
      <w:pPr>
        <w:spacing w:after="0" w:line="169" w:lineRule="exact"/>
        <w:rPr>
          <w:sz w:val="20"/>
          <w:szCs w:val="20"/>
          <w:color w:val="auto"/>
        </w:rPr>
      </w:pPr>
    </w:p>
    <w:p>
      <w:pPr>
        <w:ind w:left="664" w:right="2999" w:hanging="195"/>
        <w:spacing w:after="0" w:line="236" w:lineRule="auto"/>
        <w:tabs>
          <w:tab w:leader="none" w:pos="6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we know to own more than 5% of our outstanding common stock;</w:t>
      </w:r>
    </w:p>
    <w:p>
      <w:pPr>
        <w:spacing w:after="0" w:line="179"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director and nominee for director;</w:t>
      </w:r>
    </w:p>
    <w:p>
      <w:pPr>
        <w:spacing w:after="0" w:line="179"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executive officer named in the Summary Compensation Table; and</w:t>
      </w:r>
    </w:p>
    <w:p>
      <w:pPr>
        <w:spacing w:after="0" w:line="179"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our directors and executive officers as a group:</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00" w:type="dxa"/>
            <w:vAlign w:val="bottom"/>
          </w:tcPr>
          <w:p>
            <w:pPr>
              <w:jc w:val="center"/>
              <w:ind w:left="302"/>
              <w:spacing w:after="0"/>
              <w:rPr>
                <w:sz w:val="20"/>
                <w:szCs w:val="20"/>
                <w:color w:val="auto"/>
              </w:rPr>
            </w:pPr>
            <w:r>
              <w:rPr>
                <w:rFonts w:ascii="Courier New" w:cs="Courier New" w:eastAsia="Courier New" w:hAnsi="Courier New"/>
                <w:sz w:val="16"/>
                <w:szCs w:val="16"/>
                <w:color w:val="auto"/>
                <w:w w:val="97"/>
              </w:rPr>
              <w:t>SHARES</w:t>
            </w: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00" w:type="dxa"/>
            <w:vAlign w:val="bottom"/>
          </w:tcPr>
          <w:p>
            <w:pPr>
              <w:jc w:val="center"/>
              <w:ind w:left="282"/>
              <w:spacing w:after="0"/>
              <w:rPr>
                <w:sz w:val="20"/>
                <w:szCs w:val="20"/>
                <w:color w:val="auto"/>
              </w:rPr>
            </w:pPr>
            <w:r>
              <w:rPr>
                <w:rFonts w:ascii="Courier New" w:cs="Courier New" w:eastAsia="Courier New" w:hAnsi="Courier New"/>
                <w:sz w:val="16"/>
                <w:szCs w:val="16"/>
                <w:color w:val="auto"/>
                <w:w w:val="97"/>
              </w:rPr>
              <w:t>ACQUIRABLE</w:t>
            </w:r>
          </w:p>
        </w:tc>
        <w:tc>
          <w:tcPr>
            <w:tcW w:w="16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TOTAL</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PERCENT</w:t>
            </w:r>
          </w:p>
        </w:tc>
      </w:tr>
      <w:tr>
        <w:trPr>
          <w:trHeight w:val="180"/>
        </w:trPr>
        <w:tc>
          <w:tcPr>
            <w:tcW w:w="440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SHARES</w:t>
            </w:r>
          </w:p>
        </w:tc>
        <w:tc>
          <w:tcPr>
            <w:tcW w:w="1700" w:type="dxa"/>
            <w:vAlign w:val="bottom"/>
          </w:tcPr>
          <w:p>
            <w:pPr>
              <w:jc w:val="center"/>
              <w:ind w:left="302"/>
              <w:spacing w:after="0"/>
              <w:rPr>
                <w:sz w:val="20"/>
                <w:szCs w:val="20"/>
                <w:color w:val="auto"/>
              </w:rPr>
            </w:pPr>
            <w:r>
              <w:rPr>
                <w:rFonts w:ascii="Courier New" w:cs="Courier New" w:eastAsia="Courier New" w:hAnsi="Courier New"/>
                <w:sz w:val="16"/>
                <w:szCs w:val="16"/>
                <w:color w:val="auto"/>
                <w:w w:val="97"/>
              </w:rPr>
              <w:t>WITHIN</w:t>
            </w:r>
          </w:p>
        </w:tc>
        <w:tc>
          <w:tcPr>
            <w:tcW w:w="1640" w:type="dxa"/>
            <w:vAlign w:val="bottom"/>
          </w:tcPr>
          <w:p>
            <w:pPr>
              <w:ind w:left="560"/>
              <w:spacing w:after="0"/>
              <w:rPr>
                <w:sz w:val="20"/>
                <w:szCs w:val="20"/>
                <w:color w:val="auto"/>
              </w:rPr>
            </w:pPr>
            <w:r>
              <w:rPr>
                <w:rFonts w:ascii="Courier New" w:cs="Courier New" w:eastAsia="Courier New" w:hAnsi="Courier New"/>
                <w:sz w:val="16"/>
                <w:szCs w:val="16"/>
                <w:color w:val="auto"/>
              </w:rPr>
              <w:t>BENEFICIAL</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OWNERSHIP</w:t>
            </w:r>
          </w:p>
        </w:tc>
      </w:tr>
      <w:tr>
        <w:trPr>
          <w:trHeight w:val="180"/>
        </w:trPr>
        <w:tc>
          <w:tcPr>
            <w:tcW w:w="440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BENEFICIAL OWNER(1)</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OWNED(2)</w:t>
            </w:r>
          </w:p>
        </w:tc>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 DAYS(3)</w:t>
            </w:r>
          </w:p>
        </w:tc>
        <w:tc>
          <w:tcPr>
            <w:tcW w:w="1640" w:type="dxa"/>
            <w:vAlign w:val="bottom"/>
          </w:tcPr>
          <w:p>
            <w:pPr>
              <w:ind w:left="560"/>
              <w:spacing w:after="0"/>
              <w:rPr>
                <w:sz w:val="20"/>
                <w:szCs w:val="20"/>
                <w:color w:val="auto"/>
              </w:rPr>
            </w:pPr>
            <w:r>
              <w:rPr>
                <w:rFonts w:ascii="Courier New" w:cs="Courier New" w:eastAsia="Courier New" w:hAnsi="Courier New"/>
                <w:sz w:val="16"/>
                <w:szCs w:val="16"/>
                <w:color w:val="auto"/>
              </w:rPr>
              <w:t>OWNERSHIP</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w:t>
            </w:r>
          </w:p>
        </w:tc>
      </w:tr>
      <w:tr>
        <w:trPr>
          <w:trHeight w:val="180"/>
        </w:trPr>
        <w:tc>
          <w:tcPr>
            <w:tcW w:w="440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5% Stockholders:</w:t>
            </w: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A I M Management Group, Inc.(5)..........</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21,808,239</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21,808,239</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w:t>
            </w:r>
          </w:p>
        </w:tc>
      </w:tr>
      <w:tr>
        <w:trPr>
          <w:trHeight w:val="180"/>
        </w:trPr>
        <w:tc>
          <w:tcPr>
            <w:tcW w:w="4400" w:type="dxa"/>
            <w:vAlign w:val="bottom"/>
          </w:tcPr>
          <w:p>
            <w:pPr>
              <w:ind w:left="660"/>
              <w:spacing w:after="0"/>
              <w:rPr>
                <w:sz w:val="20"/>
                <w:szCs w:val="20"/>
                <w:color w:val="auto"/>
              </w:rPr>
            </w:pPr>
            <w:r>
              <w:rPr>
                <w:rFonts w:ascii="Courier New" w:cs="Courier New" w:eastAsia="Courier New" w:hAnsi="Courier New"/>
                <w:sz w:val="16"/>
                <w:szCs w:val="16"/>
                <w:color w:val="auto"/>
              </w:rPr>
              <w:t>11 Greenway Plaza, Suite 100</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400" w:type="dxa"/>
            <w:vAlign w:val="bottom"/>
          </w:tcPr>
          <w:p>
            <w:pPr>
              <w:ind w:left="660"/>
              <w:spacing w:after="0"/>
              <w:rPr>
                <w:sz w:val="20"/>
                <w:szCs w:val="20"/>
                <w:color w:val="auto"/>
              </w:rPr>
            </w:pPr>
            <w:r>
              <w:rPr>
                <w:rFonts w:ascii="Courier New" w:cs="Courier New" w:eastAsia="Courier New" w:hAnsi="Courier New"/>
                <w:sz w:val="16"/>
                <w:szCs w:val="16"/>
                <w:color w:val="auto"/>
              </w:rPr>
              <w:t>Houston, TX 77046</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1"/>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FMR Corp.(6).............................</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19,618,282</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19,618,282</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5.5%</w:t>
            </w:r>
          </w:p>
        </w:tc>
      </w:tr>
      <w:tr>
        <w:trPr>
          <w:trHeight w:val="180"/>
        </w:trPr>
        <w:tc>
          <w:tcPr>
            <w:tcW w:w="4400" w:type="dxa"/>
            <w:vAlign w:val="bottom"/>
          </w:tcPr>
          <w:p>
            <w:pPr>
              <w:ind w:left="660"/>
              <w:spacing w:after="0"/>
              <w:rPr>
                <w:sz w:val="20"/>
                <w:szCs w:val="20"/>
                <w:color w:val="auto"/>
              </w:rPr>
            </w:pPr>
            <w:r>
              <w:rPr>
                <w:rFonts w:ascii="Courier New" w:cs="Courier New" w:eastAsia="Courier New" w:hAnsi="Courier New"/>
                <w:sz w:val="16"/>
                <w:szCs w:val="16"/>
                <w:color w:val="auto"/>
              </w:rPr>
              <w:t>82 Devonshire Street</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400" w:type="dxa"/>
            <w:vAlign w:val="bottom"/>
          </w:tcPr>
          <w:p>
            <w:pPr>
              <w:ind w:left="660"/>
              <w:spacing w:after="0"/>
              <w:rPr>
                <w:sz w:val="20"/>
                <w:szCs w:val="20"/>
                <w:color w:val="auto"/>
              </w:rPr>
            </w:pPr>
            <w:r>
              <w:rPr>
                <w:rFonts w:ascii="Courier New" w:cs="Courier New" w:eastAsia="Courier New" w:hAnsi="Courier New"/>
                <w:sz w:val="16"/>
                <w:szCs w:val="16"/>
                <w:color w:val="auto"/>
              </w:rPr>
              <w:t>Boston, Massachusetts 02109</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1"/>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T. Rowe Price Associates, Inc.(7)........</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18,017,627</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18,017,627</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w:t>
            </w:r>
          </w:p>
        </w:tc>
      </w:tr>
      <w:tr>
        <w:trPr>
          <w:trHeight w:val="180"/>
        </w:trPr>
        <w:tc>
          <w:tcPr>
            <w:tcW w:w="4400" w:type="dxa"/>
            <w:vAlign w:val="bottom"/>
          </w:tcPr>
          <w:p>
            <w:pPr>
              <w:ind w:left="660"/>
              <w:spacing w:after="0"/>
              <w:rPr>
                <w:sz w:val="20"/>
                <w:szCs w:val="20"/>
                <w:color w:val="auto"/>
              </w:rPr>
            </w:pPr>
            <w:r>
              <w:rPr>
                <w:rFonts w:ascii="Courier New" w:cs="Courier New" w:eastAsia="Courier New" w:hAnsi="Courier New"/>
                <w:sz w:val="16"/>
                <w:szCs w:val="16"/>
                <w:color w:val="auto"/>
              </w:rPr>
              <w:t>100 E. Pratt Street</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400" w:type="dxa"/>
            <w:vAlign w:val="bottom"/>
          </w:tcPr>
          <w:p>
            <w:pPr>
              <w:ind w:left="660"/>
              <w:spacing w:after="0"/>
              <w:rPr>
                <w:sz w:val="20"/>
                <w:szCs w:val="20"/>
                <w:color w:val="auto"/>
              </w:rPr>
            </w:pPr>
            <w:r>
              <w:rPr>
                <w:rFonts w:ascii="Courier New" w:cs="Courier New" w:eastAsia="Courier New" w:hAnsi="Courier New"/>
                <w:sz w:val="16"/>
                <w:szCs w:val="16"/>
                <w:color w:val="auto"/>
              </w:rPr>
              <w:t>Baltimore, Maryland 21202</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1"/>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Directors, Nominees for Director and Executive</w:t>
            </w: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Officers:</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John L. Doyle............................</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27,528</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84,000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111,528</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Jerald G. Fishman........................</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30,896</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577,000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607,896</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Charles O. Holliday, Jr..................</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440</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Joel Moses(8)............................</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7,246</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21,000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28,246</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F. Grant Saviers.........................</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21,000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21,000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Ray Stata(9).............................</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3,562,320</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130,000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3,692,320</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Lester C. Thurow.........................</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14,000</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165,000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179,000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Samuel H. Fuller.........................</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61,300</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44,000</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105,300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Brian P. McAloon.........................</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87,183</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72,804</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159,987</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Joseph E. McDonough......................</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92,186</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27,001</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119,187</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 directors and officers as a group (16</w:t>
            </w: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persons, consisting of 11 officers and 5</w:t>
            </w: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non-employee directors).....................</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4,464,737</w:t>
            </w:r>
          </w:p>
        </w:tc>
        <w:tc>
          <w:tcPr>
            <w:tcW w:w="17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1,687,473</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6,152,210</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w:t>
            </w:r>
          </w:p>
        </w:tc>
      </w:tr>
    </w:tbl>
    <w:p>
      <w:pPr>
        <w:spacing w:after="0" w:line="360" w:lineRule="exact"/>
        <w:rPr>
          <w:sz w:val="20"/>
          <w:szCs w:val="20"/>
          <w:color w:val="auto"/>
        </w:rPr>
      </w:pPr>
    </w:p>
    <w:p>
      <w:pPr>
        <w:ind w:left="184" w:hanging="184"/>
        <w:spacing w:after="0"/>
        <w:tabs>
          <w:tab w:leader="none" w:pos="1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85" w:lineRule="exact"/>
        <w:rPr>
          <w:sz w:val="20"/>
          <w:szCs w:val="20"/>
          <w:color w:val="auto"/>
        </w:rPr>
      </w:pPr>
    </w:p>
    <w:p>
      <w:pPr>
        <w:ind w:left="384" w:right="2899" w:hanging="384"/>
        <w:spacing w:after="0" w:line="236"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the address of each beneficial owner listed is c/o Analog Devices, Inc., One Technology Way, Norwood, MA 02062.</w:t>
      </w:r>
    </w:p>
    <w:p>
      <w:pPr>
        <w:spacing w:after="0" w:line="184" w:lineRule="exact"/>
        <w:rPr>
          <w:rFonts w:ascii="Courier New" w:cs="Courier New" w:eastAsia="Courier New" w:hAnsi="Courier New"/>
          <w:sz w:val="16"/>
          <w:szCs w:val="16"/>
          <w:color w:val="auto"/>
        </w:rPr>
      </w:pPr>
    </w:p>
    <w:p>
      <w:pPr>
        <w:jc w:val="both"/>
        <w:ind w:left="384" w:right="2899" w:hanging="384"/>
        <w:spacing w:after="0" w:line="237"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person, the "Shares Owned" column may include shares attributable to the person because of that person's voting or investment power or other relationship.</w:t>
      </w:r>
    </w:p>
    <w:p>
      <w:pPr>
        <w:spacing w:after="0" w:line="184"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a stock option. For each person, the number in the "Shares Acquirable Within 60 Days" column consists of shares covered by stock options that may be exercised within 60 days after December 31, 2000. Unless otherwise indicated, each person in the table has sole voting and investment</w:t>
      </w:r>
    </w:p>
    <w:p>
      <w:pPr>
        <w:sectPr>
          <w:pgSz w:w="11900" w:h="16838" w:orient="portrait"/>
          <w:cols w:equalWidth="0" w:num="1">
            <w:col w:w="10223"/>
          </w:cols>
          <w:pgMar w:left="236" w:top="293" w:right="1440" w:bottom="1440" w:gutter="0" w:footer="0" w:header="0"/>
        </w:sectPr>
      </w:pPr>
    </w:p>
    <w:p>
      <w:pPr>
        <w:spacing w:after="0" w:line="182"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293" w:right="1440" w:bottom="1440" w:gutter="0" w:footer="0" w:header="0"/>
          <w:type w:val="continuous"/>
        </w:sectPr>
      </w:pPr>
    </w:p>
    <w:bookmarkStart w:id="7" w:name="page8"/>
    <w:bookmarkEnd w:id="7"/>
    <w:p>
      <w:pPr>
        <w:ind w:left="284"/>
        <w:spacing w:after="0"/>
        <w:rPr>
          <w:sz w:val="20"/>
          <w:szCs w:val="20"/>
          <w:color w:val="auto"/>
        </w:rPr>
      </w:pPr>
      <w:r>
        <w:rPr>
          <w:rFonts w:ascii="Courier New" w:cs="Courier New" w:eastAsia="Courier New" w:hAnsi="Courier New"/>
          <w:sz w:val="16"/>
          <w:szCs w:val="16"/>
          <w:color w:val="auto"/>
        </w:rPr>
        <w:t>8</w:t>
      </w:r>
    </w:p>
    <w:p>
      <w:pPr>
        <w:spacing w:after="0" w:line="185" w:lineRule="exact"/>
        <w:rPr>
          <w:sz w:val="20"/>
          <w:szCs w:val="20"/>
          <w:color w:val="auto"/>
        </w:rPr>
      </w:pPr>
    </w:p>
    <w:p>
      <w:pPr>
        <w:ind w:left="384" w:right="3099"/>
        <w:spacing w:after="0" w:line="237" w:lineRule="auto"/>
        <w:rPr>
          <w:sz w:val="20"/>
          <w:szCs w:val="20"/>
          <w:color w:val="auto"/>
        </w:rPr>
      </w:pPr>
      <w:r>
        <w:rPr>
          <w:rFonts w:ascii="Courier New" w:cs="Courier New" w:eastAsia="Courier New" w:hAnsi="Courier New"/>
          <w:sz w:val="16"/>
          <w:szCs w:val="16"/>
          <w:color w:val="auto"/>
        </w:rPr>
        <w:t>power over the shares listed. The inclusion in the table of any shares deemed beneficially owned does not constitute an admission of beneficial ownership of those shares.</w:t>
      </w:r>
    </w:p>
    <w:p>
      <w:pPr>
        <w:spacing w:after="0" w:line="185" w:lineRule="exact"/>
        <w:rPr>
          <w:sz w:val="20"/>
          <w:szCs w:val="20"/>
          <w:color w:val="auto"/>
        </w:rPr>
      </w:pPr>
    </w:p>
    <w:p>
      <w:pPr>
        <w:ind w:left="384" w:right="2719" w:hanging="384"/>
        <w:spacing w:after="0" w:line="237"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 ownership for each stockholder on December 31, 2000 is calculated by dividing (1) that stockholder's total beneficial ownership of shares by (2) 358,137,276 shares plus any shares acquirable (including stock options exercisable) by that stockholder within 60 days after December 31, 2000.</w:t>
      </w:r>
    </w:p>
    <w:p>
      <w:pPr>
        <w:spacing w:after="0" w:line="187" w:lineRule="exact"/>
        <w:rPr>
          <w:rFonts w:ascii="Courier New" w:cs="Courier New" w:eastAsia="Courier New" w:hAnsi="Courier New"/>
          <w:sz w:val="16"/>
          <w:szCs w:val="16"/>
          <w:color w:val="auto"/>
        </w:rPr>
      </w:pPr>
    </w:p>
    <w:p>
      <w:pPr>
        <w:ind w:left="384" w:right="2999" w:hanging="384"/>
        <w:spacing w:after="0" w:line="237"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 M Management Group, Inc., or A I M, has advised us of the above stock ownership. A I M, a registered investment adviser, reports that it beneficially owns 21,808,239 shares, which are held of record by A I M's clients, and has sole voting and sole dispositive power over all such shares.</w:t>
      </w:r>
    </w:p>
    <w:p>
      <w:pPr>
        <w:spacing w:after="0" w:line="187"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FMR Corp., or FMR, has advised us of the above stock ownership. Shares beneficially owned by FMR include 18,652,222 shares beneficially owned by Fidelity Management &amp; Research, a wholly-owned subsidiary of FMR and a registered investment adviser. The remaining 966,060 shares are beneficially owned by various other FMR subsidiaries and FMR-controlled entities. FMR has sole voting power over 966,060 shares, and sole dispositive power over all 19,618,282 shares.</w:t>
      </w:r>
    </w:p>
    <w:p>
      <w:pPr>
        <w:spacing w:after="0" w:line="184"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has advised us of the above stock ownership. T. Rowe Price Associates is a registered investment adviser. In this capacity it has sole voting power over 2,598,794 shares and sole dispositive power over all 18,017,627 shares. T. Rowe Price Associates expressly disclaims beneficial ownership of all 18,017,627 shares. Additionally, T. Rowe Price Associates holds $8,680,000 of our 4.75% Convertible Subordinated Notes, which, if converted, would translate into 66,882 shares of our common stock. The figures in the table do not include these additional 66,882 shares.</w:t>
      </w:r>
    </w:p>
    <w:p>
      <w:pPr>
        <w:spacing w:after="0" w:line="186"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650 shares held by Mr. Moses' wife, as to which Mr. Moses disclaims beneficial ownership.</w:t>
      </w:r>
    </w:p>
    <w:p>
      <w:pPr>
        <w:spacing w:after="0" w:line="184" w:lineRule="exact"/>
        <w:rPr>
          <w:rFonts w:ascii="Courier New" w:cs="Courier New" w:eastAsia="Courier New" w:hAnsi="Courier New"/>
          <w:sz w:val="16"/>
          <w:szCs w:val="16"/>
          <w:color w:val="auto"/>
        </w:rPr>
      </w:pPr>
    </w:p>
    <w:p>
      <w:pPr>
        <w:ind w:left="384" w:right="2819" w:hanging="384"/>
        <w:spacing w:after="0" w:line="237"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1,153,209 shares held by Mr. Stata's wife and 593,756 shares held in charitable trusts for the benefit of Mr. Stata's children, as to which Mr. Stata disclaims beneficial ownership. Includes 2,517,940 shares held in charitable lead trusts.</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Based solely on our review of copies of reports filed pursuant to Section 16(a) of the Securities Exchange Act of 1934, as amended, or written representations from persons required to file such reports, we believe that all filings required to be made were timely made in accordance with the requirements of the Securities Exchange Act of 1934.</w:t>
      </w:r>
    </w:p>
    <w:p>
      <w:pPr>
        <w:spacing w:after="0" w:line="182"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293"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ELECTION OF DIRECTORS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Our board of directors is divided into three classes, with one class being elected each year and members of each class holding office for a three-year term. Our board of directors currently consists of seven members, three of whom are Class I directors (with terms expiring at the 2003 annual meeting), two of whom are Class II directors (which will be elected at the 2001 annual meeting for terms expiring at the 2004 annual meeting), and two of whom are Class III directors (with terms expiring at the 2002 annual meeting).</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 the 2001 annual meeting, stockholders will have an opportunity to vote for the nominees for Class II directors, Jerald G. Fishman and F. Grant Saviers, who are currently serving as Class II directors. Mr. Fishman has been a director since 1991 and Mr. Saviers has been a director since 1997. The persons named in the enclosed proxy will vote to elect these two nominees as Class II directors, unless you withhold authority to vote for the election of either or both nominees by marking the proxy to that effect. Each of the nominees has indicated his willingness to serve, if elected. However, if either nominee should be unable or unwilling to serve, the proxies may be voted for a substitute nominee designated by the board of directors or the board of directors may reduce the number of directors.</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following paragraphs provide information about each member of our board of directors, including the nominees for Class II directors. The information includes information they have each given us about their age, all positions they hold with us, their principal occupation and business experience for the past five years, and the names of other publicly held companies of which they serve as directors. Information about the number of shares of our common stock beneficially owned by each director, directly or indirectly, as of December 31, 2000, appears under the heading "Stock Ownership 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CLASS II DIRECTORS (TERMS TO EXPIRE AT THE 2004 ANNUAL MEETING)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JERALD G. FISHMAN, age 55, has been a director of Analog Devices, Inc. since 1991. Mr. Fishman has been our President and Chief Executive Officer since November 1996 and he served as our President and Chief Operating Officer from November 1991 to November 1996. Mr. Fishman served as our Executive Vice President from 1988 to November 1991. He served as our Group Vice President-Components from 1982 to 1988. Mr. Fishman also serves as a director of Cognex Corporation and Xilinx Corporation.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 GRANT SAVIERS, age 56, has been a director of Analog Devices, Inc. since 1997. Since August 1998, Mr. Saviers has been retired. He served as Chairman of Adaptec, Inc. from August 1997 to August 1998, President and Chief Executive Officer of Adaptec from July 1995 to August 1998, and President and Chief Operating Officer of Adaptec from August 1992 to July 1995. Prior to joining Adaptec, Mr. Saviers was employed with Digital Equipment Corporation for more than five years, last serving as Vice President of its Personal Computer and Peripherals Operation. Mr. Saviers also serves as a director of NetSilicon, Inc., and Chaparral Network Storage, Inc.</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board of directors recommends that you vote FOR the election of Mr.</w:t>
      </w:r>
    </w:p>
    <w:p>
      <w:pPr>
        <w:spacing w:after="0"/>
        <w:rPr>
          <w:sz w:val="20"/>
          <w:szCs w:val="20"/>
          <w:color w:val="auto"/>
        </w:rPr>
      </w:pPr>
      <w:r>
        <w:rPr>
          <w:rFonts w:ascii="Courier New" w:cs="Courier New" w:eastAsia="Courier New" w:hAnsi="Courier New"/>
          <w:sz w:val="16"/>
          <w:szCs w:val="16"/>
          <w:color w:val="auto"/>
        </w:rPr>
        <w:t>Fishman and Mr. Saviers.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I DIRECTORS (TERMS EXPIRE AT THE 2003 ANNUAL MEETING)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JOEL MOSES, age 59, has been a director of Analog Devices, Inc. since 1982. Mr. Moses has been Institute Professor at the Massachusetts Institute of Technology, commonly known as MIT, since 1999. Mr. Moses was the Provost of MIT from June 1995 to August 1998, and Dean of the School of Engineering at MIT from January 1991 to June 1995. He was a Visiting Professor of Business Administration at Harvard University from September 1989 to June 1990. Mr. Moses was the Head of the Department of Electrical Engineering and Computer Science at MIT from 1981 to 1989.</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LESTER C. THUROW, age 62, has been a director of Analog Devices, Inc. since 1988. He has been a Professor of Management and Economics at MIT since 1968 and, from 1987 to 1993, was the Dean of MIT's Sloan School of Management. Mr. Thurow also serves as a director of E*TRADE Group, Inc. and Grupo Casa Autrey S.A. de CV.</w:t>
      </w:r>
    </w:p>
    <w:p>
      <w:pPr>
        <w:sectPr>
          <w:pgSz w:w="11900" w:h="16838" w:orient="portrait"/>
          <w:cols w:equalWidth="0" w:num="1">
            <w:col w:w="10219"/>
          </w:cols>
          <w:pgMar w:left="240" w:top="293" w:right="1440" w:bottom="1440" w:gutter="0" w:footer="0" w:header="0"/>
        </w:sectPr>
      </w:pP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3"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CHARLES O. HOLLIDAY, JR., age 52, has been a director of Analog Devices, Inc. since 1997. He has been Chairman and Chief Executive Officer of E. I. duPont de Nemours and Company, or DuPont, since January 1999, and has served as Chief Executive Officer of DuPont since February 1998. Mr. Holliday served as President of DuPont from December 1997 to December 1998, Chairman of DuPont, Asia Pacific from July 1995 until November 1997, and as President of DuPont, Asia Pacific from November 1990 to October 1995. He was Senior Vice President of DuPont from November 1992 to October 1995. From 1970 through November 1990, Mr. Holliday served in a number of positions with DuPont, including Executive Vice President of DuPont, Asia Pacific and global business manager of certain product lines.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III DIRECTORS (TERMS EXPIRE AT THE 2002 ANNUAL MEETING)</w:t>
      </w:r>
    </w:p>
    <w:p>
      <w:pPr>
        <w:spacing w:after="0" w:line="185" w:lineRule="exact"/>
        <w:rPr>
          <w:sz w:val="20"/>
          <w:szCs w:val="20"/>
          <w:color w:val="auto"/>
        </w:rPr>
      </w:pPr>
    </w:p>
    <w:p>
      <w:pPr>
        <w:ind w:right="2899" w:firstLine="469"/>
        <w:spacing w:after="0" w:line="254" w:lineRule="auto"/>
        <w:rPr>
          <w:sz w:val="20"/>
          <w:szCs w:val="20"/>
          <w:color w:val="auto"/>
        </w:rPr>
      </w:pPr>
      <w:r>
        <w:rPr>
          <w:rFonts w:ascii="Courier New" w:cs="Courier New" w:eastAsia="Courier New" w:hAnsi="Courier New"/>
          <w:sz w:val="15"/>
          <w:szCs w:val="15"/>
          <w:color w:val="auto"/>
        </w:rPr>
        <w:t>JOHN L. DOYLE, age 69, has been a director of Analog Devices, Inc. since 1987. Mr. Doyle has been self-employed as a technical consultant since January</w:t>
      </w:r>
    </w:p>
    <w:p>
      <w:pPr>
        <w:spacing w:after="0" w:line="1"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1995.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was Co-Chief Executive Officer of Hexcel Corp. from July 1993 to December 1993. Mr. Doyle also serves as a director of DuPont Photomasks, Inc., Xilinx, Inc., and DURECT Corporation.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RAY STATA, age 66, has been a director of Analog Devices, Inc. since 1965. He has served as our Chairman of the Board of Directors since 1973, as our Chief Executive Officer from 1973 to November 1996 and as our President from 1971 to November 1991.</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3"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BOARD OF DIRECTORS MEETINGS AND COMMITTEES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Our board of directors has three standing committees: audit, compensation and nominating. All members of all committees are non-employee directors, except for Mr. Stata, who is a member of the nominating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audit committee of the board of directors is responsible for providing independent, objective oversight of Analog's accounting functions and internal controls. It oversees our financial reporting process on behalf of our board of directors, reviews our financial disclosures, and meets privately, outside the presence of our management, with our independent auditors to discuss our internal accounting control policies and procedures. The audit committee reports on these meetings to our board of directors. The audit committee also considers and recommends the selection of our independent auditors, reviews the performance of the independent auditors in the annual audit and in assignments unrelated to the audit, and reviews the independent auditors' fees. The audit committee operates under a written charter adopted by the board of directors that is attached as Appendix A to this proxy statement.</w:t>
      </w:r>
    </w:p>
    <w:p>
      <w:pPr>
        <w:spacing w:after="0" w:line="17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audit committee is composed of three non-employee directors, each of whom is an "independent director" under the rules of the New York Stock Exchange governing the qualifications of the members of audit committees.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audit committee held five meetings (including one teleconference meeting) during the fiscal year ended October 28, 2000. The meetings were designed to facilitate and encourage private communication between the members of the audit committee, our internal auditors, and our independent public auditors, Ernst &amp; Young LLP.</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committee reviewed with the independent auditors,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committee under generally accepted auditing standards. In addition, the audit committee has discussed with the independent auditors the auditors' independence from Analog Devices, Inc. and its management, including the matters in the written disclosures we received from the auditors as required by Independence Standards Board Standard No. 1, "Independence Discussions with Audit Committees," and considered the compatibility of non-audit services with the auditors' independence.</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Based on its review and discussions, the audit committee recommended to our board of directors that our audited financial statements be included in our annual report on Form 10-K for the fiscal year ended October 28, 2000. The audit committee and board of directors also have recommended, subject to ratification by the stockholders, the selection of Ernst &amp; Young LLP as our independent auditors for fiscal 2001.</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Audit Committee,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John L. Doyle, Chairman</w:t>
      </w:r>
    </w:p>
    <w:p>
      <w:pPr>
        <w:ind w:left="4120"/>
        <w:spacing w:after="0"/>
        <w:rPr>
          <w:sz w:val="20"/>
          <w:szCs w:val="20"/>
          <w:color w:val="auto"/>
        </w:rPr>
      </w:pPr>
      <w:r>
        <w:rPr>
          <w:rFonts w:ascii="Courier New" w:cs="Courier New" w:eastAsia="Courier New" w:hAnsi="Courier New"/>
          <w:sz w:val="16"/>
          <w:szCs w:val="16"/>
          <w:color w:val="auto"/>
        </w:rPr>
        <w:t>Joel Moses</w:t>
      </w:r>
    </w:p>
    <w:p>
      <w:pPr>
        <w:ind w:left="4120"/>
        <w:spacing w:after="0" w:line="237" w:lineRule="auto"/>
        <w:rPr>
          <w:sz w:val="20"/>
          <w:szCs w:val="20"/>
          <w:color w:val="auto"/>
        </w:rPr>
      </w:pPr>
      <w:r>
        <w:rPr>
          <w:rFonts w:ascii="Courier New" w:cs="Courier New" w:eastAsia="Courier New" w:hAnsi="Courier New"/>
          <w:sz w:val="16"/>
          <w:szCs w:val="16"/>
          <w:color w:val="auto"/>
        </w:rPr>
        <w:t>Lester C. Thurow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compensation committee held five meetings (including one teleconference meeting) during the fiscal year ended October 28, 2000. The members of the compensation committee during the entire fiscal year ended October 28, 2000 were Messrs. Holliday and Saviers. The compensation committee makes recommendations to the board of directors regarding the salaries and bonuses of our corporate officers. The compensation committee also grants stock options and other stock incentives (within guidelines established by the board of directors) to our officers and employees. The Report of the Compensation Committee appears on page 16.</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NOMINATING COMMITTEE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Our nominating committee held no meetings during the fiscal year ended October 28, 2000. The members of the nominating committee during the fiscal year ended October 28, 2000 were Messrs. Doyle and Stata. The nominating committee nominates persons to serve as members of our board of directors, recommends directors to serve on various board committees, and recommends a successor to the chief executive officer whenever a vacancy occurs for any reason. The nominating committee will consider for nomination to the board of directors candidates suggested by the stockholders, provided that such recommendations are delivered to us, with an appropriate biographical summary, no later than the deadline for submission of stockholder proposals. See "Deadline for Submission of Stockholder Proposals for the 2002 Annual Meeting."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MEETINGS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During the fiscal year ended October 28, 2000, our board of directors held seven meetings (including three teleconference meetings). All directors, during the time that they served as directors, attended at least 75% of the total number of meetings of the board of directors and of all committees of the board on which they served.</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3"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DIRECTORS' COMPENSATION</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Fees</w:t>
      </w:r>
    </w:p>
    <w:p>
      <w:pPr>
        <w:spacing w:after="0" w:line="18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We pay each non-employee director an annual fee of $20,000, plus $2,500 for attendance at each board meeting, and $1,000 for attendance at each committee meeting. We also reimburse our directors for travel and other related expenses.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 Options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1994 director option plan, which was amended in 1998, each non-employee director was granted annually a non-statutory stock option to purchase 21,000 shares of our common stock at an exercise price equal to the fair market value on the date of grant, and each newly-elected non-employee director was granted a stock option to purchase 21,000 shares of our common stock (increased to 60,000 shares in 1999) upon first being elected to the board of directors. Each stock option granted under the 1994 director option plan had an exercise price equal to the fair market value of our common stock on the grant date and is exercisable, subject to continued service on our board of directors, in three equal annual installments on each of the first, second and third anniversaries of the grant date.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December 8, 1999, the 1994 director option plan was terminated (effective March 14, 2000), and the board of directors provided that from and after March 14, 2000 all options granted to non-employee directors will be granted under our 1998 stock option plan, under which each non-employee director is granted annually a non-statutory stock option to purchase 25,000 shares of our common stock at an exercise price equal to the fair market value on the date of grant.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fiscal 2000, stock options were granted to each non-employee director for the purchase of 21,000 shares of our common stock at an exercise price equal to the fair market value on the grant date, or $36.41 per share for grants made to Messrs. Doyle, Moses and Thurow on December 7, 1999; $33.41 per share for the grant made to Mr. Saviers on December 10, 1999; and $86.47 per share for the grant made to Mr. Holliday on March 11, 2000. As of December 31, 2000, stock options for the purchase of a total of 707,000 shares of our common stock, net of forfeitures, had been granted under the 1994 director option plan, and 125,000 shares of our common stock, net of forfeitures, had been granted to the non-employee directors under the 1998 stock option plan.</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3"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7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INFORMATION ABOUT CERTAIN INSIDER RELATIONSHIPS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purchase certain products from Cognex Corporation (Cognex). Mr. Fishman is a director of Cognex. During fiscal 2000, we purchased an aggregate of approximately $88,000 of products from Cognex.</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purchase certain products from E.I. duPont de Nemours and Company (DuPont). Mr. Holliday is Chairman and Chief Executive Officer of DuPont. During fiscal 2000, we purchased an aggregate of approximately $429,000 of products from DuPont and its affiliates.</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During fiscal 2000, we made donations to MIT in the aggregate amount of approximately $811,000. Mr. Moses is a professor at MIT, and was Provost of MIT until August 1998, and Mr. Thurow is a professor at MIT.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Our management and board of directors believe that these transactions with related parties were on terms that were no less favorable to us than could be obtained from unaffiliated third parties.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fiscal 1999, we loaned $420,251 to Russell K. Johnsen, Vice President and General Manager of Communications Products. He used the proceeds to pay withholding taxes due from the vesting of restricted stock awards. This non-interest bearing loan was secured by personal assets and was due at the earliest to occur of (1) our demand for payment, (2) November 13, 2000, (3) Mr. Johnsen's sale of any portion of the restricted stock, or (4) the termination of Mr. Johnsen's employment. Mr. Johnsen repaid the loan in full by October 28, 2000.</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During fiscal 2000, we loaned funds from time to time to our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Jerald G. Fishman, which he used to exercise stock</w:t>
      </w:r>
    </w:p>
    <w:p>
      <w:pPr>
        <w:spacing w:after="0"/>
        <w:rPr>
          <w:sz w:val="20"/>
          <w:szCs w:val="20"/>
          <w:color w:val="auto"/>
        </w:rPr>
      </w:pPr>
      <w:r>
        <w:rPr>
          <w:rFonts w:ascii="Courier New" w:cs="Courier New" w:eastAsia="Courier New" w:hAnsi="Courier New"/>
          <w:sz w:val="16"/>
          <w:szCs w:val="16"/>
          <w:color w:val="auto"/>
        </w:rPr>
        <w:t>options and to pay withholding taxes incurred in connection with those option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exercises. These non-interest bearing loans were secured by personal assets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due upon our demand for payment. The largest aggregate amount of loans</w:t>
      </w:r>
    </w:p>
    <w:p>
      <w:pPr>
        <w:spacing w:after="0"/>
        <w:rPr>
          <w:sz w:val="20"/>
          <w:szCs w:val="20"/>
          <w:color w:val="auto"/>
        </w:rPr>
      </w:pPr>
      <w:r>
        <w:rPr>
          <w:rFonts w:ascii="Courier New" w:cs="Courier New" w:eastAsia="Courier New" w:hAnsi="Courier New"/>
          <w:sz w:val="16"/>
          <w:szCs w:val="16"/>
          <w:color w:val="auto"/>
        </w:rPr>
        <w:t>outstanding at any time during the fiscal year ended October 28, 2000 was</w:t>
      </w:r>
    </w:p>
    <w:p>
      <w:pPr>
        <w:spacing w:after="0" w:line="237" w:lineRule="auto"/>
        <w:rPr>
          <w:sz w:val="20"/>
          <w:szCs w:val="20"/>
          <w:color w:val="auto"/>
        </w:rPr>
      </w:pPr>
      <w:r>
        <w:rPr>
          <w:rFonts w:ascii="Courier New" w:cs="Courier New" w:eastAsia="Courier New" w:hAnsi="Courier New"/>
          <w:sz w:val="16"/>
          <w:szCs w:val="16"/>
          <w:color w:val="auto"/>
        </w:rPr>
        <w:t>$1,868,989. As of December 31, 2000, the indebtedness under these loans was</w:t>
      </w:r>
    </w:p>
    <w:p>
      <w:pPr>
        <w:spacing w:after="0"/>
        <w:rPr>
          <w:sz w:val="20"/>
          <w:szCs w:val="20"/>
          <w:color w:val="auto"/>
        </w:rPr>
      </w:pPr>
      <w:r>
        <w:rPr>
          <w:rFonts w:ascii="Courier New" w:cs="Courier New" w:eastAsia="Courier New" w:hAnsi="Courier New"/>
          <w:sz w:val="16"/>
          <w:szCs w:val="16"/>
          <w:color w:val="auto"/>
        </w:rPr>
        <w:t>$344,532, all of which was paid to us by Mr. Fishman by January 10, 2001.</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3" w:right="1440" w:bottom="1440" w:gutter="0" w:footer="0" w:header="0"/>
        </w:sectPr>
      </w:pPr>
    </w:p>
    <w:bookmarkStart w:id="14" w:name="page15"/>
    <w:bookmarkEnd w:id="14"/>
    <w:p>
      <w:pPr>
        <w:ind w:left="284"/>
        <w:spacing w:after="0"/>
        <w:rPr>
          <w:sz w:val="20"/>
          <w:szCs w:val="20"/>
          <w:color w:val="auto"/>
        </w:rPr>
      </w:pPr>
      <w:r>
        <w:rPr>
          <w:rFonts w:ascii="Courier New" w:cs="Courier New" w:eastAsia="Courier New" w:hAnsi="Courier New"/>
          <w:sz w:val="16"/>
          <w:szCs w:val="16"/>
          <w:color w:val="auto"/>
        </w:rPr>
        <w:t>15</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INFORMATION ABOUT EXECUTIVE COMPENSATION</w:t>
      </w:r>
    </w:p>
    <w:p>
      <w:pPr>
        <w:spacing w:after="0" w:line="179"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Summary Compensation</w:t>
      </w:r>
    </w:p>
    <w:p>
      <w:pPr>
        <w:spacing w:after="0" w:line="185" w:lineRule="exact"/>
        <w:rPr>
          <w:sz w:val="20"/>
          <w:szCs w:val="20"/>
          <w:color w:val="auto"/>
        </w:rPr>
      </w:pPr>
    </w:p>
    <w:p>
      <w:pPr>
        <w:ind w:left="4" w:right="3100" w:firstLine="469"/>
        <w:spacing w:after="0" w:line="257" w:lineRule="auto"/>
        <w:rPr>
          <w:sz w:val="20"/>
          <w:szCs w:val="20"/>
          <w:color w:val="auto"/>
        </w:rPr>
      </w:pPr>
      <w:r>
        <w:rPr>
          <w:rFonts w:ascii="Courier New" w:cs="Courier New" w:eastAsia="Courier New" w:hAnsi="Courier New"/>
          <w:sz w:val="15"/>
          <w:szCs w:val="15"/>
          <w:color w:val="auto"/>
        </w:rPr>
        <w:t>The following table contains certain information required under applicable rules of the SEC about the compensation for each of the last three fiscal years of our chief executive officer and our four other most highly compensated executive officers who were serving as executive officers on October 28, 2000:</w:t>
      </w:r>
    </w:p>
    <w:p>
      <w:pPr>
        <w:spacing w:after="0" w:line="16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480" w:type="dxa"/>
            <w:vAlign w:val="bottom"/>
          </w:tcPr>
          <w:p>
            <w:pPr>
              <w:spacing w:after="0"/>
              <w:rPr>
                <w:sz w:val="15"/>
                <w:szCs w:val="15"/>
                <w:color w:val="auto"/>
              </w:rPr>
            </w:pPr>
          </w:p>
        </w:tc>
        <w:tc>
          <w:tcPr>
            <w:tcW w:w="290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w w:val="98"/>
              </w:rPr>
              <w:t>SUMMARY COMPENSATION TABLE</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721"/>
        </w:trPr>
        <w:tc>
          <w:tcPr>
            <w:tcW w:w="2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gridSpan w:val="2"/>
          </w:tcPr>
          <w:p>
            <w:pPr>
              <w:jc w:val="right"/>
              <w:ind w:right="902"/>
              <w:spacing w:after="0"/>
              <w:rPr>
                <w:sz w:val="20"/>
                <w:szCs w:val="20"/>
                <w:color w:val="auto"/>
              </w:rPr>
            </w:pPr>
            <w:r>
              <w:rPr>
                <w:rFonts w:ascii="Courier New" w:cs="Courier New" w:eastAsia="Courier New" w:hAnsi="Courier New"/>
                <w:sz w:val="16"/>
                <w:szCs w:val="16"/>
                <w:color w:val="auto"/>
              </w:rPr>
              <w:t>LONG-TERM</w:t>
            </w:r>
          </w:p>
        </w:tc>
        <w:tc>
          <w:tcPr>
            <w:tcW w:w="1180" w:type="dxa"/>
            <w:vAlign w:val="bottom"/>
          </w:tcPr>
          <w:p>
            <w:pPr>
              <w:spacing w:after="0"/>
              <w:rPr>
                <w:sz w:val="24"/>
                <w:szCs w:val="24"/>
                <w:color w:val="auto"/>
              </w:rPr>
            </w:pPr>
          </w:p>
        </w:tc>
      </w:tr>
      <w:tr>
        <w:trPr>
          <w:trHeight w:val="180"/>
        </w:trPr>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20" w:type="dxa"/>
            <w:vAlign w:val="bottom"/>
            <w:gridSpan w:val="2"/>
          </w:tcPr>
          <w:p>
            <w:pPr>
              <w:jc w:val="right"/>
              <w:ind w:right="702"/>
              <w:spacing w:after="0"/>
              <w:rPr>
                <w:sz w:val="20"/>
                <w:szCs w:val="20"/>
                <w:color w:val="auto"/>
              </w:rPr>
            </w:pPr>
            <w:r>
              <w:rPr>
                <w:rFonts w:ascii="Courier New" w:cs="Courier New" w:eastAsia="Courier New" w:hAnsi="Courier New"/>
                <w:sz w:val="16"/>
                <w:szCs w:val="16"/>
                <w:color w:val="auto"/>
              </w:rPr>
              <w:t>COMPENSATION</w:t>
            </w:r>
          </w:p>
        </w:tc>
        <w:tc>
          <w:tcPr>
            <w:tcW w:w="118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2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3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ANNUAL COMPENSATION(1)</w:t>
            </w:r>
          </w:p>
        </w:tc>
        <w:tc>
          <w:tcPr>
            <w:tcW w:w="2520" w:type="dxa"/>
            <w:vAlign w:val="bottom"/>
            <w:gridSpan w:val="2"/>
          </w:tcPr>
          <w:p>
            <w:pPr>
              <w:jc w:val="right"/>
              <w:ind w:right="982"/>
              <w:spacing w:after="0"/>
              <w:rPr>
                <w:sz w:val="20"/>
                <w:szCs w:val="20"/>
                <w:color w:val="auto"/>
              </w:rPr>
            </w:pPr>
            <w:r>
              <w:rPr>
                <w:rFonts w:ascii="Courier New" w:cs="Courier New" w:eastAsia="Courier New" w:hAnsi="Courier New"/>
                <w:sz w:val="16"/>
                <w:szCs w:val="16"/>
                <w:color w:val="auto"/>
              </w:rPr>
              <w:t>AWARDS</w:t>
            </w:r>
          </w:p>
        </w:tc>
        <w:tc>
          <w:tcPr>
            <w:tcW w:w="118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8"/>
              </w:rPr>
              <w:t>-------------------------------------------</w:t>
            </w: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2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7"/>
              </w:rPr>
              <w:t>RESTRICTED</w:t>
            </w: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6"/>
                <w:szCs w:val="16"/>
                <w:color w:val="auto"/>
              </w:rPr>
              <w:t>ANNUAL</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STOCK</w:t>
            </w:r>
          </w:p>
        </w:tc>
        <w:tc>
          <w:tcPr>
            <w:tcW w:w="130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ALL OTHER</w:t>
            </w:r>
          </w:p>
        </w:tc>
      </w:tr>
      <w:tr>
        <w:trPr>
          <w:trHeight w:val="180"/>
        </w:trPr>
        <w:tc>
          <w:tcPr>
            <w:tcW w:w="2480" w:type="dxa"/>
            <w:vAlign w:val="bottom"/>
          </w:tcPr>
          <w:p>
            <w:pPr>
              <w:ind w:left="840"/>
              <w:spacing w:after="0"/>
              <w:rPr>
                <w:sz w:val="20"/>
                <w:szCs w:val="20"/>
                <w:color w:val="auto"/>
              </w:rPr>
            </w:pPr>
            <w:r>
              <w:rPr>
                <w:rFonts w:ascii="Courier New" w:cs="Courier New" w:eastAsia="Courier New" w:hAnsi="Courier New"/>
                <w:sz w:val="16"/>
                <w:szCs w:val="16"/>
                <w:color w:val="auto"/>
              </w:rPr>
              <w:t>NAME AND</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FISCAL</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SALARY</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BONUS</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COMPENSATION</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7"/>
              </w:rPr>
              <w:t>AWARDS</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OPTIONS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COMPENSATION</w:t>
            </w:r>
          </w:p>
        </w:tc>
      </w:tr>
      <w:tr>
        <w:trPr>
          <w:trHeight w:val="180"/>
        </w:trPr>
        <w:tc>
          <w:tcPr>
            <w:tcW w:w="2480" w:type="dxa"/>
            <w:vAlign w:val="bottom"/>
          </w:tcPr>
          <w:p>
            <w:pPr>
              <w:ind w:left="380"/>
              <w:spacing w:after="0"/>
              <w:rPr>
                <w:sz w:val="20"/>
                <w:szCs w:val="20"/>
                <w:color w:val="auto"/>
              </w:rPr>
            </w:pPr>
            <w:r>
              <w:rPr>
                <w:rFonts w:ascii="Courier New" w:cs="Courier New" w:eastAsia="Courier New" w:hAnsi="Courier New"/>
                <w:sz w:val="16"/>
                <w:szCs w:val="16"/>
                <w:color w:val="auto"/>
              </w:rPr>
              <w:t>PRINCIPAL POSITION</w:t>
            </w:r>
          </w:p>
        </w:tc>
        <w:tc>
          <w:tcPr>
            <w:tcW w:w="980" w:type="dxa"/>
            <w:vAlign w:val="bottom"/>
          </w:tcPr>
          <w:p>
            <w:pPr>
              <w:ind w:left="240"/>
              <w:spacing w:after="0"/>
              <w:rPr>
                <w:sz w:val="20"/>
                <w:szCs w:val="20"/>
                <w:color w:val="auto"/>
              </w:rPr>
            </w:pPr>
            <w:r>
              <w:rPr>
                <w:rFonts w:ascii="Courier New" w:cs="Courier New" w:eastAsia="Courier New" w:hAnsi="Courier New"/>
                <w:sz w:val="16"/>
                <w:szCs w:val="16"/>
                <w:color w:val="auto"/>
              </w:rPr>
              <w:t>YEAR</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w:t>
            </w:r>
          </w:p>
        </w:tc>
        <w:tc>
          <w:tcPr>
            <w:tcW w:w="14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(#)(5)</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w:t>
            </w:r>
          </w:p>
        </w:tc>
      </w:tr>
      <w:tr>
        <w:trPr>
          <w:trHeight w:val="180"/>
        </w:trPr>
        <w:tc>
          <w:tcPr>
            <w:tcW w:w="24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ind w:right="64"/>
              <w:spacing w:after="0"/>
              <w:rPr>
                <w:sz w:val="20"/>
                <w:szCs w:val="20"/>
                <w:color w:val="auto"/>
              </w:rPr>
            </w:pPr>
            <w:r>
              <w:rPr>
                <w:rFonts w:ascii="Courier New" w:cs="Courier New" w:eastAsia="Courier New" w:hAnsi="Courier New"/>
                <w:sz w:val="16"/>
                <w:szCs w:val="16"/>
                <w:color w:val="auto"/>
                <w:w w:val="97"/>
              </w:rPr>
              <w:t>------</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480" w:type="dxa"/>
            <w:vAlign w:val="bottom"/>
          </w:tcPr>
          <w:p>
            <w:pPr>
              <w:spacing w:after="0"/>
              <w:rPr>
                <w:sz w:val="20"/>
                <w:szCs w:val="20"/>
                <w:color w:val="auto"/>
              </w:rPr>
            </w:pPr>
            <w:r>
              <w:rPr>
                <w:rFonts w:ascii="Courier New" w:cs="Courier New" w:eastAsia="Courier New" w:hAnsi="Courier New"/>
                <w:sz w:val="16"/>
                <w:szCs w:val="16"/>
                <w:color w:val="auto"/>
              </w:rPr>
              <w:t>Jerald G. Fishman</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2000</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859,092</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1,804,093</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838,210</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600,000</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179,092</w:t>
            </w:r>
          </w:p>
        </w:tc>
      </w:tr>
      <w:tr>
        <w:trPr>
          <w:trHeight w:val="180"/>
        </w:trPr>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President and Chief</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1999</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798,905</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528,528</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480,369</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69,849</w:t>
            </w:r>
          </w:p>
        </w:tc>
      </w:tr>
      <w:tr>
        <w:trPr>
          <w:trHeight w:val="180"/>
        </w:trPr>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Executive Officer</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1998</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726,277</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204,019</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211,266</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1,200,000(8)</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92,492</w:t>
            </w:r>
          </w:p>
        </w:tc>
      </w:tr>
      <w:tr>
        <w:trPr>
          <w:trHeight w:val="361"/>
        </w:trPr>
        <w:tc>
          <w:tcPr>
            <w:tcW w:w="2480" w:type="dxa"/>
            <w:vAlign w:val="bottom"/>
          </w:tcPr>
          <w:p>
            <w:pPr>
              <w:spacing w:after="0"/>
              <w:rPr>
                <w:sz w:val="20"/>
                <w:szCs w:val="20"/>
                <w:color w:val="auto"/>
              </w:rPr>
            </w:pPr>
            <w:r>
              <w:rPr>
                <w:rFonts w:ascii="Courier New" w:cs="Courier New" w:eastAsia="Courier New" w:hAnsi="Courier New"/>
                <w:sz w:val="16"/>
                <w:szCs w:val="16"/>
                <w:color w:val="auto"/>
              </w:rPr>
              <w:t>Ray Stata</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2000</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326,099</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586,978</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1,115,173</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200,000</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58,252</w:t>
            </w:r>
          </w:p>
        </w:tc>
      </w:tr>
      <w:tr>
        <w:trPr>
          <w:trHeight w:val="180"/>
        </w:trPr>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1999</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353,792</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195,659</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25,459</w:t>
            </w:r>
          </w:p>
        </w:tc>
      </w:tr>
      <w:tr>
        <w:trPr>
          <w:trHeight w:val="180"/>
        </w:trPr>
        <w:tc>
          <w:tcPr>
            <w:tcW w:w="2480" w:type="dxa"/>
            <w:vAlign w:val="bottom"/>
          </w:tcPr>
          <w:p>
            <w:pPr>
              <w:spacing w:after="0"/>
              <w:rPr>
                <w:sz w:val="15"/>
                <w:szCs w:val="15"/>
                <w:color w:val="auto"/>
              </w:rPr>
            </w:pP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1998</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422,696</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115,973</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400,000</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51,149</w:t>
            </w:r>
          </w:p>
        </w:tc>
      </w:tr>
      <w:tr>
        <w:trPr>
          <w:trHeight w:val="361"/>
        </w:trPr>
        <w:tc>
          <w:tcPr>
            <w:tcW w:w="2480" w:type="dxa"/>
            <w:vAlign w:val="bottom"/>
          </w:tcPr>
          <w:p>
            <w:pPr>
              <w:spacing w:after="0"/>
              <w:rPr>
                <w:sz w:val="20"/>
                <w:szCs w:val="20"/>
                <w:color w:val="auto"/>
              </w:rPr>
            </w:pPr>
            <w:r>
              <w:rPr>
                <w:rFonts w:ascii="Courier New" w:cs="Courier New" w:eastAsia="Courier New" w:hAnsi="Courier New"/>
                <w:sz w:val="16"/>
                <w:szCs w:val="16"/>
                <w:color w:val="auto"/>
              </w:rPr>
              <w:t>Brian P. McAloon</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2000</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404,577</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606,866</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130,805</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110,000</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70,886</w:t>
            </w:r>
          </w:p>
        </w:tc>
      </w:tr>
      <w:tr>
        <w:trPr>
          <w:trHeight w:val="180"/>
        </w:trPr>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Sales</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1999</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377,472</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191,463</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108,357</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32,288</w:t>
            </w:r>
          </w:p>
        </w:tc>
      </w:tr>
      <w:tr>
        <w:trPr>
          <w:trHeight w:val="180"/>
        </w:trPr>
        <w:tc>
          <w:tcPr>
            <w:tcW w:w="2480" w:type="dxa"/>
            <w:vAlign w:val="bottom"/>
          </w:tcPr>
          <w:p>
            <w:pPr>
              <w:spacing w:after="0"/>
              <w:rPr>
                <w:sz w:val="15"/>
                <w:szCs w:val="15"/>
                <w:color w:val="auto"/>
              </w:rPr>
            </w:pP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1998</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349,511</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60,625</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52,035</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466,375</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140,000</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37,799</w:t>
            </w:r>
          </w:p>
        </w:tc>
      </w:tr>
      <w:tr>
        <w:trPr>
          <w:trHeight w:val="361"/>
        </w:trPr>
        <w:tc>
          <w:tcPr>
            <w:tcW w:w="2480" w:type="dxa"/>
            <w:vAlign w:val="bottom"/>
          </w:tcPr>
          <w:p>
            <w:pPr>
              <w:spacing w:after="0"/>
              <w:rPr>
                <w:sz w:val="20"/>
                <w:szCs w:val="20"/>
                <w:color w:val="auto"/>
              </w:rPr>
            </w:pPr>
            <w:r>
              <w:rPr>
                <w:rFonts w:ascii="Courier New" w:cs="Courier New" w:eastAsia="Courier New" w:hAnsi="Courier New"/>
                <w:sz w:val="16"/>
                <w:szCs w:val="16"/>
                <w:color w:val="auto"/>
              </w:rPr>
              <w:t>Joseph E. McDonough</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2000</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379,429</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569,144</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240,477</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110,000</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61,746</w:t>
            </w:r>
          </w:p>
        </w:tc>
      </w:tr>
      <w:tr>
        <w:trPr>
          <w:trHeight w:val="180"/>
        </w:trPr>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1999</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354,009</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179,563</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137,373</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28,433</w:t>
            </w:r>
          </w:p>
        </w:tc>
      </w:tr>
      <w:tr>
        <w:trPr>
          <w:trHeight w:val="180"/>
        </w:trPr>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Finance and Chief</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1998</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327,787</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56,857</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65,672</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466,375</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140,000</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34,568</w:t>
            </w:r>
          </w:p>
        </w:tc>
      </w:tr>
      <w:tr>
        <w:trPr>
          <w:trHeight w:val="180"/>
        </w:trPr>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Financial Officer</w:t>
            </w: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1"/>
        </w:trPr>
        <w:tc>
          <w:tcPr>
            <w:tcW w:w="2480" w:type="dxa"/>
            <w:vAlign w:val="bottom"/>
          </w:tcPr>
          <w:p>
            <w:pPr>
              <w:spacing w:after="0"/>
              <w:rPr>
                <w:sz w:val="20"/>
                <w:szCs w:val="20"/>
                <w:color w:val="auto"/>
              </w:rPr>
            </w:pPr>
            <w:r>
              <w:rPr>
                <w:rFonts w:ascii="Courier New" w:cs="Courier New" w:eastAsia="Courier New" w:hAnsi="Courier New"/>
                <w:sz w:val="16"/>
                <w:szCs w:val="16"/>
                <w:color w:val="auto"/>
              </w:rPr>
              <w:t>Samuel H. Fuller</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2000</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348,920</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418,704</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165,855</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80,000</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49,606</w:t>
            </w:r>
          </w:p>
        </w:tc>
      </w:tr>
      <w:tr>
        <w:trPr>
          <w:trHeight w:val="180"/>
        </w:trPr>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w w:val="98"/>
              </w:rPr>
              <w:t>Vice President, Research</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1999</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335,500</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135,200</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13,828</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13,733</w:t>
            </w:r>
          </w:p>
        </w:tc>
      </w:tr>
      <w:tr>
        <w:trPr>
          <w:trHeight w:val="180"/>
        </w:trPr>
        <w:tc>
          <w:tcPr>
            <w:tcW w:w="2480" w:type="dxa"/>
            <w:vAlign w:val="bottom"/>
          </w:tcPr>
          <w:p>
            <w:pPr>
              <w:ind w:left="180"/>
              <w:spacing w:after="0"/>
              <w:rPr>
                <w:sz w:val="20"/>
                <w:szCs w:val="20"/>
                <w:color w:val="auto"/>
              </w:rPr>
            </w:pPr>
            <w:r>
              <w:rPr>
                <w:rFonts w:ascii="Courier New" w:cs="Courier New" w:eastAsia="Courier New" w:hAnsi="Courier New"/>
                <w:sz w:val="16"/>
                <w:szCs w:val="16"/>
                <w:color w:val="auto"/>
              </w:rPr>
              <w:t>and Development(9)</w:t>
            </w:r>
          </w:p>
        </w:tc>
        <w:tc>
          <w:tcPr>
            <w:tcW w:w="980" w:type="dxa"/>
            <w:vAlign w:val="bottom"/>
          </w:tcPr>
          <w:p>
            <w:pPr>
              <w:jc w:val="center"/>
              <w:ind w:right="44"/>
              <w:spacing w:after="0"/>
              <w:rPr>
                <w:sz w:val="20"/>
                <w:szCs w:val="20"/>
                <w:color w:val="auto"/>
              </w:rPr>
            </w:pPr>
            <w:r>
              <w:rPr>
                <w:rFonts w:ascii="Courier New" w:cs="Courier New" w:eastAsia="Courier New" w:hAnsi="Courier New"/>
                <w:sz w:val="16"/>
                <w:szCs w:val="16"/>
                <w:color w:val="auto"/>
                <w:w w:val="98"/>
              </w:rPr>
              <w:t>1998</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228,750</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23,230</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17,832</w:t>
            </w:r>
          </w:p>
        </w:tc>
        <w:tc>
          <w:tcPr>
            <w:tcW w:w="12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948,750</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140,000</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3100" w:hanging="384"/>
        <w:spacing w:after="0" w:line="237"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SEC rules, other compensation in the form of perquisites and other personal benefits has been omitted in those instances where such perquisites and other personal benefits comprised less than the lesser of $50,000 or 10% of the total of annual salary and bonus for the named executive officer for such year.</w:t>
      </w:r>
    </w:p>
    <w:p>
      <w:pPr>
        <w:spacing w:after="0" w:line="187" w:lineRule="exact"/>
        <w:rPr>
          <w:rFonts w:ascii="Courier New" w:cs="Courier New" w:eastAsia="Courier New" w:hAnsi="Courier New"/>
          <w:sz w:val="16"/>
          <w:szCs w:val="16"/>
          <w:color w:val="auto"/>
        </w:rPr>
      </w:pPr>
    </w:p>
    <w:p>
      <w:pPr>
        <w:ind w:left="384" w:right="3180" w:hanging="384"/>
        <w:spacing w:after="0" w:line="237"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compensation earned by the named executive officers in the fiscal years presented, including amounts contributed at the election of these officers to our defined and deferred contribution plans.</w:t>
      </w:r>
    </w:p>
    <w:p>
      <w:pPr>
        <w:spacing w:after="0" w:line="184" w:lineRule="exact"/>
        <w:rPr>
          <w:rFonts w:ascii="Courier New" w:cs="Courier New" w:eastAsia="Courier New" w:hAnsi="Courier New"/>
          <w:sz w:val="16"/>
          <w:szCs w:val="16"/>
          <w:color w:val="auto"/>
        </w:rPr>
      </w:pPr>
    </w:p>
    <w:p>
      <w:pPr>
        <w:ind w:left="384" w:right="3100" w:hanging="384"/>
        <w:spacing w:after="0" w:line="237"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amounts earned by the named executive officers at "above market" rates, as determined by the Internal Revenue Code, on deferred compensation for each fiscal year.</w:t>
      </w:r>
    </w:p>
    <w:p>
      <w:pPr>
        <w:spacing w:after="0" w:line="184" w:lineRule="exact"/>
        <w:rPr>
          <w:rFonts w:ascii="Courier New" w:cs="Courier New" w:eastAsia="Courier New" w:hAnsi="Courier New"/>
          <w:sz w:val="16"/>
          <w:szCs w:val="16"/>
          <w:color w:val="auto"/>
        </w:rPr>
      </w:pPr>
    </w:p>
    <w:p>
      <w:pPr>
        <w:ind w:left="384" w:right="3100" w:hanging="384"/>
        <w:spacing w:after="0" w:line="238"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restricted stock awards is determined by multiplying the fair market value of our common stock on the date of grant by the number of shares awarded. As of October 28, 2000, the end of fiscal 2000, the number and value of the aggregate restricted stock holdings reflected in the table were as follows: 80,000 shares ($4,800,000) held by Mr. McAloon; 80,000 shares ($4,800,000) held by Mr. McDonough; and 60,000 shares ($3,600,000) held by Mr. Fuller.</w:t>
      </w:r>
    </w:p>
    <w:p>
      <w:pPr>
        <w:spacing w:after="0" w:line="184" w:lineRule="exact"/>
        <w:rPr>
          <w:rFonts w:ascii="Courier New" w:cs="Courier New" w:eastAsia="Courier New" w:hAnsi="Courier New"/>
          <w:sz w:val="16"/>
          <w:szCs w:val="16"/>
          <w:color w:val="auto"/>
        </w:rPr>
      </w:pPr>
    </w:p>
    <w:p>
      <w:pPr>
        <w:ind w:left="384" w:right="3000" w:hanging="384"/>
        <w:spacing w:after="0" w:line="237"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has an exercise price equal to the fair market value of our common stock on the date of grant and generally becomes exercisable, subject to the optionee's continued employment with us, in three equal installments, on each of the third, fourth and fifth anniversaries of the date of grant (except as noted in note (8) below).</w:t>
      </w:r>
    </w:p>
    <w:p>
      <w:pPr>
        <w:spacing w:after="0" w:line="187" w:lineRule="exact"/>
        <w:rPr>
          <w:rFonts w:ascii="Courier New" w:cs="Courier New" w:eastAsia="Courier New" w:hAnsi="Courier New"/>
          <w:sz w:val="16"/>
          <w:szCs w:val="16"/>
          <w:color w:val="auto"/>
        </w:rPr>
      </w:pPr>
    </w:p>
    <w:p>
      <w:pPr>
        <w:ind w:left="384" w:right="3180" w:hanging="384"/>
        <w:spacing w:after="0" w:line="236"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amounts contributed or accrued by us for each fiscal year for the named executive officers under our retirement arrangements.</w:t>
      </w:r>
    </w:p>
    <w:p>
      <w:pPr>
        <w:spacing w:after="0" w:line="184" w:lineRule="exact"/>
        <w:rPr>
          <w:rFonts w:ascii="Courier New" w:cs="Courier New" w:eastAsia="Courier New" w:hAnsi="Courier New"/>
          <w:sz w:val="16"/>
          <w:szCs w:val="16"/>
          <w:color w:val="auto"/>
        </w:rPr>
      </w:pPr>
    </w:p>
    <w:p>
      <w:pPr>
        <w:ind w:left="384" w:right="3560" w:hanging="384"/>
        <w:spacing w:after="0" w:line="236"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granted no stock options to the named executive officers during the fiscal year ended October 30, 1999.</w:t>
      </w:r>
    </w:p>
    <w:p>
      <w:pPr>
        <w:sectPr>
          <w:pgSz w:w="11900" w:h="16838" w:orient="portrait"/>
          <w:cols w:equalWidth="0" w:num="1">
            <w:col w:w="10504"/>
          </w:cols>
          <w:pgMar w:left="236" w:top="293" w:right="1159" w:bottom="835" w:gutter="0" w:footer="0" w:header="0"/>
        </w:sectPr>
      </w:pPr>
    </w:p>
    <w:p>
      <w:pPr>
        <w:spacing w:after="0" w:line="185"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504"/>
          </w:cols>
          <w:pgMar w:left="236" w:top="293" w:right="1159" w:bottom="835" w:gutter="0" w:footer="0" w:header="0"/>
          <w:type w:val="continuous"/>
        </w:sectPr>
      </w:pPr>
    </w:p>
    <w:bookmarkStart w:id="15" w:name="page16"/>
    <w:bookmarkEnd w:id="15"/>
    <w:p>
      <w:pPr>
        <w:ind w:left="284"/>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left="384" w:right="3100" w:hanging="384"/>
        <w:spacing w:after="0" w:line="238"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two stock option awards of 600,000 shares each, (a) the first of which is exercisable, subject to Mr. Fishman's continued employment with us, in three equal installments, on each of the third, fourth and fifth anniversaries of the date of grant, and (b) the second of which is not exercisable until the fifth anniversary of the date of grant, except that all of the then outstanding unvested stock options shall accelerate and become immediately exercisable and fully vested in the event that we terminate Mr. Fishman's employment without "cause" or Mr. Fishman terminates his employment for "good reason," as each of those terms is defined in an agreement between us and Mr. Fishman.</w:t>
      </w:r>
    </w:p>
    <w:p>
      <w:pPr>
        <w:spacing w:after="0" w:line="186" w:lineRule="exact"/>
        <w:rPr>
          <w:rFonts w:ascii="Courier New" w:cs="Courier New" w:eastAsia="Courier New" w:hAnsi="Courier New"/>
          <w:sz w:val="16"/>
          <w:szCs w:val="16"/>
          <w:color w:val="auto"/>
        </w:rPr>
      </w:pPr>
    </w:p>
    <w:p>
      <w:pPr>
        <w:ind w:left="384" w:right="3200" w:hanging="384"/>
        <w:spacing w:after="0" w:line="237"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Fuller became an executive officer effective February 18, 1998. Amounts reflected in the table include compensation paid to Mr. Fuller in all capacities during the fiscal years indicated.</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OPTION GRANTS IN FISCAL 2000</w:t>
      </w:r>
    </w:p>
    <w:p>
      <w:pPr>
        <w:spacing w:after="0" w:line="185" w:lineRule="exact"/>
        <w:rPr>
          <w:sz w:val="20"/>
          <w:szCs w:val="20"/>
          <w:color w:val="auto"/>
        </w:rPr>
      </w:pPr>
    </w:p>
    <w:p>
      <w:pPr>
        <w:ind w:left="4" w:right="3280" w:firstLine="469"/>
        <w:spacing w:after="0" w:line="237" w:lineRule="auto"/>
        <w:rPr>
          <w:sz w:val="20"/>
          <w:szCs w:val="20"/>
          <w:color w:val="auto"/>
        </w:rPr>
      </w:pPr>
      <w:r>
        <w:rPr>
          <w:rFonts w:ascii="Courier New" w:cs="Courier New" w:eastAsia="Courier New" w:hAnsi="Courier New"/>
          <w:sz w:val="16"/>
          <w:szCs w:val="16"/>
          <w:color w:val="auto"/>
        </w:rPr>
        <w:t>The following contains information required under applicable SEC rules regarding stock options granted during fiscal year 2000 to our named executive officers:</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4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INDIVIDUAL GRANTS</w:t>
            </w:r>
          </w:p>
        </w:tc>
        <w:tc>
          <w:tcPr>
            <w:tcW w:w="1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2820" w:type="dxa"/>
            <w:vAlign w:val="bottom"/>
          </w:tcPr>
          <w:p>
            <w:pPr>
              <w:spacing w:after="0"/>
              <w:rPr>
                <w:sz w:val="15"/>
                <w:szCs w:val="15"/>
                <w:color w:val="auto"/>
              </w:rPr>
            </w:pPr>
          </w:p>
        </w:tc>
        <w:tc>
          <w:tcPr>
            <w:tcW w:w="492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2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PERCENT OF</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282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NUMBER OF</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TOTAL</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POTENTIAL REALIZABLE VALUE</w:t>
            </w:r>
          </w:p>
        </w:tc>
      </w:tr>
      <w:tr>
        <w:trPr>
          <w:trHeight w:val="180"/>
        </w:trPr>
        <w:tc>
          <w:tcPr>
            <w:tcW w:w="282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SECURITIES</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OPTIONS</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6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AT ASSUMED ANNUAL RATES</w:t>
            </w:r>
          </w:p>
        </w:tc>
      </w:tr>
      <w:tr>
        <w:trPr>
          <w:trHeight w:val="180"/>
        </w:trPr>
        <w:tc>
          <w:tcPr>
            <w:tcW w:w="282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UNDERLYING</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GRANTED TO</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6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7"/>
              </w:rPr>
              <w:t>OF STOCK PRICE APPRECIATION</w:t>
            </w:r>
          </w:p>
        </w:tc>
      </w:tr>
      <w:tr>
        <w:trPr>
          <w:trHeight w:val="180"/>
        </w:trPr>
        <w:tc>
          <w:tcPr>
            <w:tcW w:w="282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OPTIONS</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EMPLOYEES</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EXERCISE</w:t>
            </w:r>
          </w:p>
        </w:tc>
        <w:tc>
          <w:tcPr>
            <w:tcW w:w="1220" w:type="dxa"/>
            <w:vAlign w:val="bottom"/>
          </w:tcPr>
          <w:p>
            <w:pPr>
              <w:spacing w:after="0"/>
              <w:rPr>
                <w:sz w:val="15"/>
                <w:szCs w:val="15"/>
                <w:color w:val="auto"/>
              </w:rPr>
            </w:pPr>
          </w:p>
        </w:tc>
        <w:tc>
          <w:tcPr>
            <w:tcW w:w="2860" w:type="dxa"/>
            <w:vAlign w:val="bottom"/>
            <w:gridSpan w:val="2"/>
          </w:tcPr>
          <w:p>
            <w:pPr>
              <w:jc w:val="center"/>
              <w:ind w:left="42"/>
              <w:spacing w:after="0"/>
              <w:rPr>
                <w:sz w:val="20"/>
                <w:szCs w:val="20"/>
                <w:color w:val="auto"/>
              </w:rPr>
            </w:pPr>
            <w:r>
              <w:rPr>
                <w:rFonts w:ascii="Courier New" w:cs="Courier New" w:eastAsia="Courier New" w:hAnsi="Courier New"/>
                <w:sz w:val="16"/>
                <w:szCs w:val="16"/>
                <w:color w:val="auto"/>
                <w:w w:val="97"/>
              </w:rPr>
              <w:t>FOR OPTION TERM (4)</w:t>
            </w:r>
          </w:p>
        </w:tc>
      </w:tr>
      <w:tr>
        <w:trPr>
          <w:trHeight w:val="180"/>
        </w:trPr>
        <w:tc>
          <w:tcPr>
            <w:tcW w:w="282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GRANTED</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IN FISCAL</w:t>
            </w:r>
          </w:p>
        </w:tc>
        <w:tc>
          <w:tcPr>
            <w:tcW w:w="1320" w:type="dxa"/>
            <w:vAlign w:val="bottom"/>
          </w:tcPr>
          <w:p>
            <w:pPr>
              <w:ind w:left="240"/>
              <w:spacing w:after="0"/>
              <w:rPr>
                <w:sz w:val="20"/>
                <w:szCs w:val="20"/>
                <w:color w:val="auto"/>
              </w:rPr>
            </w:pPr>
            <w:r>
              <w:rPr>
                <w:rFonts w:ascii="Courier New" w:cs="Courier New" w:eastAsia="Courier New" w:hAnsi="Courier New"/>
                <w:sz w:val="16"/>
                <w:szCs w:val="16"/>
                <w:color w:val="auto"/>
              </w:rPr>
              <w:t>PRICE PER</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7"/>
              </w:rPr>
              <w:t>EXPIRATION</w:t>
            </w: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ind w:left="1120"/>
              <w:spacing w:after="0"/>
              <w:rPr>
                <w:sz w:val="20"/>
                <w:szCs w:val="20"/>
                <w:color w:val="auto"/>
              </w:rPr>
            </w:pPr>
            <w:r>
              <w:rPr>
                <w:rFonts w:ascii="Courier New" w:cs="Courier New" w:eastAsia="Courier New" w:hAnsi="Courier New"/>
                <w:sz w:val="16"/>
                <w:szCs w:val="16"/>
                <w:color w:val="auto"/>
              </w:rPr>
              <w:t>NAME</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YEAR(2)</w:t>
            </w:r>
          </w:p>
        </w:tc>
        <w:tc>
          <w:tcPr>
            <w:tcW w:w="1320" w:type="dxa"/>
            <w:vAlign w:val="bottom"/>
          </w:tcPr>
          <w:p>
            <w:pPr>
              <w:ind w:left="140"/>
              <w:spacing w:after="0"/>
              <w:rPr>
                <w:sz w:val="20"/>
                <w:szCs w:val="20"/>
                <w:color w:val="auto"/>
              </w:rPr>
            </w:pPr>
            <w:r>
              <w:rPr>
                <w:rFonts w:ascii="Courier New" w:cs="Courier New" w:eastAsia="Courier New" w:hAnsi="Courier New"/>
                <w:sz w:val="16"/>
                <w:szCs w:val="16"/>
                <w:color w:val="auto"/>
              </w:rPr>
              <w:t>SHARE($)(3)</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8"/>
              </w:rPr>
              <w:t>DATE</w:t>
            </w:r>
          </w:p>
        </w:tc>
        <w:tc>
          <w:tcPr>
            <w:tcW w:w="17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w:t>
            </w:r>
          </w:p>
        </w:tc>
        <w:tc>
          <w:tcPr>
            <w:tcW w:w="11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r>
      <w:tr>
        <w:trPr>
          <w:trHeight w:val="180"/>
        </w:trPr>
        <w:tc>
          <w:tcPr>
            <w:tcW w:w="2820" w:type="dxa"/>
            <w:vAlign w:val="bottom"/>
          </w:tcPr>
          <w:p>
            <w:pPr>
              <w:ind w:left="1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7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2820" w:type="dxa"/>
            <w:vAlign w:val="bottom"/>
          </w:tcPr>
          <w:p>
            <w:pPr>
              <w:spacing w:after="0"/>
              <w:rPr>
                <w:sz w:val="20"/>
                <w:szCs w:val="20"/>
                <w:color w:val="auto"/>
              </w:rPr>
            </w:pPr>
            <w:r>
              <w:rPr>
                <w:rFonts w:ascii="Courier New" w:cs="Courier New" w:eastAsia="Courier New" w:hAnsi="Courier New"/>
                <w:sz w:val="16"/>
                <w:szCs w:val="16"/>
                <w:color w:val="auto"/>
              </w:rPr>
              <w:t>Jerald G. Fishman............</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600,000</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3.8%</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9"/>
              </w:rPr>
              <w:t>28.75</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8"/>
              </w:rPr>
              <w:t>11/30/09</w:t>
            </w:r>
          </w:p>
        </w:tc>
        <w:tc>
          <w:tcPr>
            <w:tcW w:w="17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10,848,432</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27,492,057</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Ray Stata....................</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200,000</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1.3%</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9"/>
              </w:rPr>
              <w:t>28.75</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8"/>
              </w:rPr>
              <w:t>11/30/09</w:t>
            </w:r>
          </w:p>
        </w:tc>
        <w:tc>
          <w:tcPr>
            <w:tcW w:w="17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3,616,144</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9,164,019</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Brian P. McAloon.............</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110,000</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0.7%</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9"/>
              </w:rPr>
              <w:t>28.75</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8"/>
              </w:rPr>
              <w:t>11/30/09</w:t>
            </w:r>
          </w:p>
        </w:tc>
        <w:tc>
          <w:tcPr>
            <w:tcW w:w="17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1,988,879</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5,040,211</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Joseph E. McDonough..........</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110,000</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0.7%</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9"/>
              </w:rPr>
              <w:t>28.75</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8"/>
              </w:rPr>
              <w:t>11/30/09</w:t>
            </w:r>
          </w:p>
        </w:tc>
        <w:tc>
          <w:tcPr>
            <w:tcW w:w="17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1,988,879</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5,040,211</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Samuel H. Fuller.............</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80,000</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0.5%</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9"/>
              </w:rPr>
              <w:t>28.75</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8"/>
              </w:rPr>
              <w:t>11/30/09</w:t>
            </w:r>
          </w:p>
        </w:tc>
        <w:tc>
          <w:tcPr>
            <w:tcW w:w="17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1,446,458</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3,665,608</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3280" w:hanging="384"/>
        <w:spacing w:after="0" w:line="237"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options granted pursuant to our 1998 stock option plan. The options become exercisable on a cumulative basis with respect to one-third of the shares subject to the option on each of the third, fourth and fifth anniversaries of the date of grant.</w:t>
      </w:r>
    </w:p>
    <w:p>
      <w:pPr>
        <w:spacing w:after="0" w:line="185" w:lineRule="exact"/>
        <w:rPr>
          <w:rFonts w:ascii="Courier New" w:cs="Courier New" w:eastAsia="Courier New" w:hAnsi="Courier New"/>
          <w:sz w:val="16"/>
          <w:szCs w:val="16"/>
          <w:color w:val="auto"/>
        </w:rPr>
      </w:pPr>
    </w:p>
    <w:p>
      <w:pPr>
        <w:ind w:left="384" w:right="3480" w:hanging="384"/>
        <w:spacing w:after="0" w:line="236"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an aggregate of 15,833,673 options granted under our 1998 stock option plan to employees during fiscal 2000.</w:t>
      </w:r>
    </w:p>
    <w:p>
      <w:pPr>
        <w:spacing w:after="0" w:line="184" w:lineRule="exact"/>
        <w:rPr>
          <w:rFonts w:ascii="Courier New" w:cs="Courier New" w:eastAsia="Courier New" w:hAnsi="Courier New"/>
          <w:sz w:val="16"/>
          <w:szCs w:val="16"/>
          <w:color w:val="auto"/>
        </w:rPr>
      </w:pPr>
    </w:p>
    <w:p>
      <w:pPr>
        <w:ind w:left="384" w:right="3480" w:hanging="384"/>
        <w:spacing w:after="0" w:line="236"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is equal to the fair market value on a split-adjusted basis of our common stock on the date of grant.</w:t>
      </w:r>
    </w:p>
    <w:p>
      <w:pPr>
        <w:spacing w:after="0" w:line="184" w:lineRule="exact"/>
        <w:rPr>
          <w:rFonts w:ascii="Courier New" w:cs="Courier New" w:eastAsia="Courier New" w:hAnsi="Courier New"/>
          <w:sz w:val="16"/>
          <w:szCs w:val="16"/>
          <w:color w:val="auto"/>
        </w:rPr>
      </w:pPr>
    </w:p>
    <w:p>
      <w:pPr>
        <w:ind w:left="384" w:right="3100" w:hanging="384"/>
        <w:spacing w:after="0" w:line="238"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realizable value is based on an assumption that the market price of the stock will appreciate at the stated rate, compounded annually, from the date of grant until the end of the 10-year term. These values are calculated based on rules promulgated by the SEC and do not reflect our estimate or projection of future stock prices. Actual gains, if any, on stock option exercises will depend on the future performance of the price of our common stock and the timing of exercises.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604"/>
          </w:cols>
          <w:pgMar w:left="236" w:top="293" w:right="1059" w:bottom="1440" w:gutter="0" w:footer="0" w:header="0"/>
        </w:sectPr>
      </w:pPr>
    </w:p>
    <w:bookmarkStart w:id="16" w:name="page17"/>
    <w:bookmarkEnd w:id="16"/>
    <w:p>
      <w:pPr>
        <w:ind w:left="284"/>
        <w:spacing w:after="0"/>
        <w:rPr>
          <w:sz w:val="20"/>
          <w:szCs w:val="20"/>
          <w:color w:val="auto"/>
        </w:rPr>
      </w:pPr>
      <w:r>
        <w:rPr>
          <w:rFonts w:ascii="Courier New" w:cs="Courier New" w:eastAsia="Courier New" w:hAnsi="Courier New"/>
          <w:sz w:val="16"/>
          <w:szCs w:val="16"/>
          <w:color w:val="auto"/>
        </w:rPr>
        <w:t>17</w:t>
      </w:r>
    </w:p>
    <w:p>
      <w:pPr>
        <w:spacing w:after="0" w:line="185"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5"/>
          <w:szCs w:val="15"/>
          <w:color w:val="auto"/>
        </w:rPr>
        <w:t>AGGREGATED OPTION EXERCISES DURING FISCAL 2000 AND FISCAL YEAR-END OPTION VALUES</w:t>
      </w:r>
    </w:p>
    <w:p>
      <w:pPr>
        <w:spacing w:after="0" w:line="191"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following contains information required under applicable SEC rules concerning the exercise of stock options during the fiscal year ended October 28, 2000 by each of our Named Executive Officers and the number and value of unexercised options held by each of our Named Executive Officers on October 28, 2000:</w:t>
      </w:r>
    </w:p>
    <w:p>
      <w:pPr>
        <w:spacing w:after="0" w:line="200" w:lineRule="exact"/>
        <w:rPr>
          <w:sz w:val="20"/>
          <w:szCs w:val="20"/>
          <w:color w:val="auto"/>
        </w:rPr>
      </w:pPr>
    </w:p>
    <w:p>
      <w:pPr>
        <w:spacing w:after="0" w:line="343" w:lineRule="exact"/>
        <w:rPr>
          <w:sz w:val="20"/>
          <w:szCs w:val="20"/>
          <w:color w:val="auto"/>
        </w:rPr>
      </w:pPr>
    </w:p>
    <w:tbl>
      <w:tblPr>
        <w:tblLayout w:type="fixed"/>
        <w:tblInd w:w="1024"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NUMBER OF</w:t>
            </w:r>
          </w:p>
        </w:tc>
        <w:tc>
          <w:tcPr>
            <w:tcW w:w="2300" w:type="dxa"/>
            <w:vAlign w:val="bottom"/>
          </w:tcPr>
          <w:p>
            <w:pPr>
              <w:spacing w:after="0"/>
              <w:rPr>
                <w:sz w:val="15"/>
                <w:szCs w:val="15"/>
                <w:color w:val="auto"/>
              </w:rPr>
            </w:pPr>
          </w:p>
        </w:tc>
      </w:tr>
      <w:tr>
        <w:trPr>
          <w:trHeight w:val="180"/>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UNEXERCISED</w:t>
            </w:r>
          </w:p>
        </w:tc>
        <w:tc>
          <w:tcPr>
            <w:tcW w:w="2300" w:type="dxa"/>
            <w:vAlign w:val="bottom"/>
          </w:tcPr>
          <w:p>
            <w:pPr>
              <w:jc w:val="center"/>
              <w:spacing w:after="0"/>
              <w:rPr>
                <w:sz w:val="20"/>
                <w:szCs w:val="20"/>
                <w:color w:val="auto"/>
              </w:rPr>
            </w:pPr>
            <w:r>
              <w:rPr>
                <w:rFonts w:ascii="Courier New" w:cs="Courier New" w:eastAsia="Courier New" w:hAnsi="Courier New"/>
                <w:sz w:val="16"/>
                <w:szCs w:val="16"/>
                <w:color w:val="auto"/>
                <w:w w:val="97"/>
              </w:rPr>
              <w:t>VALUE OF UNEXERCISED</w:t>
            </w:r>
          </w:p>
        </w:tc>
      </w:tr>
      <w:tr>
        <w:trPr>
          <w:trHeight w:val="180"/>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OPTIONS AT FISCAL</w:t>
            </w:r>
          </w:p>
        </w:tc>
        <w:tc>
          <w:tcPr>
            <w:tcW w:w="230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IN-THE-MONEY OPTIONS AT</w:t>
            </w:r>
          </w:p>
        </w:tc>
      </w:tr>
      <w:tr>
        <w:trPr>
          <w:trHeight w:val="180"/>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w w:val="96"/>
              </w:rPr>
              <w:t>YEAR-END</w:t>
            </w:r>
          </w:p>
        </w:tc>
        <w:tc>
          <w:tcPr>
            <w:tcW w:w="23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8"/>
              </w:rPr>
              <w:t>FISCAL YEAR-END($)(2)</w:t>
            </w:r>
          </w:p>
        </w:tc>
      </w:tr>
      <w:tr>
        <w:trPr>
          <w:trHeight w:val="180"/>
        </w:trPr>
        <w:tc>
          <w:tcPr>
            <w:tcW w:w="1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rPr>
              <w:t>VALUE</w:t>
            </w:r>
          </w:p>
        </w:tc>
        <w:tc>
          <w:tcPr>
            <w:tcW w:w="202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8"/>
              </w:rPr>
              <w:t>-----------------</w:t>
            </w:r>
          </w:p>
        </w:tc>
        <w:tc>
          <w:tcPr>
            <w:tcW w:w="230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040" w:type="dxa"/>
            <w:vAlign w:val="bottom"/>
          </w:tcPr>
          <w:p>
            <w:pPr>
              <w:spacing w:after="0"/>
              <w:rPr>
                <w:sz w:val="15"/>
                <w:szCs w:val="15"/>
                <w:color w:val="auto"/>
              </w:rPr>
            </w:pPr>
          </w:p>
        </w:tc>
        <w:tc>
          <w:tcPr>
            <w:tcW w:w="2340" w:type="dxa"/>
            <w:vAlign w:val="bottom"/>
          </w:tcPr>
          <w:p>
            <w:pPr>
              <w:ind w:left="660"/>
              <w:spacing w:after="0"/>
              <w:rPr>
                <w:sz w:val="20"/>
                <w:szCs w:val="20"/>
                <w:color w:val="auto"/>
              </w:rPr>
            </w:pPr>
            <w:r>
              <w:rPr>
                <w:rFonts w:ascii="Courier New" w:cs="Courier New" w:eastAsia="Courier New" w:hAnsi="Courier New"/>
                <w:sz w:val="16"/>
                <w:szCs w:val="16"/>
                <w:color w:val="auto"/>
              </w:rPr>
              <w:t>SHARES ACQUIRED</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REALIZED</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w w:val="98"/>
              </w:rPr>
              <w:t>EXERCISABLE/</w:t>
            </w:r>
          </w:p>
        </w:tc>
        <w:tc>
          <w:tcPr>
            <w:tcW w:w="2300" w:type="dxa"/>
            <w:vAlign w:val="bottom"/>
          </w:tcPr>
          <w:p>
            <w:pPr>
              <w:jc w:val="center"/>
              <w:spacing w:after="0"/>
              <w:rPr>
                <w:sz w:val="20"/>
                <w:szCs w:val="20"/>
                <w:color w:val="auto"/>
              </w:rPr>
            </w:pPr>
            <w:r>
              <w:rPr>
                <w:rFonts w:ascii="Courier New" w:cs="Courier New" w:eastAsia="Courier New" w:hAnsi="Courier New"/>
                <w:sz w:val="16"/>
                <w:szCs w:val="16"/>
                <w:color w:val="auto"/>
                <w:w w:val="97"/>
              </w:rPr>
              <w:t>EXERCISABLE/</w:t>
            </w:r>
          </w:p>
        </w:tc>
      </w:tr>
      <w:tr>
        <w:trPr>
          <w:trHeight w:val="180"/>
        </w:trPr>
        <w:tc>
          <w:tcPr>
            <w:tcW w:w="10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340" w:type="dxa"/>
            <w:vAlign w:val="bottom"/>
          </w:tcPr>
          <w:p>
            <w:pPr>
              <w:ind w:left="660"/>
              <w:spacing w:after="0"/>
              <w:rPr>
                <w:sz w:val="20"/>
                <w:szCs w:val="20"/>
                <w:color w:val="auto"/>
              </w:rPr>
            </w:pPr>
            <w:r>
              <w:rPr>
                <w:rFonts w:ascii="Courier New" w:cs="Courier New" w:eastAsia="Courier New" w:hAnsi="Courier New"/>
                <w:sz w:val="16"/>
                <w:szCs w:val="16"/>
                <w:color w:val="auto"/>
              </w:rPr>
              <w:t>ON EXERCISE(#)</w:t>
            </w: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rPr>
              <w:t>($)(1)</w:t>
            </w:r>
          </w:p>
        </w:tc>
        <w:tc>
          <w:tcPr>
            <w:tcW w:w="202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7"/>
              </w:rPr>
              <w:t>UNEXERCISABLE</w:t>
            </w:r>
          </w:p>
        </w:tc>
        <w:tc>
          <w:tcPr>
            <w:tcW w:w="2300" w:type="dxa"/>
            <w:vAlign w:val="bottom"/>
          </w:tcPr>
          <w:p>
            <w:pPr>
              <w:jc w:val="center"/>
              <w:ind w:left="42"/>
              <w:spacing w:after="0"/>
              <w:rPr>
                <w:sz w:val="20"/>
                <w:szCs w:val="20"/>
                <w:color w:val="auto"/>
              </w:rPr>
            </w:pPr>
            <w:r>
              <w:rPr>
                <w:rFonts w:ascii="Courier New" w:cs="Courier New" w:eastAsia="Courier New" w:hAnsi="Courier New"/>
                <w:sz w:val="16"/>
                <w:szCs w:val="16"/>
                <w:color w:val="auto"/>
                <w:w w:val="97"/>
              </w:rPr>
              <w:t>UNEXERCISABLE</w:t>
            </w:r>
          </w:p>
        </w:tc>
      </w:tr>
    </w:tbl>
    <w:p>
      <w:pPr>
        <w:spacing w:after="0" w:line="4" w:lineRule="exact"/>
        <w:rPr>
          <w:sz w:val="20"/>
          <w:szCs w:val="20"/>
          <w:color w:val="auto"/>
        </w:rPr>
      </w:pPr>
    </w:p>
    <w:p>
      <w:pPr>
        <w:ind w:left="2724" w:hanging="1692"/>
        <w:spacing w:after="0"/>
        <w:tabs>
          <w:tab w:leader="none" w:pos="272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rPr>
              <w:t>Jerald G. Fishman..........</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561,806</w:t>
            </w: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29,189,433</w:t>
            </w:r>
          </w:p>
        </w:tc>
        <w:tc>
          <w:tcPr>
            <w:tcW w:w="2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2,000/2,940,000</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109,750/141,892,500</w:t>
            </w:r>
          </w:p>
        </w:tc>
      </w:tr>
      <w:tr>
        <w:trPr>
          <w:trHeight w:val="180"/>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rPr>
              <w:t>Ray Stata..................</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1,110,000</w:t>
            </w: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68,333,770</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176,666/</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933,334</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9,164,549/ 44,891,701</w:t>
            </w:r>
          </w:p>
        </w:tc>
      </w:tr>
      <w:tr>
        <w:trPr>
          <w:trHeight w:val="180"/>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rPr>
              <w:t>Brian P. McAloon...........</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189,200</w:t>
            </w: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13,729,371</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46,136/</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330,668</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2,605,761/ 15,082,652</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Joseph</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E. McDonough........</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78,333</w:t>
            </w: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3,326,713</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8,333/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330,668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432,274/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15,082,652</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Samuel</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H. Fuller...........</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51,000</w:t>
            </w: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2,994,954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40,000/</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227,000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1,927,610/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10,212,710</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384" w:right="3179" w:hanging="384"/>
        <w:spacing w:after="0" w:line="237" w:lineRule="auto"/>
        <w:tabs>
          <w:tab w:leader="none" w:pos="3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represents the difference between the closing price of our common stock on the date of exercise and the exercise price, multiplied by the number of shares acquired on exercise.</w:t>
      </w:r>
    </w:p>
    <w:p>
      <w:pPr>
        <w:spacing w:after="0" w:line="184"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unexercised in-the-money options represents the difference between the closing price of our common stock on the last business day of fiscal 2000 and the exercise price of the stock option, multiplied by the number of shares subject to the stock option.</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SEVERANCE AND OTHER AGREEMENTS</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We have employee retention agreements with each of our 11 current executive officers and with 31 additional key managers. The retention agreements are automatically renewed each year unless we give the employee three months' notice that his or her agreement will not be extended. The retention agreements provide for severance benefits if (1) we terminate the employee (other than for termination for cause) or (2) the employee terminates his or her employment for good reason (as defined in his or her retention agreement) within 24 months after a change in control (as defined in his or her retention agreement) that was approved by our board of directors. The retention agreements also provide for severance benefits if an employee is terminated (other than for cause) within 12 months after a change in control which was not approved by our board of directors. The retention agreements do not provide for severance benefits in the event of an employee's death or disability. Each retention agreement provides that, in the event of a potential change in control (as defined in his or her retention agreement), the employee shall not voluntarily resign as an employee, subject to certain conditions, for at least six months after the occurrence of the potential change in control.</w:t>
      </w:r>
    </w:p>
    <w:p>
      <w:pPr>
        <w:spacing w:after="0" w:line="358"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retention agreements provide the following severance benefits: (1) a lump-sum payment equal to 200% of the sum of the employee's annual base salary plus the total cash bonuses paid or awarded to him or her in the four fiscal quarters preceding his or her termination (299% in the case of 10 of the 42 employees who are parties to the agreements, including Messrs. Stata, Fishman, McAloon, McDonough and Fuller); and (2) the continuation of life, disability, dental, accident and group health insurance benefits for a period of 24 months. In addition, if payments to the employee under his or her retention agreement (together with any other payments or benefits, including the accelerated vesting of stock options or restricted stock awards, the employee receives in connection with a change in control) would result in the triggering of the provisions of Sections 280G and 4999 of the Internal Revenue Code of 1986, as amended, the retention agreements provide for the payment of an additional amount so that the employee receives, net of excise taxes, the amount he or she would have been entitled to receive in the absence of the excise tax provided in Section 4999 of the Internal Revenue Code of 1986, as amended.</w:t>
      </w:r>
    </w:p>
    <w:p>
      <w:pPr>
        <w:spacing w:after="0" w:line="178"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On June 21, 2000, our board of directors authorized and approved an amendment to all of the outstanding unvested stock options granted to our President and Chief Executive Officer, Jerald G. Fishman. The amendment also applies to any future stock options we may grant Mr. Fishman and provides for the</w:t>
      </w:r>
    </w:p>
    <w:p>
      <w:pPr>
        <w:sectPr>
          <w:pgSz w:w="11900" w:h="16838" w:orient="portrait"/>
          <w:cols w:equalWidth="0" w:num="1">
            <w:col w:w="10223"/>
          </w:cols>
          <w:pgMar w:left="236" w:top="293" w:right="1440" w:bottom="1440" w:gutter="0" w:footer="0" w:header="0"/>
        </w:sectPr>
      </w:pPr>
    </w:p>
    <w:p>
      <w:pPr>
        <w:spacing w:after="0" w:line="187"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3"/>
          </w:cols>
          <w:pgMar w:left="236" w:top="293"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5"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accelerated vesting of all of Mr. Fishman's unvested stock options if (1) we terminate Mr. Fishman's employment without "cause," or (2) Mr. Fishman terminates his employment for "good reason," as each of those terms is defined in a letter agreement between us and Mr. Fishman dated June 21, 2000.</w:t>
      </w:r>
    </w:p>
    <w:p>
      <w:pPr>
        <w:spacing w:after="0" w:line="174"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For other employees and senior management who are not parties to retention agreements, we have change in control policies in place that provide for a lump-sum severance payment, based on length of service with us, in the event of the termination of his or her employment under certain circumstances within 18 months after a change in control (as defined in these policies). Severance payments range from a minimum of 2 weeks of annual base salary (for hourly employees with less than 5 years of service) to a maximum of 104 weeks of base salary plus an amount equal to the total cash bonuses paid or awarded to the employee in the four fiscal quarters preceding termination (for senior management employees with at least 21 years of service).</w:t>
      </w:r>
    </w:p>
    <w:p>
      <w:pPr>
        <w:spacing w:after="0" w:line="17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to the agreements and policies described above, certain of our stock option and restricted stock awards provide for immediate vesting of some or all outstanding awards upon any change in control (as defined in the plans) of Analog Devices, Inc.</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Our executive compensation program is designed to attract, retain and reward the executives responsible for leading us in the achievement of our business objectives. The compensation committee makes decisions each year regarding executive compensation, including annual base salaries, bonus awards and stock option grants and restricted stock awards. All compensation for executive officers is reviewed by the full board of directors. This report is submitted by the compensation committee and addresses the compensation policies for fiscal 2000 as they affected each of the executive officers.</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Compensation Philosophy</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Our executive compensation philosophy is based on the belief that competitive compensation is essential to attract, motivate and retain highly qualified and industrious employees. Our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our current plans and objectives. Stock options are included to promote longer-term focus, to help retain key contributors and to more closely align their interests with those of our stockholders.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compensation policy seeks to relate compensation with our financial performance and business objectives. We reward individual performance and also tie a significant portion of total executive compensation to the annual and long-term performance of Analog Devices, Inc. While compensation survey data are useful guides for comparative purposes, we believe that a successful compensation program also requires the application of judgment and subjective determinations of individual performance. To that extent, the compensation committee applies its judgment in reconciling the program's objectives with the realities of retaining valued employees.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Executive Compensation Program</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Annual compensation for our executives consists of three principal elements: base salary, cash bonus, and equity ownership in the form of stock options and restricted stock awards.</w:t>
      </w:r>
    </w:p>
    <w:p>
      <w:pPr>
        <w:spacing w:after="0" w:line="180" w:lineRule="exact"/>
        <w:rPr>
          <w:sz w:val="20"/>
          <w:szCs w:val="20"/>
          <w:color w:val="auto"/>
        </w:rPr>
      </w:pPr>
    </w:p>
    <w:p>
      <w:pPr>
        <w:ind w:left="740" w:hanging="275"/>
        <w:spacing w:after="0"/>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COMPENSATION</w:t>
      </w:r>
    </w:p>
    <w:p>
      <w:pPr>
        <w:spacing w:after="0" w:line="185" w:lineRule="exact"/>
        <w:rPr>
          <w:sz w:val="20"/>
          <w:szCs w:val="20"/>
          <w:color w:val="auto"/>
        </w:rPr>
      </w:pPr>
    </w:p>
    <w:p>
      <w:pPr>
        <w:ind w:left="460" w:right="2819" w:firstLine="469"/>
        <w:spacing w:after="0" w:line="256" w:lineRule="auto"/>
        <w:rPr>
          <w:sz w:val="20"/>
          <w:szCs w:val="20"/>
          <w:color w:val="auto"/>
        </w:rPr>
      </w:pPr>
      <w:r>
        <w:rPr>
          <w:rFonts w:ascii="Courier New" w:cs="Courier New" w:eastAsia="Courier New" w:hAnsi="Courier New"/>
          <w:sz w:val="15"/>
          <w:szCs w:val="15"/>
          <w:color w:val="auto"/>
        </w:rPr>
        <w:t>Annual cash compensation consists of two elements: base salary and bonus. In setting the annual cash compensation for our executives, the compensation committee reviews compensation for comparable positions in a group of approximately 20 companies selected by the compensation committee for comparison purposes. Most of these companies are engaged in the manufacture and sale of semiconductor devices, instruments and computer software. We also regularly compare our pay practices with other</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19</w:t>
      </w:r>
    </w:p>
    <w:p>
      <w:pPr>
        <w:spacing w:after="0" w:line="185" w:lineRule="exact"/>
        <w:rPr>
          <w:sz w:val="20"/>
          <w:szCs w:val="20"/>
          <w:color w:val="auto"/>
        </w:rPr>
      </w:pPr>
    </w:p>
    <w:p>
      <w:pPr>
        <w:ind w:left="180" w:right="2999"/>
        <w:spacing w:after="0" w:line="263" w:lineRule="auto"/>
        <w:rPr>
          <w:sz w:val="20"/>
          <w:szCs w:val="20"/>
          <w:color w:val="auto"/>
        </w:rPr>
      </w:pPr>
      <w:r>
        <w:rPr>
          <w:rFonts w:ascii="Courier New" w:cs="Courier New" w:eastAsia="Courier New" w:hAnsi="Courier New"/>
          <w:sz w:val="15"/>
          <w:szCs w:val="15"/>
          <w:color w:val="auto"/>
        </w:rPr>
        <w:t>leading companies through reviews of survey data and information gleaned from the public disclosure filings of publicly traded companies.</w:t>
      </w:r>
    </w:p>
    <w:p>
      <w:pPr>
        <w:spacing w:after="0" w:line="169" w:lineRule="exact"/>
        <w:rPr>
          <w:sz w:val="20"/>
          <w:szCs w:val="20"/>
          <w:color w:val="auto"/>
        </w:rPr>
      </w:pPr>
    </w:p>
    <w:p>
      <w:pPr>
        <w:ind w:left="180" w:right="3099" w:firstLine="469"/>
        <w:spacing w:after="0" w:line="237" w:lineRule="auto"/>
        <w:rPr>
          <w:sz w:val="20"/>
          <w:szCs w:val="20"/>
          <w:color w:val="auto"/>
        </w:rPr>
      </w:pPr>
      <w:r>
        <w:rPr>
          <w:rFonts w:ascii="Courier New" w:cs="Courier New" w:eastAsia="Courier New" w:hAnsi="Courier New"/>
          <w:sz w:val="16"/>
          <w:szCs w:val="16"/>
          <w:color w:val="auto"/>
        </w:rPr>
        <w:t>Increases in annual base salary are based on an evaluation of the performance of the operation or activity for which an executive has responsibility, the impact of that operation or activity on our overall performance, the skills and experience required for the job, and a comparison of these elements with similar elements for other executives both within and outside Analog Devices, Inc.</w:t>
      </w:r>
    </w:p>
    <w:p>
      <w:pPr>
        <w:spacing w:after="0" w:line="189" w:lineRule="exact"/>
        <w:rPr>
          <w:sz w:val="20"/>
          <w:szCs w:val="20"/>
          <w:color w:val="auto"/>
        </w:rPr>
      </w:pPr>
    </w:p>
    <w:p>
      <w:pPr>
        <w:ind w:left="180" w:right="2719" w:firstLine="469"/>
        <w:spacing w:after="0" w:line="256" w:lineRule="auto"/>
        <w:rPr>
          <w:sz w:val="20"/>
          <w:szCs w:val="20"/>
          <w:color w:val="auto"/>
        </w:rPr>
      </w:pPr>
      <w:r>
        <w:rPr>
          <w:rFonts w:ascii="Courier New" w:cs="Courier New" w:eastAsia="Courier New" w:hAnsi="Courier New"/>
          <w:sz w:val="15"/>
          <w:szCs w:val="15"/>
          <w:color w:val="auto"/>
        </w:rPr>
        <w:t>The cash bonus is tied directly to the attainment of financial performance targets approved by our board of directors. The ratio of bonus to base salary varies significantly across the levels in our organization to reflect the ability of the individual to impact our overall performance and, generally, is higher for employees with higher base salaries. The cash bonus is dependent solely on corporate performance.</w:t>
      </w:r>
    </w:p>
    <w:p>
      <w:pPr>
        <w:spacing w:after="0" w:line="175" w:lineRule="exact"/>
        <w:rPr>
          <w:sz w:val="20"/>
          <w:szCs w:val="20"/>
          <w:color w:val="auto"/>
        </w:rPr>
      </w:pPr>
    </w:p>
    <w:p>
      <w:pPr>
        <w:ind w:left="180" w:right="2719" w:firstLine="469"/>
        <w:spacing w:after="0" w:line="255" w:lineRule="auto"/>
        <w:rPr>
          <w:sz w:val="20"/>
          <w:szCs w:val="20"/>
          <w:color w:val="auto"/>
        </w:rPr>
      </w:pPr>
      <w:r>
        <w:rPr>
          <w:rFonts w:ascii="Courier New" w:cs="Courier New" w:eastAsia="Courier New" w:hAnsi="Courier New"/>
          <w:sz w:val="15"/>
          <w:szCs w:val="15"/>
          <w:color w:val="auto"/>
        </w:rPr>
        <w:t>All of our employees, including our executive officers, participated in our bonus plan in fiscal 2000, except those employees on commission plans or in some non-U.S. locations. The purpose of the bonus plan is to recognize and reward the contribution of all employees in achieving our goals and objectives. In fiscal 2000, the bonus plan provided for the payment of a semi-annual cash bonus based on (1) the average of our revenue growth over the same period in the prior year, (2) our operating profit before taxes, or OPBT, as a percentage of revenue, and (3) our return on operating assets, or ROA. Each employee, including executives, is assigned a bonus target, calculated as a percentage of each employee's base salary, determined by comparing competitive data by position. Depending on the levels of revenue growth, OPBT and ROA achieved, the cash bonus is paid as a multiple of the bonus target, ranging from zero to a maximum of 3.0.</w:t>
      </w:r>
    </w:p>
    <w:p>
      <w:pPr>
        <w:spacing w:after="0" w:line="173" w:lineRule="exact"/>
        <w:rPr>
          <w:sz w:val="20"/>
          <w:szCs w:val="20"/>
          <w:color w:val="auto"/>
        </w:rPr>
      </w:pPr>
    </w:p>
    <w:p>
      <w:pPr>
        <w:ind w:left="460" w:hanging="275"/>
        <w:spacing w:after="0"/>
        <w:tabs>
          <w:tab w:leader="none" w:pos="4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OWNERSHIP</w:t>
      </w:r>
    </w:p>
    <w:p>
      <w:pPr>
        <w:spacing w:after="0" w:line="185" w:lineRule="exact"/>
        <w:rPr>
          <w:sz w:val="20"/>
          <w:szCs w:val="20"/>
          <w:color w:val="auto"/>
        </w:rPr>
      </w:pPr>
    </w:p>
    <w:p>
      <w:pPr>
        <w:ind w:left="180" w:right="2719" w:firstLine="469"/>
        <w:spacing w:after="0" w:line="238" w:lineRule="auto"/>
        <w:rPr>
          <w:sz w:val="20"/>
          <w:szCs w:val="20"/>
          <w:color w:val="auto"/>
        </w:rPr>
      </w:pPr>
      <w:r>
        <w:rPr>
          <w:rFonts w:ascii="Courier New" w:cs="Courier New" w:eastAsia="Courier New" w:hAnsi="Courier New"/>
          <w:sz w:val="16"/>
          <w:szCs w:val="16"/>
          <w:color w:val="auto"/>
        </w:rPr>
        <w:t>Total compensation at the executive level also includes long-term incentives afforded by stock options and restricted stock awards. The purpose of our stock ownership program is to (1) reinforce the mutuality of long-term interests between our employees and stockholders; and (2) to assist in the attraction and retention of critically important key executives, managers and individual contributors, mostly engineers, who are essential to our success.</w:t>
      </w:r>
    </w:p>
    <w:p>
      <w:pPr>
        <w:spacing w:after="0" w:line="185" w:lineRule="exact"/>
        <w:rPr>
          <w:sz w:val="20"/>
          <w:szCs w:val="20"/>
          <w:color w:val="auto"/>
        </w:rPr>
      </w:pPr>
    </w:p>
    <w:p>
      <w:pPr>
        <w:ind w:left="180" w:right="2719" w:firstLine="469"/>
        <w:spacing w:after="0" w:line="238" w:lineRule="auto"/>
        <w:rPr>
          <w:sz w:val="20"/>
          <w:szCs w:val="20"/>
          <w:color w:val="auto"/>
        </w:rPr>
      </w:pPr>
      <w:r>
        <w:rPr>
          <w:rFonts w:ascii="Courier New" w:cs="Courier New" w:eastAsia="Courier New" w:hAnsi="Courier New"/>
          <w:sz w:val="16"/>
          <w:szCs w:val="16"/>
          <w:color w:val="auto"/>
        </w:rPr>
        <w:t>The design of our stock programs includes longer vesting periods to optimize the retention value of these options and to orient our managers to longer-term success. Generally, stock options vest in three equal installments on the third, fourth and fifth anniversaries of the date of grant. Restricted stock awards vest 100% after five years. Generally, if employees leave Analog Devices, Inc. before these vesting periods, they forfeit the unvested portions of these awards. While we believe that these longer vesting periods are in the best interest of our stockholders, they tend to increase the number of stock options outstanding compared to companies with shorter vesting schedules.</w:t>
      </w:r>
    </w:p>
    <w:p>
      <w:pPr>
        <w:spacing w:after="0" w:line="187" w:lineRule="exact"/>
        <w:rPr>
          <w:sz w:val="20"/>
          <w:szCs w:val="20"/>
          <w:color w:val="auto"/>
        </w:rPr>
      </w:pPr>
    </w:p>
    <w:p>
      <w:pPr>
        <w:ind w:left="180" w:right="2719" w:firstLine="469"/>
        <w:spacing w:after="0" w:line="238" w:lineRule="auto"/>
        <w:rPr>
          <w:sz w:val="20"/>
          <w:szCs w:val="20"/>
          <w:color w:val="auto"/>
        </w:rPr>
      </w:pPr>
      <w:r>
        <w:rPr>
          <w:rFonts w:ascii="Courier New" w:cs="Courier New" w:eastAsia="Courier New" w:hAnsi="Courier New"/>
          <w:sz w:val="16"/>
          <w:szCs w:val="16"/>
          <w:color w:val="auto"/>
        </w:rPr>
        <w:t>The size of stock option awards is generally intended to reflect the significance of the executive's current and anticipated contributions to our overall performance. The exercise price of the stock options we grant is equal to the fair market value of our stock on the date of grant. Before determining any stock option grants to our executives (as described below), the compensation committee reviews survey information of the stock option programs of competitors and other companies with comparable capitalizations. The value realizable from exercisable stock options depends on the extent to which our performance is reflected in the price of our common stock at any particular point in time. However, the decision as to whether this value will be realized through the exercise of a stock option in any particular year is primarily determined by each individual within the limits of the vesting schedule of the stock option, not by the compensation committee.</w:t>
      </w:r>
    </w:p>
    <w:p>
      <w:pPr>
        <w:spacing w:after="0" w:line="189" w:lineRule="exact"/>
        <w:rPr>
          <w:sz w:val="20"/>
          <w:szCs w:val="20"/>
          <w:color w:val="auto"/>
        </w:rPr>
      </w:pPr>
    </w:p>
    <w:p>
      <w:pPr>
        <w:ind w:left="180" w:right="2819" w:firstLine="469"/>
        <w:spacing w:after="0" w:line="238" w:lineRule="auto"/>
        <w:rPr>
          <w:sz w:val="20"/>
          <w:szCs w:val="20"/>
          <w:color w:val="auto"/>
        </w:rPr>
      </w:pPr>
      <w:r>
        <w:rPr>
          <w:rFonts w:ascii="Courier New" w:cs="Courier New" w:eastAsia="Courier New" w:hAnsi="Courier New"/>
          <w:sz w:val="16"/>
          <w:szCs w:val="16"/>
          <w:color w:val="auto"/>
        </w:rPr>
        <w:t>Our 1991 restricted stock plan provides for the award of restricted stock for a nominal, if any, purchase price. Shares awarded under the plan are subject, for a period of five years, to restrictions upon transfer and provisions relating to forfeiture in the event of termination of employment. If an award recipient's employment is terminated prior to the end of the restricted period for any reason other than his or her death or disability, all shares of our common stock covered by the award must be promptly offered</w:t>
      </w:r>
    </w:p>
    <w:p>
      <w:pPr>
        <w:sectPr>
          <w:pgSz w:w="11900" w:h="16838" w:orient="portrait"/>
          <w:cols w:equalWidth="0" w:num="1">
            <w:col w:w="9939"/>
          </w:cols>
          <w:pgMar w:left="520" w:top="293" w:right="1440" w:bottom="1440" w:gutter="0" w:footer="0" w:header="0"/>
        </w:sectPr>
      </w:pP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39"/>
          </w:cols>
          <w:pgMar w:left="520" w:top="293"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185" w:lineRule="exact"/>
        <w:rPr>
          <w:sz w:val="20"/>
          <w:szCs w:val="20"/>
          <w:color w:val="auto"/>
        </w:rPr>
      </w:pPr>
    </w:p>
    <w:p>
      <w:pPr>
        <w:ind w:left="460" w:right="2819"/>
        <w:spacing w:after="0" w:line="237" w:lineRule="auto"/>
        <w:rPr>
          <w:sz w:val="20"/>
          <w:szCs w:val="20"/>
          <w:color w:val="auto"/>
        </w:rPr>
      </w:pPr>
      <w:r>
        <w:rPr>
          <w:rFonts w:ascii="Courier New" w:cs="Courier New" w:eastAsia="Courier New" w:hAnsi="Courier New"/>
          <w:sz w:val="16"/>
          <w:szCs w:val="16"/>
          <w:color w:val="auto"/>
        </w:rPr>
        <w:t>for resale to us at the original purchase price per share. Since the restricted shares are issued for nominal (or no) consideration, the entire value of the shares constitutes additional compensation to the individual at the time of vesting.</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Chief Executive Officer Fiscal 2000 Compensation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Mr. Fishman, in his capacity as our President and Chief Executive Officer, is also eligible to participate in the same executive compensation program available to our other senior executives. The compensation committee has set Mr. Fishman's total annual compensation, including compensation derived from our bonus program and stock option program, at a level it believes to be competitive with other companies in the industry.</w:t>
      </w:r>
    </w:p>
    <w:p>
      <w:pPr>
        <w:spacing w:after="0" w:line="18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During fiscal 2000, Mr. Fishman's annual base salary was increased $56,919 from $813,120 to $870,039. He was awarded a fiscal 2000 bonus of $1,804,093, which represented a payout factor of 3 times his bonus target of 70% of his fiscal 2000 base salary. This payout resulted from our financial performance as measured by our operating profit before taxes, return on operating assets, and revenue growth for the first and second half of fiscal 2000.</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Compliance with Internal Revenue Code Section 162(m)</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162(m) of the Internal Revenue Code generally disallows a tax deduction to public companies for compensation over $1 million paid to its chief executive officer or any one of its four other most highly compensated executive officers. Qualifying performance-based compensation is not subject to the deduction limit if certain requirements are met. We have limited the number of shares subject to stock options that we may grant to our employees in a manner that complies with the performance-based requirements of Section 162(m). While the compensation committee does not currently intend to qualify the bonus plan as a performance-based plan, it will continue to monitor the impact of Section 162(m) on compensation decisions.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Compensation Committee,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Charles O. Holliday, Jr., Chairman</w:t>
      </w:r>
    </w:p>
    <w:p>
      <w:pPr>
        <w:ind w:left="4120"/>
        <w:spacing w:after="0"/>
        <w:rPr>
          <w:sz w:val="20"/>
          <w:szCs w:val="20"/>
          <w:color w:val="auto"/>
        </w:rPr>
      </w:pPr>
      <w:r>
        <w:rPr>
          <w:rFonts w:ascii="Courier New" w:cs="Courier New" w:eastAsia="Courier New" w:hAnsi="Courier New"/>
          <w:sz w:val="16"/>
          <w:szCs w:val="16"/>
          <w:color w:val="auto"/>
        </w:rPr>
        <w:t>F. Grant Saviers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members of the compensation committee are Messrs. Holliday and Saviers, neither of whom has been an officer or employee of Analog Devices, Inc. at any time.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purchase certain products from DuPont. During fiscal 2000, Mr. Holliday was Chairman and Chief Executive Officer of DuPont. During fiscal 2000, we purchased an aggregate of approximately $429,000 of products from DuPont and its affiliates.</w:t>
      </w:r>
    </w:p>
    <w:p>
      <w:pPr>
        <w:spacing w:after="0" w:line="186"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None of our executive officers serves as a member of the board of directors or compensation committee of any entity that has one or more executive officers serving as a member of our board of directors or compensation committee, except that Mr. Stata serves as a member of the executive committee and the salary subcommittee of the executive committee of MIT and Mr. Moses and Mr. Thurow, who are professors at MIT, serve as members of our board of directors.</w:t>
      </w:r>
    </w:p>
    <w:p>
      <w:pPr>
        <w:spacing w:after="0" w:line="17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3"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79"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6"/>
          <w:szCs w:val="16"/>
          <w:color w:val="auto"/>
        </w:rPr>
        <w:t>STOCK PERFORMANCE GRAPH</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graph compares cumulative total stockholder return on our</w:t>
      </w:r>
    </w:p>
    <w:p>
      <w:pPr>
        <w:spacing w:after="0"/>
        <w:rPr>
          <w:sz w:val="20"/>
          <w:szCs w:val="20"/>
          <w:color w:val="auto"/>
        </w:rPr>
      </w:pPr>
      <w:r>
        <w:rPr>
          <w:rFonts w:ascii="Courier New" w:cs="Courier New" w:eastAsia="Courier New" w:hAnsi="Courier New"/>
          <w:sz w:val="16"/>
          <w:szCs w:val="16"/>
          <w:color w:val="auto"/>
        </w:rPr>
        <w:t>common stock since October 31, 1995 with the cumulative total return for the</w:t>
      </w:r>
    </w:p>
    <w:p>
      <w:pPr>
        <w:spacing w:after="0" w:line="237" w:lineRule="auto"/>
        <w:rPr>
          <w:sz w:val="20"/>
          <w:szCs w:val="20"/>
          <w:color w:val="auto"/>
        </w:rPr>
      </w:pPr>
      <w:r>
        <w:rPr>
          <w:rFonts w:ascii="Courier New" w:cs="Courier New" w:eastAsia="Courier New" w:hAnsi="Courier New"/>
          <w:sz w:val="16"/>
          <w:szCs w:val="16"/>
          <w:color w:val="auto"/>
        </w:rPr>
        <w:t>Standard &amp; Poor's 500 Index and the Standard &amp; Poor's Technology Sector Index.</w:t>
      </w:r>
    </w:p>
    <w:p>
      <w:pPr>
        <w:spacing w:after="0"/>
        <w:rPr>
          <w:sz w:val="20"/>
          <w:szCs w:val="20"/>
          <w:color w:val="auto"/>
        </w:rPr>
      </w:pPr>
      <w:r>
        <w:rPr>
          <w:rFonts w:ascii="Courier New" w:cs="Courier New" w:eastAsia="Courier New" w:hAnsi="Courier New"/>
          <w:sz w:val="16"/>
          <w:szCs w:val="16"/>
          <w:color w:val="auto"/>
        </w:rPr>
        <w:t>This graph assumes the investment of $100 on October 31, 1995 in our common</w:t>
      </w:r>
    </w:p>
    <w:p>
      <w:pPr>
        <w:spacing w:after="0" w:line="238" w:lineRule="auto"/>
        <w:rPr>
          <w:sz w:val="20"/>
          <w:szCs w:val="20"/>
          <w:color w:val="auto"/>
        </w:rPr>
      </w:pPr>
      <w:r>
        <w:rPr>
          <w:rFonts w:ascii="Courier New" w:cs="Courier New" w:eastAsia="Courier New" w:hAnsi="Courier New"/>
          <w:sz w:val="16"/>
          <w:szCs w:val="16"/>
          <w:color w:val="auto"/>
        </w:rPr>
        <w:t>stock, the Standard &amp; Poor's 500 Index and the Standard &amp; Poor's Technology</w:t>
      </w:r>
    </w:p>
    <w:p>
      <w:pPr>
        <w:spacing w:after="0"/>
        <w:rPr>
          <w:sz w:val="20"/>
          <w:szCs w:val="20"/>
          <w:color w:val="auto"/>
        </w:rPr>
      </w:pPr>
      <w:r>
        <w:rPr>
          <w:rFonts w:ascii="Courier New" w:cs="Courier New" w:eastAsia="Courier New" w:hAnsi="Courier New"/>
          <w:sz w:val="16"/>
          <w:szCs w:val="16"/>
          <w:color w:val="auto"/>
        </w:rPr>
        <w:t>Sector Index and assumes all dividends are reinvested. Measurement points are at</w:t>
      </w:r>
    </w:p>
    <w:p>
      <w:pPr>
        <w:spacing w:after="0" w:line="238" w:lineRule="auto"/>
        <w:rPr>
          <w:sz w:val="20"/>
          <w:szCs w:val="20"/>
          <w:color w:val="auto"/>
        </w:rPr>
      </w:pPr>
      <w:r>
        <w:rPr>
          <w:rFonts w:ascii="Courier New" w:cs="Courier New" w:eastAsia="Courier New" w:hAnsi="Courier New"/>
          <w:sz w:val="16"/>
          <w:szCs w:val="16"/>
          <w:color w:val="auto"/>
        </w:rPr>
        <w:t>October 31 for each respective year.</w:t>
      </w:r>
    </w:p>
    <w:p>
      <w:pPr>
        <w:spacing w:after="0"/>
        <w:rPr>
          <w:sz w:val="20"/>
          <w:szCs w:val="20"/>
          <w:color w:val="auto"/>
        </w:rPr>
      </w:pPr>
      <w:r>
        <w:rPr>
          <w:rFonts w:ascii="Courier New" w:cs="Courier New" w:eastAsia="Courier New" w:hAnsi="Courier New"/>
          <w:sz w:val="16"/>
          <w:szCs w:val="16"/>
          <w:color w:val="auto"/>
        </w:rPr>
        <w:t>[GRAPH]</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00" w:type="dxa"/>
            <w:vAlign w:val="bottom"/>
          </w:tcPr>
          <w:p>
            <w:pPr>
              <w:jc w:val="center"/>
              <w:ind w:left="722"/>
              <w:spacing w:after="0"/>
              <w:rPr>
                <w:sz w:val="20"/>
                <w:szCs w:val="20"/>
                <w:color w:val="auto"/>
              </w:rPr>
            </w:pPr>
            <w:r>
              <w:rPr>
                <w:rFonts w:ascii="Courier New" w:cs="Courier New" w:eastAsia="Courier New" w:hAnsi="Courier New"/>
                <w:sz w:val="16"/>
                <w:szCs w:val="16"/>
                <w:color w:val="auto"/>
                <w:w w:val="96"/>
              </w:rPr>
              <w:t>S&amp;P TECHNOLOGY</w:t>
            </w:r>
          </w:p>
        </w:tc>
      </w:tr>
      <w:tr>
        <w:trPr>
          <w:trHeight w:val="180"/>
        </w:trPr>
        <w:tc>
          <w:tcPr>
            <w:tcW w:w="2060" w:type="dxa"/>
            <w:vAlign w:val="bottom"/>
          </w:tcPr>
          <w:p>
            <w:pPr>
              <w:spacing w:after="0"/>
              <w:rPr>
                <w:sz w:val="15"/>
                <w:szCs w:val="15"/>
                <w:color w:val="auto"/>
              </w:rPr>
            </w:pPr>
          </w:p>
        </w:tc>
        <w:tc>
          <w:tcPr>
            <w:tcW w:w="52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ANALOG DEVICES, INC.</w:t>
            </w:r>
          </w:p>
        </w:tc>
        <w:tc>
          <w:tcPr>
            <w:tcW w:w="2160" w:type="dxa"/>
            <w:vAlign w:val="bottom"/>
          </w:tcPr>
          <w:p>
            <w:pPr>
              <w:ind w:left="700"/>
              <w:spacing w:after="0"/>
              <w:rPr>
                <w:sz w:val="20"/>
                <w:szCs w:val="20"/>
                <w:color w:val="auto"/>
              </w:rPr>
            </w:pPr>
            <w:r>
              <w:rPr>
                <w:rFonts w:ascii="Courier New" w:cs="Courier New" w:eastAsia="Courier New" w:hAnsi="Courier New"/>
                <w:sz w:val="16"/>
                <w:szCs w:val="16"/>
                <w:color w:val="auto"/>
              </w:rPr>
              <w:t>S&amp;P 500</w:t>
            </w:r>
          </w:p>
        </w:tc>
        <w:tc>
          <w:tcPr>
            <w:tcW w:w="2100" w:type="dxa"/>
            <w:vAlign w:val="bottom"/>
          </w:tcPr>
          <w:p>
            <w:pPr>
              <w:jc w:val="center"/>
              <w:ind w:left="742"/>
              <w:spacing w:after="0"/>
              <w:rPr>
                <w:sz w:val="20"/>
                <w:szCs w:val="20"/>
                <w:color w:val="auto"/>
              </w:rPr>
            </w:pPr>
            <w:r>
              <w:rPr>
                <w:rFonts w:ascii="Courier New" w:cs="Courier New" w:eastAsia="Courier New" w:hAnsi="Courier New"/>
                <w:sz w:val="16"/>
                <w:szCs w:val="16"/>
                <w:color w:val="auto"/>
                <w:w w:val="97"/>
              </w:rPr>
              <w:t>SECTOR</w:t>
            </w:r>
          </w:p>
        </w:tc>
      </w:tr>
      <w:tr>
        <w:trPr>
          <w:trHeight w:val="180"/>
        </w:trPr>
        <w:tc>
          <w:tcPr>
            <w:tcW w:w="2060" w:type="dxa"/>
            <w:vAlign w:val="bottom"/>
          </w:tcPr>
          <w:p>
            <w:pPr>
              <w:spacing w:after="0"/>
              <w:rPr>
                <w:sz w:val="15"/>
                <w:szCs w:val="15"/>
                <w:color w:val="auto"/>
              </w:rPr>
            </w:pPr>
          </w:p>
        </w:tc>
        <w:tc>
          <w:tcPr>
            <w:tcW w:w="5200" w:type="dxa"/>
            <w:vAlign w:val="bottom"/>
          </w:tcPr>
          <w:p>
            <w:pPr>
              <w:jc w:val="center"/>
              <w:ind w:left="1842"/>
              <w:spacing w:after="0"/>
              <w:rPr>
                <w:sz w:val="20"/>
                <w:szCs w:val="20"/>
                <w:color w:val="auto"/>
              </w:rPr>
            </w:pPr>
            <w:r>
              <w:rPr>
                <w:rFonts w:ascii="Courier New" w:cs="Courier New" w:eastAsia="Courier New" w:hAnsi="Courier New"/>
                <w:sz w:val="16"/>
                <w:szCs w:val="16"/>
                <w:color w:val="auto"/>
                <w:w w:val="97"/>
              </w:rPr>
              <w:t>--------------------</w:t>
            </w:r>
          </w:p>
        </w:tc>
        <w:tc>
          <w:tcPr>
            <w:tcW w:w="216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center"/>
              <w:ind w:left="72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206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91"/>
              </w:rPr>
              <w:t>10/95</w:t>
            </w:r>
          </w:p>
        </w:tc>
        <w:tc>
          <w:tcPr>
            <w:tcW w:w="5200" w:type="dxa"/>
            <w:vAlign w:val="bottom"/>
          </w:tcPr>
          <w:p>
            <w:pPr>
              <w:jc w:val="center"/>
              <w:ind w:left="1842"/>
              <w:spacing w:after="0"/>
              <w:rPr>
                <w:sz w:val="20"/>
                <w:szCs w:val="20"/>
                <w:color w:val="auto"/>
              </w:rPr>
            </w:pPr>
            <w:r>
              <w:rPr>
                <w:rFonts w:ascii="Courier New" w:cs="Courier New" w:eastAsia="Courier New" w:hAnsi="Courier New"/>
                <w:sz w:val="16"/>
                <w:szCs w:val="16"/>
                <w:color w:val="auto"/>
                <w:w w:val="97"/>
              </w:rPr>
              <w:t>100.00</w:t>
            </w:r>
          </w:p>
        </w:tc>
        <w:tc>
          <w:tcPr>
            <w:tcW w:w="2160" w:type="dxa"/>
            <w:vAlign w:val="bottom"/>
          </w:tcPr>
          <w:p>
            <w:pPr>
              <w:ind w:left="700"/>
              <w:spacing w:after="0"/>
              <w:rPr>
                <w:sz w:val="20"/>
                <w:szCs w:val="20"/>
                <w:color w:val="auto"/>
              </w:rPr>
            </w:pPr>
            <w:r>
              <w:rPr>
                <w:rFonts w:ascii="Courier New" w:cs="Courier New" w:eastAsia="Courier New" w:hAnsi="Courier New"/>
                <w:sz w:val="16"/>
                <w:szCs w:val="16"/>
                <w:color w:val="auto"/>
              </w:rPr>
              <w:t>100.00</w:t>
            </w:r>
          </w:p>
        </w:tc>
        <w:tc>
          <w:tcPr>
            <w:tcW w:w="2100" w:type="dxa"/>
            <w:vAlign w:val="bottom"/>
          </w:tcPr>
          <w:p>
            <w:pPr>
              <w:jc w:val="center"/>
              <w:ind w:left="742"/>
              <w:spacing w:after="0"/>
              <w:rPr>
                <w:sz w:val="20"/>
                <w:szCs w:val="20"/>
                <w:color w:val="auto"/>
              </w:rPr>
            </w:pPr>
            <w:r>
              <w:rPr>
                <w:rFonts w:ascii="Courier New" w:cs="Courier New" w:eastAsia="Courier New" w:hAnsi="Courier New"/>
                <w:sz w:val="16"/>
                <w:szCs w:val="16"/>
                <w:color w:val="auto"/>
                <w:w w:val="97"/>
              </w:rPr>
              <w:t>100.00</w:t>
            </w:r>
          </w:p>
        </w:tc>
      </w:tr>
      <w:tr>
        <w:trPr>
          <w:trHeight w:val="180"/>
        </w:trPr>
        <w:tc>
          <w:tcPr>
            <w:tcW w:w="206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91"/>
              </w:rPr>
              <w:t>10/96</w:t>
            </w:r>
          </w:p>
        </w:tc>
        <w:tc>
          <w:tcPr>
            <w:tcW w:w="5200" w:type="dxa"/>
            <w:vAlign w:val="bottom"/>
          </w:tcPr>
          <w:p>
            <w:pPr>
              <w:jc w:val="center"/>
              <w:ind w:left="1842"/>
              <w:spacing w:after="0"/>
              <w:rPr>
                <w:sz w:val="20"/>
                <w:szCs w:val="20"/>
                <w:color w:val="auto"/>
              </w:rPr>
            </w:pPr>
            <w:r>
              <w:rPr>
                <w:rFonts w:ascii="Courier New" w:cs="Courier New" w:eastAsia="Courier New" w:hAnsi="Courier New"/>
                <w:sz w:val="16"/>
                <w:szCs w:val="16"/>
                <w:color w:val="auto"/>
                <w:w w:val="97"/>
              </w:rPr>
              <w:t>107.96</w:t>
            </w:r>
          </w:p>
        </w:tc>
        <w:tc>
          <w:tcPr>
            <w:tcW w:w="2160" w:type="dxa"/>
            <w:vAlign w:val="bottom"/>
          </w:tcPr>
          <w:p>
            <w:pPr>
              <w:ind w:left="700"/>
              <w:spacing w:after="0"/>
              <w:rPr>
                <w:sz w:val="20"/>
                <w:szCs w:val="20"/>
                <w:color w:val="auto"/>
              </w:rPr>
            </w:pPr>
            <w:r>
              <w:rPr>
                <w:rFonts w:ascii="Courier New" w:cs="Courier New" w:eastAsia="Courier New" w:hAnsi="Courier New"/>
                <w:sz w:val="16"/>
                <w:szCs w:val="16"/>
                <w:color w:val="auto"/>
              </w:rPr>
              <w:t>124.10</w:t>
            </w:r>
          </w:p>
        </w:tc>
        <w:tc>
          <w:tcPr>
            <w:tcW w:w="2100" w:type="dxa"/>
            <w:vAlign w:val="bottom"/>
          </w:tcPr>
          <w:p>
            <w:pPr>
              <w:jc w:val="center"/>
              <w:ind w:left="742"/>
              <w:spacing w:after="0"/>
              <w:rPr>
                <w:sz w:val="20"/>
                <w:szCs w:val="20"/>
                <w:color w:val="auto"/>
              </w:rPr>
            </w:pPr>
            <w:r>
              <w:rPr>
                <w:rFonts w:ascii="Courier New" w:cs="Courier New" w:eastAsia="Courier New" w:hAnsi="Courier New"/>
                <w:sz w:val="16"/>
                <w:szCs w:val="16"/>
                <w:color w:val="auto"/>
                <w:w w:val="97"/>
              </w:rPr>
              <w:t>120.99</w:t>
            </w:r>
          </w:p>
        </w:tc>
      </w:tr>
      <w:tr>
        <w:trPr>
          <w:trHeight w:val="180"/>
        </w:trPr>
        <w:tc>
          <w:tcPr>
            <w:tcW w:w="206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91"/>
              </w:rPr>
              <w:t>10/97</w:t>
            </w:r>
          </w:p>
        </w:tc>
        <w:tc>
          <w:tcPr>
            <w:tcW w:w="5200" w:type="dxa"/>
            <w:vAlign w:val="bottom"/>
          </w:tcPr>
          <w:p>
            <w:pPr>
              <w:jc w:val="center"/>
              <w:ind w:left="1842"/>
              <w:spacing w:after="0"/>
              <w:rPr>
                <w:sz w:val="20"/>
                <w:szCs w:val="20"/>
                <w:color w:val="auto"/>
              </w:rPr>
            </w:pPr>
            <w:r>
              <w:rPr>
                <w:rFonts w:ascii="Courier New" w:cs="Courier New" w:eastAsia="Courier New" w:hAnsi="Courier New"/>
                <w:sz w:val="16"/>
                <w:szCs w:val="16"/>
                <w:color w:val="auto"/>
                <w:w w:val="97"/>
              </w:rPr>
              <w:t>169.20</w:t>
            </w:r>
          </w:p>
        </w:tc>
        <w:tc>
          <w:tcPr>
            <w:tcW w:w="2160" w:type="dxa"/>
            <w:vAlign w:val="bottom"/>
          </w:tcPr>
          <w:p>
            <w:pPr>
              <w:ind w:left="700"/>
              <w:spacing w:after="0"/>
              <w:rPr>
                <w:sz w:val="20"/>
                <w:szCs w:val="20"/>
                <w:color w:val="auto"/>
              </w:rPr>
            </w:pPr>
            <w:r>
              <w:rPr>
                <w:rFonts w:ascii="Courier New" w:cs="Courier New" w:eastAsia="Courier New" w:hAnsi="Courier New"/>
                <w:sz w:val="16"/>
                <w:szCs w:val="16"/>
                <w:color w:val="auto"/>
              </w:rPr>
              <w:t>163.95</w:t>
            </w:r>
          </w:p>
        </w:tc>
        <w:tc>
          <w:tcPr>
            <w:tcW w:w="2100" w:type="dxa"/>
            <w:vAlign w:val="bottom"/>
          </w:tcPr>
          <w:p>
            <w:pPr>
              <w:jc w:val="center"/>
              <w:ind w:left="742"/>
              <w:spacing w:after="0"/>
              <w:rPr>
                <w:sz w:val="20"/>
                <w:szCs w:val="20"/>
                <w:color w:val="auto"/>
              </w:rPr>
            </w:pPr>
            <w:r>
              <w:rPr>
                <w:rFonts w:ascii="Courier New" w:cs="Courier New" w:eastAsia="Courier New" w:hAnsi="Courier New"/>
                <w:sz w:val="16"/>
                <w:szCs w:val="16"/>
                <w:color w:val="auto"/>
                <w:w w:val="97"/>
              </w:rPr>
              <w:t>176.41</w:t>
            </w:r>
          </w:p>
        </w:tc>
      </w:tr>
      <w:tr>
        <w:trPr>
          <w:trHeight w:val="180"/>
        </w:trPr>
        <w:tc>
          <w:tcPr>
            <w:tcW w:w="206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91"/>
              </w:rPr>
              <w:t>10/98</w:t>
            </w:r>
          </w:p>
        </w:tc>
        <w:tc>
          <w:tcPr>
            <w:tcW w:w="5200" w:type="dxa"/>
            <w:vAlign w:val="bottom"/>
          </w:tcPr>
          <w:p>
            <w:pPr>
              <w:jc w:val="center"/>
              <w:ind w:left="1842"/>
              <w:spacing w:after="0"/>
              <w:rPr>
                <w:sz w:val="20"/>
                <w:szCs w:val="20"/>
                <w:color w:val="auto"/>
              </w:rPr>
            </w:pPr>
            <w:r>
              <w:rPr>
                <w:rFonts w:ascii="Courier New" w:cs="Courier New" w:eastAsia="Courier New" w:hAnsi="Courier New"/>
                <w:sz w:val="16"/>
                <w:szCs w:val="16"/>
                <w:color w:val="auto"/>
                <w:w w:val="97"/>
              </w:rPr>
              <w:t>110.03</w:t>
            </w:r>
          </w:p>
        </w:tc>
        <w:tc>
          <w:tcPr>
            <w:tcW w:w="2160" w:type="dxa"/>
            <w:vAlign w:val="bottom"/>
          </w:tcPr>
          <w:p>
            <w:pPr>
              <w:ind w:left="700"/>
              <w:spacing w:after="0"/>
              <w:rPr>
                <w:sz w:val="20"/>
                <w:szCs w:val="20"/>
                <w:color w:val="auto"/>
              </w:rPr>
            </w:pPr>
            <w:r>
              <w:rPr>
                <w:rFonts w:ascii="Courier New" w:cs="Courier New" w:eastAsia="Courier New" w:hAnsi="Courier New"/>
                <w:sz w:val="16"/>
                <w:szCs w:val="16"/>
                <w:color w:val="auto"/>
              </w:rPr>
              <w:t>200.00</w:t>
            </w:r>
          </w:p>
        </w:tc>
        <w:tc>
          <w:tcPr>
            <w:tcW w:w="2100" w:type="dxa"/>
            <w:vAlign w:val="bottom"/>
          </w:tcPr>
          <w:p>
            <w:pPr>
              <w:jc w:val="center"/>
              <w:ind w:left="742"/>
              <w:spacing w:after="0"/>
              <w:rPr>
                <w:sz w:val="20"/>
                <w:szCs w:val="20"/>
                <w:color w:val="auto"/>
              </w:rPr>
            </w:pPr>
            <w:r>
              <w:rPr>
                <w:rFonts w:ascii="Courier New" w:cs="Courier New" w:eastAsia="Courier New" w:hAnsi="Courier New"/>
                <w:sz w:val="16"/>
                <w:szCs w:val="16"/>
                <w:color w:val="auto"/>
                <w:w w:val="97"/>
              </w:rPr>
              <w:t>234.18</w:t>
            </w:r>
          </w:p>
        </w:tc>
      </w:tr>
      <w:tr>
        <w:trPr>
          <w:trHeight w:val="180"/>
        </w:trPr>
        <w:tc>
          <w:tcPr>
            <w:tcW w:w="206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91"/>
              </w:rPr>
              <w:t>10/99</w:t>
            </w:r>
          </w:p>
        </w:tc>
        <w:tc>
          <w:tcPr>
            <w:tcW w:w="5200" w:type="dxa"/>
            <w:vAlign w:val="bottom"/>
          </w:tcPr>
          <w:p>
            <w:pPr>
              <w:jc w:val="center"/>
              <w:ind w:left="1842"/>
              <w:spacing w:after="0"/>
              <w:rPr>
                <w:sz w:val="20"/>
                <w:szCs w:val="20"/>
                <w:color w:val="auto"/>
              </w:rPr>
            </w:pPr>
            <w:r>
              <w:rPr>
                <w:rFonts w:ascii="Courier New" w:cs="Courier New" w:eastAsia="Courier New" w:hAnsi="Courier New"/>
                <w:sz w:val="16"/>
                <w:szCs w:val="16"/>
                <w:color w:val="auto"/>
                <w:w w:val="97"/>
              </w:rPr>
              <w:t>294.46</w:t>
            </w:r>
          </w:p>
        </w:tc>
        <w:tc>
          <w:tcPr>
            <w:tcW w:w="2160" w:type="dxa"/>
            <w:vAlign w:val="bottom"/>
          </w:tcPr>
          <w:p>
            <w:pPr>
              <w:ind w:left="700"/>
              <w:spacing w:after="0"/>
              <w:rPr>
                <w:sz w:val="20"/>
                <w:szCs w:val="20"/>
                <w:color w:val="auto"/>
              </w:rPr>
            </w:pPr>
            <w:r>
              <w:rPr>
                <w:rFonts w:ascii="Courier New" w:cs="Courier New" w:eastAsia="Courier New" w:hAnsi="Courier New"/>
                <w:sz w:val="16"/>
                <w:szCs w:val="16"/>
                <w:color w:val="auto"/>
              </w:rPr>
              <w:t>251.35</w:t>
            </w:r>
          </w:p>
        </w:tc>
        <w:tc>
          <w:tcPr>
            <w:tcW w:w="2100" w:type="dxa"/>
            <w:vAlign w:val="bottom"/>
          </w:tcPr>
          <w:p>
            <w:pPr>
              <w:jc w:val="center"/>
              <w:ind w:left="742"/>
              <w:spacing w:after="0"/>
              <w:rPr>
                <w:sz w:val="20"/>
                <w:szCs w:val="20"/>
                <w:color w:val="auto"/>
              </w:rPr>
            </w:pPr>
            <w:r>
              <w:rPr>
                <w:rFonts w:ascii="Courier New" w:cs="Courier New" w:eastAsia="Courier New" w:hAnsi="Courier New"/>
                <w:sz w:val="16"/>
                <w:szCs w:val="16"/>
                <w:color w:val="auto"/>
                <w:w w:val="97"/>
              </w:rPr>
              <w:t>389.85</w:t>
            </w:r>
          </w:p>
        </w:tc>
      </w:tr>
      <w:tr>
        <w:trPr>
          <w:trHeight w:val="180"/>
        </w:trPr>
        <w:tc>
          <w:tcPr>
            <w:tcW w:w="2060" w:type="dxa"/>
            <w:vAlign w:val="bottom"/>
          </w:tcPr>
          <w:p>
            <w:pPr>
              <w:jc w:val="right"/>
              <w:ind w:right="1522"/>
              <w:spacing w:after="0"/>
              <w:rPr>
                <w:sz w:val="20"/>
                <w:szCs w:val="20"/>
                <w:color w:val="auto"/>
              </w:rPr>
            </w:pPr>
            <w:r>
              <w:rPr>
                <w:rFonts w:ascii="Courier New" w:cs="Courier New" w:eastAsia="Courier New" w:hAnsi="Courier New"/>
                <w:sz w:val="16"/>
                <w:szCs w:val="16"/>
                <w:color w:val="auto"/>
                <w:w w:val="91"/>
              </w:rPr>
              <w:t>10/00</w:t>
            </w:r>
          </w:p>
        </w:tc>
        <w:tc>
          <w:tcPr>
            <w:tcW w:w="5200" w:type="dxa"/>
            <w:vAlign w:val="bottom"/>
          </w:tcPr>
          <w:p>
            <w:pPr>
              <w:jc w:val="center"/>
              <w:ind w:left="1842"/>
              <w:spacing w:after="0"/>
              <w:rPr>
                <w:sz w:val="20"/>
                <w:szCs w:val="20"/>
                <w:color w:val="auto"/>
              </w:rPr>
            </w:pPr>
            <w:r>
              <w:rPr>
                <w:rFonts w:ascii="Courier New" w:cs="Courier New" w:eastAsia="Courier New" w:hAnsi="Courier New"/>
                <w:sz w:val="16"/>
                <w:szCs w:val="16"/>
                <w:color w:val="auto"/>
                <w:w w:val="97"/>
              </w:rPr>
              <w:t>719.72</w:t>
            </w:r>
          </w:p>
        </w:tc>
        <w:tc>
          <w:tcPr>
            <w:tcW w:w="2160" w:type="dxa"/>
            <w:vAlign w:val="bottom"/>
          </w:tcPr>
          <w:p>
            <w:pPr>
              <w:ind w:left="700"/>
              <w:spacing w:after="0"/>
              <w:rPr>
                <w:sz w:val="20"/>
                <w:szCs w:val="20"/>
                <w:color w:val="auto"/>
              </w:rPr>
            </w:pPr>
            <w:r>
              <w:rPr>
                <w:rFonts w:ascii="Courier New" w:cs="Courier New" w:eastAsia="Courier New" w:hAnsi="Courier New"/>
                <w:sz w:val="16"/>
                <w:szCs w:val="16"/>
                <w:color w:val="auto"/>
              </w:rPr>
              <w:t>266.66</w:t>
            </w:r>
          </w:p>
        </w:tc>
        <w:tc>
          <w:tcPr>
            <w:tcW w:w="2100" w:type="dxa"/>
            <w:vAlign w:val="bottom"/>
          </w:tcPr>
          <w:p>
            <w:pPr>
              <w:jc w:val="center"/>
              <w:ind w:left="742"/>
              <w:spacing w:after="0"/>
              <w:rPr>
                <w:sz w:val="20"/>
                <w:szCs w:val="20"/>
                <w:color w:val="auto"/>
              </w:rPr>
            </w:pPr>
            <w:r>
              <w:rPr>
                <w:rFonts w:ascii="Courier New" w:cs="Courier New" w:eastAsia="Courier New" w:hAnsi="Courier New"/>
                <w:sz w:val="16"/>
                <w:szCs w:val="16"/>
                <w:color w:val="auto"/>
                <w:w w:val="97"/>
              </w:rPr>
              <w:t>433.93</w:t>
            </w:r>
          </w:p>
        </w:tc>
      </w:tr>
      <w:tr>
        <w:trPr>
          <w:trHeight w:val="541"/>
        </w:trPr>
        <w:tc>
          <w:tcPr>
            <w:tcW w:w="2060" w:type="dxa"/>
            <w:vAlign w:val="bottom"/>
          </w:tcPr>
          <w:p>
            <w:pPr>
              <w:spacing w:after="0"/>
              <w:rPr>
                <w:sz w:val="24"/>
                <w:szCs w:val="24"/>
                <w:color w:val="auto"/>
              </w:rPr>
            </w:pPr>
          </w:p>
        </w:tc>
        <w:tc>
          <w:tcPr>
            <w:tcW w:w="5200" w:type="dxa"/>
            <w:vAlign w:val="bottom"/>
          </w:tcPr>
          <w:p>
            <w:pPr>
              <w:jc w:val="right"/>
              <w:ind w:right="3342"/>
              <w:spacing w:after="0"/>
              <w:rPr>
                <w:sz w:val="20"/>
                <w:szCs w:val="20"/>
                <w:color w:val="auto"/>
              </w:rPr>
            </w:pPr>
            <w:r>
              <w:rPr>
                <w:rFonts w:ascii="Courier New" w:cs="Courier New" w:eastAsia="Courier New" w:hAnsi="Courier New"/>
                <w:sz w:val="16"/>
                <w:szCs w:val="16"/>
                <w:color w:val="auto"/>
              </w:rPr>
              <w:t>19</w:t>
            </w:r>
          </w:p>
        </w:tc>
        <w:tc>
          <w:tcPr>
            <w:tcW w:w="216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520"/>
          </w:cols>
          <w:pgMar w:left="240" w:top="293" w:right="13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22</w:t>
      </w:r>
    </w:p>
    <w:p>
      <w:pPr>
        <w:spacing w:after="0" w:line="18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NOTICE ABOUT AN ADJUSTMENT TO STOCKHOLDERS' RIGHTS DUE TO OUR 2-FOR-1 STOCK SPLIT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March 1998, our board of directors adopted a stockholders rights plan that provides each outstanding share of our common stock with an associated right. Under certain conditions, each right entitles holders of our common stock to purchase from us one one-thousandth (1/1000th) share of our Series A Junior Participating Preferred Stock at a price of $180 cash, subject to adjustment. Subject to the occurrence of certain events, including a tender or exchange offer, or a merger or acquisition, each right also entitles holders of our common stock to purchase shares of our common stock or shares of the acquiring company at a 50% discount from the then-current market price.</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March 15, 2000, we effected a 2-for-1 stock split of our common stock, and, as a result, each share of our common stock currently has an associated one-half of a right under the stockholders rights plan rather than one whole right. Each whole right (now represented by ownership of two shares of common stock) continues to entitle a stockholder to purchase from us one one-thousandth (1/1000th) share of our Series A Junior Participating Preferred Stock at a price of $180 cash. The stock split did not affect the total number of rights outstanding or the number of rights held by any stockholder.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are providing you with this notice pursuant to the adjustment provision of our stockholder rights plan, which requires us to furnish our stockholders with a brief summary of any adjustment of rights as a result of, among other things, a stock split.</w:t>
      </w:r>
    </w:p>
    <w:p>
      <w:pPr>
        <w:spacing w:after="0" w:line="181"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RATIFICATION OF SELECTION OF INDEPENDENT AUDITORS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Our board of directors, on the recommendation of our audit committee, has</w:t>
      </w:r>
    </w:p>
    <w:p>
      <w:pPr>
        <w:spacing w:after="0"/>
        <w:rPr>
          <w:sz w:val="20"/>
          <w:szCs w:val="20"/>
          <w:color w:val="auto"/>
        </w:rPr>
      </w:pPr>
      <w:r>
        <w:rPr>
          <w:rFonts w:ascii="Courier New" w:cs="Courier New" w:eastAsia="Courier New" w:hAnsi="Courier New"/>
          <w:sz w:val="16"/>
          <w:szCs w:val="16"/>
          <w:color w:val="auto"/>
        </w:rPr>
        <w:t>selected the firm of Ernst &amp; Young LLP, independent auditors, as our auditors</w:t>
      </w:r>
    </w:p>
    <w:p>
      <w:pPr>
        <w:spacing w:after="0" w:line="237" w:lineRule="auto"/>
        <w:rPr>
          <w:sz w:val="20"/>
          <w:szCs w:val="20"/>
          <w:color w:val="auto"/>
        </w:rPr>
      </w:pPr>
      <w:r>
        <w:rPr>
          <w:rFonts w:ascii="Courier New" w:cs="Courier New" w:eastAsia="Courier New" w:hAnsi="Courier New"/>
          <w:sz w:val="16"/>
          <w:szCs w:val="16"/>
          <w:color w:val="auto"/>
        </w:rPr>
        <w:t>for the fiscal year ending November 3, 2001. Although stockholder approval of</w:t>
      </w:r>
    </w:p>
    <w:p>
      <w:pPr>
        <w:spacing w:after="0"/>
        <w:rPr>
          <w:sz w:val="20"/>
          <w:szCs w:val="20"/>
          <w:color w:val="auto"/>
        </w:rPr>
      </w:pPr>
      <w:r>
        <w:rPr>
          <w:rFonts w:ascii="Courier New" w:cs="Courier New" w:eastAsia="Courier New" w:hAnsi="Courier New"/>
          <w:sz w:val="16"/>
          <w:szCs w:val="16"/>
          <w:color w:val="auto"/>
        </w:rPr>
        <w:t>the board of directors' selection of Ernst &amp; Young LLP is not required by law,</w:t>
      </w:r>
    </w:p>
    <w:p>
      <w:pPr>
        <w:spacing w:after="0" w:line="238" w:lineRule="auto"/>
        <w:rPr>
          <w:sz w:val="20"/>
          <w:szCs w:val="20"/>
          <w:color w:val="auto"/>
        </w:rPr>
      </w:pPr>
      <w:r>
        <w:rPr>
          <w:rFonts w:ascii="Courier New" w:cs="Courier New" w:eastAsia="Courier New" w:hAnsi="Courier New"/>
          <w:sz w:val="16"/>
          <w:szCs w:val="16"/>
          <w:color w:val="auto"/>
        </w:rPr>
        <w:t>the board of directors believes that it is advisable to give stockholders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opportunity to ratify this selection. Fees for the fiscal 2000 annual audit were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$764,000. Audit-related fees were an additional $680,000 and include among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things acquisition-related work and registration statements. All other fees,</w:t>
      </w:r>
    </w:p>
    <w:p>
      <w:pPr>
        <w:spacing w:after="0"/>
        <w:rPr>
          <w:sz w:val="20"/>
          <w:szCs w:val="20"/>
          <w:color w:val="auto"/>
        </w:rPr>
      </w:pPr>
      <w:r>
        <w:rPr>
          <w:rFonts w:ascii="Courier New" w:cs="Courier New" w:eastAsia="Courier New" w:hAnsi="Courier New"/>
          <w:sz w:val="16"/>
          <w:szCs w:val="16"/>
          <w:color w:val="auto"/>
        </w:rPr>
        <w:t>which principally relate to tax compliance and tax consulting services,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$557,000. If this proposal is not approved at the 2001 annual meeting,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directors will reconsider its selection of Ernst &amp; Young LLP.</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Representatives of Ernst &amp; Young LLP are expected to be present at the 2001 annual meeting. They will have the opportunity to make a statement if they desire to do so and will also be available to respond to appropriate questions from stockholders.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3"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OTHER MATTERS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Our board of directors does not know of any other matters that may come before the 2001 annual meeting. However, if any other matters are properly presented to the 2001 annual meeting, it is the intention of the persons named in the accompanying proxy to vote, or otherwise act, in accordance with their judgment on such matters.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DEADLINE FOR SUBMISSION OF STOCKHOLDER PROPOSALS FOR THE 2002 ANNUAL MEETING</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must receive proposals of stockholders intended to be presented at the</w:t>
      </w:r>
    </w:p>
    <w:p>
      <w:pPr>
        <w:spacing w:after="0" w:line="4" w:lineRule="exact"/>
        <w:rPr>
          <w:sz w:val="20"/>
          <w:szCs w:val="20"/>
          <w:color w:val="auto"/>
        </w:rPr>
      </w:pPr>
    </w:p>
    <w:p>
      <w:pPr>
        <w:jc w:val="both"/>
        <w:ind w:right="3559"/>
        <w:spacing w:after="0" w:line="237" w:lineRule="auto"/>
        <w:rPr>
          <w:sz w:val="20"/>
          <w:szCs w:val="20"/>
          <w:color w:val="auto"/>
        </w:rPr>
      </w:pPr>
      <w:r>
        <w:rPr>
          <w:rFonts w:ascii="Courier New" w:cs="Courier New" w:eastAsia="Courier New" w:hAnsi="Courier New"/>
          <w:sz w:val="16"/>
          <w:szCs w:val="16"/>
          <w:color w:val="auto"/>
        </w:rPr>
        <w:t>2002 annual meeting of stockholders at our principal office in Norwood, Massachusetts no later than October 12, 2001 for inclusion in the proxy statement for that meeting.</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In connection with the 2002 annual meeting of stockholders, if we do not receive notice of a matter or proposal to be considered by December 28, 2001, then the persons appointed by the board of directors to act as the proxies for the 2002 annual meeting will be allowed to use their discretionary voting authority with respect to any such matter or proposal at the 2002 annual meeting, if such matter or proposal is raised at that annual meeting.</w:t>
      </w:r>
    </w:p>
    <w:p>
      <w:pPr>
        <w:spacing w:after="0" w:line="17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PAUL P. BROUNTAS</w:t>
      </w:r>
    </w:p>
    <w:p>
      <w:pPr>
        <w:ind w:left="4120"/>
        <w:spacing w:after="0"/>
        <w:rPr>
          <w:sz w:val="20"/>
          <w:szCs w:val="20"/>
          <w:color w:val="auto"/>
        </w:rPr>
      </w:pPr>
      <w:r>
        <w:rPr>
          <w:rFonts w:ascii="Courier New" w:cs="Courier New" w:eastAsia="Courier New" w:hAnsi="Courier New"/>
          <w:sz w:val="16"/>
          <w:szCs w:val="16"/>
          <w:color w:val="auto"/>
        </w:rPr>
        <w:t>Clerk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2001</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24</w:t>
      </w:r>
    </w:p>
    <w:p>
      <w:pPr>
        <w:spacing w:after="0" w:line="179" w:lineRule="exact"/>
        <w:rPr>
          <w:sz w:val="20"/>
          <w:szCs w:val="20"/>
          <w:color w:val="auto"/>
        </w:rPr>
      </w:pPr>
    </w:p>
    <w:p>
      <w:pPr>
        <w:jc w:val="right"/>
        <w:ind w:right="4779"/>
        <w:spacing w:after="0"/>
        <w:rPr>
          <w:sz w:val="20"/>
          <w:szCs w:val="20"/>
          <w:color w:val="auto"/>
        </w:rPr>
      </w:pPr>
      <w:r>
        <w:rPr>
          <w:rFonts w:ascii="Courier New" w:cs="Courier New" w:eastAsia="Courier New" w:hAnsi="Courier New"/>
          <w:sz w:val="16"/>
          <w:szCs w:val="16"/>
          <w:color w:val="auto"/>
        </w:rPr>
        <w:t>[This Page Intentionally Left Blank]</w:t>
      </w:r>
    </w:p>
    <w:p>
      <w:pPr>
        <w:sectPr>
          <w:pgSz w:w="11900" w:h="16838" w:orient="portrait"/>
          <w:cols w:equalWidth="0" w:num="1">
            <w:col w:w="9939"/>
          </w:cols>
          <w:pgMar w:left="520" w:top="293"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25</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APPENDIX A</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ANALOG DEVICES, INC.</w:t>
      </w:r>
    </w:p>
    <w:p>
      <w:pPr>
        <w:ind w:left="2620"/>
        <w:spacing w:after="0"/>
        <w:rPr>
          <w:sz w:val="20"/>
          <w:szCs w:val="20"/>
          <w:color w:val="auto"/>
        </w:rPr>
      </w:pPr>
      <w:r>
        <w:rPr>
          <w:rFonts w:ascii="Courier New" w:cs="Courier New" w:eastAsia="Courier New" w:hAnsi="Courier New"/>
          <w:sz w:val="16"/>
          <w:szCs w:val="16"/>
          <w:color w:val="auto"/>
        </w:rPr>
        <w:t>AUDIT COMMITTEE CHARTER</w:t>
      </w:r>
    </w:p>
    <w:p>
      <w:pPr>
        <w:spacing w:after="0" w:line="184"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This charter governs the operations of the Analog Devices Inc. (the "Company") Audit Committee of the Board of Directors (the "Committee"). The Committee will review the charter at least annually and obtain the approval of the charter by the Board of Directors. The Committee shall be appointed by the Board of Directors and shall be comprised of three non-employee directors, each of whom is independent of management and the Company. A Chairman will be either designated by the Board of Directors or elected by the Committee by majority vote. For purposes of this charter, independence has the same meaning as that in the New York Stock Exchange Listed Company Manual. All Committee members will be financially literate, or will become financially literate within a reasonable period of time after appointment to the Committee, and at least one member will have accounting or related financial management expertise.</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Committee will provide assistance to the Board of Directors in fulfilling its oversight responsibility to the shareholders relating to the Company's financial statements and the financial reporting process, the systems of internal accounting and financial controls, the internal audit function and the annual independent audit of the Company's financial statements. In so doing, it is the responsibility of the Committee to maintain free and open communication between the Committee, independent auditors, the internal auditor and management of the Company. In discharging its oversight role, the Committee is empowered to investigate any matter brought to its attention with full access to all books, records, facilities, and personnel of the Company and the power to retain outside counsel, or other experts for this purpose.</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primary responsibility of the Committee is to oversee the Company's financial reporting process on behalf of the Board of Directors and report the results of their activities to the Board of Directors. Management is responsible for preparing the Company's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"tone" for quality financial reporting, sound business risk practices, and ethical behavior.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shall be the principal recurring processes of the Committee in carrying out its oversight responsibilities. The processes are set forth as a guide with the understanding that the Committee may supplement them as appropriate.</w:t>
      </w:r>
    </w:p>
    <w:p>
      <w:pPr>
        <w:spacing w:after="0" w:line="186" w:lineRule="exact"/>
        <w:rPr>
          <w:sz w:val="20"/>
          <w:szCs w:val="20"/>
          <w:color w:val="auto"/>
        </w:rPr>
      </w:pPr>
    </w:p>
    <w:p>
      <w:pPr>
        <w:ind w:left="660" w:right="2719" w:hanging="195"/>
        <w:spacing w:after="0" w:line="238"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a clear understanding with management and the independent auditors that the independent auditors are ultimately accountable to the Board of Directors and the audit Committee, as representatives of the Company's shareholders. The Committee shall have the ultimate authority and responsibility to evaluate and, where appropriate, replace the independent auditors subject to shareholders' approval. The Committee shall review with the auditors their independence from management and the Company and the matters included in the written disclosures required by the Independence Standards Board. Annually, the Committee will review and recommend to the Board of Directors the selection of the Company's independent auditors, subject to shareholders' approval.</w:t>
      </w:r>
    </w:p>
    <w:p>
      <w:pPr>
        <w:spacing w:after="0" w:line="187"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annually inform the independent auditors, the Chief Financial Officer, the Controller, and the most senior person responsible for internal audit activities, that they should promptly contact the Committee or its Chairman about any significant issues or disagreements concerning the Company's accounting practices or financial statements that is not resolved to their satisfaction.</w:t>
      </w:r>
    </w:p>
    <w:p>
      <w:pPr>
        <w:spacing w:after="0" w:line="188" w:lineRule="exact"/>
        <w:rPr>
          <w:rFonts w:ascii="Courier New" w:cs="Courier New" w:eastAsia="Courier New" w:hAnsi="Courier New"/>
          <w:sz w:val="16"/>
          <w:szCs w:val="16"/>
          <w:color w:val="auto"/>
        </w:rPr>
      </w:pPr>
    </w:p>
    <w:p>
      <w:pPr>
        <w:ind w:left="660" w:right="2719" w:hanging="195"/>
        <w:spacing w:after="0" w:line="256" w:lineRule="auto"/>
        <w:tabs>
          <w:tab w:leader="none" w:pos="6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discuss with the internal auditor and the independent auditors the overall scope and plans for their respective audits including the adequacy of staffing and compensation. Also, the Committee will discuss with management, the internal auditor, and the independent auditors the adequacy and effectiveness of the accounting and financial controls, including the Company's system to monitor and manage business risk. Further, the Committee will meet separately with the internal</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29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26</w:t>
      </w:r>
    </w:p>
    <w:p>
      <w:pPr>
        <w:spacing w:after="0" w:line="185" w:lineRule="exact"/>
        <w:rPr>
          <w:sz w:val="20"/>
          <w:szCs w:val="20"/>
          <w:color w:val="auto"/>
        </w:rPr>
      </w:pPr>
    </w:p>
    <w:p>
      <w:pPr>
        <w:ind w:left="380" w:right="3479"/>
        <w:spacing w:after="0" w:line="263" w:lineRule="auto"/>
        <w:rPr>
          <w:sz w:val="20"/>
          <w:szCs w:val="20"/>
          <w:color w:val="auto"/>
        </w:rPr>
      </w:pPr>
      <w:r>
        <w:rPr>
          <w:rFonts w:ascii="Courier New" w:cs="Courier New" w:eastAsia="Courier New" w:hAnsi="Courier New"/>
          <w:sz w:val="15"/>
          <w:szCs w:val="15"/>
          <w:color w:val="auto"/>
        </w:rPr>
        <w:t>auditor and the independent auditors, with and without management present, to discuss the results of their examinations.</w:t>
      </w:r>
    </w:p>
    <w:p>
      <w:pPr>
        <w:spacing w:after="0" w:line="169" w:lineRule="exact"/>
        <w:rPr>
          <w:sz w:val="20"/>
          <w:szCs w:val="20"/>
          <w:color w:val="auto"/>
        </w:rPr>
      </w:pPr>
    </w:p>
    <w:p>
      <w:pPr>
        <w:ind w:left="380" w:right="2719" w:hanging="195"/>
        <w:spacing w:after="0" w:line="238" w:lineRule="auto"/>
        <w:tabs>
          <w:tab w:leader="none" w:pos="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direct the independent auditor to use its best efforts to perform reviews of interim financial information prior to disclosure by the Company of such information. The Committee shall review the quarterly interim financial statements with management and the independent auditors prior to the filing of the Company's Quarterly Report on Form 10-Q. Also, the Committee will discuss the results of the quarterly review and any other matters required to be communicated to the Committee by the independent auditors under generally accepted auditing standards. The chair of the Committee may represent the entire Committee for the purposes of this review.</w:t>
      </w:r>
    </w:p>
    <w:p>
      <w:pPr>
        <w:spacing w:after="0" w:line="186" w:lineRule="exact"/>
        <w:rPr>
          <w:rFonts w:ascii="Courier New" w:cs="Courier New" w:eastAsia="Courier New" w:hAnsi="Courier New"/>
          <w:sz w:val="16"/>
          <w:szCs w:val="16"/>
          <w:color w:val="auto"/>
        </w:rPr>
      </w:pPr>
    </w:p>
    <w:p>
      <w:pPr>
        <w:ind w:left="380" w:right="2719" w:hanging="195"/>
        <w:spacing w:after="0" w:line="238" w:lineRule="auto"/>
        <w:tabs>
          <w:tab w:leader="none" w:pos="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review with management and the independent auditors the financial statements to be included in the Company's Annual Report on Form 10-K, including their judgment about the quality, not just acceptability, of accounting principles, the reasonableness of significant judgments, and the clarity of the disclosures in the financial statements. Also, the Committee will discuss the results of the annual audit and any other matters required to be communicated to the Committee by the independent auditors under generally accepted auditing standards and consider whether it will recommend to the Board of Directors that the Company's audited financial statements be included in the Company's Annual Reports on Form 10-K.</w:t>
      </w:r>
    </w:p>
    <w:p>
      <w:pPr>
        <w:spacing w:after="0" w:line="187" w:lineRule="exact"/>
        <w:rPr>
          <w:rFonts w:ascii="Courier New" w:cs="Courier New" w:eastAsia="Courier New" w:hAnsi="Courier New"/>
          <w:sz w:val="16"/>
          <w:szCs w:val="16"/>
          <w:color w:val="auto"/>
        </w:rPr>
      </w:pPr>
    </w:p>
    <w:p>
      <w:pPr>
        <w:ind w:left="380" w:right="3099" w:hanging="195"/>
        <w:spacing w:after="0" w:line="237" w:lineRule="auto"/>
        <w:tabs>
          <w:tab w:leader="none" w:pos="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prepare for inclusion where necessary in a proxy or information statement of the Company relating to an annual meeting of security holders at which directors are to be elected, the report described in Item 306 of Regulation S-K.</w:t>
      </w:r>
    </w:p>
    <w:p>
      <w:pPr>
        <w:spacing w:after="0" w:line="18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9939"/>
          </w:cols>
          <w:pgMar w:left="520" w:top="29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27</w:t>
      </w:r>
    </w:p>
    <w:p>
      <w:pPr>
        <w:spacing w:after="0" w:line="179"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6"/>
          <w:szCs w:val="16"/>
          <w:color w:val="auto"/>
        </w:rPr>
        <w:t>[This Page Intentionally Left Blank]</w:t>
      </w:r>
    </w:p>
    <w:p>
      <w:pPr>
        <w:sectPr>
          <w:pgSz w:w="11900" w:h="16838" w:orient="portrait"/>
          <w:cols w:equalWidth="0" w:num="1">
            <w:col w:w="9939"/>
          </w:cols>
          <w:pgMar w:left="520" w:top="29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28</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SKU #520-PS-2001</w:t>
      </w:r>
    </w:p>
    <w:p>
      <w:pPr>
        <w:sectPr>
          <w:pgSz w:w="11900" w:h="16838" w:orient="portrait"/>
          <w:cols w:equalWidth="0" w:num="1">
            <w:col w:w="9939"/>
          </w:cols>
          <w:pgMar w:left="520" w:top="293"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29</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DETACH HERE</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PROXY</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ANALOG DEVICES, INC.</w:t>
      </w:r>
    </w:p>
    <w:p>
      <w:pPr>
        <w:spacing w:after="0" w:line="17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ANNUAL MEETING OF STOCKHOLDERS - MARCH 13, 2001</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undersigned, revoking all prior proxies, hereby appoints Ray Stata, Jerald G. Fishman and Paul P. Brountas, and each of them, with full power of substitution, as proxies to represent and vote as designated hereon, all shares of stock of Analog Devices, Inc. which the undersigned would be entitled to vote if personally present at the Annual Meeting of Stockholders of the Company to be held at the Hilton at Dedham Place, 25 Allied Drive, Dedham, Massachusetts 02028, on Tuesday, March 13, 2001, at 10:00 a.m. (Local Time) and at any adjournment thereof.</w:t>
      </w:r>
    </w:p>
    <w:p>
      <w:pPr>
        <w:spacing w:after="0" w:line="185" w:lineRule="exact"/>
        <w:rPr>
          <w:sz w:val="20"/>
          <w:szCs w:val="20"/>
          <w:color w:val="auto"/>
        </w:rPr>
      </w:pPr>
    </w:p>
    <w:p>
      <w:pPr>
        <w:jc w:val="both"/>
        <w:ind w:right="3099" w:firstLine="469"/>
        <w:spacing w:after="0" w:line="263" w:lineRule="auto"/>
        <w:rPr>
          <w:sz w:val="20"/>
          <w:szCs w:val="20"/>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 OR ANY ADJOURNMENT THEREOF.</w:t>
      </w:r>
    </w:p>
    <w:p>
      <w:pPr>
        <w:spacing w:after="0" w:line="16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(CONTINUED AND TO BE SIGNED ON REVERSE SIDE)</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PLEASE FILL IN, DATE, SIGN AND MAIL THIS PROXY IN THE</w:t>
      </w:r>
    </w:p>
    <w:p>
      <w:pPr>
        <w:ind w:left="1960"/>
        <w:spacing w:after="0"/>
        <w:rPr>
          <w:sz w:val="20"/>
          <w:szCs w:val="20"/>
          <w:color w:val="auto"/>
        </w:rPr>
      </w:pPr>
      <w:r>
        <w:rPr>
          <w:rFonts w:ascii="Courier New" w:cs="Courier New" w:eastAsia="Courier New" w:hAnsi="Courier New"/>
          <w:sz w:val="16"/>
          <w:szCs w:val="16"/>
          <w:color w:val="auto"/>
        </w:rPr>
        <w:t>ENCLOSED POSTAGE-PAID RETURN ENVELOPE.</w:t>
      </w:r>
    </w:p>
    <w:p>
      <w:pPr>
        <w:sectPr>
          <w:pgSz w:w="11900" w:h="16838" w:orient="portrait"/>
          <w:cols w:equalWidth="0" w:num="1">
            <w:col w:w="10219"/>
          </w:cols>
          <w:pgMar w:left="240" w:top="293" w:right="1440"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SEE REVERSE</w:t>
      </w:r>
    </w:p>
    <w:p>
      <w:pPr>
        <w:ind w:left="460"/>
        <w:spacing w:after="0"/>
        <w:rPr>
          <w:sz w:val="20"/>
          <w:szCs w:val="20"/>
          <w:color w:val="auto"/>
        </w:rPr>
      </w:pPr>
      <w:r>
        <w:rPr>
          <w:rFonts w:ascii="Courier New" w:cs="Courier New" w:eastAsia="Courier New" w:hAnsi="Courier New"/>
          <w:sz w:val="16"/>
          <w:szCs w:val="16"/>
          <w:color w:val="auto"/>
        </w:rPr>
        <w:t>SIDE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REVERSE</w:t>
      </w:r>
    </w:p>
    <w:p>
      <w:pPr>
        <w:ind w:left="280"/>
        <w:spacing w:after="0"/>
        <w:rPr>
          <w:sz w:val="20"/>
          <w:szCs w:val="20"/>
          <w:color w:val="auto"/>
        </w:rPr>
      </w:pPr>
      <w:r>
        <w:rPr>
          <w:rFonts w:ascii="Courier New" w:cs="Courier New" w:eastAsia="Courier New" w:hAnsi="Courier New"/>
          <w:sz w:val="16"/>
          <w:szCs w:val="16"/>
          <w:color w:val="auto"/>
        </w:rPr>
        <w:t>SIDE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5560" w:space="720"/>
            <w:col w:w="3939"/>
          </w:cols>
          <w:pgMar w:left="240" w:top="293" w:right="1440" w:bottom="1440" w:gutter="0" w:footer="0" w:header="0"/>
          <w:type w:val="continuous"/>
        </w:sectPr>
      </w:pPr>
    </w:p>
    <w:bookmarkStart w:id="29" w:name="page30"/>
    <w:bookmarkEnd w:id="29"/>
    <w:p>
      <w:pPr>
        <w:ind w:left="284"/>
        <w:spacing w:after="0"/>
        <w:rPr>
          <w:sz w:val="20"/>
          <w:szCs w:val="20"/>
          <w:color w:val="auto"/>
        </w:rPr>
      </w:pPr>
      <w:r>
        <w:rPr>
          <w:rFonts w:ascii="Courier New" w:cs="Courier New" w:eastAsia="Courier New" w:hAnsi="Courier New"/>
          <w:sz w:val="16"/>
          <w:szCs w:val="16"/>
          <w:color w:val="auto"/>
        </w:rPr>
        <w:t>30</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ANALOG DEVICES, INC.</w:t>
      </w:r>
    </w:p>
    <w:p>
      <w:pPr>
        <w:ind w:left="284"/>
        <w:spacing w:after="0"/>
        <w:rPr>
          <w:sz w:val="20"/>
          <w:szCs w:val="20"/>
          <w:color w:val="auto"/>
        </w:rPr>
      </w:pPr>
      <w:r>
        <w:rPr>
          <w:rFonts w:ascii="Courier New" w:cs="Courier New" w:eastAsia="Courier New" w:hAnsi="Courier New"/>
          <w:sz w:val="16"/>
          <w:szCs w:val="16"/>
          <w:color w:val="auto"/>
        </w:rPr>
        <w:t>ONE TECHNOLOGY WAY</w:t>
      </w:r>
    </w:p>
    <w:p>
      <w:pPr>
        <w:ind w:left="284"/>
        <w:spacing w:after="0" w:line="237" w:lineRule="auto"/>
        <w:rPr>
          <w:sz w:val="20"/>
          <w:szCs w:val="20"/>
          <w:color w:val="auto"/>
        </w:rPr>
      </w:pPr>
      <w:r>
        <w:rPr>
          <w:rFonts w:ascii="Courier New" w:cs="Courier New" w:eastAsia="Courier New" w:hAnsi="Courier New"/>
          <w:sz w:val="16"/>
          <w:szCs w:val="16"/>
          <w:color w:val="auto"/>
        </w:rPr>
        <w:t>P.O. BOX 9106</w:t>
      </w:r>
    </w:p>
    <w:p>
      <w:pPr>
        <w:ind w:left="284"/>
        <w:spacing w:after="0"/>
        <w:rPr>
          <w:sz w:val="20"/>
          <w:szCs w:val="20"/>
          <w:color w:val="auto"/>
        </w:rPr>
      </w:pPr>
      <w:r>
        <w:rPr>
          <w:rFonts w:ascii="Courier New" w:cs="Courier New" w:eastAsia="Courier New" w:hAnsi="Courier New"/>
          <w:sz w:val="16"/>
          <w:szCs w:val="16"/>
          <w:color w:val="auto"/>
        </w:rPr>
        <w:t>NORWOOD, MA 02062-9106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DETACH HERE</w:t>
      </w:r>
    </w:p>
    <w:p>
      <w:pPr>
        <w:spacing w:after="0" w:line="365" w:lineRule="exact"/>
        <w:rPr>
          <w:sz w:val="20"/>
          <w:szCs w:val="20"/>
          <w:color w:val="auto"/>
        </w:rPr>
      </w:pPr>
    </w:p>
    <w:p>
      <w:pPr>
        <w:ind w:left="384" w:right="8619" w:hanging="384"/>
        <w:spacing w:after="0" w:line="259" w:lineRule="auto"/>
        <w:tabs>
          <w:tab w:leader="none" w:pos="38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MARK VOTES AS IN THIS EXAMPLE.</w:t>
      </w:r>
    </w:p>
    <w:p>
      <w:pPr>
        <w:spacing w:after="0" w:line="352"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UNLESS OTHERWISE INSTRUCTED, THIS PROXY WILL BE VOTED IN FAVOR OF THE PROPOSALS SET FORTH BELOW.</w:t>
      </w:r>
    </w:p>
    <w:p>
      <w:pPr>
        <w:spacing w:after="0" w:line="185" w:lineRule="exact"/>
        <w:rPr>
          <w:sz w:val="20"/>
          <w:szCs w:val="20"/>
          <w:color w:val="auto"/>
        </w:rPr>
      </w:pPr>
    </w:p>
    <w:p>
      <w:pPr>
        <w:ind w:left="384" w:right="4599" w:hanging="384"/>
        <w:spacing w:after="0" w:line="236" w:lineRule="auto"/>
        <w:tabs>
          <w:tab w:leader="none" w:pos="3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Class II Directors for a term of three years (for both nominees except as marked below).</w:t>
      </w:r>
    </w:p>
    <w:p>
      <w:pPr>
        <w:spacing w:after="0" w:line="179" w:lineRule="exact"/>
        <w:rPr>
          <w:rFonts w:ascii="Courier New" w:cs="Courier New" w:eastAsia="Courier New" w:hAnsi="Courier New"/>
          <w:sz w:val="16"/>
          <w:szCs w:val="16"/>
          <w:color w:val="auto"/>
        </w:rPr>
      </w:pP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NOMINEES: (01) Jerald G. Fishman, (02) F. Grant Saviers</w:t>
      </w:r>
    </w:p>
    <w:p>
      <w:pPr>
        <w:sectPr>
          <w:pgSz w:w="11900" w:h="16838" w:orient="portrait"/>
          <w:cols w:equalWidth="0" w:num="1">
            <w:col w:w="10223"/>
          </w:cols>
          <w:pgMar w:left="236" w:top="293" w:right="1440" w:bottom="1440" w:gutter="0" w:footer="0" w:header="0"/>
        </w:sectPr>
      </w:pPr>
    </w:p>
    <w:p>
      <w:pPr>
        <w:spacing w:after="0" w:line="360" w:lineRule="exact"/>
        <w:rPr>
          <w:sz w:val="20"/>
          <w:szCs w:val="20"/>
          <w:color w:val="auto"/>
        </w:rPr>
      </w:pPr>
    </w:p>
    <w:p>
      <w:pPr>
        <w:ind w:left="664"/>
        <w:spacing w:after="0"/>
        <w:rPr>
          <w:sz w:val="20"/>
          <w:szCs w:val="20"/>
          <w:color w:val="auto"/>
        </w:rPr>
      </w:pPr>
      <w:r>
        <w:rPr>
          <w:rFonts w:ascii="Courier New" w:cs="Courier New" w:eastAsia="Courier New" w:hAnsi="Courier New"/>
          <w:sz w:val="16"/>
          <w:szCs w:val="16"/>
          <w:color w:val="auto"/>
        </w:rPr>
        <w:t>FOR</w:t>
      </w:r>
    </w:p>
    <w:p>
      <w:pPr>
        <w:ind w:left="664"/>
        <w:spacing w:after="0"/>
        <w:rPr>
          <w:sz w:val="20"/>
          <w:szCs w:val="20"/>
          <w:color w:val="auto"/>
        </w:rPr>
      </w:pPr>
      <w:r>
        <w:rPr>
          <w:rFonts w:ascii="Courier New" w:cs="Courier New" w:eastAsia="Courier New" w:hAnsi="Courier New"/>
          <w:sz w:val="16"/>
          <w:szCs w:val="16"/>
          <w:color w:val="auto"/>
        </w:rPr>
        <w:t>BOTH</w:t>
      </w:r>
    </w:p>
    <w:p>
      <w:pPr>
        <w:spacing w:after="0" w:line="3"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NOMINEES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WITHHELD</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FROM BOTH</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NOMINEES</w:t>
      </w:r>
    </w:p>
    <w:p>
      <w:pPr>
        <w:spacing w:after="0" w:line="200" w:lineRule="exact"/>
        <w:rPr>
          <w:sz w:val="20"/>
          <w:szCs w:val="20"/>
          <w:color w:val="auto"/>
        </w:rPr>
      </w:pPr>
    </w:p>
    <w:p>
      <w:pPr>
        <w:sectPr>
          <w:pgSz w:w="11900" w:h="16838" w:orient="portrait"/>
          <w:cols w:equalWidth="0" w:num="3">
            <w:col w:w="1224" w:space="80"/>
            <w:col w:w="800" w:space="720"/>
            <w:col w:w="7399"/>
          </w:cols>
          <w:pgMar w:left="236" w:top="293" w:right="1440" w:bottom="1440" w:gutter="0" w:footer="0" w:header="0"/>
          <w:type w:val="continuous"/>
        </w:sectPr>
      </w:pPr>
    </w:p>
    <w:p>
      <w:pPr>
        <w:spacing w:after="0" w:line="165" w:lineRule="exact"/>
        <w:rPr>
          <w:sz w:val="20"/>
          <w:szCs w:val="20"/>
          <w:color w:val="auto"/>
        </w:rPr>
      </w:pPr>
    </w:p>
    <w:p>
      <w:pPr>
        <w:ind w:left="564" w:hanging="189"/>
        <w:spacing w:after="0"/>
        <w:tabs>
          <w:tab w:leader="none" w:pos="56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w:t>
      </w:r>
    </w:p>
    <w:p>
      <w:pPr>
        <w:spacing w:after="0" w:line="6"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 both nominees except as noted above</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4"/>
        <w:spacing w:after="0"/>
        <w:tabs>
          <w:tab w:leader="none" w:pos="363" w:val="left"/>
        </w:tabs>
        <w:rPr>
          <w:sz w:val="20"/>
          <w:szCs w:val="20"/>
          <w:color w:val="auto"/>
        </w:rPr>
      </w:pPr>
      <w:r>
        <w:rPr>
          <w:rFonts w:ascii="Courier New" w:cs="Courier New" w:eastAsia="Courier New" w:hAnsi="Courier New"/>
          <w:sz w:val="15"/>
          <w:szCs w:val="15"/>
          <w:color w:val="auto"/>
        </w:rPr>
        <w:t>2.</w:t>
        <w:tab/>
        <w:t>To ratify the selection by the Board of</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AGAINST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ABSTAIN</w:t>
      </w:r>
    </w:p>
    <w:p>
      <w:pPr>
        <w:spacing w:after="0" w:line="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ectPr>
          <w:pgSz w:w="11900" w:h="16838" w:orient="portrait"/>
          <w:cols w:equalWidth="0" w:num="4">
            <w:col w:w="4024" w:space="480"/>
            <w:col w:w="320" w:space="720"/>
            <w:col w:w="640" w:space="660"/>
            <w:col w:w="33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6"/>
          <w:szCs w:val="16"/>
          <w:color w:val="auto"/>
        </w:rPr>
        <w:t>Directors of Ernst &amp; Young LLP as the</w:t>
      </w:r>
    </w:p>
    <w:p>
      <w:pPr>
        <w:ind w:left="384"/>
        <w:spacing w:after="0" w:line="237" w:lineRule="auto"/>
        <w:rPr>
          <w:sz w:val="20"/>
          <w:szCs w:val="20"/>
          <w:color w:val="auto"/>
        </w:rPr>
      </w:pPr>
      <w:r>
        <w:rPr>
          <w:rFonts w:ascii="Courier New" w:cs="Courier New" w:eastAsia="Courier New" w:hAnsi="Courier New"/>
          <w:sz w:val="16"/>
          <w:szCs w:val="16"/>
          <w:color w:val="auto"/>
        </w:rPr>
        <w:t>Company's independent auditors for the</w:t>
      </w:r>
    </w:p>
    <w:p>
      <w:pPr>
        <w:ind w:left="384"/>
        <w:spacing w:after="0"/>
        <w:rPr>
          <w:sz w:val="20"/>
          <w:szCs w:val="20"/>
          <w:color w:val="auto"/>
        </w:rPr>
      </w:pPr>
      <w:r>
        <w:rPr>
          <w:rFonts w:ascii="Courier New" w:cs="Courier New" w:eastAsia="Courier New" w:hAnsi="Courier New"/>
          <w:sz w:val="16"/>
          <w:szCs w:val="16"/>
          <w:color w:val="auto"/>
        </w:rPr>
        <w:t>fiscal year ending November 3, 2001.</w:t>
      </w:r>
    </w:p>
    <w:p>
      <w:pPr>
        <w:spacing w:after="0" w:line="184" w:lineRule="exact"/>
        <w:rPr>
          <w:sz w:val="20"/>
          <w:szCs w:val="20"/>
          <w:color w:val="auto"/>
        </w:rPr>
      </w:pPr>
    </w:p>
    <w:p>
      <w:pPr>
        <w:ind w:left="384" w:right="4119"/>
        <w:spacing w:after="0" w:line="236" w:lineRule="auto"/>
        <w:rPr>
          <w:sz w:val="20"/>
          <w:szCs w:val="20"/>
          <w:color w:val="auto"/>
        </w:rPr>
      </w:pPr>
      <w:r>
        <w:rPr>
          <w:rFonts w:ascii="Courier New" w:cs="Courier New" w:eastAsia="Courier New" w:hAnsi="Courier New"/>
          <w:sz w:val="16"/>
          <w:szCs w:val="16"/>
          <w:color w:val="auto"/>
        </w:rPr>
        <w:t>The stockholders will also act on any other business that may properly come before the meeting.</w:t>
      </w:r>
    </w:p>
    <w:p>
      <w:pPr>
        <w:sectPr>
          <w:pgSz w:w="11900" w:h="16838" w:orient="portrait"/>
          <w:cols w:equalWidth="0" w:num="1">
            <w:col w:w="10223"/>
          </w:cols>
          <w:pgMar w:left="236" w:top="293" w:right="1440" w:bottom="1440" w:gutter="0" w:footer="0" w:header="0"/>
          <w:type w:val="continuous"/>
        </w:sectPr>
      </w:pPr>
    </w:p>
    <w:p>
      <w:pPr>
        <w:spacing w:after="0" w:line="365" w:lineRule="exact"/>
        <w:rPr>
          <w:sz w:val="20"/>
          <w:szCs w:val="20"/>
          <w:color w:val="auto"/>
        </w:rPr>
      </w:pPr>
    </w:p>
    <w:p>
      <w:pPr>
        <w:ind w:left="744" w:firstLine="188"/>
        <w:spacing w:after="0" w:line="257" w:lineRule="auto"/>
        <w:rPr>
          <w:sz w:val="20"/>
          <w:szCs w:val="20"/>
          <w:color w:val="auto"/>
        </w:rPr>
      </w:pPr>
      <w:r>
        <w:rPr>
          <w:rFonts w:ascii="Courier New" w:cs="Courier New" w:eastAsia="Courier New" w:hAnsi="Courier New"/>
          <w:sz w:val="15"/>
          <w:szCs w:val="15"/>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MARK HERE</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IF YOU PLAN</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TO ATTEND</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THE MEETING</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731" w:lineRule="exact"/>
        <w:rPr>
          <w:sz w:val="20"/>
          <w:szCs w:val="20"/>
          <w:color w:val="auto"/>
        </w:rPr>
      </w:pPr>
    </w:p>
    <w:p>
      <w:pPr>
        <w:sectPr>
          <w:pgSz w:w="11900" w:h="16838" w:orient="portrait"/>
          <w:cols w:equalWidth="0" w:num="4">
            <w:col w:w="1884" w:space="80"/>
            <w:col w:w="2280" w:space="720"/>
            <w:col w:w="1040" w:space="100"/>
            <w:col w:w="4119"/>
          </w:cols>
          <w:pgMar w:left="236" w:top="293" w:right="1440" w:bottom="1440" w:gutter="0" w:footer="0" w:header="0"/>
          <w:type w:val="continuous"/>
        </w:sectPr>
      </w:pPr>
    </w:p>
    <w:p>
      <w:pPr>
        <w:ind w:left="284" w:right="2899"/>
        <w:spacing w:after="0" w:line="237" w:lineRule="auto"/>
        <w:rPr>
          <w:sz w:val="20"/>
          <w:szCs w:val="20"/>
          <w:color w:val="auto"/>
        </w:rPr>
      </w:pPr>
      <w:r>
        <w:rPr>
          <w:rFonts w:ascii="Courier New" w:cs="Courier New" w:eastAsia="Courier New" w:hAnsi="Courier New"/>
          <w:sz w:val="16"/>
          <w:szCs w:val="16"/>
          <w:color w:val="auto"/>
        </w:rPr>
        <w:t>Please sign exactly as your name appears hereon. If the stock is registered in the names of two or more persons, each should sign. Executors, administrators, trustees, guardians, attorneys and corporate officers should add their titles.</w:t>
      </w:r>
    </w:p>
    <w:p>
      <w:pPr>
        <w:spacing w:after="0" w:line="200" w:lineRule="exact"/>
        <w:rPr>
          <w:sz w:val="20"/>
          <w:szCs w:val="20"/>
          <w:color w:val="auto"/>
        </w:rPr>
      </w:pPr>
    </w:p>
    <w:p>
      <w:pPr>
        <w:spacing w:after="0" w:line="347"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Signature:_______________ Date: _______ Signature:________________ Date: _______</w:t>
      </w:r>
    </w:p>
    <w:sectPr>
      <w:pgSz w:w="11900" w:h="16838" w:orient="portrait"/>
      <w:cols w:equalWidth="0" w:num="1">
        <w:col w:w="10223"/>
      </w:cols>
      <w:pgMar w:left="236" w:top="29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2)"/>
      <w:numFmt w:val="decimal"/>
      <w:start w:val="1"/>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upperLetter"/>
      <w:start w:val="1"/>
    </w:lvl>
    <w:lvl w:ilvl="1">
      <w:lvlJc w:val="left"/>
      <w:lvlText w:val="%2."/>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4"/>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8"/>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upperLetter"/>
      <w:start w:val="24"/>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2019-12-12T08:26:53Z</dcterms:created>
  <dcterms:modified xsi:type="dcterms:W3CDTF">2019-12-12T08:26:53Z</dcterms:modified>
</cp:coreProperties>
</file>