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Analog Devices, Incorporated</w:t>
      </w:r>
    </w:p>
    <w:p>
      <w:pPr>
        <w:spacing w:after="0" w:line="3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032654105</w:t>
      </w:r>
    </w:p>
    <w:p>
      <w:pPr>
        <w:spacing w:after="0" w:line="3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2005</w:t>
      </w:r>
    </w:p>
    <w:p>
      <w:pPr>
        <w:spacing w:after="0" w:line="3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right="841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49"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540"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169"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spacing w:after="0" w:line="31" w:lineRule="exact"/>
        <w:rPr>
          <w:sz w:val="24"/>
          <w:szCs w:val="24"/>
          <w:color w:val="auto"/>
        </w:rPr>
      </w:pPr>
    </w:p>
    <w:p>
      <w:pPr>
        <w:ind w:left="540"/>
        <w:spacing w:after="0"/>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169"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31" w:lineRule="exact"/>
        <w:rPr>
          <w:sz w:val="24"/>
          <w:szCs w:val="24"/>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ind w:left="540" w:right="5899" w:hanging="427"/>
        <w:spacing w:after="0" w:line="58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11" w:orient="portrait"/>
          <w:cols w:equalWidth="0" w:num="1">
            <w:col w:w="10219"/>
          </w:cols>
          <w:pgMar w:left="240" w:top="218" w:right="1440" w:bottom="0" w:gutter="0" w:footer="0" w:header="0"/>
        </w:sectPr>
      </w:pPr>
    </w:p>
    <w:bookmarkStart w:id="1" w:name="page2"/>
    <w:bookmarkEnd w:id="1"/>
    <w:p>
      <w:pPr>
        <w:ind w:left="1900" w:right="6639" w:hanging="523"/>
        <w:spacing w:after="0" w:line="670"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10,115,000</w:t>
      </w:r>
    </w:p>
    <w:p>
      <w:pPr>
        <w:spacing w:after="0" w:line="1"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8"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38,181,670</w:t>
      </w:r>
    </w:p>
    <w:p>
      <w:pPr>
        <w:ind w:left="320"/>
        <w:spacing w:after="0" w:line="238"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900" w:right="5899" w:hanging="523"/>
        <w:spacing w:after="0" w:line="458"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38,181,670</w:t>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right="2519" w:hanging="427"/>
        <w:spacing w:after="0" w:line="34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20" w:lineRule="exact"/>
        <w:rPr>
          <w:rFonts w:ascii="Courier New" w:cs="Courier New" w:eastAsia="Courier New" w:hAnsi="Courier New"/>
          <w:sz w:val="18"/>
          <w:szCs w:val="18"/>
          <w:color w:val="auto"/>
        </w:rPr>
      </w:pPr>
    </w:p>
    <w:p>
      <w:pPr>
        <w:ind w:left="540" w:right="4739" w:hanging="427"/>
        <w:spacing w:after="0" w:line="476"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10.4%</w:t>
      </w:r>
    </w:p>
    <w:p>
      <w:pPr>
        <w:spacing w:after="0" w:line="1" w:lineRule="exact"/>
        <w:rPr>
          <w:rFonts w:ascii="Courier New" w:cs="Courier New" w:eastAsia="Courier New" w:hAnsi="Courier New"/>
          <w:sz w:val="18"/>
          <w:szCs w:val="18"/>
          <w:color w:val="auto"/>
        </w:rPr>
      </w:pPr>
    </w:p>
    <w:p>
      <w:pPr>
        <w:ind w:left="540" w:right="5159" w:hanging="427"/>
        <w:spacing w:after="0" w:line="58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032654105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10" w:right="1440" w:bottom="0" w:gutter="0" w:footer="0" w:header="0"/>
          <w:type w:val="continuous"/>
        </w:sectPr>
      </w:pPr>
    </w:p>
    <w:p>
      <w:pPr>
        <w:spacing w:after="0" w:line="22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Analog Devices, Incorporated</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One Technology Way</w:t>
      </w:r>
    </w:p>
    <w:p>
      <w:pPr>
        <w:ind w:left="740"/>
        <w:spacing w:after="0"/>
        <w:tabs>
          <w:tab w:leader="none" w:pos="210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02062-9106</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10" w:right="1440" w:bottom="0" w:gutter="0" w:footer="0" w:header="0"/>
          <w:type w:val="continuous"/>
        </w:sectPr>
      </w:pPr>
    </w:p>
    <w:p>
      <w:pPr>
        <w:spacing w:after="0" w:line="9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10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Residence: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311"/>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96"/>
        </w:trPr>
        <w:tc>
          <w:tcPr>
            <w:tcW w:w="70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Common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Stock</w:t>
            </w:r>
          </w:p>
        </w:tc>
        <w:tc>
          <w:tcPr>
            <w:tcW w:w="80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11"/>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96"/>
        </w:trPr>
        <w:tc>
          <w:tcPr>
            <w:tcW w:w="70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032654105</w:t>
            </w:r>
          </w:p>
        </w:tc>
        <w:tc>
          <w:tcPr>
            <w:tcW w:w="80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11"/>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96"/>
        </w:trPr>
        <w:tc>
          <w:tcPr>
            <w:tcW w:w="70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(d)</w:t>
            </w:r>
          </w:p>
        </w:tc>
        <w:tc>
          <w:tcPr>
            <w:tcW w:w="780" w:type="dxa"/>
            <w:vAlign w:val="bottom"/>
          </w:tcPr>
          <w:p>
            <w:pPr>
              <w:ind w:left="140"/>
              <w:spacing w:after="0"/>
              <w:rPr>
                <w:sz w:val="20"/>
                <w:szCs w:val="20"/>
                <w:color w:val="auto"/>
              </w:rPr>
            </w:pPr>
            <w:r>
              <w:rPr>
                <w:rFonts w:ascii="Courier New" w:cs="Courier New" w:eastAsia="Courier New" w:hAnsi="Courier New"/>
                <w:sz w:val="18"/>
                <w:szCs w:val="18"/>
                <w:color w:val="auto"/>
              </w:rPr>
              <w:t>[X]</w:t>
            </w:r>
          </w:p>
        </w:tc>
        <w:tc>
          <w:tcPr>
            <w:tcW w:w="52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Investment company registered under section 8</w:t>
            </w:r>
          </w:p>
        </w:tc>
      </w:tr>
    </w:tbl>
    <w:p>
      <w:pPr>
        <w:sectPr>
          <w:pgSz w:w="11900" w:h="16838" w:orient="portrait"/>
          <w:cols w:equalWidth="0" w:num="1">
            <w:col w:w="10219"/>
          </w:cols>
          <w:pgMar w:left="240" w:top="110"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of the Investment Company Act of 1940 (15 U.S.C. 80a-8).</w:t>
      </w:r>
    </w:p>
    <w:p>
      <w:pPr>
        <w:spacing w:after="0" w:line="31" w:lineRule="exact"/>
        <w:rPr>
          <w:sz w:val="20"/>
          <w:szCs w:val="20"/>
          <w:color w:val="auto"/>
        </w:rPr>
      </w:pPr>
    </w:p>
    <w:p>
      <w:pPr>
        <w:ind w:left="1280" w:right="3479" w:hanging="535"/>
        <w:spacing w:after="0" w:line="309"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5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939"/>
        <w:spacing w:after="0" w:line="292"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30" w:lineRule="exact"/>
        <w:rPr>
          <w:rFonts w:ascii="Courier New" w:cs="Courier New" w:eastAsia="Courier New" w:hAnsi="Courier New"/>
          <w:sz w:val="18"/>
          <w:szCs w:val="18"/>
          <w:color w:val="auto"/>
        </w:rPr>
      </w:pP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379" w:lineRule="exact"/>
        <w:rPr>
          <w:sz w:val="20"/>
          <w:szCs w:val="20"/>
          <w:color w:val="auto"/>
        </w:rPr>
      </w:pPr>
    </w:p>
    <w:p>
      <w:pPr>
        <w:ind w:left="740" w:right="2939"/>
        <w:spacing w:after="0" w:line="293"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38,181,670 shares or 10.4% of the 366,832,000 shares of Common Stock believed to be outstanding as a result of acting as investment adviser to various investment companies registered under Section 8 of the Investment Company Act of 1940.</w:t>
      </w:r>
    </w:p>
    <w:p>
      <w:pPr>
        <w:spacing w:after="0" w:line="72" w:lineRule="exact"/>
        <w:rPr>
          <w:sz w:val="20"/>
          <w:szCs w:val="20"/>
          <w:color w:val="auto"/>
        </w:rPr>
      </w:pPr>
    </w:p>
    <w:p>
      <w:pPr>
        <w:ind w:left="740" w:right="2839" w:hanging="736"/>
        <w:spacing w:after="0" w:line="265"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90" w:lineRule="exact"/>
        <w:rPr>
          <w:sz w:val="20"/>
          <w:szCs w:val="20"/>
          <w:color w:val="auto"/>
        </w:rPr>
      </w:pPr>
    </w:p>
    <w:p>
      <w:pPr>
        <w:ind w:left="740" w:right="3159" w:hanging="736"/>
        <w:spacing w:after="0" w:line="34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18" w:lineRule="exact"/>
        <w:rPr>
          <w:sz w:val="20"/>
          <w:szCs w:val="20"/>
          <w:color w:val="auto"/>
        </w:rPr>
      </w:pPr>
    </w:p>
    <w:p>
      <w:pPr>
        <w:jc w:val="both"/>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6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740" w:right="283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74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10" w:right="1440" w:bottom="0" w:gutter="0" w:footer="0" w:header="0"/>
        </w:sectPr>
      </w:pPr>
    </w:p>
    <w:p>
      <w:pPr>
        <w:spacing w:after="0" w:line="2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6, 2006</w:t>
      </w:r>
    </w:p>
    <w:p>
      <w:pPr>
        <w:spacing w:after="0" w:line="200" w:lineRule="exact"/>
        <w:rPr>
          <w:sz w:val="20"/>
          <w:szCs w:val="20"/>
          <w:color w:val="auto"/>
        </w:rPr>
      </w:pPr>
    </w:p>
    <w:p>
      <w:pPr>
        <w:sectPr>
          <w:pgSz w:w="11900" w:h="16838" w:orient="portrait"/>
          <w:cols w:equalWidth="0" w:num="2">
            <w:col w:w="1720" w:space="720"/>
            <w:col w:w="7779"/>
          </w:cols>
          <w:pgMar w:left="240" w:top="110" w:right="1440" w:bottom="0" w:gutter="0" w:footer="0" w:header="0"/>
          <w:type w:val="continuous"/>
        </w:sectPr>
      </w:pPr>
    </w:p>
    <w:p>
      <w:pPr>
        <w:spacing w:after="0" w:line="2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G. Haaga, Jr.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G. Haaga, Jr., Executive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2">
            <w:col w:w="2000" w:space="440"/>
            <w:col w:w="7779"/>
          </w:cols>
          <w:pgMar w:left="240" w:top="110" w:right="1440" w:bottom="0" w:gutter="0" w:footer="0" w:header="0"/>
          <w:type w:val="continuous"/>
        </w:sectPr>
      </w:pPr>
    </w:p>
    <w:bookmarkStart w:id="3" w:name="page4"/>
    <w:bookmarkEnd w:id="3"/>
    <w:p>
      <w:pPr>
        <w:spacing w:after="0" w:line="29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4 of 5</w:t>
      </w:r>
    </w:p>
    <w:p>
      <w:pPr>
        <w:sectPr>
          <w:pgSz w:w="11900" w:h="16838" w:orient="portrait"/>
          <w:cols w:equalWidth="0" w:num="1">
            <w:col w:w="10219"/>
          </w:cols>
          <w:pgMar w:left="240" w:top="1440" w:right="1440" w:bottom="144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James P. Ryan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P. Ryan</w:t>
      </w:r>
    </w:p>
    <w:p>
      <w:pPr>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sectPr>
          <w:pgSz w:w="11900" w:h="16838" w:orient="portrait"/>
          <w:cols w:equalWidth="0" w:num="2">
            <w:col w:w="1160" w:space="420"/>
            <w:col w:w="8639"/>
          </w:cols>
          <w:pgMar w:left="240" w:top="488" w:right="1440" w:bottom="1440" w:gutter="0" w:footer="0" w:header="0"/>
        </w:sectPr>
      </w:pPr>
    </w:p>
    <w:p>
      <w:pPr>
        <w:ind w:left="1580" w:right="2739"/>
        <w:spacing w:after="0" w:line="265" w:lineRule="auto"/>
        <w:rPr>
          <w:sz w:val="20"/>
          <w:szCs w:val="20"/>
          <w:color w:val="auto"/>
        </w:rPr>
      </w:pPr>
      <w:r>
        <w:rPr>
          <w:rFonts w:ascii="Courier New" w:cs="Courier New" w:eastAsia="Courier New" w:hAnsi="Courier New"/>
          <w:sz w:val="18"/>
          <w:szCs w:val="18"/>
          <w:color w:val="auto"/>
        </w:rPr>
        <w:t>Signed pursuant to a Power of Attorney dated January 10, 2005 included as an Exhibit to Schedule 13G filed with the Securities and Exchange Commission by Capital Research and Management Company on August 16, 2005 with respect to Advanced Energy Industries</w:t>
      </w:r>
    </w:p>
    <w:p>
      <w:pPr>
        <w:sectPr>
          <w:pgSz w:w="11900" w:h="16838" w:orient="portrait"/>
          <w:cols w:equalWidth="0" w:num="1">
            <w:col w:w="10219"/>
          </w:cols>
          <w:pgMar w:left="240" w:top="48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5 of 5</w:t>
      </w:r>
    </w:p>
    <w:p>
      <w:pPr>
        <w:sectPr>
          <w:pgSz w:w="11900" w:h="16838" w:orient="portrait"/>
          <w:cols w:equalWidth="0" w:num="1">
            <w:col w:w="10219"/>
          </w:cols>
          <w:pgMar w:left="240" w:top="488" w:right="1440" w:bottom="1440" w:gutter="0" w:footer="0" w:header="0"/>
          <w:type w:val="continuous"/>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2019-12-11T16:53:01Z</dcterms:created>
  <dcterms:modified xsi:type="dcterms:W3CDTF">2019-12-11T16:53:01Z</dcterms:modified>
</cp:coreProperties>
</file>