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7 )*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20" w:right="1440" w:bottom="1440" w:gutter="0" w:footer="0" w:header="0"/>
        </w:sectPr>
      </w:pPr>
    </w:p>
    <w:bookmarkStart w:id="1" w:name="page2"/>
    <w:bookmarkEnd w:id="1"/>
    <w:p>
      <w:pPr>
        <w:spacing w:after="0" w:line="265"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169"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372"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927,520</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7,659,530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73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7,659,530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1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893" w:right="1440"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80" w:right="2939" w:hanging="535"/>
        <w:spacing w:after="0" w:line="347" w:lineRule="auto"/>
        <w:tabs>
          <w:tab w:leader="none" w:pos="14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619"/>
        <w:spacing w:after="0" w:line="246"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691" w:right="1440" w:bottom="0" w:gutter="0" w:footer="0" w:header="0"/>
        </w:sectPr>
      </w:pPr>
    </w:p>
    <w:bookmarkStart w:id="5" w:name="page6"/>
    <w:bookmarkEnd w:id="5"/>
    <w:p>
      <w:pPr>
        <w:ind w:left="740"/>
        <w:spacing w:after="0"/>
        <w:rPr>
          <w:sz w:val="20"/>
          <w:szCs w:val="20"/>
          <w:color w:val="auto"/>
        </w:rPr>
      </w:pPr>
      <w:r>
        <w:rPr>
          <w:rFonts w:ascii="Courier New" w:cs="Courier New" w:eastAsia="Courier New" w:hAnsi="Courier New"/>
          <w:sz w:val="18"/>
          <w:szCs w:val="18"/>
          <w:color w:val="auto"/>
        </w:rPr>
        <w:t>Shares reported by The Capital Group Companies, Inc., includes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271,040 shares resulting from the assumed conversion of</w:t>
      </w:r>
    </w:p>
    <w:p>
      <w:pPr>
        <w:ind w:left="740"/>
        <w:spacing w:after="0"/>
        <w:rPr>
          <w:sz w:val="20"/>
          <w:szCs w:val="20"/>
          <w:color w:val="auto"/>
        </w:rPr>
      </w:pPr>
      <w:r>
        <w:rPr>
          <w:rFonts w:ascii="Courier New" w:cs="Courier New" w:eastAsia="Courier New" w:hAnsi="Courier New"/>
          <w:sz w:val="16"/>
          <w:szCs w:val="16"/>
          <w:color w:val="auto"/>
        </w:rPr>
        <w:t>$5,675,000 principal amount of the 3.50% Convertible Subordinate</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Note, due 2000.</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ectPr>
          <w:pgSz w:w="11900" w:h="16838" w:orient="portrait"/>
          <w:cols w:equalWidth="0" w:num="1">
            <w:col w:w="10219"/>
          </w:cols>
          <w:pgMar w:left="240" w:top="515" w:right="1440" w:bottom="1440" w:gutter="0" w:footer="0" w:header="0"/>
        </w:sectPr>
      </w:pPr>
    </w:p>
    <w:bookmarkStart w:id="6" w:name="page7"/>
    <w:bookmarkEnd w:id="6"/>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1060" w:right="2839"/>
        <w:spacing w:after="0" w:line="262"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9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1060" w:right="2619"/>
        <w:spacing w:after="0" w:line="273"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8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left="1060" w:right="2619"/>
        <w:spacing w:after="0" w:line="24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308"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0"/>
    </w:lvl>
    <w:lvl w:ilvl="1">
      <w:lvlJc w:val="left"/>
      <w:lvlText w:val="*"/>
      <w:numFmt w:val="bullet"/>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2019-12-19T21:30:33Z</dcterms:created>
  <dcterms:modified xsi:type="dcterms:W3CDTF">2019-12-19T21:30:33Z</dcterms:modified>
</cp:coreProperties>
</file>