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Options to Purchase Common Stock, $0.16 </w:t>
      </w:r>
      <w:r>
        <w:rPr>
          <w:rFonts w:ascii="Arial" w:cs="Arial" w:eastAsia="Arial" w:hAnsi="Arial"/>
          <w:sz w:val="15"/>
          <w:szCs w:val="15"/>
          <w:b w:val="1"/>
          <w:bCs w:val="1"/>
          <w:u w:val="single" w:color="auto"/>
          <w:color w:val="auto"/>
        </w:rPr>
        <w:t>2/3</w:t>
      </w:r>
      <w:r>
        <w:rPr>
          <w:rFonts w:ascii="Arial" w:cs="Arial" w:eastAsia="Arial" w:hAnsi="Arial"/>
          <w:sz w:val="18"/>
          <w:szCs w:val="18"/>
          <w:b w:val="1"/>
          <w:bCs w:val="1"/>
          <w:u w:val="single" w:color="auto"/>
          <w:color w:val="auto"/>
        </w:rPr>
        <w:t xml:space="preserve">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032654 10 5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-130810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500"/>
              <w:spacing w:after="0"/>
              <w:rPr>
                <w:sz w:val="20"/>
                <w:szCs w:val="20"/>
                <w:color w:val="auto"/>
              </w:rPr>
            </w:pPr>
            <w:r>
              <w:rPr>
                <w:rFonts w:ascii="Arial" w:cs="Arial" w:eastAsia="Arial" w:hAnsi="Arial"/>
                <w:sz w:val="18"/>
                <w:szCs w:val="18"/>
                <w:b w:val="1"/>
                <w:bCs w:val="1"/>
                <w:color w:val="auto"/>
              </w:rPr>
              <w:t>CALCULATION OF FILING FEE</w:t>
            </w:r>
          </w:p>
        </w:tc>
      </w:tr>
      <w:tr>
        <w:trPr>
          <w:trHeight w:val="230"/>
        </w:trPr>
        <w:tc>
          <w:tcPr>
            <w:tcW w:w="3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r>
        <w:trPr>
          <w:trHeight w:val="136"/>
        </w:trPr>
        <w:tc>
          <w:tcPr>
            <w:tcW w:w="3860" w:type="dxa"/>
            <w:vAlign w:val="bottom"/>
            <w:tcBorders>
              <w:bottom w:val="single" w:sz="8" w:color="auto"/>
            </w:tcBorders>
          </w:tcPr>
          <w:p>
            <w:pPr>
              <w:jc w:val="center"/>
              <w:ind w:left="1339"/>
              <w:spacing w:after="0" w:line="129" w:lineRule="exact"/>
              <w:rPr>
                <w:sz w:val="20"/>
                <w:szCs w:val="20"/>
                <w:color w:val="auto"/>
              </w:rPr>
            </w:pPr>
            <w:r>
              <w:rPr>
                <w:rFonts w:ascii="Arial" w:cs="Arial" w:eastAsia="Arial" w:hAnsi="Arial"/>
                <w:sz w:val="14"/>
                <w:szCs w:val="14"/>
                <w:b w:val="1"/>
                <w:bCs w:val="1"/>
                <w:color w:val="auto"/>
                <w:w w:val="94"/>
              </w:rPr>
              <w:t>Transaction Valuation*</w:t>
            </w:r>
          </w:p>
        </w:tc>
        <w:tc>
          <w:tcPr>
            <w:tcW w:w="1520" w:type="dxa"/>
            <w:vAlign w:val="bottom"/>
            <w:tcBorders>
              <w:bottom w:val="single" w:sz="8" w:color="auto"/>
              <w:right w:val="single" w:sz="8" w:color="auto"/>
            </w:tcBorders>
          </w:tcPr>
          <w:p>
            <w:pPr>
              <w:spacing w:after="0"/>
              <w:rPr>
                <w:sz w:val="11"/>
                <w:szCs w:val="11"/>
                <w:color w:val="auto"/>
              </w:rPr>
            </w:pPr>
          </w:p>
        </w:tc>
        <w:tc>
          <w:tcPr>
            <w:tcW w:w="6040" w:type="dxa"/>
            <w:vAlign w:val="bottom"/>
            <w:tcBorders>
              <w:bottom w:val="single" w:sz="8" w:color="auto"/>
            </w:tcBorders>
          </w:tcPr>
          <w:p>
            <w:pPr>
              <w:jc w:val="center"/>
              <w:ind w:left="39"/>
              <w:spacing w:after="0" w:line="129" w:lineRule="exact"/>
              <w:rPr>
                <w:sz w:val="20"/>
                <w:szCs w:val="20"/>
                <w:color w:val="auto"/>
              </w:rPr>
            </w:pPr>
            <w:r>
              <w:rPr>
                <w:rFonts w:ascii="Arial" w:cs="Arial" w:eastAsia="Arial" w:hAnsi="Arial"/>
                <w:sz w:val="14"/>
                <w:szCs w:val="14"/>
                <w:b w:val="1"/>
                <w:bCs w:val="1"/>
                <w:color w:val="auto"/>
                <w:w w:val="94"/>
              </w:rPr>
              <w:t>Amount of Filing Fee</w:t>
            </w:r>
          </w:p>
        </w:tc>
      </w:tr>
      <w:tr>
        <w:trPr>
          <w:trHeight w:val="216"/>
        </w:trPr>
        <w:tc>
          <w:tcPr>
            <w:tcW w:w="3860" w:type="dxa"/>
            <w:vAlign w:val="bottom"/>
            <w:tcBorders>
              <w:bottom w:val="single" w:sz="8" w:color="auto"/>
            </w:tcBorders>
          </w:tcPr>
          <w:p>
            <w:pPr>
              <w:jc w:val="center"/>
              <w:ind w:left="1339"/>
              <w:spacing w:after="0"/>
              <w:rPr>
                <w:sz w:val="20"/>
                <w:szCs w:val="20"/>
                <w:color w:val="auto"/>
              </w:rPr>
            </w:pPr>
            <w:r>
              <w:rPr>
                <w:rFonts w:ascii="Arial" w:cs="Arial" w:eastAsia="Arial" w:hAnsi="Arial"/>
                <w:sz w:val="18"/>
                <w:szCs w:val="18"/>
                <w:color w:val="auto"/>
                <w:w w:val="95"/>
              </w:rPr>
              <w:t>Not applicable*</w:t>
            </w:r>
          </w:p>
        </w:tc>
        <w:tc>
          <w:tcPr>
            <w:tcW w:w="1520" w:type="dxa"/>
            <w:vAlign w:val="bottom"/>
            <w:tcBorders>
              <w:bottom w:val="single" w:sz="8" w:color="auto"/>
              <w:right w:val="single" w:sz="8" w:color="auto"/>
            </w:tcBorders>
          </w:tcPr>
          <w:p>
            <w:pPr>
              <w:spacing w:after="0"/>
              <w:rPr>
                <w:sz w:val="18"/>
                <w:szCs w:val="18"/>
                <w:color w:val="auto"/>
              </w:rPr>
            </w:pPr>
          </w:p>
        </w:tc>
        <w:tc>
          <w:tcPr>
            <w:tcW w:w="6040" w:type="dxa"/>
            <w:vAlign w:val="bottom"/>
            <w:tcBorders>
              <w:bottom w:val="single" w:sz="8" w:color="auto"/>
            </w:tcBorders>
          </w:tcPr>
          <w:p>
            <w:pPr>
              <w:jc w:val="center"/>
              <w:ind w:left="59"/>
              <w:spacing w:after="0"/>
              <w:rPr>
                <w:sz w:val="20"/>
                <w:szCs w:val="20"/>
                <w:color w:val="auto"/>
              </w:rPr>
            </w:pPr>
            <w:r>
              <w:rPr>
                <w:rFonts w:ascii="Arial" w:cs="Arial" w:eastAsia="Arial" w:hAnsi="Arial"/>
                <w:sz w:val="18"/>
                <w:szCs w:val="18"/>
                <w:color w:val="auto"/>
                <w:w w:val="94"/>
              </w:rPr>
              <w:t>Not applicable*</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bl>
    <w:p>
      <w:pPr>
        <w:spacing w:after="0" w:line="67" w:lineRule="exact"/>
        <w:rPr>
          <w:sz w:val="24"/>
          <w:szCs w:val="24"/>
          <w:color w:val="auto"/>
        </w:rPr>
      </w:pPr>
    </w:p>
    <w:p>
      <w:pPr>
        <w:ind w:left="460" w:right="12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62" w:lineRule="exact"/>
        <w:rPr>
          <w:sz w:val="24"/>
          <w:szCs w:val="24"/>
          <w:color w:val="auto"/>
        </w:rPr>
      </w:pPr>
    </w:p>
    <w:p>
      <w:pPr>
        <w:ind w:left="460" w:right="2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522"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of Registration No.: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125" w:lineRule="exact"/>
        <w:rPr>
          <w:sz w:val="24"/>
          <w:szCs w:val="24"/>
          <w:color w:val="auto"/>
        </w:rPr>
      </w:pPr>
    </w:p>
    <w:p>
      <w:pPr>
        <w:sectPr>
          <w:pgSz w:w="11900" w:h="16838" w:orient="portrait"/>
          <w:cols w:equalWidth="0" w:num="4">
            <w:col w:w="2240" w:space="720"/>
            <w:col w:w="2220" w:space="720"/>
            <w:col w:w="2220" w:space="720"/>
            <w:col w:w="2580"/>
          </w:cols>
          <w:pgMar w:left="240" w:top="522" w:right="239" w:bottom="1440" w:gutter="0" w:footer="0" w:header="0"/>
          <w:type w:val="continuous"/>
        </w:sectPr>
      </w:pPr>
    </w:p>
    <w:p>
      <w:pPr>
        <w:ind w:right="2180" w:firstLine="8"/>
        <w:spacing w:after="0" w:line="375" w:lineRule="auto"/>
        <w:tabs>
          <w:tab w:leader="none" w:pos="27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MS PGothic" w:cs="MS PGothic" w:eastAsia="MS PGothic" w:hAnsi="MS PGothic"/>
          <w:sz w:val="18"/>
          <w:szCs w:val="18"/>
          <w:color w:val="auto"/>
        </w:rPr>
      </w:pPr>
    </w:p>
    <w:p>
      <w:pPr>
        <w:ind w:left="22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third party tender offer subject to Rule 14d-1.</w:t>
      </w:r>
    </w:p>
    <w:p>
      <w:pPr>
        <w:spacing w:after="0" w:line="130" w:lineRule="exact"/>
        <w:rPr>
          <w:rFonts w:ascii="MS PGothic" w:cs="MS PGothic" w:eastAsia="MS PGothic" w:hAnsi="MS PGothic"/>
          <w:sz w:val="18"/>
          <w:szCs w:val="18"/>
          <w:color w:val="auto"/>
        </w:rPr>
      </w:pPr>
    </w:p>
    <w:p>
      <w:pPr>
        <w:ind w:left="660" w:hanging="436"/>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4"/>
          <w:szCs w:val="24"/>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4"/>
          <w:szCs w:val="24"/>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On July 20, 2009, the shareholders of Analog Devices, Inc. (“Analog” or the “Company”) voted at a special meeting of shareholders to approve the Company’s proposed stock option exchange program (the “Option Exchange Program”). In connection with that approval, an email memorandum was sent to Analog employees, which communication is attached hereto as Exhibit 99.1.</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employee communication attached as an exhibit to this Schedule TO does not constitute an offer to holders of the Company’s outstanding stock options to tender those options.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Analog shareholders and option holders will be able to obtain the written materials described above and other documents filed by Analog with the SEC free of charge from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In addition, shareholders and option holders may obtain free copies of the documents filed by Analog with the SEC by directing a written request to: Analog Devices, Inc. One Technology Way, Norwood, MA 02062;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Employee Memo from Jerald Fishman to all employees, dated July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Document</w:t>
      </w: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Employee Memo from Jerald Fishman to all employees, dated July 20, 2009</w:t>
      </w:r>
    </w:p>
    <w:p>
      <w:pPr>
        <w:sectPr>
          <w:pgSz w:w="11900" w:h="16838" w:orient="portrait"/>
          <w:cols w:equalWidth="0" w:num="1">
            <w:col w:w="10219"/>
          </w:cols>
          <w:pgMar w:left="240" w:top="95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06362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3003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All ADI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Jerry Fishman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 Option Exchange Program — Shareholder Approval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20, 2009</w:t>
      </w:r>
    </w:p>
    <w:p>
      <w:pPr>
        <w:spacing w:after="0" w:line="103" w:lineRule="exact"/>
        <w:rPr>
          <w:sz w:val="20"/>
          <w:szCs w:val="20"/>
          <w:color w:val="auto"/>
        </w:rPr>
      </w:pPr>
    </w:p>
    <w:p>
      <w:pPr>
        <w:sectPr>
          <w:pgSz w:w="11900" w:h="16838" w:orient="portrait"/>
          <w:cols w:equalWidth="0" w:num="2">
            <w:col w:w="600" w:space="220"/>
            <w:col w:w="10600"/>
          </w:cols>
          <w:pgMar w:left="240" w:top="125" w:right="239" w:bottom="1440" w:gutter="0" w:footer="0" w:header="0"/>
          <w:type w:val="continuous"/>
        </w:sectPr>
      </w:pPr>
    </w:p>
    <w:p>
      <w:pPr>
        <w:ind w:right="60"/>
        <w:spacing w:after="0" w:line="312" w:lineRule="auto"/>
        <w:rPr>
          <w:sz w:val="20"/>
          <w:szCs w:val="20"/>
          <w:color w:val="auto"/>
        </w:rPr>
      </w:pPr>
      <w:r>
        <w:rPr>
          <w:rFonts w:ascii="Arial" w:cs="Arial" w:eastAsia="Arial" w:hAnsi="Arial"/>
          <w:sz w:val="16"/>
          <w:szCs w:val="16"/>
          <w:color w:val="auto"/>
        </w:rPr>
        <w:t>I am pleased to announce that today our shareholders approved our proposal for a Stock Option Exchange Program. With this program, we will extend an important choice to all eligible employees — a one-time opportunity to exchange eligible underwater stock options for a smaller number of new options at an exercise price equal to the closing market price of ADI shares on September 28, 2009, which is when we expect the new options will be granted.</w:t>
      </w:r>
    </w:p>
    <w:p>
      <w:pPr>
        <w:spacing w:after="0" w:line="3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plan to begin the program on August 28, 2009, at which time all employees with eligible options will receive an email and subsequent hard copy mailing with details about the program, including the terms and vesting schedules of the new options, as well as instructions about how to participate.</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Ultimately, the decision to take advantage of this opportunity is a personal one, with many dynamics to consider. It is our hope that the information and tools we provide to you at the inception of the program in late August will help you make an informed decision.</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the meantime, if you have questions about the Stock Option Exchange Program, go to the </w:t>
      </w:r>
      <w:r>
        <w:rPr>
          <w:rFonts w:ascii="Arial" w:cs="Arial" w:eastAsia="Arial" w:hAnsi="Arial"/>
          <w:sz w:val="18"/>
          <w:szCs w:val="18"/>
          <w:u w:val="single" w:color="auto"/>
          <w:color w:val="auto"/>
        </w:rPr>
        <w:t>Stock Option Exchange Program page on Signals</w:t>
      </w:r>
      <w:r>
        <w:rPr>
          <w:rFonts w:ascii="Arial" w:cs="Arial" w:eastAsia="Arial" w:hAnsi="Arial"/>
          <w:sz w:val="18"/>
          <w:szCs w:val="18"/>
          <w:color w:val="auto"/>
        </w:rPr>
        <w:t>, where you will find information about the program, including a regularly updated set of Questions &amp; Answers.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You will be able to obtain the written materials described above and other documents we file with the SEC free of charge from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or by sending a request to: Analog Devices, Inc. One Technology Way, Norwood, MA 02062; Attention: Investor Relations.</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2019-12-09T21:24:25Z</dcterms:created>
  <dcterms:modified xsi:type="dcterms:W3CDTF">2019-12-09T21:24:25Z</dcterms:modified>
</cp:coreProperties>
</file>