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December 19, 2008</w:t>
      </w:r>
    </w:p>
    <w:p>
      <w:pPr>
        <w:spacing w:after="0" w:line="117"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-10160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3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Massachusetts</w:t>
            </w:r>
          </w:p>
        </w:tc>
        <w:tc>
          <w:tcPr>
            <w:tcW w:w="4960" w:type="dxa"/>
            <w:vAlign w:val="bottom"/>
          </w:tcPr>
          <w:p>
            <w:pPr>
              <w:jc w:val="center"/>
              <w:ind w:left="353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3120" w:type="dxa"/>
            <w:vAlign w:val="bottom"/>
          </w:tcPr>
          <w:p>
            <w:pPr>
              <w:jc w:val="center"/>
              <w:ind w:right="190"/>
              <w:spacing w:after="0"/>
              <w:rPr>
                <w:sz w:val="20"/>
                <w:szCs w:val="20"/>
                <w:color w:val="auto"/>
              </w:rPr>
            </w:pPr>
            <w:r>
              <w:rPr>
                <w:rFonts w:ascii="Arial" w:cs="Arial" w:eastAsia="Arial" w:hAnsi="Arial"/>
                <w:sz w:val="18"/>
                <w:szCs w:val="18"/>
                <w:i w:val="1"/>
                <w:iCs w:val="1"/>
                <w:color w:val="auto"/>
                <w:w w:val="94"/>
              </w:rPr>
              <w:t>(State or other jurisdiction of</w:t>
            </w:r>
          </w:p>
        </w:tc>
        <w:tc>
          <w:tcPr>
            <w:tcW w:w="4960" w:type="dxa"/>
            <w:vAlign w:val="bottom"/>
          </w:tcPr>
          <w:p>
            <w:pPr>
              <w:jc w:val="center"/>
              <w:ind w:left="35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120" w:type="dxa"/>
            <w:vAlign w:val="bottom"/>
          </w:tcPr>
          <w:p>
            <w:pPr>
              <w:jc w:val="center"/>
              <w:ind w:right="210"/>
              <w:spacing w:after="0"/>
              <w:rPr>
                <w:sz w:val="20"/>
                <w:szCs w:val="20"/>
                <w:color w:val="auto"/>
              </w:rPr>
            </w:pPr>
            <w:r>
              <w:rPr>
                <w:rFonts w:ascii="Arial" w:cs="Arial" w:eastAsia="Arial" w:hAnsi="Arial"/>
                <w:sz w:val="18"/>
                <w:szCs w:val="18"/>
                <w:i w:val="1"/>
                <w:iCs w:val="1"/>
                <w:color w:val="auto"/>
                <w:w w:val="94"/>
              </w:rPr>
              <w:t>incorporation or organization)</w:t>
            </w:r>
          </w:p>
        </w:tc>
        <w:tc>
          <w:tcPr>
            <w:tcW w:w="4960" w:type="dxa"/>
            <w:vAlign w:val="bottom"/>
          </w:tcPr>
          <w:p>
            <w:pPr>
              <w:jc w:val="center"/>
              <w:ind w:left="353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3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One Technology Way, Norwood, MA</w:t>
            </w:r>
          </w:p>
        </w:tc>
        <w:tc>
          <w:tcPr>
            <w:tcW w:w="4960" w:type="dxa"/>
            <w:vAlign w:val="bottom"/>
          </w:tcPr>
          <w:p>
            <w:pPr>
              <w:jc w:val="center"/>
              <w:ind w:left="353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3120" w:type="dxa"/>
            <w:vAlign w:val="bottom"/>
          </w:tcPr>
          <w:p>
            <w:pPr>
              <w:jc w:val="center"/>
              <w:ind w:right="2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960" w:type="dxa"/>
            <w:vAlign w:val="bottom"/>
          </w:tcPr>
          <w:p>
            <w:pPr>
              <w:jc w:val="center"/>
              <w:ind w:left="3530"/>
              <w:spacing w:after="0"/>
              <w:rPr>
                <w:sz w:val="20"/>
                <w:szCs w:val="20"/>
                <w:color w:val="auto"/>
              </w:rPr>
            </w:pPr>
            <w:r>
              <w:rPr>
                <w:rFonts w:ascii="Arial" w:cs="Arial" w:eastAsia="Arial" w:hAnsi="Arial"/>
                <w:sz w:val="18"/>
                <w:szCs w:val="18"/>
                <w:i w:val="1"/>
                <w:iCs w:val="1"/>
                <w:color w:val="auto"/>
                <w:w w:val="91"/>
              </w:rPr>
              <w:t>(Zip Code)</w:t>
            </w:r>
          </w:p>
        </w:tc>
      </w:tr>
      <w:tr>
        <w:trPr>
          <w:trHeight w:val="414"/>
        </w:trPr>
        <w:tc>
          <w:tcPr>
            <w:tcW w:w="3120" w:type="dxa"/>
            <w:vAlign w:val="bottom"/>
          </w:tcPr>
          <w:p>
            <w:pPr>
              <w:spacing w:after="0"/>
              <w:rPr>
                <w:sz w:val="24"/>
                <w:szCs w:val="24"/>
                <w:color w:val="auto"/>
              </w:rPr>
            </w:pPr>
          </w:p>
        </w:tc>
        <w:tc>
          <w:tcPr>
            <w:tcW w:w="4960" w:type="dxa"/>
            <w:vAlign w:val="bottom"/>
          </w:tcPr>
          <w:p>
            <w:pPr>
              <w:jc w:val="center"/>
              <w:ind w:right="2270"/>
              <w:spacing w:after="0"/>
              <w:rPr>
                <w:sz w:val="20"/>
                <w:szCs w:val="20"/>
                <w:color w:val="auto"/>
              </w:rPr>
            </w:pPr>
            <w:r>
              <w:rPr>
                <w:rFonts w:ascii="Arial" w:cs="Arial" w:eastAsia="Arial" w:hAnsi="Arial"/>
                <w:sz w:val="18"/>
                <w:szCs w:val="18"/>
                <w:b w:val="1"/>
                <w:bCs w:val="1"/>
                <w:color w:val="auto"/>
                <w:w w:val="89"/>
              </w:rPr>
              <w:t>Analog Devices, Inc.</w:t>
            </w:r>
          </w:p>
        </w:tc>
      </w:tr>
      <w:tr>
        <w:trPr>
          <w:trHeight w:val="220"/>
        </w:trPr>
        <w:tc>
          <w:tcPr>
            <w:tcW w:w="3120" w:type="dxa"/>
            <w:vAlign w:val="bottom"/>
          </w:tcPr>
          <w:p>
            <w:pPr>
              <w:spacing w:after="0"/>
              <w:rPr>
                <w:sz w:val="19"/>
                <w:szCs w:val="19"/>
                <w:color w:val="auto"/>
              </w:rPr>
            </w:pPr>
          </w:p>
        </w:tc>
        <w:tc>
          <w:tcPr>
            <w:tcW w:w="4960" w:type="dxa"/>
            <w:vAlign w:val="bottom"/>
          </w:tcPr>
          <w:p>
            <w:pPr>
              <w:jc w:val="center"/>
              <w:ind w:right="2290"/>
              <w:spacing w:after="0"/>
              <w:rPr>
                <w:sz w:val="20"/>
                <w:szCs w:val="20"/>
                <w:color w:val="auto"/>
              </w:rPr>
            </w:pPr>
            <w:r>
              <w:rPr>
                <w:rFonts w:ascii="Arial" w:cs="Arial" w:eastAsia="Arial" w:hAnsi="Arial"/>
                <w:sz w:val="18"/>
                <w:szCs w:val="18"/>
                <w:b w:val="1"/>
                <w:bCs w:val="1"/>
                <w:color w:val="auto"/>
                <w:w w:val="89"/>
              </w:rPr>
              <w:t>2006 Stock Incentive Plan</w:t>
            </w:r>
          </w:p>
        </w:tc>
      </w:tr>
      <w:tr>
        <w:trPr>
          <w:trHeight w:val="230"/>
        </w:trPr>
        <w:tc>
          <w:tcPr>
            <w:tcW w:w="3120" w:type="dxa"/>
            <w:vAlign w:val="bottom"/>
          </w:tcPr>
          <w:p>
            <w:pPr>
              <w:spacing w:after="0"/>
              <w:rPr>
                <w:sz w:val="20"/>
                <w:szCs w:val="20"/>
                <w:color w:val="auto"/>
              </w:rPr>
            </w:pPr>
          </w:p>
        </w:tc>
        <w:tc>
          <w:tcPr>
            <w:tcW w:w="4960" w:type="dxa"/>
            <w:vAlign w:val="bottom"/>
          </w:tcPr>
          <w:p>
            <w:pPr>
              <w:jc w:val="center"/>
              <w:ind w:right="2290"/>
              <w:spacing w:after="0"/>
              <w:rPr>
                <w:sz w:val="20"/>
                <w:szCs w:val="20"/>
                <w:color w:val="auto"/>
              </w:rPr>
            </w:pPr>
            <w:r>
              <w:rPr>
                <w:rFonts w:ascii="Arial" w:cs="Arial" w:eastAsia="Arial" w:hAnsi="Arial"/>
                <w:sz w:val="18"/>
                <w:szCs w:val="18"/>
                <w:color w:val="auto"/>
                <w:w w:val="94"/>
              </w:rPr>
              <w:t>(Full Title of the Plan)</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Norwood, MA 02062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20" w:type="dxa"/>
            <w:vAlign w:val="bottom"/>
          </w:tcPr>
          <w:p>
            <w:pPr>
              <w:ind w:left="160"/>
              <w:spacing w:after="0" w:line="207" w:lineRule="exact"/>
              <w:rPr>
                <w:sz w:val="20"/>
                <w:szCs w:val="20"/>
                <w:color w:val="auto"/>
              </w:rPr>
            </w:pPr>
            <w:r>
              <w:rPr>
                <w:rFonts w:ascii="Arial" w:cs="Arial" w:eastAsia="Arial" w:hAnsi="Arial"/>
                <w:sz w:val="18"/>
                <w:szCs w:val="18"/>
                <w:color w:val="auto"/>
                <w:w w:val="91"/>
              </w:rPr>
              <w:t xml:space="preserve">Large accelerated filer </w:t>
            </w:r>
            <w:r>
              <w:rPr>
                <w:rFonts w:ascii="MS PGothic" w:cs="MS PGothic" w:eastAsia="MS PGothic" w:hAnsi="MS PGothic"/>
                <w:sz w:val="18"/>
                <w:szCs w:val="18"/>
                <w:color w:val="auto"/>
                <w:w w:val="91"/>
              </w:rPr>
              <w:t>☑</w:t>
            </w:r>
          </w:p>
        </w:tc>
        <w:tc>
          <w:tcPr>
            <w:tcW w:w="2800" w:type="dxa"/>
            <w:vAlign w:val="bottom"/>
          </w:tcPr>
          <w:p>
            <w:pPr>
              <w:ind w:left="760"/>
              <w:spacing w:after="0"/>
              <w:rPr>
                <w:sz w:val="20"/>
                <w:szCs w:val="20"/>
                <w:color w:val="auto"/>
              </w:rPr>
            </w:pPr>
            <w:r>
              <w:rPr>
                <w:rFonts w:ascii="Arial" w:cs="Arial" w:eastAsia="Arial" w:hAnsi="Arial"/>
                <w:sz w:val="18"/>
                <w:szCs w:val="18"/>
                <w:color w:val="auto"/>
              </w:rPr>
              <w:t>Accelerated filer o</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4"/>
              </w:rPr>
              <w:t>Non-accelerated filer  o</w:t>
            </w:r>
          </w:p>
        </w:tc>
        <w:tc>
          <w:tcPr>
            <w:tcW w:w="3060" w:type="dxa"/>
            <w:vAlign w:val="bottom"/>
            <w:gridSpan w:val="3"/>
          </w:tcPr>
          <w:p>
            <w:pPr>
              <w:ind w:left="640"/>
              <w:spacing w:after="0"/>
              <w:rPr>
                <w:sz w:val="20"/>
                <w:szCs w:val="20"/>
                <w:color w:val="auto"/>
              </w:rPr>
            </w:pPr>
            <w:r>
              <w:rPr>
                <w:rFonts w:ascii="Arial" w:cs="Arial" w:eastAsia="Arial" w:hAnsi="Arial"/>
                <w:sz w:val="18"/>
                <w:szCs w:val="18"/>
                <w:color w:val="auto"/>
                <w:w w:val="99"/>
              </w:rPr>
              <w:t>Smaller Reporting Company o</w:t>
            </w:r>
          </w:p>
        </w:tc>
      </w:tr>
      <w:tr>
        <w:trPr>
          <w:trHeight w:val="230"/>
        </w:trPr>
        <w:tc>
          <w:tcPr>
            <w:tcW w:w="2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1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20" w:type="dxa"/>
            <w:vAlign w:val="bottom"/>
          </w:tcPr>
          <w:p>
            <w:pPr>
              <w:spacing w:after="0"/>
              <w:rPr>
                <w:sz w:val="24"/>
                <w:szCs w:val="24"/>
                <w:color w:val="auto"/>
              </w:rPr>
            </w:pPr>
          </w:p>
        </w:tc>
        <w:tc>
          <w:tcPr>
            <w:tcW w:w="6340" w:type="dxa"/>
            <w:vAlign w:val="bottom"/>
            <w:gridSpan w:val="3"/>
          </w:tcPr>
          <w:p>
            <w:pPr>
              <w:jc w:val="right"/>
              <w:ind w:right="846"/>
              <w:spacing w:after="0"/>
              <w:rPr>
                <w:sz w:val="20"/>
                <w:szCs w:val="20"/>
                <w:color w:val="auto"/>
              </w:rPr>
            </w:pPr>
            <w:r>
              <w:rPr>
                <w:rFonts w:ascii="Arial" w:cs="Arial" w:eastAsia="Arial" w:hAnsi="Arial"/>
                <w:sz w:val="18"/>
                <w:szCs w:val="18"/>
                <w:b w:val="1"/>
                <w:bCs w:val="1"/>
                <w:color w:val="auto"/>
              </w:rPr>
              <w:t>CALCULATION OF REGISTRATION FEE</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02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0"/>
        </w:trPr>
        <w:tc>
          <w:tcPr>
            <w:tcW w:w="2020" w:type="dxa"/>
            <w:vAlign w:val="bottom"/>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w:t>
            </w:r>
          </w:p>
        </w:tc>
        <w:tc>
          <w:tcPr>
            <w:tcW w:w="18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2020" w:type="dxa"/>
            <w:vAlign w:val="bottom"/>
          </w:tcPr>
          <w:p>
            <w:pPr>
              <w:spacing w:after="0"/>
              <w:rPr>
                <w:sz w:val="12"/>
                <w:szCs w:val="12"/>
                <w:color w:val="auto"/>
              </w:rPr>
            </w:pPr>
          </w:p>
        </w:tc>
        <w:tc>
          <w:tcPr>
            <w:tcW w:w="2800" w:type="dxa"/>
            <w:vAlign w:val="bottom"/>
            <w:tcBorders>
              <w:right w:val="single" w:sz="8" w:color="auto"/>
            </w:tcBorders>
          </w:tcPr>
          <w:p>
            <w:pPr>
              <w:jc w:val="center"/>
              <w:ind w:right="2019"/>
              <w:spacing w:after="0" w:line="149" w:lineRule="exact"/>
              <w:rPr>
                <w:sz w:val="20"/>
                <w:szCs w:val="20"/>
                <w:color w:val="auto"/>
              </w:rPr>
            </w:pPr>
            <w:r>
              <w:rPr>
                <w:rFonts w:ascii="Arial" w:cs="Arial" w:eastAsia="Arial" w:hAnsi="Arial"/>
                <w:sz w:val="14"/>
                <w:szCs w:val="14"/>
                <w:color w:val="auto"/>
                <w:w w:val="99"/>
              </w:rPr>
              <w:t>Title of</w:t>
            </w:r>
          </w:p>
        </w:tc>
        <w:tc>
          <w:tcPr>
            <w:tcW w:w="188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20" w:type="dxa"/>
            <w:vAlign w:val="bottom"/>
            <w:tcBorders>
              <w:right w:val="single" w:sz="8" w:color="auto"/>
            </w:tcBorders>
            <w:gridSpan w:val="2"/>
          </w:tcPr>
          <w:p>
            <w:pPr>
              <w:jc w:val="center"/>
              <w:ind w:right="19"/>
              <w:spacing w:after="0" w:line="149" w:lineRule="exact"/>
              <w:rPr>
                <w:sz w:val="20"/>
                <w:szCs w:val="20"/>
                <w:color w:val="auto"/>
              </w:rPr>
            </w:pPr>
            <w:r>
              <w:rPr>
                <w:rFonts w:ascii="Arial" w:cs="Arial" w:eastAsia="Arial" w:hAnsi="Arial"/>
                <w:sz w:val="14"/>
                <w:szCs w:val="14"/>
                <w:color w:val="auto"/>
                <w:w w:val="91"/>
              </w:rPr>
              <w:t>Securities to be</w:t>
            </w: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Amount to be</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Offering Price Per</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1220" w:type="dxa"/>
            <w:vAlign w:val="bottom"/>
            <w:gridSpan w:val="2"/>
          </w:tcPr>
          <w:p>
            <w:pPr>
              <w:jc w:val="center"/>
              <w:ind w:left="2"/>
              <w:spacing w:after="0" w:line="149" w:lineRule="exact"/>
              <w:rPr>
                <w:sz w:val="20"/>
                <w:szCs w:val="20"/>
                <w:color w:val="auto"/>
              </w:rPr>
            </w:pPr>
            <w:r>
              <w:rPr>
                <w:rFonts w:ascii="Arial" w:cs="Arial" w:eastAsia="Arial" w:hAnsi="Arial"/>
                <w:sz w:val="14"/>
                <w:szCs w:val="14"/>
                <w:color w:val="auto"/>
                <w:w w:val="97"/>
              </w:rPr>
              <w:t>Amount of</w:t>
            </w:r>
          </w:p>
        </w:tc>
      </w:tr>
      <w:tr>
        <w:trPr>
          <w:trHeight w:val="174"/>
        </w:trPr>
        <w:tc>
          <w:tcPr>
            <w:tcW w:w="2020" w:type="dxa"/>
            <w:vAlign w:val="bottom"/>
            <w:tcBorders>
              <w:bottom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jc w:val="center"/>
              <w:ind w:right="2019"/>
              <w:spacing w:after="0"/>
              <w:rPr>
                <w:sz w:val="20"/>
                <w:szCs w:val="20"/>
                <w:color w:val="auto"/>
              </w:rPr>
            </w:pPr>
            <w:r>
              <w:rPr>
                <w:rFonts w:ascii="Arial" w:cs="Arial" w:eastAsia="Arial" w:hAnsi="Arial"/>
                <w:sz w:val="14"/>
                <w:szCs w:val="14"/>
                <w:color w:val="auto"/>
                <w:w w:val="91"/>
              </w:rPr>
              <w:t>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Registered(1)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w:t>
            </w:r>
          </w:p>
        </w:tc>
        <w:tc>
          <w:tcPr>
            <w:tcW w:w="12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color w:val="auto"/>
                <w:w w:val="91"/>
              </w:rPr>
              <w:t>Registration Fee</w:t>
            </w:r>
          </w:p>
        </w:tc>
      </w:tr>
      <w:tr>
        <w:trPr>
          <w:trHeight w:val="216"/>
        </w:trPr>
        <w:tc>
          <w:tcPr>
            <w:tcW w:w="4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Common Stock, $0.16 2/3 par value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15,285,735 shares (2)</w:t>
            </w:r>
          </w:p>
        </w:tc>
        <w:tc>
          <w:tcPr>
            <w:tcW w:w="1660" w:type="dxa"/>
            <w:vAlign w:val="bottom"/>
            <w:tcBorders>
              <w:bottom w:val="single" w:sz="8" w:color="auto"/>
              <w:right w:val="single" w:sz="8" w:color="auto"/>
            </w:tcBorders>
          </w:tcPr>
          <w:p>
            <w:pPr>
              <w:jc w:val="right"/>
              <w:ind w:right="346"/>
              <w:spacing w:after="0"/>
              <w:rPr>
                <w:sz w:val="20"/>
                <w:szCs w:val="20"/>
                <w:color w:val="auto"/>
              </w:rPr>
            </w:pPr>
            <w:r>
              <w:rPr>
                <w:rFonts w:ascii="Arial" w:cs="Arial" w:eastAsia="Arial" w:hAnsi="Arial"/>
                <w:sz w:val="18"/>
                <w:szCs w:val="18"/>
                <w:color w:val="auto"/>
              </w:rPr>
              <w:t>$18.72(3)</w:t>
            </w:r>
          </w:p>
        </w:tc>
        <w:tc>
          <w:tcPr>
            <w:tcW w:w="18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8"/>
                <w:szCs w:val="18"/>
                <w:color w:val="auto"/>
              </w:rPr>
              <w:t>$286,072,531(3)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$ 11,243</w:t>
            </w:r>
          </w:p>
        </w:tc>
        <w:tc>
          <w:tcPr>
            <w:tcW w:w="100" w:type="dxa"/>
            <w:vAlign w:val="bottom"/>
          </w:tcPr>
          <w:p>
            <w:pPr>
              <w:spacing w:after="0"/>
              <w:rPr>
                <w:sz w:val="18"/>
                <w:szCs w:val="18"/>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30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Arial" w:cs="Arial" w:eastAsia="Arial" w:hAnsi="Arial"/>
          <w:sz w:val="17"/>
          <w:szCs w:val="17"/>
          <w:color w:val="auto"/>
        </w:rPr>
      </w:pPr>
    </w:p>
    <w:p>
      <w:pPr>
        <w:ind w:left="460" w:right="80" w:hanging="452"/>
        <w:spacing w:after="0" w:line="26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9,244,623 of these shares were previously registered pursuant to a registration statement filed on Form S-8 (File No. 333-75170) (the “2001 Registration Statement”) filed by the Registrant on December 14, 2001 in connection with the Registrant’s 2001 Broad-Based Stock Option Plan (the “2001 Plan”). The Registrant is transferring such 9,244,623 shares (the “2001 Carryover Shares”) from the 2001 Registration Statement and has filed a Post-Effective Amendment No. 1 to the 2001 Registration Statement deregistering such shares in connection with such transfer. The 2001Carryover Shares were previously subject to awards granted under the 2001 Plan, which awards have been cancelled or expired. Under the terms of the shareholder-approved 2006 Stock Incentive Plan (the “2006 Plan”), the 2001 Carryover Shares became automatically available for issuance under the 2006 Plan. 6,041,112 of these shares were originally registered pursuant to a registration statement on Form S-8 (File No. 333-40222) (the “1998 Registration Statement”) filed by the Registrant on June 27, 2000 in connection with the Registrant’s 1998 Stock Option Plan (the “1998 Plan”). The Registrant is transferring such 6,041,112 shares (the “1998 Carryover Shares”) from the 1998 Plan and has filed a Post-Effective Amendment No. 1 to the 1998 Registration Statement deregistering such shares in connection with such transfer. The 1998 Carryover Shares were previously subject to awards granted under the 1998 Plan, which awards have been cancelled or expired. Under the terms of the 2006 Plan, the 1998 Carryover Shares became automatically available for issuance under the 2006 Plan.</w:t>
      </w:r>
    </w:p>
    <w:p>
      <w:pPr>
        <w:spacing w:after="0" w:line="3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prices of the Registrant’s Common Stock as reported on the New York Stock Exchange on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055"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Plan Information</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EX-5 Opinion of Wilmer Cutler Pickering Hale and Dorr LLP</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EX-23.2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138430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STATEMENT OF INCORPORATION BY REFERENCE</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Except as otherwise set forth below, this registration statement incorporates by reference the contents of the Registration Statement on Form S-8, File No. 333-132409 filed by the Registrant on March 14, 2006, relating to the Registrant’s 2006 Stock Incentive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Wilmer Cutler Pickering Hale and Dorr LLP (“WilmerHale”) has opined as to the legality of the securities being offered by this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attorneys at WilmerHale own shares of Analog Devices, Inc.’s common stock.</w:t>
      </w:r>
    </w:p>
    <w:p>
      <w:pPr>
        <w:spacing w:after="0" w:line="1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Norwood, Massachusetts, on this 19th day of December,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Jerald G. Fishman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the undersigned officers and directors of Analog Devices, Inc., hereby severally constitute and appoint Jerald G. Fishman, Joseph E. McDonough and Margaret K. Seif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5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ind w:left="1540"/>
              <w:spacing w:after="0"/>
              <w:rPr>
                <w:sz w:val="20"/>
                <w:szCs w:val="20"/>
                <w:color w:val="auto"/>
              </w:rPr>
            </w:pPr>
            <w:r>
              <w:rPr>
                <w:rFonts w:ascii="Arial" w:cs="Arial" w:eastAsia="Arial" w:hAnsi="Arial"/>
                <w:sz w:val="14"/>
                <w:szCs w:val="14"/>
                <w:i w:val="1"/>
                <w:iCs w:val="1"/>
                <w:color w:val="auto"/>
              </w:rPr>
              <w:t>Name</w:t>
            </w:r>
          </w:p>
        </w:tc>
        <w:tc>
          <w:tcPr>
            <w:tcW w:w="4360" w:type="dxa"/>
            <w:vAlign w:val="bottom"/>
          </w:tcPr>
          <w:p>
            <w:pPr>
              <w:jc w:val="center"/>
              <w:spacing w:after="0"/>
              <w:rPr>
                <w:sz w:val="20"/>
                <w:szCs w:val="20"/>
                <w:color w:val="auto"/>
              </w:rPr>
            </w:pPr>
            <w:r>
              <w:rPr>
                <w:rFonts w:ascii="Arial" w:cs="Arial" w:eastAsia="Arial" w:hAnsi="Arial"/>
                <w:sz w:val="14"/>
                <w:szCs w:val="14"/>
                <w:i w:val="1"/>
                <w:iCs w:val="1"/>
                <w:color w:val="auto"/>
                <w:w w:val="98"/>
              </w:rPr>
              <w:t>Title</w:t>
            </w:r>
          </w:p>
        </w:tc>
        <w:tc>
          <w:tcPr>
            <w:tcW w:w="3880" w:type="dxa"/>
            <w:vAlign w:val="bottom"/>
          </w:tcPr>
          <w:p>
            <w:pPr>
              <w:jc w:val="center"/>
              <w:ind w:right="193"/>
              <w:spacing w:after="0"/>
              <w:rPr>
                <w:sz w:val="20"/>
                <w:szCs w:val="20"/>
                <w:color w:val="auto"/>
              </w:rPr>
            </w:pPr>
            <w:r>
              <w:rPr>
                <w:rFonts w:ascii="Arial" w:cs="Arial" w:eastAsia="Arial" w:hAnsi="Arial"/>
                <w:sz w:val="14"/>
                <w:szCs w:val="14"/>
                <w:i w:val="1"/>
                <w:iCs w:val="1"/>
                <w:color w:val="auto"/>
                <w:w w:val="94"/>
              </w:rPr>
              <w:t>Date</w:t>
            </w:r>
          </w:p>
        </w:tc>
      </w:tr>
      <w:tr>
        <w:trPr>
          <w:trHeight w:val="403"/>
        </w:trPr>
        <w:tc>
          <w:tcPr>
            <w:tcW w:w="3180" w:type="dxa"/>
            <w:vAlign w:val="bottom"/>
          </w:tcPr>
          <w:p>
            <w:pPr>
              <w:spacing w:after="0"/>
              <w:rPr>
                <w:sz w:val="20"/>
                <w:szCs w:val="20"/>
                <w:color w:val="auto"/>
              </w:rPr>
            </w:pPr>
            <w:r>
              <w:rPr>
                <w:rFonts w:ascii="Arial" w:cs="Arial" w:eastAsia="Arial" w:hAnsi="Arial"/>
                <w:sz w:val="18"/>
                <w:szCs w:val="18"/>
                <w:color w:val="auto"/>
              </w:rPr>
              <w:t>/s/ Ray Stata</w:t>
            </w:r>
          </w:p>
        </w:tc>
        <w:tc>
          <w:tcPr>
            <w:tcW w:w="436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3880" w:type="dxa"/>
            <w:vAlign w:val="bottom"/>
          </w:tcPr>
          <w:p>
            <w:pPr>
              <w:jc w:val="center"/>
              <w:ind w:right="173"/>
              <w:spacing w:after="0"/>
              <w:rPr>
                <w:sz w:val="20"/>
                <w:szCs w:val="20"/>
                <w:color w:val="auto"/>
              </w:rPr>
            </w:pPr>
            <w:r>
              <w:rPr>
                <w:rFonts w:ascii="Arial" w:cs="Arial" w:eastAsia="Arial" w:hAnsi="Arial"/>
                <w:sz w:val="18"/>
                <w:szCs w:val="18"/>
                <w:color w:val="auto"/>
                <w:w w:val="89"/>
              </w:rPr>
              <w:t>December 19, 2008</w:t>
            </w:r>
          </w:p>
        </w:tc>
      </w:tr>
      <w:tr>
        <w:trPr>
          <w:trHeight w:val="230"/>
        </w:trPr>
        <w:tc>
          <w:tcPr>
            <w:tcW w:w="3180" w:type="dxa"/>
            <w:vAlign w:val="bottom"/>
          </w:tcPr>
          <w:p>
            <w:pPr>
              <w:ind w:left="460"/>
              <w:spacing w:after="0"/>
              <w:rPr>
                <w:sz w:val="20"/>
                <w:szCs w:val="20"/>
                <w:color w:val="auto"/>
              </w:rPr>
            </w:pPr>
            <w:r>
              <w:rPr>
                <w:rFonts w:ascii="Arial" w:cs="Arial" w:eastAsia="Arial" w:hAnsi="Arial"/>
                <w:sz w:val="18"/>
                <w:szCs w:val="18"/>
                <w:color w:val="auto"/>
              </w:rPr>
              <w:t>Ray Stata</w:t>
            </w:r>
          </w:p>
        </w:tc>
        <w:tc>
          <w:tcPr>
            <w:tcW w:w="43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/s/ Jerald G. Fishman</w:t>
            </w:r>
          </w:p>
        </w:tc>
        <w:tc>
          <w:tcPr>
            <w:tcW w:w="4360" w:type="dxa"/>
            <w:vAlign w:val="bottom"/>
          </w:tcPr>
          <w:p>
            <w:pPr>
              <w:jc w:val="center"/>
              <w:spacing w:after="0"/>
              <w:rPr>
                <w:sz w:val="20"/>
                <w:szCs w:val="20"/>
                <w:color w:val="auto"/>
              </w:rPr>
            </w:pPr>
            <w:r>
              <w:rPr>
                <w:rFonts w:ascii="Arial" w:cs="Arial" w:eastAsia="Arial" w:hAnsi="Arial"/>
                <w:sz w:val="18"/>
                <w:szCs w:val="18"/>
                <w:color w:val="auto"/>
                <w:w w:val="86"/>
              </w:rPr>
              <w:t>President,</w:t>
            </w:r>
          </w:p>
        </w:tc>
        <w:tc>
          <w:tcPr>
            <w:tcW w:w="3880" w:type="dxa"/>
            <w:vAlign w:val="bottom"/>
          </w:tcPr>
          <w:p>
            <w:pPr>
              <w:jc w:val="center"/>
              <w:ind w:right="173"/>
              <w:spacing w:after="0"/>
              <w:rPr>
                <w:sz w:val="20"/>
                <w:szCs w:val="20"/>
                <w:color w:val="auto"/>
              </w:rPr>
            </w:pPr>
            <w:r>
              <w:rPr>
                <w:rFonts w:ascii="Arial" w:cs="Arial" w:eastAsia="Arial" w:hAnsi="Arial"/>
                <w:sz w:val="18"/>
                <w:szCs w:val="18"/>
                <w:color w:val="auto"/>
                <w:w w:val="89"/>
              </w:rPr>
              <w:t>December 19, 2008</w:t>
            </w:r>
          </w:p>
        </w:tc>
      </w:t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Jerald G. Fishman</w:t>
            </w: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c>
          <w:tcPr>
            <w:tcW w:w="388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and Director (Principal</w:t>
            </w:r>
          </w:p>
        </w:tc>
        <w:tc>
          <w:tcPr>
            <w:tcW w:w="388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Executive Officer)</w:t>
            </w:r>
          </w:p>
        </w:tc>
        <w:tc>
          <w:tcPr>
            <w:tcW w:w="3880" w:type="dxa"/>
            <w:vAlign w:val="bottom"/>
          </w:tcPr>
          <w:p>
            <w:pPr>
              <w:spacing w:after="0"/>
              <w:rPr>
                <w:sz w:val="20"/>
                <w:szCs w:val="20"/>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/s/ Joseph E. McDonough</w:t>
            </w:r>
          </w:p>
        </w:tc>
        <w:tc>
          <w:tcPr>
            <w:tcW w:w="4360" w:type="dxa"/>
            <w:vAlign w:val="bottom"/>
          </w:tcPr>
          <w:p>
            <w:pPr>
              <w:jc w:val="center"/>
              <w:spacing w:after="0"/>
              <w:rPr>
                <w:sz w:val="20"/>
                <w:szCs w:val="20"/>
                <w:color w:val="auto"/>
              </w:rPr>
            </w:pPr>
            <w:r>
              <w:rPr>
                <w:rFonts w:ascii="Arial" w:cs="Arial" w:eastAsia="Arial" w:hAnsi="Arial"/>
                <w:sz w:val="18"/>
                <w:szCs w:val="18"/>
                <w:color w:val="auto"/>
                <w:w w:val="89"/>
              </w:rPr>
              <w:t>Vice President-Finance</w:t>
            </w:r>
          </w:p>
        </w:tc>
        <w:tc>
          <w:tcPr>
            <w:tcW w:w="3880" w:type="dxa"/>
            <w:vAlign w:val="bottom"/>
          </w:tcPr>
          <w:p>
            <w:pPr>
              <w:jc w:val="center"/>
              <w:ind w:right="173"/>
              <w:spacing w:after="0"/>
              <w:rPr>
                <w:sz w:val="20"/>
                <w:szCs w:val="20"/>
                <w:color w:val="auto"/>
              </w:rPr>
            </w:pPr>
            <w:r>
              <w:rPr>
                <w:rFonts w:ascii="Arial" w:cs="Arial" w:eastAsia="Arial" w:hAnsi="Arial"/>
                <w:sz w:val="18"/>
                <w:szCs w:val="18"/>
                <w:color w:val="auto"/>
                <w:w w:val="89"/>
              </w:rPr>
              <w:t>December 19, 2008</w:t>
            </w:r>
          </w:p>
        </w:tc>
      </w:t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Joseph E. McDonough</w:t>
            </w: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and Chief Financial Officer</w:t>
            </w:r>
          </w:p>
        </w:tc>
        <w:tc>
          <w:tcPr>
            <w:tcW w:w="388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3880" w:type="dxa"/>
            <w:vAlign w:val="bottom"/>
          </w:tcPr>
          <w:p>
            <w:pPr>
              <w:spacing w:after="0"/>
              <w:rPr>
                <w:sz w:val="20"/>
                <w:szCs w:val="20"/>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/s/ Seamus Brennan</w:t>
            </w: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Vice President, Corporate</w:t>
            </w:r>
          </w:p>
        </w:tc>
        <w:tc>
          <w:tcPr>
            <w:tcW w:w="3880" w:type="dxa"/>
            <w:vAlign w:val="bottom"/>
          </w:tcPr>
          <w:p>
            <w:pPr>
              <w:jc w:val="center"/>
              <w:ind w:right="173"/>
              <w:spacing w:after="0"/>
              <w:rPr>
                <w:sz w:val="20"/>
                <w:szCs w:val="20"/>
                <w:color w:val="auto"/>
              </w:rPr>
            </w:pPr>
            <w:r>
              <w:rPr>
                <w:rFonts w:ascii="Arial" w:cs="Arial" w:eastAsia="Arial" w:hAnsi="Arial"/>
                <w:sz w:val="18"/>
                <w:szCs w:val="18"/>
                <w:color w:val="auto"/>
                <w:w w:val="89"/>
              </w:rPr>
              <w:t>December 19, 2008</w:t>
            </w:r>
          </w:p>
        </w:tc>
      </w:t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Seamus Brennan</w:t>
            </w: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Controller and Chief</w:t>
            </w:r>
          </w:p>
        </w:tc>
        <w:tc>
          <w:tcPr>
            <w:tcW w:w="388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Accounting Officer (Principal</w:t>
            </w:r>
          </w:p>
        </w:tc>
        <w:tc>
          <w:tcPr>
            <w:tcW w:w="388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3880" w:type="dxa"/>
            <w:vAlign w:val="bottom"/>
          </w:tcPr>
          <w:p>
            <w:pPr>
              <w:spacing w:after="0"/>
              <w:rPr>
                <w:sz w:val="20"/>
                <w:szCs w:val="20"/>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/s/ James A. Champy</w:t>
            </w: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880" w:type="dxa"/>
            <w:vAlign w:val="bottom"/>
          </w:tcPr>
          <w:p>
            <w:pPr>
              <w:jc w:val="center"/>
              <w:ind w:right="173"/>
              <w:spacing w:after="0"/>
              <w:rPr>
                <w:sz w:val="20"/>
                <w:szCs w:val="20"/>
                <w:color w:val="auto"/>
              </w:rPr>
            </w:pPr>
            <w:r>
              <w:rPr>
                <w:rFonts w:ascii="Arial" w:cs="Arial" w:eastAsia="Arial" w:hAnsi="Arial"/>
                <w:sz w:val="18"/>
                <w:szCs w:val="18"/>
                <w:color w:val="auto"/>
                <w:w w:val="89"/>
              </w:rPr>
              <w:t>December 19, 2008</w:t>
            </w:r>
          </w:p>
        </w:tc>
      </w:tr>
      <w:tr>
        <w:trPr>
          <w:trHeight w:val="230"/>
        </w:trPr>
        <w:tc>
          <w:tcPr>
            <w:tcW w:w="3180" w:type="dxa"/>
            <w:vAlign w:val="bottom"/>
          </w:tcPr>
          <w:p>
            <w:pPr>
              <w:ind w:left="460"/>
              <w:spacing w:after="0"/>
              <w:rPr>
                <w:sz w:val="20"/>
                <w:szCs w:val="20"/>
                <w:color w:val="auto"/>
              </w:rPr>
            </w:pPr>
            <w:r>
              <w:rPr>
                <w:rFonts w:ascii="Arial" w:cs="Arial" w:eastAsia="Arial" w:hAnsi="Arial"/>
                <w:sz w:val="18"/>
                <w:szCs w:val="18"/>
                <w:color w:val="auto"/>
              </w:rPr>
              <w:t>James A. Champy</w:t>
            </w:r>
          </w:p>
        </w:tc>
        <w:tc>
          <w:tcPr>
            <w:tcW w:w="43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05"/>
        </w:trPr>
        <w:tc>
          <w:tcPr>
            <w:tcW w:w="3180" w:type="dxa"/>
            <w:vAlign w:val="bottom"/>
          </w:tcPr>
          <w:p>
            <w:pPr>
              <w:spacing w:after="0"/>
              <w:rPr>
                <w:sz w:val="24"/>
                <w:szCs w:val="24"/>
                <w:color w:val="auto"/>
              </w:rPr>
            </w:pPr>
          </w:p>
        </w:tc>
        <w:tc>
          <w:tcPr>
            <w:tcW w:w="4360" w:type="dxa"/>
            <w:vAlign w:val="bottom"/>
          </w:tcPr>
          <w:p>
            <w:pPr>
              <w:jc w:val="right"/>
              <w:ind w:right="1591"/>
              <w:spacing w:after="0"/>
              <w:rPr>
                <w:sz w:val="20"/>
                <w:szCs w:val="20"/>
                <w:color w:val="auto"/>
              </w:rPr>
            </w:pPr>
            <w:r>
              <w:rPr>
                <w:rFonts w:ascii="Arial" w:cs="Arial" w:eastAsia="Arial" w:hAnsi="Arial"/>
                <w:sz w:val="18"/>
                <w:szCs w:val="18"/>
                <w:color w:val="auto"/>
              </w:rPr>
              <w:t>- 2 -</w:t>
            </w:r>
          </w:p>
        </w:tc>
        <w:tc>
          <w:tcPr>
            <w:tcW w:w="3880" w:type="dxa"/>
            <w:vAlign w:val="bottom"/>
          </w:tcPr>
          <w:p>
            <w:pPr>
              <w:spacing w:after="0"/>
              <w:rPr>
                <w:sz w:val="24"/>
                <w:szCs w:val="24"/>
                <w:color w:val="auto"/>
              </w:rPr>
            </w:pPr>
          </w:p>
        </w:tc>
      </w:tr>
      <w:tr>
        <w:trPr>
          <w:trHeight w:val="226"/>
        </w:trPr>
        <w:tc>
          <w:tcPr>
            <w:tcW w:w="31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ind w:left="1540"/>
              <w:spacing w:after="0"/>
              <w:rPr>
                <w:sz w:val="20"/>
                <w:szCs w:val="20"/>
                <w:color w:val="auto"/>
              </w:rPr>
            </w:pPr>
            <w:r>
              <w:rPr>
                <w:rFonts w:ascii="Arial" w:cs="Arial" w:eastAsia="Arial" w:hAnsi="Arial"/>
                <w:sz w:val="14"/>
                <w:szCs w:val="14"/>
                <w:i w:val="1"/>
                <w:iCs w:val="1"/>
                <w:color w:val="auto"/>
              </w:rPr>
              <w:t>Name</w:t>
            </w:r>
          </w:p>
        </w:tc>
        <w:tc>
          <w:tcPr>
            <w:tcW w:w="3760" w:type="dxa"/>
            <w:vAlign w:val="bottom"/>
          </w:tcPr>
          <w:p>
            <w:pPr>
              <w:jc w:val="center"/>
              <w:spacing w:after="0"/>
              <w:rPr>
                <w:sz w:val="20"/>
                <w:szCs w:val="20"/>
                <w:color w:val="auto"/>
              </w:rPr>
            </w:pPr>
            <w:r>
              <w:rPr>
                <w:rFonts w:ascii="Arial" w:cs="Arial" w:eastAsia="Arial" w:hAnsi="Arial"/>
                <w:sz w:val="14"/>
                <w:szCs w:val="14"/>
                <w:i w:val="1"/>
                <w:iCs w:val="1"/>
                <w:color w:val="auto"/>
                <w:w w:val="98"/>
              </w:rPr>
              <w:t>Title</w:t>
            </w:r>
          </w:p>
        </w:tc>
        <w:tc>
          <w:tcPr>
            <w:tcW w:w="4160" w:type="dxa"/>
            <w:vAlign w:val="bottom"/>
          </w:tcPr>
          <w:p>
            <w:pPr>
              <w:jc w:val="center"/>
              <w:spacing w:after="0"/>
              <w:rPr>
                <w:sz w:val="20"/>
                <w:szCs w:val="20"/>
                <w:color w:val="auto"/>
              </w:rPr>
            </w:pPr>
            <w:r>
              <w:rPr>
                <w:rFonts w:ascii="Arial" w:cs="Arial" w:eastAsia="Arial" w:hAnsi="Arial"/>
                <w:sz w:val="14"/>
                <w:szCs w:val="14"/>
                <w:i w:val="1"/>
                <w:iCs w:val="1"/>
                <w:color w:val="auto"/>
                <w:w w:val="94"/>
              </w:rPr>
              <w:t>Date</w:t>
            </w:r>
          </w:p>
        </w:tc>
      </w:tr>
      <w:tr>
        <w:trPr>
          <w:trHeight w:val="403"/>
        </w:trPr>
        <w:tc>
          <w:tcPr>
            <w:tcW w:w="3500" w:type="dxa"/>
            <w:vAlign w:val="bottom"/>
          </w:tcPr>
          <w:p>
            <w:pPr>
              <w:spacing w:after="0"/>
              <w:rPr>
                <w:sz w:val="20"/>
                <w:szCs w:val="20"/>
                <w:color w:val="auto"/>
              </w:rPr>
            </w:pPr>
            <w:r>
              <w:rPr>
                <w:rFonts w:ascii="Arial" w:cs="Arial" w:eastAsia="Arial" w:hAnsi="Arial"/>
                <w:sz w:val="18"/>
                <w:szCs w:val="18"/>
                <w:color w:val="auto"/>
              </w:rPr>
              <w:t>/s/ John L. Doyle</w:t>
            </w: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December 19, 2008</w:t>
            </w:r>
          </w:p>
        </w:tc>
      </w:tr>
      <w:tr>
        <w:trPr>
          <w:trHeight w:val="230"/>
        </w:trPr>
        <w:tc>
          <w:tcPr>
            <w:tcW w:w="3500" w:type="dxa"/>
            <w:vAlign w:val="bottom"/>
          </w:tcPr>
          <w:p>
            <w:pPr>
              <w:ind w:left="460"/>
              <w:spacing w:after="0"/>
              <w:rPr>
                <w:sz w:val="20"/>
                <w:szCs w:val="20"/>
                <w:color w:val="auto"/>
              </w:rPr>
            </w:pPr>
            <w:r>
              <w:rPr>
                <w:rFonts w:ascii="Arial" w:cs="Arial" w:eastAsia="Arial" w:hAnsi="Arial"/>
                <w:sz w:val="18"/>
                <w:szCs w:val="18"/>
                <w:color w:val="auto"/>
              </w:rPr>
              <w:t>John L. Doyle</w:t>
            </w:r>
          </w:p>
        </w:tc>
        <w:tc>
          <w:tcPr>
            <w:tcW w:w="3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/s/ John C. Hodgson</w:t>
            </w: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December 19, 2008</w:t>
            </w:r>
          </w:p>
        </w:tc>
      </w:tr>
      <w:tr>
        <w:trPr>
          <w:trHeight w:val="230"/>
        </w:trPr>
        <w:tc>
          <w:tcPr>
            <w:tcW w:w="3500" w:type="dxa"/>
            <w:vAlign w:val="bottom"/>
          </w:tcPr>
          <w:p>
            <w:pPr>
              <w:ind w:left="460"/>
              <w:spacing w:after="0"/>
              <w:rPr>
                <w:sz w:val="20"/>
                <w:szCs w:val="20"/>
                <w:color w:val="auto"/>
              </w:rPr>
            </w:pPr>
            <w:r>
              <w:rPr>
                <w:rFonts w:ascii="Arial" w:cs="Arial" w:eastAsia="Arial" w:hAnsi="Arial"/>
                <w:sz w:val="18"/>
                <w:szCs w:val="18"/>
                <w:color w:val="auto"/>
              </w:rPr>
              <w:t>John C. Hodgson</w:t>
            </w:r>
          </w:p>
        </w:tc>
        <w:tc>
          <w:tcPr>
            <w:tcW w:w="3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/s/ Yves-Andre Istel</w:t>
            </w: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December 19, 2008</w:t>
            </w:r>
          </w:p>
        </w:tc>
      </w:tr>
      <w:tr>
        <w:trPr>
          <w:trHeight w:val="230"/>
        </w:trPr>
        <w:tc>
          <w:tcPr>
            <w:tcW w:w="3500" w:type="dxa"/>
            <w:vAlign w:val="bottom"/>
          </w:tcPr>
          <w:p>
            <w:pPr>
              <w:ind w:left="460"/>
              <w:spacing w:after="0"/>
              <w:rPr>
                <w:sz w:val="20"/>
                <w:szCs w:val="20"/>
                <w:color w:val="auto"/>
              </w:rPr>
            </w:pPr>
            <w:r>
              <w:rPr>
                <w:rFonts w:ascii="Arial" w:cs="Arial" w:eastAsia="Arial" w:hAnsi="Arial"/>
                <w:sz w:val="18"/>
                <w:szCs w:val="18"/>
                <w:color w:val="auto"/>
              </w:rPr>
              <w:t>Yves-Andre Istel</w:t>
            </w:r>
          </w:p>
        </w:tc>
        <w:tc>
          <w:tcPr>
            <w:tcW w:w="3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/s/ Neil Novich</w:t>
            </w: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December 19, 2008</w:t>
            </w:r>
          </w:p>
        </w:tc>
      </w:tr>
      <w:tr>
        <w:trPr>
          <w:trHeight w:val="230"/>
        </w:trPr>
        <w:tc>
          <w:tcPr>
            <w:tcW w:w="3500" w:type="dxa"/>
            <w:vAlign w:val="bottom"/>
          </w:tcPr>
          <w:p>
            <w:pPr>
              <w:ind w:left="460"/>
              <w:spacing w:after="0"/>
              <w:rPr>
                <w:sz w:val="20"/>
                <w:szCs w:val="20"/>
                <w:color w:val="auto"/>
              </w:rPr>
            </w:pPr>
            <w:r>
              <w:rPr>
                <w:rFonts w:ascii="Arial" w:cs="Arial" w:eastAsia="Arial" w:hAnsi="Arial"/>
                <w:sz w:val="18"/>
                <w:szCs w:val="18"/>
                <w:color w:val="auto"/>
              </w:rPr>
              <w:t>Neil Novich</w:t>
            </w:r>
          </w:p>
        </w:tc>
        <w:tc>
          <w:tcPr>
            <w:tcW w:w="3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/s/ F. Grant Saviers</w:t>
            </w: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December 19, 2008</w:t>
            </w:r>
          </w:p>
        </w:tc>
      </w:tr>
      <w:tr>
        <w:trPr>
          <w:trHeight w:val="230"/>
        </w:trPr>
        <w:tc>
          <w:tcPr>
            <w:tcW w:w="3500" w:type="dxa"/>
            <w:vAlign w:val="bottom"/>
          </w:tcPr>
          <w:p>
            <w:pPr>
              <w:ind w:left="460"/>
              <w:spacing w:after="0"/>
              <w:rPr>
                <w:sz w:val="20"/>
                <w:szCs w:val="20"/>
                <w:color w:val="auto"/>
              </w:rPr>
            </w:pPr>
            <w:r>
              <w:rPr>
                <w:rFonts w:ascii="Arial" w:cs="Arial" w:eastAsia="Arial" w:hAnsi="Arial"/>
                <w:sz w:val="18"/>
                <w:szCs w:val="18"/>
                <w:color w:val="auto"/>
              </w:rPr>
              <w:t>F. Grant Saviers</w:t>
            </w:r>
          </w:p>
        </w:tc>
        <w:tc>
          <w:tcPr>
            <w:tcW w:w="3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/s/ Kenton J. Sicchitano</w:t>
            </w: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December 19, 2008</w:t>
            </w:r>
          </w:p>
        </w:tc>
      </w:tr>
      <w:tr>
        <w:trPr>
          <w:trHeight w:val="230"/>
        </w:trPr>
        <w:tc>
          <w:tcPr>
            <w:tcW w:w="3500" w:type="dxa"/>
            <w:vAlign w:val="bottom"/>
          </w:tcPr>
          <w:p>
            <w:pPr>
              <w:ind w:left="460"/>
              <w:spacing w:after="0"/>
              <w:rPr>
                <w:sz w:val="20"/>
                <w:szCs w:val="20"/>
                <w:color w:val="auto"/>
              </w:rPr>
            </w:pPr>
            <w:r>
              <w:rPr>
                <w:rFonts w:ascii="Arial" w:cs="Arial" w:eastAsia="Arial" w:hAnsi="Arial"/>
                <w:sz w:val="18"/>
                <w:szCs w:val="18"/>
                <w:color w:val="auto"/>
              </w:rPr>
              <w:t>Kenton J. Sicchitano</w:t>
            </w:r>
          </w:p>
        </w:tc>
        <w:tc>
          <w:tcPr>
            <w:tcW w:w="3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3760" w:type="dxa"/>
            <w:vAlign w:val="bottom"/>
          </w:tcPr>
          <w:p>
            <w:pPr>
              <w:jc w:val="right"/>
              <w:ind w:right="1312"/>
              <w:spacing w:after="0"/>
              <w:rPr>
                <w:sz w:val="20"/>
                <w:szCs w:val="20"/>
                <w:color w:val="auto"/>
              </w:rPr>
            </w:pPr>
            <w:r>
              <w:rPr>
                <w:rFonts w:ascii="Arial" w:cs="Arial" w:eastAsia="Arial" w:hAnsi="Arial"/>
                <w:sz w:val="18"/>
                <w:szCs w:val="18"/>
                <w:color w:val="auto"/>
              </w:rPr>
              <w:t>- 3 -</w:t>
            </w:r>
          </w:p>
        </w:tc>
        <w:tc>
          <w:tcPr>
            <w:tcW w:w="416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Restated Articles of Organization of the Registrant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Amended and Restated By-Laws of the Registrant</w:t>
      </w:r>
    </w:p>
    <w:p>
      <w:pPr>
        <w:spacing w:after="0" w:line="225"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Wilmer Cutler Pickering Hale and Dorr LLP, counsel to the Registrant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6"/>
          <w:szCs w:val="16"/>
          <w:color w:val="auto"/>
        </w:rPr>
        <w:t>Consent of Wilmer Cutler Pickering Hale and Dorr LLP (included in Exhibit 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right="4740" w:firstLine="8"/>
        <w:spacing w:after="0" w:line="528" w:lineRule="auto"/>
        <w:tabs>
          <w:tab w:leader="none" w:pos="81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of attorney (included on the signature pages of this registration statement) 99.1(3) Analog Devices, Inc. 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96" w:lineRule="exact"/>
        <w:rPr>
          <w:sz w:val="20"/>
          <w:szCs w:val="20"/>
          <w:color w:val="auto"/>
        </w:rPr>
      </w:pPr>
    </w:p>
    <w:p>
      <w:pPr>
        <w:ind w:left="460" w:right="80" w:hanging="452"/>
        <w:spacing w:after="0" w:line="31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Previously filed with the Securities and Exchange Commission as Exhibit 3.1 to the Registrant’s Quarterly Report on Form 10-Q (File No. 1-7819) for the quarterly period ended May 3, 2008 as filed with the Commission on May 20, 2008, and amended as described on Exhibit 3.1 to the Registrant’s Current Report on Form 8-K (File No. 1-7819) filed with the Commission on December 8, 2008, and incorporated herein by reference.</w:t>
      </w: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Exhibit 3.1 to the Registrant’s Current Report on Form 8-K (File No. 1-7819) as filed with the Commission on December 3, 2008 and incorporated herein by reference.</w:t>
      </w:r>
    </w:p>
    <w:p>
      <w:pPr>
        <w:spacing w:after="0" w:line="21"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Appendix A of the Registrant’s Definitive Proxy Statement on Schedule 14A filed with the Commission on February 8, 2006 (File No. 1-7819), as amended, and incorporated herein by reference.</w:t>
      </w:r>
    </w:p>
    <w:p>
      <w:pPr>
        <w:sectPr>
          <w:pgSz w:w="11900" w:h="16838" w:orient="portrait"/>
          <w:cols w:equalWidth="0" w:num="1">
            <w:col w:w="11380"/>
          </w:cols>
          <w:pgMar w:left="240" w:top="419" w:right="279" w:bottom="1440" w:gutter="0" w:footer="0" w:header="0"/>
        </w:sectPr>
      </w:pPr>
    </w:p>
    <w:bookmarkStart w:id="7" w:name="page8"/>
    <w:bookmarkEnd w:id="7"/>
    <w:tbl>
      <w:tblPr>
        <w:tblLayout w:type="fixed"/>
        <w:tblInd w:w="4900" w:type="dxa"/>
        <w:tblCellMar>
          <w:top w:w="0" w:type="dxa"/>
          <w:left w:w="0" w:type="dxa"/>
          <w:bottom w:w="0" w:type="dxa"/>
          <w:right w:w="0" w:type="dxa"/>
        </w:tblCellMar>
      </w:tblPr>
      <w:tr>
        <w:trPr>
          <w:trHeight w:val="216"/>
        </w:trPr>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ind w:left="20"/>
              <w:spacing w:after="0"/>
              <w:rPr>
                <w:sz w:val="20"/>
                <w:szCs w:val="20"/>
                <w:color w:val="auto"/>
              </w:rPr>
            </w:pPr>
            <w:r>
              <w:rPr>
                <w:rFonts w:ascii="Arial" w:cs="Arial" w:eastAsia="Arial" w:hAnsi="Arial"/>
                <w:sz w:val="18"/>
                <w:szCs w:val="18"/>
                <w:color w:val="auto"/>
                <w:w w:val="90"/>
              </w:rPr>
              <w:t>617 526 6000</w:t>
            </w:r>
          </w:p>
        </w:tc>
        <w:tc>
          <w:tcPr>
            <w:tcW w:w="200" w:type="dxa"/>
            <w:vAlign w:val="bottom"/>
          </w:tcPr>
          <w:p>
            <w:pPr>
              <w:ind w:left="20"/>
              <w:spacing w:after="0"/>
              <w:rPr>
                <w:sz w:val="20"/>
                <w:szCs w:val="20"/>
                <w:color w:val="auto"/>
              </w:rPr>
            </w:pPr>
            <w:r>
              <w:rPr>
                <w:rFonts w:ascii="Arial" w:cs="Arial" w:eastAsia="Arial" w:hAnsi="Arial"/>
                <w:sz w:val="18"/>
                <w:szCs w:val="18"/>
                <w:color w:val="auto"/>
                <w:w w:val="93"/>
              </w:rPr>
              <w:t>(t)</w:t>
            </w:r>
          </w:p>
        </w:tc>
      </w:tr>
      <w:tr>
        <w:trPr>
          <w:trHeight w:val="216"/>
        </w:trPr>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ind w:left="20"/>
              <w:spacing w:after="0"/>
              <w:rPr>
                <w:sz w:val="20"/>
                <w:szCs w:val="20"/>
                <w:color w:val="auto"/>
              </w:rPr>
            </w:pPr>
            <w:r>
              <w:rPr>
                <w:rFonts w:ascii="Arial" w:cs="Arial" w:eastAsia="Arial" w:hAnsi="Arial"/>
                <w:sz w:val="18"/>
                <w:szCs w:val="18"/>
                <w:color w:val="auto"/>
                <w:w w:val="90"/>
              </w:rPr>
              <w:t>617 526 5000</w:t>
            </w:r>
          </w:p>
        </w:tc>
        <w:tc>
          <w:tcPr>
            <w:tcW w:w="200" w:type="dxa"/>
            <w:vAlign w:val="bottom"/>
          </w:tcPr>
          <w:p>
            <w:pPr>
              <w:ind w:left="20"/>
              <w:spacing w:after="0"/>
              <w:rPr>
                <w:sz w:val="20"/>
                <w:szCs w:val="20"/>
                <w:color w:val="auto"/>
              </w:rPr>
            </w:pPr>
            <w:r>
              <w:rPr>
                <w:rFonts w:ascii="Arial" w:cs="Arial" w:eastAsia="Arial" w:hAnsi="Arial"/>
                <w:sz w:val="18"/>
                <w:szCs w:val="18"/>
                <w:color w:val="auto"/>
                <w:w w:val="93"/>
              </w:rPr>
              <w:t>(f)</w:t>
            </w:r>
          </w:p>
        </w:tc>
      </w:tr>
      <w:tr>
        <w:trPr>
          <w:trHeight w:val="230"/>
        </w:trPr>
        <w:tc>
          <w:tcPr>
            <w:tcW w:w="3920" w:type="dxa"/>
            <w:vAlign w:val="bottom"/>
          </w:tcPr>
          <w:p>
            <w:pPr>
              <w:jc w:val="right"/>
              <w:ind w:right="2410"/>
              <w:spacing w:after="0"/>
              <w:rPr>
                <w:sz w:val="20"/>
                <w:szCs w:val="20"/>
                <w:color w:val="auto"/>
              </w:rPr>
            </w:pPr>
            <w:r>
              <w:rPr>
                <w:rFonts w:ascii="Arial" w:cs="Arial" w:eastAsia="Arial" w:hAnsi="Arial"/>
                <w:sz w:val="18"/>
                <w:szCs w:val="18"/>
                <w:color w:val="auto"/>
                <w:w w:val="88"/>
              </w:rPr>
              <w:t>December 19, 2008</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5"/>
              </w:rPr>
              <w:t>wilmerhale.com</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88900</wp:posOffset>
            </wp:positionV>
            <wp:extent cx="10375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 02062-9106</w:t>
      </w:r>
    </w:p>
    <w:p>
      <w:pPr>
        <w:spacing w:after="0" w:line="211" w:lineRule="exact"/>
        <w:rPr>
          <w:sz w:val="20"/>
          <w:szCs w:val="20"/>
          <w:color w:val="auto"/>
        </w:rPr>
      </w:pPr>
    </w:p>
    <w:p>
      <w:pPr>
        <w:ind w:left="320"/>
        <w:spacing w:after="0"/>
        <w:tabs>
          <w:tab w:leader="none" w:pos="7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Analog Devices, Inc. 2006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15,285,735 shares of common stock, $0.16 2/3 par value per share (the “Shares”), of Analog Devices, Inc. a Massachusetts corporation (the “Company”), issuable under the Company’s 2006 Stock Incentive Plan (the “Plan”).</w:t>
      </w:r>
    </w:p>
    <w:p>
      <w:pPr>
        <w:spacing w:after="0" w:line="79"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73"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7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6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and the federal laws of the United States of America.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3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WILMER CUTLER PICKERING HALE AND DORR </w:t>
      </w:r>
      <w:r>
        <w:rPr>
          <w:rFonts w:ascii="Arial" w:cs="Arial" w:eastAsia="Arial" w:hAnsi="Arial"/>
          <w:sz w:val="12"/>
          <w:szCs w:val="12"/>
          <w:color w:val="auto"/>
        </w:rPr>
        <w:t>LLP</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Mark G.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G. Borden, a Partner</w:t>
      </w:r>
    </w:p>
    <w:p>
      <w:pPr>
        <w:sectPr>
          <w:pgSz w:w="11900" w:h="16838" w:orient="portrait"/>
          <w:cols w:equalWidth="0" w:num="1">
            <w:col w:w="11340"/>
          </w:cols>
          <w:pgMar w:left="240" w:top="935"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Analog Devices, Inc. 2006 Stock Incentive Plan of our reports dated November 21, 2008, with respect to the consolidated financial statements and schedule of Analog Devices, Inc. included in its Annual Report (Form 10-K) for the year ended November 1, 2008 and the effectiveness of internal control over financial reporting of Analog Devices, Inc., filed with the Securities and Exchange Commission.</w:t>
      </w:r>
    </w:p>
    <w:p>
      <w:pPr>
        <w:spacing w:after="0" w:line="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2019-12-11T09:30:38Z</dcterms:created>
  <dcterms:modified xsi:type="dcterms:W3CDTF">2019-12-11T09:30:38Z</dcterms:modified>
</cp:coreProperties>
</file>