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 (NO FEE REQUIRED)</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 (d) OF THE SECURITIES EXCHANGE ACT OF 1934 (NO FEE REQUIRED)</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1-7819</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THE INVESTMENT PARTNERSHIP PLAN</w:t>
      </w:r>
    </w:p>
    <w:p>
      <w:pPr>
        <w:ind w:left="394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INVESTMENT PARTNERSHIP PLAN</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
        <w:r>
          <w:rPr>
            <w:rFonts w:ascii="Arial" w:cs="Arial" w:eastAsia="Arial" w:hAnsi="Arial"/>
            <w:sz w:val="18"/>
            <w:szCs w:val="18"/>
            <w:u w:val="single" w:color="auto"/>
            <w:color w:val="0000EE"/>
          </w:rPr>
          <w:t>Audited Statements of Net Assets Available for Benefits as of December 31, 2008 and 2007.</w:t>
        </w:r>
      </w:hyperlink>
    </w:p>
    <w:p>
      <w:pPr>
        <w:spacing w:after="0" w:line="225" w:lineRule="exact"/>
        <w:rPr>
          <w:rFonts w:ascii="Arial" w:cs="Arial" w:eastAsia="Arial" w:hAnsi="Arial"/>
          <w:sz w:val="18"/>
          <w:szCs w:val="18"/>
          <w:color w:val="auto"/>
        </w:rPr>
      </w:pPr>
    </w:p>
    <w:p>
      <w:pPr>
        <w:ind w:left="4560" w:right="1339" w:hanging="4555"/>
        <w:spacing w:after="0" w:line="501" w:lineRule="auto"/>
        <w:rPr>
          <w:rFonts w:ascii="Arial" w:cs="Arial" w:eastAsia="Arial" w:hAnsi="Arial"/>
          <w:sz w:val="18"/>
          <w:szCs w:val="18"/>
          <w:color w:val="auto"/>
        </w:rPr>
      </w:pPr>
      <w:r>
        <w:rPr>
          <w:rFonts w:ascii="Arial" w:cs="Arial" w:eastAsia="Arial" w:hAnsi="Arial"/>
          <w:sz w:val="18"/>
          <w:szCs w:val="18"/>
          <w:color w:val="auto"/>
        </w:rPr>
        <w:t xml:space="preserve">— </w:t>
      </w:r>
      <w:hyperlink w:anchor="page6">
        <w:r>
          <w:rPr>
            <w:rFonts w:ascii="Arial" w:cs="Arial" w:eastAsia="Arial" w:hAnsi="Arial"/>
            <w:sz w:val="18"/>
            <w:szCs w:val="18"/>
            <w:u w:val="single" w:color="auto"/>
            <w:color w:val="0000EE"/>
          </w:rPr>
          <w:t>Audited Statements of Changes in Net Assets Available for Benefits for the Years Ended December 31, 2008 and 2007.</w:t>
        </w:r>
      </w:hyperlink>
      <w:r>
        <w:rPr>
          <w:rFonts w:ascii="Arial" w:cs="Arial" w:eastAsia="Arial" w:hAnsi="Arial"/>
          <w:sz w:val="18"/>
          <w:szCs w:val="18"/>
          <w:color w:val="auto"/>
        </w:rPr>
        <w:t xml:space="preserve"> </w:t>
      </w:r>
      <w:r>
        <w:rPr>
          <w:rFonts w:ascii="Arial" w:cs="Arial" w:eastAsia="Arial" w:hAnsi="Arial"/>
          <w:sz w:val="18"/>
          <w:szCs w:val="18"/>
          <w:u w:val="single" w:color="auto"/>
          <w:color w:val="auto"/>
        </w:rPr>
        <w:t>Supplemental Schedule</w:t>
      </w:r>
    </w:p>
    <w:p>
      <w:pPr>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6">
        <w:r>
          <w:rPr>
            <w:rFonts w:ascii="Arial" w:cs="Arial" w:eastAsia="Arial" w:hAnsi="Arial"/>
            <w:sz w:val="18"/>
            <w:szCs w:val="18"/>
            <w:u w:val="single" w:color="auto"/>
            <w:color w:val="0000EE"/>
          </w:rPr>
          <w:t>Schedule H-Line 4i — Schedule of Assets (Held at End of Year).</w:t>
        </w:r>
      </w:hyperlink>
    </w:p>
    <w:p>
      <w:pPr>
        <w:spacing w:after="0" w:line="225" w:lineRule="exact"/>
        <w:rPr>
          <w:rFonts w:ascii="Arial" w:cs="Arial" w:eastAsia="Arial" w:hAnsi="Arial"/>
          <w:sz w:val="18"/>
          <w:szCs w:val="18"/>
          <w:color w:val="auto"/>
        </w:rPr>
      </w:pPr>
    </w:p>
    <w:p>
      <w:pPr>
        <w:ind w:left="5120"/>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60" w:right="4459" w:hanging="44"/>
        <w:spacing w:after="0" w:line="305" w:lineRule="auto"/>
        <w:rPr>
          <w:rFonts w:ascii="Arial" w:cs="Arial" w:eastAsia="Arial" w:hAnsi="Arial"/>
          <w:sz w:val="18"/>
          <w:szCs w:val="18"/>
          <w:color w:val="auto"/>
        </w:rPr>
      </w:pPr>
      <w:r>
        <w:rPr>
          <w:rFonts w:ascii="Arial" w:cs="Arial" w:eastAsia="Arial" w:hAnsi="Arial"/>
          <w:sz w:val="17"/>
          <w:szCs w:val="17"/>
          <w:color w:val="auto"/>
        </w:rPr>
        <w:t xml:space="preserve">— Consent of Independent Registered Public Accounting Firm, filed herewith. </w:t>
      </w:r>
      <w:r>
        <w:rPr>
          <w:rFonts w:ascii="Arial" w:cs="Arial" w:eastAsia="Arial" w:hAnsi="Arial"/>
          <w:sz w:val="16"/>
          <w:szCs w:val="16"/>
          <w:u w:val="single" w:color="auto"/>
          <w:color w:val="0000EE"/>
        </w:rPr>
        <w:t>EX-23.1 Consent of Independent Registered Public Accounting Firm</w:t>
      </w:r>
    </w:p>
    <w:p>
      <w:pPr>
        <w:spacing w:after="0" w:line="124" w:lineRule="exact"/>
        <w:rPr>
          <w:rFonts w:ascii="Arial" w:cs="Arial" w:eastAsia="Arial" w:hAnsi="Arial"/>
          <w:sz w:val="18"/>
          <w:szCs w:val="18"/>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2"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Analog Devices, Inc. The Investment Partnership Plan as of December 31, 2008 and 2007,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2008 and 2007, and the changes in its net assets available for benefits for the years then ended, in conformity with U.S. generally accepted accounting principles.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2008,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62865</wp:posOffset>
            </wp:positionV>
            <wp:extent cx="2135505" cy="557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55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 and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20" w:type="dxa"/>
            <w:vAlign w:val="bottom"/>
            <w:gridSpan w:val="2"/>
          </w:tcPr>
          <w:p>
            <w:pPr>
              <w:spacing w:after="0"/>
              <w:rPr>
                <w:sz w:val="14"/>
                <w:szCs w:val="14"/>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560" w:type="dxa"/>
            <w:vAlign w:val="bottom"/>
            <w:gridSpan w:val="5"/>
            <w:shd w:val="clear" w:color="auto" w:fill="CCEEFF"/>
          </w:tcPr>
          <w:p>
            <w:pPr>
              <w:jc w:val="right"/>
              <w:ind w:right="55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6240" w:type="dxa"/>
            <w:vAlign w:val="bottom"/>
            <w:gridSpan w:val="4"/>
          </w:tcPr>
          <w:p>
            <w:pPr>
              <w:jc w:val="right"/>
              <w:ind w:right="20"/>
              <w:spacing w:after="0"/>
              <w:rPr>
                <w:sz w:val="20"/>
                <w:szCs w:val="20"/>
                <w:color w:val="auto"/>
              </w:rPr>
            </w:pPr>
            <w:r>
              <w:rPr>
                <w:rFonts w:ascii="Arial" w:cs="Arial" w:eastAsia="Arial" w:hAnsi="Arial"/>
                <w:sz w:val="18"/>
                <w:szCs w:val="18"/>
                <w:color w:val="auto"/>
              </w:rPr>
              <w:t>$ 560,894,025</w:t>
            </w:r>
          </w:p>
        </w:tc>
        <w:tc>
          <w:tcPr>
            <w:tcW w:w="320" w:type="dxa"/>
            <w:vAlign w:val="bottom"/>
          </w:tcPr>
          <w:p>
            <w:pPr>
              <w:spacing w:after="0"/>
              <w:rPr>
                <w:sz w:val="24"/>
                <w:szCs w:val="2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$ 821,246,431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dividends</w:t>
            </w:r>
          </w:p>
        </w:tc>
        <w:tc>
          <w:tcPr>
            <w:tcW w:w="656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27,525</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Participant loans receivable</w:t>
            </w:r>
          </w:p>
        </w:tc>
        <w:tc>
          <w:tcPr>
            <w:tcW w:w="5220" w:type="dxa"/>
            <w:vAlign w:val="bottom"/>
            <w:gridSpan w:val="2"/>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8,536,073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20" w:type="dxa"/>
            <w:vAlign w:val="bottom"/>
            <w:gridSpan w:val="2"/>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569,457,623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829,941,899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gridSpan w:val="5"/>
          </w:tcPr>
          <w:p>
            <w:pPr>
              <w:jc w:val="right"/>
              <w:ind w:right="53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3"/>
              </w:rPr>
              <w:t>Payables — Pending investment transactions</w:t>
            </w:r>
          </w:p>
        </w:tc>
        <w:tc>
          <w:tcPr>
            <w:tcW w:w="65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(130,000)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(217,063)</w:t>
            </w: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5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569,327,623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829,724,836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2008 and 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Interest income on employee loans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507,948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Net (depreciation) appreciation in fair value of investments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(254,915,479)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Dividends, interest and capital gains distributions</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24,572,907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47,443,312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(loss) income</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(229,834,624)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49,471,467</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21,639,705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22,005,673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Employee</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31,194,766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31,308,997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contributions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52,834,471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53,314,670</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Transfer out</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(27,342,143)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Participant withdrawals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(56,054,917)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(64,340,532)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w w:val="93"/>
              </w:rPr>
              <w:t>Net (decrease) increase in net assets available for benefits</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(260,397,213)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38,445,605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3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829,724,836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791,279,231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6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39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569,327,623</w:t>
            </w:r>
          </w:p>
        </w:tc>
        <w:tc>
          <w:tcPr>
            <w:tcW w:w="3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829,724,836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40" w:type="dxa"/>
            <w:vAlign w:val="bottom"/>
            <w:gridSpan w:val="2"/>
          </w:tcPr>
          <w:p>
            <w:pPr>
              <w:jc w:val="center"/>
              <w:ind w:right="1810"/>
              <w:spacing w:after="0"/>
              <w:rPr>
                <w:sz w:val="20"/>
                <w:szCs w:val="20"/>
                <w:color w:val="auto"/>
              </w:rPr>
            </w:pPr>
            <w:r>
              <w:rPr>
                <w:rFonts w:ascii="Arial" w:cs="Arial" w:eastAsia="Arial" w:hAnsi="Arial"/>
                <w:sz w:val="18"/>
                <w:szCs w:val="18"/>
                <w:color w:val="auto"/>
                <w:w w:val="87"/>
              </w:rPr>
              <w:t>See accompanying notes.</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940" w:type="dxa"/>
            <w:vAlign w:val="bottom"/>
          </w:tcPr>
          <w:p>
            <w:pPr>
              <w:jc w:val="right"/>
              <w:ind w:right="27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2008 and 2007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Plan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description of the Analog Devices, Inc. (the “Company”) The Investment Partnership Plan (the “Plan”) provides only general information.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Participants should refer to the Plan agreement for a more complete description of the Plan’s provisions.</w:t>
      </w:r>
    </w:p>
    <w:p>
      <w:pPr>
        <w:spacing w:after="0" w:line="103" w:lineRule="exact"/>
        <w:rPr>
          <w:sz w:val="20"/>
          <w:szCs w:val="20"/>
          <w:color w:val="auto"/>
        </w:rPr>
      </w:pPr>
    </w:p>
    <w:p>
      <w:pPr>
        <w:ind w:left="240" w:right="660" w:hanging="4"/>
        <w:spacing w:after="0" w:line="277" w:lineRule="auto"/>
        <w:tabs>
          <w:tab w:leader="none" w:pos="4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Income Security Act of 1974 (“ERISA”).</w:t>
      </w:r>
    </w:p>
    <w:p>
      <w:pPr>
        <w:spacing w:after="0" w:line="62" w:lineRule="exact"/>
        <w:rPr>
          <w:rFonts w:ascii="Arial" w:cs="Arial" w:eastAsia="Arial" w:hAnsi="Arial"/>
          <w:sz w:val="18"/>
          <w:szCs w:val="18"/>
          <w:i w:val="1"/>
          <w:iCs w:val="1"/>
          <w:color w:val="auto"/>
        </w:rPr>
      </w:pPr>
    </w:p>
    <w:p>
      <w:pPr>
        <w:ind w:left="240" w:right="80" w:hanging="4"/>
        <w:spacing w:after="0" w:line="264" w:lineRule="auto"/>
        <w:tabs>
          <w:tab w:leader="none" w:pos="4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Transfer out of Plan Assets. </w:t>
      </w:r>
      <w:r>
        <w:rPr>
          <w:rFonts w:ascii="Arial" w:cs="Arial" w:eastAsia="Arial" w:hAnsi="Arial"/>
          <w:sz w:val="18"/>
          <w:szCs w:val="18"/>
          <w:color w:val="auto"/>
        </w:rPr>
        <w:t>During fiscal year 2008, the Company sold its baseband chipset business and related support operations (Baseband Chipset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MediaTek Inc. As a result of this transaction, those participants of the Plan whose employment transferred with the sale of this business had their account balances transferred from the Plan to MediaTek Inc.’s 401K plan.</w:t>
      </w:r>
    </w:p>
    <w:p>
      <w:pPr>
        <w:spacing w:after="0" w:line="73" w:lineRule="exact"/>
        <w:rPr>
          <w:rFonts w:ascii="Arial" w:cs="Arial" w:eastAsia="Arial" w:hAnsi="Arial"/>
          <w:sz w:val="18"/>
          <w:szCs w:val="18"/>
          <w:i w:val="1"/>
          <w:iCs w:val="1"/>
          <w:color w:val="auto"/>
        </w:rPr>
      </w:pPr>
    </w:p>
    <w:p>
      <w:pPr>
        <w:ind w:left="240" w:right="160" w:hanging="4"/>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 contributions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the first day following one year of service. For eligibility purposes, a year of service is a 12-month period during which an employee completes at least 1,000 hours of service.</w:t>
      </w:r>
    </w:p>
    <w:p>
      <w:pPr>
        <w:spacing w:after="0" w:line="73" w:lineRule="exact"/>
        <w:rPr>
          <w:rFonts w:ascii="Arial" w:cs="Arial" w:eastAsia="Arial" w:hAnsi="Arial"/>
          <w:sz w:val="18"/>
          <w:szCs w:val="18"/>
          <w:color w:val="auto"/>
        </w:rPr>
      </w:pPr>
    </w:p>
    <w:p>
      <w:pPr>
        <w:ind w:left="240" w:hanging="4"/>
        <w:spacing w:after="0" w:line="271"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Basic contributions will be made at the sole discretion of the Company. For 2008 and 2007, the Company decided to make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basic contribution at 5% of each participant’s total eligible compensation. The Internal Revenue Service defined total eligible compensation as an amount not to exceed $230,000 for 2008 and $225,000 for 2007. For 2009, this amount will increase to $245,000. In addition to the basic contribution, the Company matches each participant’s pre-tax contribution, if any, by contributing an amount not to exceed 3% of such participant’s total eligible compensation. A participant may voluntarily contribute to the Plan up to 50% of his or her pre-tax total eligible compensation; however, pre-tax contributions could not exceed $15,500 in 2008 and 2007. This amount will increase to $16,500 for 2009. An employee who does not elect to make pre-tax contributions to the Plan nor gives the Company notice of his or her intent not to contribute within sixty days of his or her employment commencement date will be automatically enrolled to make a pre-tax contribution of 4% of his or her compensation.</w:t>
      </w:r>
    </w:p>
    <w:p>
      <w:pPr>
        <w:spacing w:after="0" w:line="71"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2008 and 2007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Analog Devices, Inc. Stock Fund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Calamos Growth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Growth &amp; Income Portfolio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2045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2050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Institutional Money Market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Templeton Foreign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Small-Cap Index Fund</w:t>
      </w:r>
    </w:p>
    <w:p>
      <w:pPr>
        <w:spacing w:after="0" w:line="103"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Additionally, participants have the option to invest assets in a self-directed brokerage service that allows participants access to a wide variety of stocks, bonds, short-term securities and mutual funds.</w:t>
      </w:r>
    </w:p>
    <w:p>
      <w:pPr>
        <w:spacing w:after="0" w:line="62" w:lineRule="exact"/>
        <w:rPr>
          <w:sz w:val="20"/>
          <w:szCs w:val="20"/>
          <w:color w:val="auto"/>
        </w:rPr>
      </w:pPr>
    </w:p>
    <w:p>
      <w:pPr>
        <w:ind w:left="240" w:right="240" w:hanging="4"/>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w:t>
      </w:r>
      <w:r>
        <w:rPr>
          <w:rFonts w:ascii="Arial" w:cs="Arial" w:eastAsia="Arial" w:hAnsi="Arial"/>
          <w:sz w:val="18"/>
          <w:szCs w:val="18"/>
          <w:i w:val="1"/>
          <w:iCs w:val="1"/>
          <w:color w:val="auto"/>
        </w:rPr>
        <w:t xml:space="preserve"> Employee contributions</w:t>
      </w:r>
      <w:r>
        <w:rPr>
          <w:rFonts w:ascii="Arial" w:cs="Arial" w:eastAsia="Arial" w:hAnsi="Arial"/>
          <w:sz w:val="18"/>
          <w:szCs w:val="18"/>
          <w:color w:val="auto"/>
        </w:rPr>
        <w:t>: Employee contributions are immediately 100% vested and nonforfeitable at the time they are deducted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compensation. Investment income on employee contributions vests as earned.</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2008 and 2007</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7"/>
          <w:szCs w:val="17"/>
          <w:i w:val="1"/>
          <w:iCs w:val="1"/>
          <w:color w:val="auto"/>
        </w:rPr>
        <w:t xml:space="preserve">Company Contributions: </w:t>
      </w:r>
      <w:r>
        <w:rPr>
          <w:rFonts w:ascii="Arial" w:cs="Arial" w:eastAsia="Arial" w:hAnsi="Arial"/>
          <w:sz w:val="17"/>
          <w:szCs w:val="17"/>
          <w:color w:val="auto"/>
        </w:rPr>
        <w:t>Company basic and match contributions and investment earnings thereon become fully vested upon the first to occur of</w:t>
      </w:r>
    </w:p>
    <w:p>
      <w:pPr>
        <w:spacing w:after="0" w:line="35" w:lineRule="exact"/>
        <w:rPr>
          <w:sz w:val="20"/>
          <w:szCs w:val="20"/>
          <w:color w:val="auto"/>
        </w:rPr>
      </w:pPr>
    </w:p>
    <w:p>
      <w:pPr>
        <w:ind w:left="240" w:right="160" w:hanging="4"/>
        <w:spacing w:after="0" w:line="255"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three years of service with the Company, (ii) reaching age 65 while employed by the Company, (iii) death or permanent disability while employed by the Company or (iv) if employment is terminated by the Company due to job elimination, the closing of a facility or as the result of the disposition of a business unit.</w:t>
      </w:r>
    </w:p>
    <w:p>
      <w:pPr>
        <w:spacing w:after="0" w:line="82" w:lineRule="exact"/>
        <w:rPr>
          <w:sz w:val="20"/>
          <w:szCs w:val="20"/>
          <w:color w:val="auto"/>
        </w:rPr>
      </w:pPr>
    </w:p>
    <w:p>
      <w:pPr>
        <w:ind w:left="240" w:right="220" w:hanging="4"/>
        <w:spacing w:after="0" w:line="276"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Benefits</w:t>
      </w:r>
      <w:r>
        <w:rPr>
          <w:rFonts w:ascii="Arial" w:cs="Arial" w:eastAsia="Arial" w:hAnsi="Arial"/>
          <w:sz w:val="17"/>
          <w:szCs w:val="17"/>
          <w:color w:val="auto"/>
        </w:rPr>
        <w:t>. Upon normal retirement at age 65, death, permanent disability or termination of employment, the participant’s vested benefits are paid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upon termination of employment, distribution will be made in the form of a lump-sum payment within one year following termination of employment. Participants may request an in-service withdrawal for any reason after he or she attains age 59 1/2.</w:t>
      </w:r>
    </w:p>
    <w:p>
      <w:pPr>
        <w:spacing w:after="0" w:line="64" w:lineRule="exact"/>
        <w:rPr>
          <w:rFonts w:ascii="Arial" w:cs="Arial" w:eastAsia="Arial" w:hAnsi="Arial"/>
          <w:sz w:val="17"/>
          <w:szCs w:val="17"/>
          <w:color w:val="auto"/>
        </w:rPr>
      </w:pPr>
    </w:p>
    <w:p>
      <w:pPr>
        <w:ind w:left="240" w:right="20" w:hanging="4"/>
        <w:spacing w:after="0" w:line="279" w:lineRule="auto"/>
        <w:tabs>
          <w:tab w:leader="none" w:pos="42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Loans</w:t>
      </w:r>
      <w:r>
        <w:rPr>
          <w:rFonts w:ascii="Arial" w:cs="Arial" w:eastAsia="Arial" w:hAnsi="Arial"/>
          <w:sz w:val="17"/>
          <w:szCs w:val="17"/>
          <w:color w:val="auto"/>
        </w:rPr>
        <w:t>. Participants may borrow the lesser of 50% of their vested account balance, as defined by the plan, or $50,000. Participants repay loans plus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to their accounts through payroll deductions, generally over a five-year period unless for the purchase of a primary residence, in which case the repayment period may be extended up to a maximum of twenty years. The interest rate on loans, which is announced quarterly, is tied to the interest rate of Treasury Bonds with 3- and 10-year maturities. Once determined, the interest rate is fixed for the duration of the loan.</w:t>
      </w:r>
    </w:p>
    <w:p>
      <w:pPr>
        <w:spacing w:after="0" w:line="63" w:lineRule="exact"/>
        <w:rPr>
          <w:rFonts w:ascii="Arial" w:cs="Arial" w:eastAsia="Arial" w:hAnsi="Arial"/>
          <w:sz w:val="17"/>
          <w:szCs w:val="17"/>
          <w:i w:val="1"/>
          <w:iCs w:val="1"/>
          <w:color w:val="auto"/>
        </w:rPr>
      </w:pPr>
    </w:p>
    <w:p>
      <w:pPr>
        <w:ind w:left="240" w:hanging="4"/>
        <w:spacing w:after="0" w:line="279"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Accounting</w:t>
      </w:r>
      <w:r>
        <w:rPr>
          <w:rFonts w:ascii="Arial" w:cs="Arial" w:eastAsia="Arial" w:hAnsi="Arial"/>
          <w:sz w:val="17"/>
          <w:szCs w:val="17"/>
          <w:color w:val="auto"/>
        </w:rPr>
        <w:t>. A separate account is maintained for each participant. Account balances are adjusted periodically for employee and Company contributions,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returns to the employment of the Company within five years, any amount that had been forfeited will be reinstated by the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2008 and 2007</w:t>
      </w:r>
    </w:p>
    <w:p>
      <w:pPr>
        <w:spacing w:after="0" w:line="117"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73" w:lineRule="exact"/>
        <w:rPr>
          <w:sz w:val="20"/>
          <w:szCs w:val="20"/>
          <w:color w:val="auto"/>
        </w:rPr>
      </w:pPr>
    </w:p>
    <w:p>
      <w:pPr>
        <w:jc w:val="both"/>
        <w:ind w:left="240" w:right="160" w:hanging="4"/>
        <w:spacing w:after="0" w:line="286" w:lineRule="auto"/>
        <w:tabs>
          <w:tab w:leader="none" w:pos="51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Investment allocation</w:t>
      </w:r>
      <w:r>
        <w:rPr>
          <w:rFonts w:ascii="Arial" w:cs="Arial" w:eastAsia="Arial" w:hAnsi="Arial"/>
          <w:sz w:val="17"/>
          <w:szCs w:val="17"/>
          <w:color w:val="auto"/>
        </w:rPr>
        <w:t>. The vested and nonvested share of a participant’s account balance is invested in one or more of the funds depending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allocation instructions of the participant. In the absence of such allocation instructions, all amounts accruing to the participant are invested in a Fidelity Freedom Fund, based on their projected retirement timeframe. They may change this election at any time.</w:t>
      </w:r>
    </w:p>
    <w:p>
      <w:pPr>
        <w:spacing w:after="0" w:line="57" w:lineRule="exact"/>
        <w:rPr>
          <w:rFonts w:ascii="Arial" w:cs="Arial" w:eastAsia="Arial" w:hAnsi="Arial"/>
          <w:sz w:val="17"/>
          <w:szCs w:val="17"/>
          <w:color w:val="auto"/>
        </w:rPr>
      </w:pPr>
    </w:p>
    <w:p>
      <w:pPr>
        <w:ind w:left="240" w:right="320" w:hanging="4"/>
        <w:spacing w:after="0" w:line="342" w:lineRule="auto"/>
        <w:tabs>
          <w:tab w:leader="none" w:pos="503"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Continuation of the Plan</w:t>
      </w:r>
      <w:r>
        <w:rPr>
          <w:rFonts w:ascii="Arial" w:cs="Arial" w:eastAsia="Arial" w:hAnsi="Arial"/>
          <w:sz w:val="16"/>
          <w:szCs w:val="16"/>
          <w:color w:val="auto"/>
        </w:rPr>
        <w:t>. While the Company has not expressed any intent to terminate the Plan or suspend contributions, it is free to do so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In the event of such termination or suspension, each participant would have a nonforfeitable right to all monies in his or her account.</w:t>
      </w:r>
    </w:p>
    <w:p>
      <w:pPr>
        <w:spacing w:after="0" w:line="11" w:lineRule="exact"/>
        <w:rPr>
          <w:rFonts w:ascii="Arial" w:cs="Arial" w:eastAsia="Arial" w:hAnsi="Arial"/>
          <w:sz w:val="16"/>
          <w:szCs w:val="16"/>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420" w:hanging="184"/>
        <w:spacing w:after="0"/>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117" w:lineRule="exact"/>
        <w:rPr>
          <w:rFonts w:ascii="Arial" w:cs="Arial" w:eastAsia="Arial" w:hAnsi="Arial"/>
          <w:sz w:val="18"/>
          <w:szCs w:val="18"/>
          <w:color w:val="auto"/>
        </w:rPr>
      </w:pPr>
    </w:p>
    <w:p>
      <w:pPr>
        <w:ind w:left="240" w:right="140" w:hanging="4"/>
        <w:spacing w:after="0" w:line="285" w:lineRule="auto"/>
        <w:tabs>
          <w:tab w:leader="none" w:pos="42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New accounting pronouncements. </w:t>
      </w:r>
      <w:r>
        <w:rPr>
          <w:rFonts w:ascii="Arial" w:cs="Arial" w:eastAsia="Arial" w:hAnsi="Arial"/>
          <w:sz w:val="16"/>
          <w:szCs w:val="16"/>
          <w:color w:val="auto"/>
        </w:rPr>
        <w:t>In September 2006, the Financial Accounting Standards Board (FASB) issued Statement of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Standards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This standard clarifies the definition of fair value for financial reporting, establishes a framework for measuring fair value and requires additional disclosure about the use of fair value measurements. SFAS 157 is effective for financial statements issued for fiscal years beginning after November 15, 2007. Additionally, in October 2008, the FASB issued FASB Staff Position 157-3, </w:t>
      </w:r>
      <w:r>
        <w:rPr>
          <w:rFonts w:ascii="Arial" w:cs="Arial" w:eastAsia="Arial" w:hAnsi="Arial"/>
          <w:sz w:val="16"/>
          <w:szCs w:val="16"/>
          <w:i w:val="1"/>
          <w:iCs w:val="1"/>
          <w:color w:val="auto"/>
        </w:rPr>
        <w:t xml:space="preserve">Determining the Fair Value of a Financial Asset When the Market for That Asset Is Not Active </w:t>
      </w:r>
      <w:r>
        <w:rPr>
          <w:rFonts w:ascii="Arial" w:cs="Arial" w:eastAsia="Arial" w:hAnsi="Arial"/>
          <w:sz w:val="16"/>
          <w:szCs w:val="16"/>
          <w:color w:val="auto"/>
        </w:rPr>
        <w:t>(FSP 157-3). FSP 157-3 clarifies the application of SFAS</w:t>
      </w:r>
    </w:p>
    <w:p>
      <w:pPr>
        <w:spacing w:after="0" w:line="2" w:lineRule="exact"/>
        <w:rPr>
          <w:rFonts w:ascii="Arial" w:cs="Arial" w:eastAsia="Arial" w:hAnsi="Arial"/>
          <w:sz w:val="16"/>
          <w:szCs w:val="16"/>
          <w:color w:val="auto"/>
        </w:rPr>
      </w:pPr>
    </w:p>
    <w:p>
      <w:pPr>
        <w:ind w:left="240" w:right="180" w:hanging="4"/>
        <w:spacing w:after="0" w:line="255" w:lineRule="auto"/>
        <w:tabs>
          <w:tab w:leader="none" w:pos="5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markets that are not active and provides an example to illustrate key considerations in determining the fair value of a financial asset when the market for an asset is not active. The guidance in FSP 157-3 was effective upon the issuance, including prior periods for which financial statements had not been issued. The Plan adopted SFAS 157 effective January 1, 2008.</w:t>
      </w:r>
    </w:p>
    <w:p>
      <w:pPr>
        <w:spacing w:after="0" w:line="82" w:lineRule="exact"/>
        <w:rPr>
          <w:sz w:val="20"/>
          <w:szCs w:val="20"/>
          <w:color w:val="auto"/>
        </w:rPr>
      </w:pPr>
    </w:p>
    <w:p>
      <w:pPr>
        <w:ind w:left="240"/>
        <w:spacing w:after="0" w:line="279" w:lineRule="auto"/>
        <w:rPr>
          <w:sz w:val="20"/>
          <w:szCs w:val="20"/>
          <w:color w:val="auto"/>
        </w:rPr>
      </w:pPr>
      <w:r>
        <w:rPr>
          <w:rFonts w:ascii="Arial" w:cs="Arial" w:eastAsia="Arial" w:hAnsi="Arial"/>
          <w:sz w:val="17"/>
          <w:szCs w:val="17"/>
          <w:color w:val="auto"/>
        </w:rPr>
        <w:t xml:space="preserve">In April 2009, the FASB issued FASB Staff Position 157-4, </w:t>
      </w:r>
      <w:r>
        <w:rPr>
          <w:rFonts w:ascii="Arial" w:cs="Arial" w:eastAsia="Arial" w:hAnsi="Arial"/>
          <w:sz w:val="17"/>
          <w:szCs w:val="17"/>
          <w:i w:val="1"/>
          <w:iCs w:val="1"/>
          <w:color w:val="auto"/>
        </w:rPr>
        <w:t>Determining Fair Value When the Volume and Level of Activity for the Asset or Liability Have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Significantly Decreased and Identifying Transactions That are Not Orderly </w:t>
      </w:r>
      <w:r>
        <w:rPr>
          <w:rFonts w:ascii="Arial" w:cs="Arial" w:eastAsia="Arial" w:hAnsi="Arial"/>
          <w:sz w:val="17"/>
          <w:szCs w:val="17"/>
          <w:color w:val="auto"/>
        </w:rPr>
        <w:t>(FSP 157-4). FSP 157-4 supersedes FSP 157-3 and amends SFAS 157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additional guidance on estimating fair value when the volume and level of activity for an asset or liability have significantly decreased in relation to normal market activity for the asset or liability. FSP 157-4 also provides additional guidance on circumstances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2008 and 2007</w:t>
      </w:r>
    </w:p>
    <w:p>
      <w:pPr>
        <w:spacing w:after="0" w:line="117" w:lineRule="exact"/>
        <w:rPr>
          <w:sz w:val="20"/>
          <w:szCs w:val="20"/>
          <w:color w:val="auto"/>
        </w:rPr>
      </w:pPr>
    </w:p>
    <w:p>
      <w:pPr>
        <w:jc w:val="both"/>
        <w:ind w:left="240" w:right="140"/>
        <w:spacing w:after="0" w:line="264" w:lineRule="auto"/>
        <w:rPr>
          <w:sz w:val="20"/>
          <w:szCs w:val="20"/>
          <w:color w:val="auto"/>
        </w:rPr>
      </w:pPr>
      <w:r>
        <w:rPr>
          <w:rFonts w:ascii="Arial" w:cs="Arial" w:eastAsia="Arial" w:hAnsi="Arial"/>
          <w:sz w:val="18"/>
          <w:szCs w:val="18"/>
          <w:color w:val="auto"/>
        </w:rPr>
        <w:t>that may indicate that a transaction is not orderly and on defining major categories of debt and equity securities in meeting the disclosure requirements of SFAS 157. FSP 157-4 is effective for reporting periods ending after June 15, 2009. Plan management is currently evaluating the effect that the provisions of FSP 157-4 will have on the Plan’s financial statements.</w:t>
      </w:r>
    </w:p>
    <w:p>
      <w:pPr>
        <w:spacing w:after="0" w:line="73" w:lineRule="exact"/>
        <w:rPr>
          <w:sz w:val="20"/>
          <w:szCs w:val="20"/>
          <w:color w:val="auto"/>
        </w:rPr>
      </w:pPr>
    </w:p>
    <w:p>
      <w:pPr>
        <w:ind w:left="240" w:right="20" w:hanging="4"/>
        <w:spacing w:after="0" w:line="279"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Investments are reported at fair value. SFAS 157 defines fair value as the price that would be received to sell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at the measurement date. SFAS 157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three levels of the fair value hierarchy under SFAS 157 are described below:</w:t>
      </w:r>
    </w:p>
    <w:p>
      <w:pPr>
        <w:spacing w:after="0" w:line="117"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62" w:lineRule="exact"/>
        <w:rPr>
          <w:sz w:val="20"/>
          <w:szCs w:val="20"/>
          <w:color w:val="auto"/>
        </w:rPr>
      </w:pPr>
    </w:p>
    <w:p>
      <w:pPr>
        <w:jc w:val="both"/>
        <w:ind w:left="240" w:right="58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73"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values of the Plan’s investments at December 31, 2008 are measured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00" w:type="dxa"/>
            <w:vAlign w:val="bottom"/>
            <w:gridSpan w:val="2"/>
          </w:tcPr>
          <w:p>
            <w:pPr>
              <w:jc w:val="right"/>
              <w:ind w:right="273"/>
              <w:spacing w:after="0"/>
              <w:rPr>
                <w:sz w:val="20"/>
                <w:szCs w:val="20"/>
                <w:color w:val="auto"/>
              </w:rPr>
            </w:pPr>
            <w:r>
              <w:rPr>
                <w:rFonts w:ascii="Arial" w:cs="Arial" w:eastAsia="Arial" w:hAnsi="Arial"/>
                <w:sz w:val="14"/>
                <w:szCs w:val="14"/>
                <w:b w:val="1"/>
                <w:bCs w:val="1"/>
                <w:color w:val="auto"/>
              </w:rPr>
              <w:t>Assets at Fair Value as of December 31, 2008</w:t>
            </w:r>
          </w:p>
        </w:tc>
        <w:tc>
          <w:tcPr>
            <w:tcW w:w="1600" w:type="dxa"/>
            <w:vAlign w:val="bottom"/>
          </w:tcPr>
          <w:p>
            <w:pPr>
              <w:spacing w:after="0"/>
              <w:rPr>
                <w:sz w:val="14"/>
                <w:szCs w:val="14"/>
                <w:color w:val="auto"/>
              </w:rPr>
            </w:pPr>
          </w:p>
        </w:tc>
      </w:tr>
      <w:tr>
        <w:trPr>
          <w:trHeight w:val="185"/>
        </w:trPr>
        <w:tc>
          <w:tcPr>
            <w:tcW w:w="474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Arial" w:cs="Arial" w:eastAsia="Arial" w:hAnsi="Arial"/>
                <w:sz w:val="14"/>
                <w:szCs w:val="14"/>
                <w:b w:val="1"/>
                <w:bCs w:val="1"/>
                <w:color w:val="auto"/>
              </w:rPr>
              <w:t>Level 1</w:t>
            </w:r>
          </w:p>
        </w:tc>
        <w:tc>
          <w:tcPr>
            <w:tcW w:w="1760" w:type="dxa"/>
            <w:vAlign w:val="bottom"/>
          </w:tcPr>
          <w:p>
            <w:pPr>
              <w:jc w:val="right"/>
              <w:ind w:right="514"/>
              <w:spacing w:after="0"/>
              <w:rPr>
                <w:sz w:val="20"/>
                <w:szCs w:val="20"/>
                <w:color w:val="auto"/>
              </w:rPr>
            </w:pPr>
            <w:r>
              <w:rPr>
                <w:rFonts w:ascii="Arial" w:cs="Arial" w:eastAsia="Arial" w:hAnsi="Arial"/>
                <w:sz w:val="14"/>
                <w:szCs w:val="14"/>
                <w:b w:val="1"/>
                <w:bCs w:val="1"/>
                <w:color w:val="auto"/>
              </w:rPr>
              <w:t>Level 2</w:t>
            </w:r>
          </w:p>
        </w:tc>
        <w:tc>
          <w:tcPr>
            <w:tcW w:w="1740" w:type="dxa"/>
            <w:vAlign w:val="bottom"/>
          </w:tcPr>
          <w:p>
            <w:pPr>
              <w:jc w:val="right"/>
              <w:ind w:right="553"/>
              <w:spacing w:after="0"/>
              <w:rPr>
                <w:sz w:val="20"/>
                <w:szCs w:val="20"/>
                <w:color w:val="auto"/>
              </w:rPr>
            </w:pPr>
            <w:r>
              <w:rPr>
                <w:rFonts w:ascii="Arial" w:cs="Arial" w:eastAsia="Arial" w:hAnsi="Arial"/>
                <w:sz w:val="14"/>
                <w:szCs w:val="14"/>
                <w:b w:val="1"/>
                <w:bCs w:val="1"/>
                <w:color w:val="auto"/>
              </w:rPr>
              <w:t>Level 3</w:t>
            </w:r>
          </w:p>
        </w:tc>
        <w:tc>
          <w:tcPr>
            <w:tcW w:w="16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$424,049,650</w:t>
            </w:r>
          </w:p>
        </w:tc>
        <w:tc>
          <w:tcPr>
            <w:tcW w:w="17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$424,049,650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Analog Common Stock Fund</w:t>
            </w:r>
          </w:p>
        </w:tc>
        <w:tc>
          <w:tcPr>
            <w:tcW w:w="1580" w:type="dxa"/>
            <w:vAlign w:val="bottom"/>
          </w:tcPr>
          <w:p>
            <w:pPr>
              <w:jc w:val="right"/>
              <w:ind w:right="312"/>
              <w:spacing w:after="0"/>
              <w:rPr>
                <w:sz w:val="20"/>
                <w:szCs w:val="20"/>
                <w:color w:val="auto"/>
              </w:rPr>
            </w:pPr>
            <w:r>
              <w:rPr>
                <w:rFonts w:ascii="Arial" w:cs="Arial" w:eastAsia="Arial" w:hAnsi="Arial"/>
                <w:sz w:val="18"/>
                <w:szCs w:val="18"/>
                <w:color w:val="auto"/>
              </w:rPr>
              <w:t>63,079,711</w:t>
            </w:r>
          </w:p>
        </w:tc>
        <w:tc>
          <w:tcPr>
            <w:tcW w:w="176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3"/>
              <w:spacing w:after="0"/>
              <w:rPr>
                <w:sz w:val="20"/>
                <w:szCs w:val="20"/>
                <w:color w:val="auto"/>
              </w:rPr>
            </w:pPr>
            <w:r>
              <w:rPr>
                <w:rFonts w:ascii="Arial" w:cs="Arial" w:eastAsia="Arial" w:hAnsi="Arial"/>
                <w:sz w:val="18"/>
                <w:szCs w:val="18"/>
                <w:color w:val="auto"/>
              </w:rPr>
              <w:t>63,079,711</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Self-directed Brokerage Account</w:t>
            </w:r>
          </w:p>
        </w:tc>
        <w:tc>
          <w:tcPr>
            <w:tcW w:w="15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56,066,534</w:t>
            </w:r>
          </w:p>
        </w:tc>
        <w:tc>
          <w:tcPr>
            <w:tcW w:w="17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56,066,534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Comingled Fund</w:t>
            </w:r>
          </w:p>
        </w:tc>
        <w:tc>
          <w:tcPr>
            <w:tcW w:w="15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34"/>
              <w:spacing w:after="0"/>
              <w:rPr>
                <w:sz w:val="20"/>
                <w:szCs w:val="20"/>
                <w:color w:val="auto"/>
              </w:rPr>
            </w:pPr>
            <w:r>
              <w:rPr>
                <w:rFonts w:ascii="Arial" w:cs="Arial" w:eastAsia="Arial" w:hAnsi="Arial"/>
                <w:sz w:val="18"/>
                <w:szCs w:val="18"/>
                <w:color w:val="auto"/>
              </w:rPr>
              <w:t>$17,698,130</w:t>
            </w:r>
          </w:p>
        </w:tc>
        <w:tc>
          <w:tcPr>
            <w:tcW w:w="174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3"/>
              <w:spacing w:after="0"/>
              <w:rPr>
                <w:sz w:val="20"/>
                <w:szCs w:val="20"/>
                <w:color w:val="auto"/>
              </w:rPr>
            </w:pPr>
            <w:r>
              <w:rPr>
                <w:rFonts w:ascii="Arial" w:cs="Arial" w:eastAsia="Arial" w:hAnsi="Arial"/>
                <w:sz w:val="18"/>
                <w:szCs w:val="18"/>
                <w:color w:val="auto"/>
              </w:rPr>
              <w:t>17,698,130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15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8"/>
                <w:szCs w:val="18"/>
                <w:color w:val="auto"/>
              </w:rPr>
              <w:t>$8,536,073</w:t>
            </w:r>
          </w:p>
        </w:tc>
        <w:tc>
          <w:tcPr>
            <w:tcW w:w="16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8,536,073</w:t>
            </w:r>
          </w:p>
        </w:tc>
      </w:tr>
      <w:tr>
        <w:trPr>
          <w:trHeight w:val="439"/>
        </w:trPr>
        <w:tc>
          <w:tcPr>
            <w:tcW w:w="4740" w:type="dxa"/>
            <w:vAlign w:val="bottom"/>
          </w:tcPr>
          <w:p>
            <w:pPr>
              <w:spacing w:after="0"/>
              <w:rPr>
                <w:sz w:val="20"/>
                <w:szCs w:val="20"/>
                <w:color w:val="auto"/>
              </w:rPr>
            </w:pPr>
            <w:r>
              <w:rPr>
                <w:rFonts w:ascii="Arial" w:cs="Arial" w:eastAsia="Arial" w:hAnsi="Arial"/>
                <w:sz w:val="18"/>
                <w:szCs w:val="18"/>
                <w:b w:val="1"/>
                <w:bCs w:val="1"/>
                <w:color w:val="auto"/>
              </w:rPr>
              <w:t>Total Investments at Fair Value</w:t>
            </w: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$543,195,895</w:t>
            </w: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$17,698,130</w:t>
            </w:r>
          </w:p>
        </w:tc>
        <w:tc>
          <w:tcPr>
            <w:tcW w:w="174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b w:val="1"/>
                <w:bCs w:val="1"/>
                <w:color w:val="auto"/>
              </w:rPr>
              <w:t>$8,536,073</w:t>
            </w:r>
          </w:p>
        </w:tc>
        <w:tc>
          <w:tcPr>
            <w:tcW w:w="16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$569,430,098</w:t>
            </w: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399"/>
        </w:trPr>
        <w:tc>
          <w:tcPr>
            <w:tcW w:w="4740" w:type="dxa"/>
            <w:vAlign w:val="bottom"/>
          </w:tcPr>
          <w:p>
            <w:pPr>
              <w:spacing w:after="0"/>
              <w:rPr>
                <w:sz w:val="24"/>
                <w:szCs w:val="24"/>
                <w:color w:val="auto"/>
              </w:rPr>
            </w:pP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10</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47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2008 and 2007</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net asset value (“NAV”) provided by Fidelity.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Common Stocks: </w:t>
      </w:r>
      <w:r>
        <w:rPr>
          <w:rFonts w:ascii="Arial" w:cs="Arial" w:eastAsia="Arial" w:hAnsi="Arial"/>
          <w:sz w:val="18"/>
          <w:szCs w:val="18"/>
          <w:color w:val="auto"/>
        </w:rPr>
        <w:t>valued based on quoted market price.</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i w:val="1"/>
          <w:iCs w:val="1"/>
          <w:color w:val="auto"/>
        </w:rPr>
        <w:t xml:space="preserve">Comingled Fund: </w:t>
      </w:r>
      <w:r>
        <w:rPr>
          <w:rFonts w:ascii="Arial" w:cs="Arial" w:eastAsia="Arial" w:hAnsi="Arial"/>
          <w:sz w:val="18"/>
          <w:szCs w:val="18"/>
          <w:color w:val="auto"/>
        </w:rPr>
        <w:t>valued at the NAV provided by Fidelity. The NAV is quoted on a private market that is not active; however, the unit price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investments which are traded on an active market.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valued at their outstanding balance, which approximates fair value.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changes in the fair value of the Plan’s level 3 investments during the year ended December 31,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Purchases, Sales,</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0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Beginning Fair Value</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Issuances,</w:t>
            </w:r>
          </w:p>
        </w:tc>
        <w:tc>
          <w:tcPr>
            <w:tcW w:w="1880" w:type="dxa"/>
            <w:vAlign w:val="bottom"/>
            <w:vMerge w:val="restart"/>
          </w:tcPr>
          <w:p>
            <w:pPr>
              <w:jc w:val="center"/>
              <w:ind w:left="99"/>
              <w:spacing w:after="0"/>
              <w:rPr>
                <w:sz w:val="20"/>
                <w:szCs w:val="20"/>
                <w:color w:val="auto"/>
              </w:rPr>
            </w:pPr>
            <w:r>
              <w:rPr>
                <w:rFonts w:ascii="Arial" w:cs="Arial" w:eastAsia="Arial" w:hAnsi="Arial"/>
                <w:sz w:val="14"/>
                <w:szCs w:val="14"/>
                <w:b w:val="1"/>
                <w:bCs w:val="1"/>
                <w:color w:val="auto"/>
                <w:w w:val="96"/>
              </w:rPr>
              <w:t>Ending Fair Value</w:t>
            </w:r>
          </w:p>
        </w:tc>
        <w:tc>
          <w:tcPr>
            <w:tcW w:w="0" w:type="dxa"/>
            <w:vAlign w:val="bottom"/>
          </w:tcPr>
          <w:p>
            <w:pPr>
              <w:spacing w:after="0"/>
              <w:rPr>
                <w:sz w:val="1"/>
                <w:szCs w:val="1"/>
                <w:color w:val="auto"/>
              </w:rPr>
            </w:pPr>
          </w:p>
        </w:tc>
      </w:tr>
      <w:tr>
        <w:trPr>
          <w:trHeight w:val="171"/>
        </w:trPr>
        <w:tc>
          <w:tcPr>
            <w:tcW w:w="5540" w:type="dxa"/>
            <w:vAlign w:val="bottom"/>
            <w:vMerge w:val="restart"/>
          </w:tcPr>
          <w:p>
            <w:pPr>
              <w:spacing w:after="0"/>
              <w:rPr>
                <w:sz w:val="20"/>
                <w:szCs w:val="20"/>
                <w:color w:val="auto"/>
              </w:rPr>
            </w:pPr>
            <w:r>
              <w:rPr>
                <w:rFonts w:ascii="Arial" w:cs="Arial" w:eastAsia="Arial" w:hAnsi="Arial"/>
                <w:sz w:val="18"/>
                <w:szCs w:val="18"/>
                <w:color w:val="auto"/>
              </w:rPr>
              <w:t>Participant Loans</w:t>
            </w:r>
          </w:p>
        </w:tc>
        <w:tc>
          <w:tcPr>
            <w:tcW w:w="2020" w:type="dxa"/>
            <w:vAlign w:val="bottom"/>
            <w:tcBorders>
              <w:bottom w:val="single" w:sz="8" w:color="auto"/>
            </w:tcBorders>
            <w:vMerge w:val="continue"/>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Settlements (net)</w:t>
            </w:r>
          </w:p>
        </w:tc>
        <w:tc>
          <w:tcPr>
            <w:tcW w:w="1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202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rPr>
              <w:t>8,671,238</w:t>
            </w:r>
          </w:p>
        </w:tc>
        <w:tc>
          <w:tcPr>
            <w:tcW w:w="1980" w:type="dxa"/>
            <w:vAlign w:val="bottom"/>
            <w:tcBorders>
              <w:bottom w:val="single" w:sz="8" w:color="auto"/>
            </w:tcBorders>
          </w:tcPr>
          <w:p>
            <w:pPr>
              <w:jc w:val="right"/>
              <w:ind w:right="544"/>
              <w:spacing w:after="0"/>
              <w:rPr>
                <w:sz w:val="20"/>
                <w:szCs w:val="20"/>
                <w:color w:val="auto"/>
              </w:rPr>
            </w:pPr>
            <w:r>
              <w:rPr>
                <w:rFonts w:ascii="Arial" w:cs="Arial" w:eastAsia="Arial" w:hAnsi="Arial"/>
                <w:sz w:val="18"/>
                <w:szCs w:val="18"/>
                <w:color w:val="auto"/>
              </w:rPr>
              <w:t>(135,165)</w:t>
            </w:r>
          </w:p>
        </w:tc>
        <w:tc>
          <w:tcPr>
            <w:tcW w:w="188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rPr>
              <w:t>8,536,073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 w:hanging="4"/>
        <w:spacing w:after="0" w:line="27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Contributions from employees are recorded when the Company makes payroll deductions from plan participants. Company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accrued at the end of the period in which they become obligations of the Company based upon the terms of the Plan.</w:t>
      </w:r>
    </w:p>
    <w:p>
      <w:pPr>
        <w:spacing w:after="0" w:line="62" w:lineRule="exact"/>
        <w:rPr>
          <w:rFonts w:ascii="Arial" w:cs="Arial" w:eastAsia="Arial" w:hAnsi="Arial"/>
          <w:sz w:val="18"/>
          <w:szCs w:val="18"/>
          <w:color w:val="auto"/>
        </w:rPr>
      </w:pPr>
    </w:p>
    <w:p>
      <w:pPr>
        <w:jc w:val="both"/>
        <w:ind w:left="240" w:hanging="4"/>
        <w:spacing w:after="0" w:line="264"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from the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and mutual funds, realized gains or losses on sales of investments and the change in net unrealized appreciation (depreciation) between the cost and market value of investments at the beginning and end of the period.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interest, dividends and capital gains distributions are reinvested in the respective funds and are recorded as earned on an accrual basis.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2008 and 2007</w:t>
      </w:r>
    </w:p>
    <w:p>
      <w:pPr>
        <w:spacing w:after="0" w:line="117" w:lineRule="exact"/>
        <w:rPr>
          <w:sz w:val="20"/>
          <w:szCs w:val="20"/>
          <w:color w:val="auto"/>
        </w:rPr>
      </w:pPr>
    </w:p>
    <w:p>
      <w:pPr>
        <w:ind w:left="240" w:right="80" w:hanging="4"/>
        <w:spacing w:after="0" w:line="257" w:lineRule="auto"/>
        <w:tabs>
          <w:tab w:leader="none" w:pos="4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 status. </w:t>
      </w:r>
      <w:r>
        <w:rPr>
          <w:rFonts w:ascii="Arial" w:cs="Arial" w:eastAsia="Arial" w:hAnsi="Arial"/>
          <w:sz w:val="18"/>
          <w:szCs w:val="18"/>
          <w:color w:val="auto"/>
        </w:rPr>
        <w:t>The Plan has received a determination letter from the Internal Revenue Service, dated May 1, 2003, stating that the Plan is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Committee believes the Plan is being operated in compliance with the applicable requirements of the Code and, therefore, that the Plan, as amended, is qualified and the related trust is tax exempt.</w:t>
      </w:r>
    </w:p>
    <w:p>
      <w:pPr>
        <w:spacing w:after="0" w:line="80" w:lineRule="exact"/>
        <w:rPr>
          <w:rFonts w:ascii="Arial" w:cs="Arial" w:eastAsia="Arial" w:hAnsi="Arial"/>
          <w:sz w:val="18"/>
          <w:szCs w:val="18"/>
          <w:i w:val="1"/>
          <w:iCs w:val="1"/>
          <w:color w:val="auto"/>
        </w:rPr>
      </w:pPr>
    </w:p>
    <w:p>
      <w:pPr>
        <w:ind w:left="240" w:right="20" w:hanging="4"/>
        <w:spacing w:after="0" w:line="286" w:lineRule="auto"/>
        <w:tabs>
          <w:tab w:leader="none" w:pos="42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Related Party. </w:t>
      </w:r>
      <w:r>
        <w:rPr>
          <w:rFonts w:ascii="Arial" w:cs="Arial" w:eastAsia="Arial" w:hAnsi="Arial"/>
          <w:sz w:val="17"/>
          <w:szCs w:val="17"/>
          <w:color w:val="auto"/>
        </w:rPr>
        <w:t>Certain Plan investments are shares of mutual funds managed by FMR Corp. FMR Corp. is a related party to the trustee and recordkeeper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and therefore, these transactions qualify as party-in-interest transactions. Fees paid by the Company to the trustee and recordkeeper for administrative expenses amounted to $34,896 and $42,525 for the years ended December 31, 2008 and 2007, respectively.</w:t>
      </w:r>
    </w:p>
    <w:p>
      <w:pPr>
        <w:spacing w:after="0" w:line="57"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The Plan also offers the Analog Devices, Inc. Common Stock Fund investment option. The Analog Devices, Inc. Common Stock Fund is designed for investment in the common stock of the Company. In addition, some of the investments in the Plan hold the Company’s Common stock. These transactions qualify as party-in-interest transactions.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to participants also qualify as party-in-interest transactions.</w:t>
      </w:r>
    </w:p>
    <w:p>
      <w:pPr>
        <w:spacing w:after="0" w:line="117" w:lineRule="exact"/>
        <w:rPr>
          <w:sz w:val="20"/>
          <w:szCs w:val="20"/>
          <w:color w:val="auto"/>
        </w:rPr>
      </w:pPr>
    </w:p>
    <w:p>
      <w:pPr>
        <w:ind w:left="240" w:hanging="4"/>
        <w:spacing w:after="0" w:line="277" w:lineRule="auto"/>
        <w:tabs>
          <w:tab w:leader="none" w:pos="4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expenses</w:t>
      </w:r>
      <w:r>
        <w:rPr>
          <w:rFonts w:ascii="Arial" w:cs="Arial" w:eastAsia="Arial" w:hAnsi="Arial"/>
          <w:sz w:val="18"/>
          <w:szCs w:val="18"/>
          <w:color w:val="auto"/>
        </w:rPr>
        <w:t>. For the years ended December 31, 2008 and 2007, the Company elected to pay the administrative expenses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resulting from participant loans and investment fees are deducted directly from participant accounts.</w:t>
      </w:r>
    </w:p>
    <w:p>
      <w:pPr>
        <w:spacing w:after="0" w:line="62" w:lineRule="exact"/>
        <w:rPr>
          <w:rFonts w:ascii="Arial" w:cs="Arial" w:eastAsia="Arial" w:hAnsi="Arial"/>
          <w:sz w:val="18"/>
          <w:szCs w:val="18"/>
          <w:i w:val="1"/>
          <w:iCs w:val="1"/>
          <w:color w:val="auto"/>
        </w:rPr>
      </w:pPr>
    </w:p>
    <w:p>
      <w:pPr>
        <w:ind w:left="240" w:right="200" w:hanging="4"/>
        <w:spacing w:after="0" w:line="286" w:lineRule="auto"/>
        <w:tabs>
          <w:tab w:leader="none" w:pos="42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57" w:lineRule="exact"/>
        <w:rPr>
          <w:rFonts w:ascii="Arial" w:cs="Arial" w:eastAsia="Arial" w:hAnsi="Arial"/>
          <w:sz w:val="17"/>
          <w:szCs w:val="17"/>
          <w:i w:val="1"/>
          <w:iCs w:val="1"/>
          <w:color w:val="auto"/>
        </w:rPr>
      </w:pPr>
    </w:p>
    <w:p>
      <w:pPr>
        <w:ind w:left="240" w:right="40" w:hanging="4"/>
        <w:spacing w:after="0" w:line="277" w:lineRule="auto"/>
        <w:tabs>
          <w:tab w:leader="none" w:pos="51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liquidity and credit risks. Due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2008 and 2007</w:t>
      </w:r>
    </w:p>
    <w:p>
      <w:pPr>
        <w:spacing w:after="0" w:line="117"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color w:val="auto"/>
        </w:rPr>
        <w:t>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Trustee and Plan Recordkeeper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investments represent five percent or more of the Plan’s net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1288"/>
              <w:spacing w:after="0"/>
              <w:rPr>
                <w:sz w:val="20"/>
                <w:szCs w:val="20"/>
                <w:color w:val="auto"/>
              </w:rPr>
            </w:pPr>
            <w:r>
              <w:rPr>
                <w:rFonts w:ascii="Arial" w:cs="Arial" w:eastAsia="Arial" w:hAnsi="Arial"/>
                <w:sz w:val="14"/>
                <w:szCs w:val="14"/>
                <w:i w:val="1"/>
                <w:iCs w:val="1"/>
                <w:color w:val="auto"/>
                <w:w w:val="95"/>
              </w:rPr>
              <w:t>December 31,</w:t>
            </w:r>
          </w:p>
        </w:tc>
      </w:tr>
      <w:tr>
        <w:trPr>
          <w:trHeight w:val="142"/>
        </w:trPr>
        <w:tc>
          <w:tcPr>
            <w:tcW w:w="7900" w:type="dxa"/>
            <w:vAlign w:val="bottom"/>
          </w:tcPr>
          <w:p>
            <w:pPr>
              <w:spacing w:after="0"/>
              <w:rPr>
                <w:sz w:val="12"/>
                <w:szCs w:val="12"/>
                <w:color w:val="auto"/>
              </w:rPr>
            </w:pPr>
          </w:p>
        </w:tc>
        <w:tc>
          <w:tcPr>
            <w:tcW w:w="13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color w:val="auto"/>
              </w:rPr>
              <w:t>2008</w:t>
            </w:r>
          </w:p>
        </w:tc>
        <w:tc>
          <w:tcPr>
            <w:tcW w:w="2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Borders>
              <w:bottom w:val="single" w:sz="8" w:color="auto"/>
            </w:tcBorders>
          </w:tcPr>
          <w:p>
            <w:pPr>
              <w:jc w:val="right"/>
              <w:ind w:right="548"/>
              <w:spacing w:after="0" w:line="142" w:lineRule="exact"/>
              <w:rPr>
                <w:sz w:val="20"/>
                <w:szCs w:val="20"/>
                <w:color w:val="auto"/>
              </w:rPr>
            </w:pPr>
            <w:r>
              <w:rPr>
                <w:rFonts w:ascii="Arial" w:cs="Arial" w:eastAsia="Arial" w:hAnsi="Arial"/>
                <w:sz w:val="14"/>
                <w:szCs w:val="14"/>
                <w:color w:val="auto"/>
              </w:rPr>
              <w:t>2007</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$ 63,079,711</w:t>
            </w:r>
          </w:p>
        </w:tc>
        <w:tc>
          <w:tcPr>
            <w:tcW w:w="22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$100,885,397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3"/>
          </w:tcPr>
          <w:p>
            <w:pPr>
              <w:jc w:val="right"/>
              <w:ind w:right="228"/>
              <w:spacing w:after="0"/>
              <w:rPr>
                <w:sz w:val="20"/>
                <w:szCs w:val="20"/>
                <w:color w:val="auto"/>
              </w:rPr>
            </w:pPr>
            <w:r>
              <w:rPr>
                <w:rFonts w:ascii="Arial" w:cs="Arial" w:eastAsia="Arial" w:hAnsi="Arial"/>
                <w:sz w:val="18"/>
                <w:szCs w:val="18"/>
                <w:color w:val="auto"/>
              </w:rPr>
              <w:t>43,464,600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Fidelity Equity Income Fund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29,921,832</w:t>
            </w:r>
          </w:p>
        </w:tc>
        <w:tc>
          <w:tcPr>
            <w:tcW w:w="22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59,729,987</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Fidelity Growth Company Fund</w:t>
            </w:r>
          </w:p>
        </w:tc>
        <w:tc>
          <w:tcPr>
            <w:tcW w:w="1300" w:type="dxa"/>
            <w:vAlign w:val="bottom"/>
          </w:tcPr>
          <w:p>
            <w:pPr>
              <w:jc w:val="right"/>
              <w:spacing w:after="0"/>
              <w:rPr>
                <w:sz w:val="20"/>
                <w:szCs w:val="20"/>
                <w:color w:val="auto"/>
              </w:rPr>
            </w:pPr>
            <w:r>
              <w:rPr>
                <w:rFonts w:ascii="Arial" w:cs="Arial" w:eastAsia="Arial" w:hAnsi="Arial"/>
                <w:sz w:val="18"/>
                <w:szCs w:val="18"/>
                <w:color w:val="auto"/>
              </w:rPr>
              <w:t>33,388,142</w:t>
            </w:r>
          </w:p>
        </w:tc>
        <w:tc>
          <w:tcPr>
            <w:tcW w:w="2220" w:type="dxa"/>
            <w:vAlign w:val="bottom"/>
            <w:gridSpan w:val="3"/>
          </w:tcPr>
          <w:p>
            <w:pPr>
              <w:jc w:val="right"/>
              <w:ind w:right="228"/>
              <w:spacing w:after="0"/>
              <w:rPr>
                <w:sz w:val="20"/>
                <w:szCs w:val="20"/>
                <w:color w:val="auto"/>
              </w:rPr>
            </w:pPr>
            <w:r>
              <w:rPr>
                <w:rFonts w:ascii="Arial" w:cs="Arial" w:eastAsia="Arial" w:hAnsi="Arial"/>
                <w:sz w:val="18"/>
                <w:szCs w:val="18"/>
                <w:color w:val="auto"/>
              </w:rPr>
              <w:t>60,559,307</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Fidelity Low-Priced Stock Fund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46,436,095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Fidelity Institutional Money Market Fund</w:t>
            </w:r>
          </w:p>
        </w:tc>
        <w:tc>
          <w:tcPr>
            <w:tcW w:w="1300" w:type="dxa"/>
            <w:vAlign w:val="bottom"/>
          </w:tcPr>
          <w:p>
            <w:pPr>
              <w:jc w:val="right"/>
              <w:spacing w:after="0"/>
              <w:rPr>
                <w:sz w:val="20"/>
                <w:szCs w:val="20"/>
                <w:color w:val="auto"/>
              </w:rPr>
            </w:pPr>
            <w:r>
              <w:rPr>
                <w:rFonts w:ascii="Arial" w:cs="Arial" w:eastAsia="Arial" w:hAnsi="Arial"/>
                <w:sz w:val="18"/>
                <w:szCs w:val="18"/>
                <w:color w:val="auto"/>
              </w:rPr>
              <w:t>150,027,980</w:t>
            </w:r>
          </w:p>
        </w:tc>
        <w:tc>
          <w:tcPr>
            <w:tcW w:w="2220" w:type="dxa"/>
            <w:vAlign w:val="bottom"/>
            <w:gridSpan w:val="3"/>
          </w:tcPr>
          <w:p>
            <w:pPr>
              <w:jc w:val="right"/>
              <w:ind w:right="228"/>
              <w:spacing w:after="0"/>
              <w:rPr>
                <w:sz w:val="20"/>
                <w:szCs w:val="20"/>
                <w:color w:val="auto"/>
              </w:rPr>
            </w:pPr>
            <w:r>
              <w:rPr>
                <w:rFonts w:ascii="Arial" w:cs="Arial" w:eastAsia="Arial" w:hAnsi="Arial"/>
                <w:sz w:val="18"/>
                <w:szCs w:val="18"/>
                <w:color w:val="auto"/>
              </w:rPr>
              <w:t>137,392,372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Fidelity U.S. Bond Index Fund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31,779,749</w:t>
            </w:r>
          </w:p>
        </w:tc>
        <w:tc>
          <w:tcPr>
            <w:tcW w:w="22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balance is less than 5% of the Plan’s net assets.</w:t>
      </w:r>
    </w:p>
    <w:p>
      <w:pPr>
        <w:spacing w:after="0" w:line="11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color w:val="auto"/>
        </w:rPr>
        <w:t>The Plan’s investments (including gains and losses on investments bought and sold, as well as held during the year) (depreciated) appreciated in value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i w:val="1"/>
                <w:iCs w:val="1"/>
                <w:color w:val="auto"/>
              </w:rPr>
              <w:t>Year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i w:val="1"/>
                <w:iCs w:val="1"/>
                <w:color w:val="auto"/>
              </w:rPr>
              <w:t>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2008</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(55,614,689)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1,689,368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Mutual funds</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(189,269,942)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(1,497,646)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(10,104,129)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1,287,003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Bonds</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9,883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63,398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(22,562)</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Net (depreciation) appreciation in fair value of investments</w:t>
            </w:r>
          </w:p>
        </w:tc>
        <w:tc>
          <w:tcPr>
            <w:tcW w:w="3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(254,915,479</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1,474,653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760" w:type="dxa"/>
            <w:vAlign w:val="bottom"/>
            <w:vMerge w:val="restart"/>
          </w:tcPr>
          <w:p>
            <w:pPr>
              <w:jc w:val="right"/>
              <w:ind w:right="28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THE INVESTMENT PARTNERSHIP PLAN</w:t>
      </w:r>
    </w:p>
    <w:p>
      <w:pPr>
        <w:spacing w:after="0" w:line="12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SUPPLEMENTAL SCHEDULE</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31, 2008</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H-LINE 4i — SCHEDULE OF ASSETS (HELD AT END OF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Current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Investment:</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Mutual Funds: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Money Market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150,027,980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150,027,980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Diversified International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930,000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19,985,710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Equity Income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969,599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29,921,832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Income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328,959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3,144,848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123,323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40,347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338,509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707,718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7,331,958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194,939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1,668,676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1,056,356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10,616,382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281,006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2,312,678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1,099,028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10,726,516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189,337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1,520,377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732,344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4,093,803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2045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62,211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409,347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2050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115,319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Company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682,505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33,388,142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&amp; Income Portfolio</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402,463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5,296,407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Low-Priced Stock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1,026,077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23,712,639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Magellan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360,291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16,508,525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Bond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2,945,296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31,779,749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Calamos Growth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223,495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7,062,452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Hotchkis and Wiley Mid-Cap Value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712,500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8,222,245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Royce Low-Priced Stock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667,944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6,131,727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Templeton Foreign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2,161,023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9,486,890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Spartan International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360,174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9,631,048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Vanguard Mid-Cap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777,645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9,191,765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Vanguard Short-Term Bond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1,449,188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14,897,652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Vanguard Small-Cap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228,306</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4,657,440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424,049,650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Analog Devices, Inc. Common Stock Fund:</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Analog Devices Inc. Common Stock</w:t>
            </w:r>
            <w:r>
              <w:rPr>
                <w:rFonts w:ascii="Arial" w:cs="Arial" w:eastAsia="Arial" w:hAnsi="Arial"/>
                <w:sz w:val="15"/>
                <w:szCs w:val="15"/>
                <w:color w:val="auto"/>
              </w:rPr>
              <w:t>(1)</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60,026,245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Cash Portfolio — Money Market Portfolio</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3,053,466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63,079,711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color w:val="auto"/>
              </w:rPr>
              <w:t>Participants Self-Directed Brokerage Accounts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56,066,534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Comingled Fund: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4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Equity Index Commingled Pool</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587,782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17,698,130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560,894,025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Participant Loans Receivable </w:t>
            </w:r>
            <w:r>
              <w:rPr>
                <w:rFonts w:ascii="Arial" w:cs="Arial" w:eastAsia="Arial" w:hAnsi="Arial"/>
                <w:sz w:val="15"/>
                <w:szCs w:val="15"/>
                <w:color w:val="auto"/>
              </w:rPr>
              <w:t>(1) (2)</w:t>
            </w: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8,536,073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Indicates party-in-interest to the Plan.</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The loan account at December 31, 2008 bears interest at rates ranging from 3.9% to 10.00%, with terms ranging from less than 1 year to 20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Cost information has not been included because all investments are participant-directed.</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Analog Devices,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June 19, 2009</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19" w:right="4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Nos. 33-2502, 2-95495, 33-43128, and 333-08493) pertaining to the Analog Devices, Inc. The Investment Partnership Plan of our report, dated June 15, 2009, with respect to the financial statements and schedule of the Analog Devices Inc. The Investment Partnership Plan included in this Annual Report (Form 11-K) for the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45720</wp:posOffset>
            </wp:positionV>
            <wp:extent cx="2135505" cy="557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550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emdash "/>
      <w:numFmt w:val="bullet"/>
      <w:start w:val="1"/>
    </w:lvl>
  </w:abstractNum>
  <w:abstractNum w:abstractNumId="3">
    <w:nsid w:val="216231B"/>
    <w:multiLevelType w:val="hybridMultilevel"/>
    <w:lvl w:ilvl="0">
      <w:lvlJc w:val="left"/>
      <w:lvlText w:val="\emdash "/>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upperLetter"/>
      <w:start w:val="1"/>
    </w:lvl>
    <w:lvl w:ilvl="1">
      <w:lvlJc w:val="left"/>
      <w:lvlText w:val="%2."/>
      <w:numFmt w:val="decimal"/>
      <w:start w:val="10"/>
    </w:lvl>
  </w:abstractNum>
  <w:abstractNum w:abstractNumId="9">
    <w:nsid w:val="109CF92E"/>
    <w:multiLevelType w:val="hybridMultilevel"/>
    <w:lvl w:ilvl="0">
      <w:lvlJc w:val="left"/>
      <w:lvlText w:val="%1."/>
      <w:numFmt w:val="upperLetter"/>
      <w:start w:val="2"/>
    </w:lvl>
    <w:lvl w:ilvl="1">
      <w:lvlJc w:val="left"/>
      <w:lvlText w:val="%2."/>
      <w:numFmt w:val="decimal"/>
      <w:start w:val="1"/>
    </w:lvl>
  </w:abstractNum>
  <w:abstractNum w:abstractNumId="10">
    <w:nsid w:val="DED7263"/>
    <w:multiLevelType w:val="hybridMultilevel"/>
    <w:lvl w:ilvl="0">
      <w:lvlJc w:val="left"/>
      <w:lvlText w:val="%1"/>
      <w:numFmt w:val="upperLetter"/>
      <w:start w:val="1"/>
    </w:lvl>
    <w:lvl w:ilvl="1">
      <w:lvlJc w:val="left"/>
      <w:lvlText w:val="%2"/>
      <w:numFmt w:val="decimal"/>
      <w:start w:val="157"/>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4"/>
    </w:lvl>
  </w:abstractNum>
  <w:abstractNum w:abstractNumId="13">
    <w:nsid w:val="41A7C4C9"/>
    <w:multiLevelType w:val="hybridMultilevel"/>
    <w:lvl w:ilvl="0">
      <w:lvlJc w:val="left"/>
      <w:lvlText w:val="%1."/>
      <w:numFmt w:val="decimal"/>
      <w:start w:val="6"/>
    </w:lvl>
  </w:abstractNum>
  <w:abstractNum w:abstractNumId="14">
    <w:nsid w:val="6B68079A"/>
    <w:multiLevelType w:val="hybridMultilevel"/>
    <w:lvl w:ilvl="0">
      <w:lvlJc w:val="left"/>
      <w:lvlText w:val="%1."/>
      <w:numFmt w:val="decimal"/>
      <w:start w:val="8"/>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2019-12-09T21:51:36Z</dcterms:created>
  <dcterms:modified xsi:type="dcterms:W3CDTF">2019-12-09T21:51:36Z</dcterms:modified>
</cp:coreProperties>
</file>