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253d8k.htm"/>
      <w:bookmarkStart w:id="1" w:name="ksd1582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8"/>
        </w:rPr>
      </w:pPr>
      <w:r>
        <w:rPr>
          <w:rFonts w:ascii="Times New Roman" w:hAnsi="Times New Roman"/>
          <w:b/>
          <w:sz w:val="28"/>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June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Analog Devices,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1-7819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04-2348234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One Analog Way, Wilmington,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01887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(781) 935-5565</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325"/>
        <w:gridCol w:w="120"/>
        <w:gridCol w:w="740"/>
        <w:gridCol w:w="120"/>
        <w:gridCol w:w="2825"/>
      </w:tblGrid>
      <w:tr>
        <w:trPr/>
        <w:tc>
          <w:tcPr>
            <w:tcW w:w="4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3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2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25" w:type="dxa"/>
            <w:tcBorders/>
            <w:vAlign w:val="center"/>
          </w:tcPr>
          <w:p>
            <w:pPr>
              <w:pStyle w:val="TableContents"/>
              <w:bidi w:val="0"/>
              <w:spacing w:before="0" w:after="283"/>
              <w:jc w:val="center"/>
              <w:rPr/>
            </w:pPr>
            <w:r>
              <w:rPr/>
              <w:t>Common Stock $0.16 2/3 par value per share</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ADI</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23, 2026, Analog Devices, Inc. (the “Company”) identified unauthorized access to certain Company systems. Following detection of the unauthorized access, the Company immediately activated its incident response protocols and engaged external cybersecurity experts to assist with containment and investigation activities. The Company has also notified and is coordinating with law enforcement authorities. The Company’s operations were not interrupted throughout the duration of the incident.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investigation has found that certain files were exfiltrated from the affected systems. The Company’s investigation into the nature and scope of the exfiltrated information remains ongoing. To the Company’s knowledge, the data has not been publicly released or used for fraudulent purposes. The Company will continue to monitor for any indication of misuse and will take appropriate action if warranted. The Company will provide notifications to affected parties and applicable regulators as appropriate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Company’s investigation continues, based on information currently known, and the containment and mitigation measures taken, the Company does not believe the June 23, 2026 incident is reasonably likely to materially impact its business, operations, or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Separately and unrelated, on July 26, 2026, the Company was made aware of public reports regarding a disparate cybersecurity matter and is currently assessing its validity, scope, and any potential impact.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regarding future events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information, beliefs, assumptions and expectations about the matters reported herein. Words such as “expects,” “anticipates,” “projects,” “intends,” “plans,” “believes,” “seeks,” “estimates,” “continues,” “potential,” “may,” “could” and “will,” and variations of such words and similar expressions are intended to identify such forward-looking statements, however, the absence of the foregoing words or expressions does not mean that a statement is not forward-looking. Our actual findings could differ materially from those anticipated in these forward-looking statements as a result of various factors. Forward-looking statements may include, among other things, statements relating to the scope, nature, and impacts of the cybersecurity incidents described herein, the Company’s response thereto and other future events.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important factors and uncertainties, among others, could cause actual results to differ materially from those described in the forward-looking statements: the results of the Company’s ongoing investigation and analysis of the scope and details of the cybersecurity incidents and the potential discovery of new and additional information related thereto; the Company’s expectations regarding its ability to contain and remediate the cybersecurity incidents, including the success of containment and remediation activities to date; any unauthorized release of the Company’s data, including third-party data held by the Company, or the use of any such data for fraudulent purposes; potential loss or destruction of Company data or adverse impacts to the Company’s operations; the impact of the cybersecurity incidents on the Company’s relationships with customers, employees, governmental regulators, and other stakeholders; diversion of management’s attention from the Company’s operations to addressing the cybersecurity incidents; the legal, reputational, and financial risks resulting from the cybersecurity incidents, including those that may arise from any potential regulatory inquiries and/or litigation to which the Company may become subject in connection with the incidents; other reputational risk related to the cybersecurity incidents; regulatory scrutiny of the cybersecurity incidents; risks related to the availability of the Company’s insurance coverage for losses and costs associated with the cybersecurity incidents; and remediation and other additional costs that may be incurred by the Company in connection with the investigation and remediation of the incidents. Readers are cautioned that these forward-looking statements are not guarantees of future events or outcomes and they should not be unduly relied on, as they are based on information available to the Company and on management’s current beliefs and expectations as of the date of this Current Report on Form 8-K and are therefore inherently uncertain and subject to risks, uncertainties, and assumptions that are difficult to predict, including those identified in our filings with the Securities and Exchange Commission, including the risk factors contained in our most recent Annual Report on Form 10-K. We undertake no obligation to revise or update any forward-looking statements, including to reflect events or circumstances occurring after the date of the filing of this report, except to the extent required by law.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573" w:type="dxa"/>
        <w:jc w:val="left"/>
        <w:tblInd w:w="0" w:type="dxa"/>
        <w:tblLayout w:type="fixed"/>
        <w:tblCellMar>
          <w:top w:w="0" w:type="dxa"/>
          <w:left w:w="0" w:type="dxa"/>
          <w:bottom w:w="0" w:type="dxa"/>
          <w:right w:w="0" w:type="dxa"/>
        </w:tblCellMar>
      </w:tblPr>
      <w:tblGrid>
        <w:gridCol w:w="1625"/>
        <w:gridCol w:w="60"/>
        <w:gridCol w:w="23"/>
        <w:gridCol w:w="60"/>
        <w:gridCol w:w="320"/>
        <w:gridCol w:w="60"/>
        <w:gridCol w:w="6425"/>
      </w:tblGrid>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 DEVICES, INC.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6485"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Janene I. Asgeirsson</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Janene I. Asgeirsson</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Senior Vice President, Chief Legal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1118</Words>
  <Characters>6592</Characters>
  <CharactersWithSpaces>7706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