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231775</wp:posOffset>
            </wp:positionH>
            <wp:positionV relativeFrom="page">
              <wp:posOffset>407670</wp:posOffset>
            </wp:positionV>
            <wp:extent cx="7093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3585" cy="8255"/>
                    </a:xfrm>
                    <a:prstGeom prst="rect">
                      <a:avLst/>
                    </a:prstGeom>
                    <a:noFill/>
                  </pic:spPr>
                </pic:pic>
              </a:graphicData>
            </a:graphic>
          </wp:anchor>
        </w:drawing>
        <w:drawing>
          <wp:anchor simplePos="0" relativeHeight="251657728" behindDoc="1" locked="0" layoutInCell="0" allowOverlap="1">
            <wp:simplePos x="0" y="0"/>
            <wp:positionH relativeFrom="page">
              <wp:posOffset>231775</wp:posOffset>
            </wp:positionH>
            <wp:positionV relativeFrom="page">
              <wp:posOffset>374015</wp:posOffset>
            </wp:positionV>
            <wp:extent cx="7093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3585" cy="8255"/>
                    </a:xfrm>
                    <a:prstGeom prst="rect">
                      <a:avLst/>
                    </a:prstGeom>
                    <a:noFill/>
                  </pic:spPr>
                </pic:pic>
              </a:graphicData>
            </a:graphic>
          </wp:anchor>
        </w:drawing>
        <w:t>UNITED STATES</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53340</wp:posOffset>
            </wp:positionV>
            <wp:extent cx="1718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42545</wp:posOffset>
            </wp:positionV>
            <wp:extent cx="1718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8" w:lineRule="exact"/>
        <w:rPr>
          <w:sz w:val="24"/>
          <w:szCs w:val="24"/>
          <w:color w:val="auto"/>
        </w:rPr>
      </w:pPr>
    </w:p>
    <w:p>
      <w:pPr>
        <w:ind w:left="680" w:right="200" w:hanging="657"/>
        <w:spacing w:after="0" w:line="232"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July 31, 2021</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7" w:lineRule="exact"/>
        <w:rPr>
          <w:sz w:val="24"/>
          <w:szCs w:val="24"/>
          <w:color w:val="auto"/>
        </w:rPr>
      </w:pPr>
    </w:p>
    <w:p>
      <w:pPr>
        <w:ind w:left="700" w:right="160" w:hanging="664"/>
        <w:spacing w:after="0" w:line="232" w:lineRule="auto"/>
        <w:tabs>
          <w:tab w:leader="none" w:pos="700" w:val="left"/>
        </w:tabs>
        <w:numPr>
          <w:ilvl w:val="0"/>
          <w:numId w:val="2"/>
        </w:numPr>
        <w:rPr>
          <w:rFonts w:ascii="MS PGothic" w:cs="MS PGothic" w:eastAsia="MS PGothic" w:hAnsi="MS PGothic"/>
          <w:sz w:val="25"/>
          <w:szCs w:val="25"/>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49"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280" w:type="dxa"/>
            <w:vAlign w:val="bottom"/>
          </w:tcPr>
          <w:p>
            <w:pPr>
              <w:spacing w:after="0"/>
              <w:rPr>
                <w:sz w:val="20"/>
                <w:szCs w:val="20"/>
                <w:color w:val="auto"/>
              </w:rPr>
            </w:pPr>
            <w:r>
              <w:rPr>
                <w:rFonts w:ascii="Arial" w:cs="Arial" w:eastAsia="Arial" w:hAnsi="Arial"/>
                <w:sz w:val="18"/>
                <w:szCs w:val="18"/>
                <w:b w:val="1"/>
                <w:bCs w:val="1"/>
                <w:color w:val="auto"/>
                <w:w w:val="89"/>
              </w:rPr>
              <w:t>For the transition period from</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560" w:type="dxa"/>
            <w:vAlign w:val="bottom"/>
            <w:tcBorders>
              <w:bottom w:val="single" w:sz="8" w:color="auto"/>
            </w:tcBorders>
          </w:tcPr>
          <w:p>
            <w:pPr>
              <w:spacing w:after="0"/>
              <w:rPr>
                <w:sz w:val="17"/>
                <w:szCs w:val="17"/>
                <w:color w:val="auto"/>
              </w:rPr>
            </w:pPr>
          </w:p>
        </w:tc>
      </w:tr>
      <w:tr>
        <w:trPr>
          <w:trHeight w:val="230"/>
        </w:trPr>
        <w:tc>
          <w:tcPr>
            <w:tcW w:w="2840" w:type="dxa"/>
            <w:vAlign w:val="bottom"/>
            <w:gridSpan w:val="2"/>
          </w:tcPr>
          <w:p>
            <w:pPr>
              <w:ind w:left="740"/>
              <w:spacing w:after="0"/>
              <w:rPr>
                <w:sz w:val="20"/>
                <w:szCs w:val="20"/>
                <w:color w:val="auto"/>
              </w:rPr>
            </w:pPr>
            <w:r>
              <w:rPr>
                <w:rFonts w:ascii="Arial" w:cs="Arial" w:eastAsia="Arial" w:hAnsi="Arial"/>
                <w:sz w:val="18"/>
                <w:szCs w:val="18"/>
                <w:b w:val="1"/>
                <w:bCs w:val="1"/>
                <w:color w:val="auto"/>
                <w:w w:val="86"/>
              </w:rPr>
              <w:t>Commission File No. 1-7819</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50800</wp:posOffset>
            </wp:positionV>
            <wp:extent cx="1718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137" w:lineRule="exact"/>
        <w:rPr>
          <w:sz w:val="24"/>
          <w:szCs w:val="24"/>
          <w:color w:val="auto"/>
        </w:rPr>
      </w:pPr>
    </w:p>
    <w:p>
      <w:pPr>
        <w:jc w:val="center"/>
        <w:ind w:right="-119"/>
        <w:spacing w:after="0"/>
        <w:rPr>
          <w:sz w:val="20"/>
          <w:szCs w:val="20"/>
          <w:color w:val="auto"/>
        </w:rPr>
      </w:pPr>
      <w:r>
        <w:rPr>
          <w:rFonts w:ascii="Arial" w:cs="Arial" w:eastAsia="Arial" w:hAnsi="Arial"/>
          <w:sz w:val="42"/>
          <w:szCs w:val="42"/>
          <w:b w:val="1"/>
          <w:bCs w:val="1"/>
          <w:color w:val="auto"/>
        </w:rPr>
        <w:t>Analog Devices,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18415</wp:posOffset>
            </wp:positionV>
            <wp:extent cx="1718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176" w:lineRule="exact"/>
        <w:rPr>
          <w:sz w:val="24"/>
          <w:szCs w:val="24"/>
          <w:color w:val="auto"/>
        </w:rPr>
      </w:pPr>
    </w:p>
    <w:tbl>
      <w:tblPr>
        <w:tblLayout w:type="fixed"/>
        <w:tblInd w:w="1120" w:type="dxa"/>
        <w:tblCellMar>
          <w:top w:w="0" w:type="dxa"/>
          <w:left w:w="0" w:type="dxa"/>
          <w:bottom w:w="0" w:type="dxa"/>
          <w:right w:w="0" w:type="dxa"/>
        </w:tblCellMar>
      </w:tblPr>
      <w:tr>
        <w:trPr>
          <w:trHeight w:val="224"/>
        </w:trPr>
        <w:tc>
          <w:tcPr>
            <w:tcW w:w="2320" w:type="dxa"/>
            <w:vAlign w:val="bottom"/>
          </w:tcPr>
          <w:p>
            <w:pPr>
              <w:jc w:val="center"/>
              <w:ind w:left="1001"/>
              <w:spacing w:after="0"/>
              <w:rPr>
                <w:sz w:val="20"/>
                <w:szCs w:val="20"/>
                <w:color w:val="auto"/>
              </w:rPr>
            </w:pPr>
            <w:r>
              <w:rPr>
                <w:rFonts w:ascii="Arial" w:cs="Arial" w:eastAsia="Arial" w:hAnsi="Arial"/>
                <w:sz w:val="18"/>
                <w:szCs w:val="18"/>
                <w:b w:val="1"/>
                <w:bCs w:val="1"/>
                <w:color w:val="auto"/>
                <w:w w:val="83"/>
              </w:rPr>
              <w:t>Massachusetts</w:t>
            </w: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tcPr>
          <w:p>
            <w:pPr>
              <w:jc w:val="right"/>
              <w:ind w:right="499"/>
              <w:spacing w:after="0"/>
              <w:rPr>
                <w:sz w:val="20"/>
                <w:szCs w:val="20"/>
                <w:color w:val="auto"/>
              </w:rPr>
            </w:pPr>
            <w:r>
              <w:rPr>
                <w:rFonts w:ascii="Arial" w:cs="Arial" w:eastAsia="Arial" w:hAnsi="Arial"/>
                <w:sz w:val="18"/>
                <w:szCs w:val="18"/>
                <w:b w:val="1"/>
                <w:bCs w:val="1"/>
                <w:color w:val="auto"/>
              </w:rPr>
              <w:t>04-2348234</w:t>
            </w:r>
          </w:p>
        </w:tc>
      </w:tr>
      <w:tr>
        <w:trPr>
          <w:trHeight w:val="179"/>
        </w:trPr>
        <w:tc>
          <w:tcPr>
            <w:tcW w:w="3540" w:type="dxa"/>
            <w:vAlign w:val="bottom"/>
            <w:gridSpan w:val="2"/>
          </w:tcPr>
          <w:p>
            <w:pPr>
              <w:jc w:val="center"/>
              <w:ind w:right="32"/>
              <w:spacing w:after="0"/>
              <w:rPr>
                <w:sz w:val="20"/>
                <w:szCs w:val="20"/>
                <w:color w:val="auto"/>
              </w:rPr>
            </w:pPr>
            <w:r>
              <w:rPr>
                <w:rFonts w:ascii="Arial" w:cs="Arial" w:eastAsia="Arial" w:hAnsi="Arial"/>
                <w:sz w:val="14"/>
                <w:szCs w:val="14"/>
                <w:i w:val="1"/>
                <w:iCs w:val="1"/>
                <w:color w:val="auto"/>
                <w:w w:val="94"/>
              </w:rPr>
              <w:t>(State or other jurisdiction of incorporation or organization)</w:t>
            </w:r>
          </w:p>
        </w:tc>
        <w:tc>
          <w:tcPr>
            <w:tcW w:w="400" w:type="dxa"/>
            <w:vAlign w:val="bottom"/>
          </w:tcPr>
          <w:p>
            <w:pPr>
              <w:spacing w:after="0"/>
              <w:rPr>
                <w:sz w:val="15"/>
                <w:szCs w:val="15"/>
                <w:color w:val="auto"/>
              </w:rPr>
            </w:pPr>
          </w:p>
        </w:tc>
        <w:tc>
          <w:tcPr>
            <w:tcW w:w="4460" w:type="dxa"/>
            <w:vAlign w:val="bottom"/>
          </w:tcPr>
          <w:p>
            <w:pPr>
              <w:jc w:val="center"/>
              <w:ind w:left="2359"/>
              <w:spacing w:after="0"/>
              <w:rPr>
                <w:sz w:val="20"/>
                <w:szCs w:val="20"/>
                <w:color w:val="auto"/>
              </w:rPr>
            </w:pPr>
            <w:r>
              <w:rPr>
                <w:rFonts w:ascii="Arial" w:cs="Arial" w:eastAsia="Arial" w:hAnsi="Arial"/>
                <w:sz w:val="14"/>
                <w:szCs w:val="14"/>
                <w:i w:val="1"/>
                <w:iCs w:val="1"/>
                <w:color w:val="auto"/>
                <w:w w:val="93"/>
              </w:rPr>
              <w:t>(I.R.S. Employer Identification No.)</w:t>
            </w:r>
          </w:p>
        </w:tc>
      </w:tr>
      <w:tr>
        <w:trPr>
          <w:trHeight w:val="322"/>
        </w:trPr>
        <w:tc>
          <w:tcPr>
            <w:tcW w:w="2320" w:type="dxa"/>
            <w:vAlign w:val="bottom"/>
          </w:tcPr>
          <w:p>
            <w:pPr>
              <w:spacing w:after="0"/>
              <w:rPr>
                <w:sz w:val="20"/>
                <w:szCs w:val="20"/>
                <w:color w:val="auto"/>
              </w:rPr>
            </w:pPr>
            <w:r>
              <w:rPr>
                <w:rFonts w:ascii="Arial" w:cs="Arial" w:eastAsia="Arial" w:hAnsi="Arial"/>
                <w:sz w:val="18"/>
                <w:szCs w:val="18"/>
                <w:b w:val="1"/>
                <w:bCs w:val="1"/>
                <w:color w:val="auto"/>
              </w:rPr>
              <w:t>One Analog Way,</w:t>
            </w:r>
          </w:p>
        </w:tc>
        <w:tc>
          <w:tcPr>
            <w:tcW w:w="1220" w:type="dxa"/>
            <w:vAlign w:val="bottom"/>
          </w:tcPr>
          <w:p>
            <w:pPr>
              <w:ind w:left="60"/>
              <w:spacing w:after="0"/>
              <w:rPr>
                <w:sz w:val="20"/>
                <w:szCs w:val="20"/>
                <w:color w:val="auto"/>
              </w:rPr>
            </w:pPr>
            <w:r>
              <w:rPr>
                <w:rFonts w:ascii="Arial" w:cs="Arial" w:eastAsia="Arial" w:hAnsi="Arial"/>
                <w:sz w:val="18"/>
                <w:szCs w:val="18"/>
                <w:b w:val="1"/>
                <w:bCs w:val="1"/>
                <w:color w:val="auto"/>
              </w:rPr>
              <w:t>Wilmington,</w:t>
            </w:r>
          </w:p>
        </w:tc>
        <w:tc>
          <w:tcPr>
            <w:tcW w:w="400" w:type="dxa"/>
            <w:vAlign w:val="bottom"/>
          </w:tcPr>
          <w:p>
            <w:pPr>
              <w:ind w:left="120"/>
              <w:spacing w:after="0"/>
              <w:rPr>
                <w:sz w:val="20"/>
                <w:szCs w:val="20"/>
                <w:color w:val="auto"/>
              </w:rPr>
            </w:pPr>
            <w:r>
              <w:rPr>
                <w:rFonts w:ascii="Arial" w:cs="Arial" w:eastAsia="Arial" w:hAnsi="Arial"/>
                <w:sz w:val="18"/>
                <w:szCs w:val="18"/>
                <w:b w:val="1"/>
                <w:bCs w:val="1"/>
                <w:color w:val="auto"/>
                <w:w w:val="92"/>
              </w:rPr>
              <w:t>MA</w:t>
            </w:r>
          </w:p>
        </w:tc>
        <w:tc>
          <w:tcPr>
            <w:tcW w:w="4460" w:type="dxa"/>
            <w:vAlign w:val="bottom"/>
          </w:tcPr>
          <w:p>
            <w:pPr>
              <w:jc w:val="right"/>
              <w:ind w:right="699"/>
              <w:spacing w:after="0"/>
              <w:rPr>
                <w:sz w:val="20"/>
                <w:szCs w:val="20"/>
                <w:color w:val="auto"/>
              </w:rPr>
            </w:pPr>
            <w:r>
              <w:rPr>
                <w:rFonts w:ascii="Arial" w:cs="Arial" w:eastAsia="Arial" w:hAnsi="Arial"/>
                <w:sz w:val="18"/>
                <w:szCs w:val="18"/>
                <w:b w:val="1"/>
                <w:bCs w:val="1"/>
                <w:color w:val="auto"/>
              </w:rPr>
              <w:t>01887</w:t>
            </w:r>
          </w:p>
        </w:tc>
      </w:tr>
      <w:tr>
        <w:trPr>
          <w:trHeight w:val="179"/>
        </w:trPr>
        <w:tc>
          <w:tcPr>
            <w:tcW w:w="3540" w:type="dxa"/>
            <w:vAlign w:val="bottom"/>
            <w:gridSpan w:val="2"/>
          </w:tcPr>
          <w:p>
            <w:pPr>
              <w:jc w:val="center"/>
              <w:ind w:right="52"/>
              <w:spacing w:after="0"/>
              <w:rPr>
                <w:sz w:val="20"/>
                <w:szCs w:val="20"/>
                <w:color w:val="auto"/>
              </w:rPr>
            </w:pPr>
            <w:r>
              <w:rPr>
                <w:rFonts w:ascii="Arial" w:cs="Arial" w:eastAsia="Arial" w:hAnsi="Arial"/>
                <w:sz w:val="14"/>
                <w:szCs w:val="14"/>
                <w:i w:val="1"/>
                <w:iCs w:val="1"/>
                <w:color w:val="auto"/>
                <w:w w:val="91"/>
              </w:rPr>
              <w:t>(Address of principal executive offices)</w:t>
            </w:r>
          </w:p>
        </w:tc>
        <w:tc>
          <w:tcPr>
            <w:tcW w:w="400" w:type="dxa"/>
            <w:vAlign w:val="bottom"/>
          </w:tcPr>
          <w:p>
            <w:pPr>
              <w:spacing w:after="0"/>
              <w:rPr>
                <w:sz w:val="15"/>
                <w:szCs w:val="15"/>
                <w:color w:val="auto"/>
              </w:rPr>
            </w:pPr>
          </w:p>
        </w:tc>
        <w:tc>
          <w:tcPr>
            <w:tcW w:w="4460" w:type="dxa"/>
            <w:vAlign w:val="bottom"/>
          </w:tcPr>
          <w:p>
            <w:pPr>
              <w:jc w:val="center"/>
              <w:ind w:left="2359"/>
              <w:spacing w:after="0"/>
              <w:rPr>
                <w:sz w:val="20"/>
                <w:szCs w:val="20"/>
                <w:color w:val="auto"/>
              </w:rPr>
            </w:pPr>
            <w:r>
              <w:rPr>
                <w:rFonts w:ascii="Arial" w:cs="Arial" w:eastAsia="Arial" w:hAnsi="Arial"/>
                <w:sz w:val="14"/>
                <w:szCs w:val="14"/>
                <w:i w:val="1"/>
                <w:iCs w:val="1"/>
                <w:color w:val="auto"/>
                <w:w w:val="93"/>
              </w:rPr>
              <w:t>(Zip Code)</w:t>
            </w:r>
          </w:p>
        </w:tc>
      </w:tr>
      <w:tr>
        <w:trPr>
          <w:trHeight w:val="295"/>
        </w:trPr>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tcPr>
          <w:p>
            <w:pPr>
              <w:jc w:val="right"/>
              <w:ind w:right="3259"/>
              <w:spacing w:after="0"/>
              <w:rPr>
                <w:sz w:val="20"/>
                <w:szCs w:val="20"/>
                <w:color w:val="auto"/>
              </w:rPr>
            </w:pPr>
            <w:r>
              <w:rPr>
                <w:rFonts w:ascii="Arial" w:cs="Arial" w:eastAsia="Arial" w:hAnsi="Arial"/>
                <w:sz w:val="18"/>
                <w:szCs w:val="18"/>
                <w:b w:val="1"/>
                <w:bCs w:val="1"/>
                <w:color w:val="auto"/>
                <w:w w:val="89"/>
              </w:rPr>
              <w:t>(781) 329-4700</w:t>
            </w:r>
          </w:p>
        </w:tc>
      </w:tr>
    </w:tbl>
    <w:p>
      <w:pPr>
        <w:jc w:val="center"/>
        <w:ind w:right="-119"/>
        <w:spacing w:after="0" w:line="236" w:lineRule="auto"/>
        <w:rPr>
          <w:sz w:val="20"/>
          <w:szCs w:val="20"/>
          <w:color w:val="auto"/>
        </w:rPr>
      </w:pPr>
      <w:r>
        <w:rPr>
          <w:rFonts w:ascii="Arial" w:cs="Arial" w:eastAsia="Arial" w:hAnsi="Arial"/>
          <w:sz w:val="14"/>
          <w:szCs w:val="14"/>
          <w:i w:val="1"/>
          <w:iCs w:val="1"/>
          <w:color w:val="auto"/>
        </w:rPr>
        <w:t>(Registrant’s telephone number, including area code)</w:t>
      </w:r>
    </w:p>
    <w:p>
      <w:pPr>
        <w:jc w:val="center"/>
        <w:ind w:right="-11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2712085</wp:posOffset>
            </wp:positionH>
            <wp:positionV relativeFrom="paragraph">
              <wp:posOffset>52705</wp:posOffset>
            </wp:positionV>
            <wp:extent cx="1718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8945" cy="825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40"/>
          </w:cols>
          <w:pgMar w:left="320" w:top="768" w:right="439" w:bottom="1440" w:gutter="0" w:footer="0" w:header="0"/>
        </w:sectPr>
      </w:pPr>
    </w:p>
    <w:p>
      <w:pPr>
        <w:spacing w:after="0" w:line="38"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8" w:lineRule="exact"/>
        <w:rPr>
          <w:sz w:val="24"/>
          <w:szCs w:val="24"/>
          <w:color w:val="auto"/>
        </w:rPr>
      </w:pPr>
    </w:p>
    <w:p>
      <w:pPr>
        <w:sectPr>
          <w:pgSz w:w="11900" w:h="16838" w:orient="portrait"/>
          <w:cols w:equalWidth="0" w:num="3">
            <w:col w:w="4200" w:space="720"/>
            <w:col w:w="1780" w:space="720"/>
            <w:col w:w="3720"/>
          </w:cols>
          <w:pgMar w:left="320" w:top="768" w:right="439" w:bottom="1440" w:gutter="0" w:footer="0" w:header="0"/>
          <w:type w:val="continuous"/>
        </w:sectPr>
      </w:pPr>
    </w:p>
    <w:p>
      <w:pPr>
        <w:ind w:left="600"/>
        <w:spacing w:after="0"/>
        <w:rPr>
          <w:sz w:val="20"/>
          <w:szCs w:val="20"/>
          <w:color w:val="auto"/>
        </w:rPr>
      </w:pPr>
      <w:r>
        <w:rPr>
          <w:rFonts w:ascii="Arial" w:cs="Arial" w:eastAsia="Arial" w:hAnsi="Arial"/>
          <w:sz w:val="15"/>
          <w:szCs w:val="15"/>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Nasdaq Global Select Market</w:t>
      </w:r>
    </w:p>
    <w:p>
      <w:pPr>
        <w:spacing w:after="0" w:line="234" w:lineRule="exact"/>
        <w:rPr>
          <w:sz w:val="24"/>
          <w:szCs w:val="24"/>
          <w:color w:val="auto"/>
        </w:rPr>
      </w:pPr>
    </w:p>
    <w:p>
      <w:pPr>
        <w:sectPr>
          <w:pgSz w:w="11900" w:h="16838" w:orient="portrait"/>
          <w:cols w:equalWidth="0" w:num="3">
            <w:col w:w="4740" w:space="720"/>
            <w:col w:w="1840" w:space="720"/>
            <w:col w:w="3120"/>
          </w:cols>
          <w:pgMar w:left="320" w:top="768" w:right="439" w:bottom="1440" w:gutter="0" w:footer="0" w:header="0"/>
          <w:type w:val="continuous"/>
        </w:sectPr>
      </w:pPr>
    </w:p>
    <w:p>
      <w:pPr>
        <w:spacing w:after="0" w:line="2" w:lineRule="exact"/>
        <w:rPr>
          <w:sz w:val="24"/>
          <w:szCs w:val="24"/>
          <w:color w:val="auto"/>
        </w:rPr>
      </w:pPr>
    </w:p>
    <w:p>
      <w:pPr>
        <w:ind w:firstLine="436"/>
        <w:spacing w:after="0" w:line="24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60" w:firstLine="436"/>
        <w:spacing w:after="0" w:line="24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20" w:firstLine="436"/>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8"/>
        </w:trPr>
        <w:tc>
          <w:tcPr>
            <w:tcW w:w="2420" w:type="dxa"/>
            <w:vAlign w:val="bottom"/>
          </w:tcPr>
          <w:p>
            <w:pPr>
              <w:ind w:left="440"/>
              <w:spacing w:after="0" w:line="188" w:lineRule="exact"/>
              <w:rPr>
                <w:sz w:val="20"/>
                <w:szCs w:val="20"/>
                <w:color w:val="auto"/>
              </w:rPr>
            </w:pPr>
            <w:r>
              <w:rPr>
                <w:rFonts w:ascii="Arial" w:cs="Arial" w:eastAsia="Arial" w:hAnsi="Arial"/>
                <w:sz w:val="18"/>
                <w:szCs w:val="18"/>
                <w:color w:val="auto"/>
              </w:rPr>
              <w:t>Large accelerated</w:t>
            </w:r>
          </w:p>
        </w:tc>
        <w:tc>
          <w:tcPr>
            <w:tcW w:w="3060" w:type="dxa"/>
            <w:vAlign w:val="bottom"/>
            <w:vMerge w:val="restart"/>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840" w:type="dxa"/>
            <w:vAlign w:val="bottom"/>
            <w:vMerge w:val="restart"/>
          </w:tcPr>
          <w:p>
            <w:pPr>
              <w:ind w:left="2360"/>
              <w:spacing w:after="0"/>
              <w:rPr>
                <w:sz w:val="20"/>
                <w:szCs w:val="20"/>
                <w:color w:val="auto"/>
              </w:rPr>
            </w:pPr>
            <w:r>
              <w:rPr>
                <w:rFonts w:ascii="Arial" w:cs="Arial" w:eastAsia="Arial" w:hAnsi="Arial"/>
                <w:sz w:val="18"/>
                <w:szCs w:val="18"/>
                <w:color w:val="auto"/>
              </w:rPr>
              <w:t>Accelerated filer</w:t>
            </w:r>
          </w:p>
        </w:tc>
        <w:tc>
          <w:tcPr>
            <w:tcW w:w="760" w:type="dxa"/>
            <w:vAlign w:val="bottom"/>
            <w:vMerge w:val="restart"/>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176"/>
        </w:trPr>
        <w:tc>
          <w:tcPr>
            <w:tcW w:w="2420" w:type="dxa"/>
            <w:vAlign w:val="bottom"/>
          </w:tcPr>
          <w:p>
            <w:pPr>
              <w:spacing w:after="0" w:line="176" w:lineRule="exact"/>
              <w:rPr>
                <w:sz w:val="20"/>
                <w:szCs w:val="20"/>
                <w:color w:val="auto"/>
              </w:rPr>
            </w:pPr>
            <w:r>
              <w:rPr>
                <w:rFonts w:ascii="Arial" w:cs="Arial" w:eastAsia="Arial" w:hAnsi="Arial"/>
                <w:sz w:val="18"/>
                <w:szCs w:val="18"/>
                <w:color w:val="auto"/>
              </w:rPr>
              <w:t>filer</w:t>
            </w:r>
          </w:p>
        </w:tc>
        <w:tc>
          <w:tcPr>
            <w:tcW w:w="3060" w:type="dxa"/>
            <w:vAlign w:val="bottom"/>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440"/>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84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332"/>
        </w:trPr>
        <w:tc>
          <w:tcPr>
            <w:tcW w:w="24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4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5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220" w:firstLine="436"/>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9" w:lineRule="exact"/>
        <w:rPr>
          <w:sz w:val="24"/>
          <w:szCs w:val="24"/>
          <w:color w:val="auto"/>
        </w:rPr>
      </w:pPr>
    </w:p>
    <w:p>
      <w:pPr>
        <w:ind w:left="440" w:right="140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31, 2021 there were 368,214,341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617220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51435</wp:posOffset>
            </wp:positionV>
            <wp:extent cx="7093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358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7093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type w:val="continuous"/>
        </w:sectPr>
      </w:pPr>
    </w:p>
    <w:bookmarkStart w:id="1" w:name="page2"/>
    <w:bookmarkEnd w:id="1"/>
    <w:p>
      <w:pPr>
        <w:ind w:left="4200"/>
        <w:spacing w:after="0"/>
        <w:rPr>
          <w:sz w:val="20"/>
          <w:szCs w:val="20"/>
          <w:color w:val="auto"/>
        </w:rPr>
      </w:pPr>
      <w:r>
        <w:rPr>
          <w:rFonts w:ascii="Arial" w:cs="Arial" w:eastAsia="Arial" w:hAnsi="Arial"/>
          <w:sz w:val="18"/>
          <w:szCs w:val="18"/>
          <w:b w:val="1"/>
          <w:bCs w:val="1"/>
          <w:color w:val="auto"/>
        </w:rPr>
        <w:t>PART I - FINANCIAL INFORMATION</w:t>
      </w:r>
    </w:p>
    <w:p>
      <w:pPr>
        <w:spacing w:after="0" w:line="229"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72"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4"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Borders>
              <w:bottom w:val="single" w:sz="8" w:color="auto"/>
            </w:tcBorders>
          </w:tcPr>
          <w:p>
            <w:pPr>
              <w:spacing w:after="0"/>
              <w:rPr>
                <w:sz w:val="16"/>
                <w:szCs w:val="16"/>
                <w:color w:val="auto"/>
              </w:rPr>
            </w:pPr>
          </w:p>
        </w:tc>
      </w:tr>
      <w:tr>
        <w:trPr>
          <w:trHeight w:val="183"/>
        </w:trPr>
        <w:tc>
          <w:tcPr>
            <w:tcW w:w="18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ind w:left="240"/>
              <w:spacing w:after="0"/>
              <w:rPr>
                <w:sz w:val="20"/>
                <w:szCs w:val="20"/>
                <w:color w:val="auto"/>
              </w:rPr>
            </w:pPr>
            <w:r>
              <w:rPr>
                <w:rFonts w:ascii="Arial" w:cs="Arial" w:eastAsia="Arial" w:hAnsi="Arial"/>
                <w:sz w:val="14"/>
                <w:szCs w:val="14"/>
                <w:b w:val="1"/>
                <w:bCs w:val="1"/>
                <w:color w:val="auto"/>
                <w:w w:val="85"/>
              </w:rPr>
              <w:t>July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5"/>
              </w:rPr>
              <w:t>31, 2021</w:t>
            </w: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August 1, 2020</w:t>
            </w:r>
          </w:p>
        </w:tc>
        <w:tc>
          <w:tcPr>
            <w:tcW w:w="720" w:type="dxa"/>
            <w:vAlign w:val="bottom"/>
            <w:gridSpan w:val="2"/>
          </w:tcPr>
          <w:p>
            <w:pPr>
              <w:ind w:left="460"/>
              <w:spacing w:after="0"/>
              <w:rPr>
                <w:sz w:val="20"/>
                <w:szCs w:val="20"/>
                <w:color w:val="auto"/>
              </w:rPr>
            </w:pPr>
            <w:r>
              <w:rPr>
                <w:rFonts w:ascii="Arial" w:cs="Arial" w:eastAsia="Arial" w:hAnsi="Arial"/>
                <w:sz w:val="14"/>
                <w:szCs w:val="14"/>
                <w:b w:val="1"/>
                <w:bCs w:val="1"/>
                <w:color w:val="auto"/>
                <w:w w:val="85"/>
              </w:rPr>
              <w:t>July</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5"/>
              </w:rPr>
              <w:t>31, 2021</w:t>
            </w:r>
          </w:p>
        </w:tc>
        <w:tc>
          <w:tcPr>
            <w:tcW w:w="200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August 1, 2020</w:t>
            </w:r>
          </w:p>
        </w:tc>
      </w:tr>
      <w:tr>
        <w:trPr>
          <w:trHeight w:val="218"/>
        </w:trPr>
        <w:tc>
          <w:tcPr>
            <w:tcW w:w="1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1,758,853$</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1,456,136$</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4,978,718$</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r>
      <w:tr>
        <w:trPr>
          <w:trHeight w:val="224"/>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les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537,669</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483,558</w:t>
            </w:r>
          </w:p>
        </w:tc>
        <w:tc>
          <w:tcPr>
            <w:tcW w:w="1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1,575,526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1,409,367</w:t>
            </w:r>
          </w:p>
        </w:tc>
      </w:tr>
      <w:tr>
        <w:trPr>
          <w:trHeight w:val="218"/>
        </w:trPr>
        <w:tc>
          <w:tcPr>
            <w:tcW w:w="3980" w:type="dxa"/>
            <w:vAlign w:val="bottom"/>
            <w:gridSpan w:val="2"/>
          </w:tcPr>
          <w:p>
            <w:pPr>
              <w:spacing w:after="0" w:line="205" w:lineRule="exact"/>
              <w:rPr>
                <w:sz w:val="20"/>
                <w:szCs w:val="20"/>
                <w:color w:val="auto"/>
              </w:rPr>
            </w:pPr>
            <w:r>
              <w:rPr>
                <w:rFonts w:ascii="Arial" w:cs="Arial" w:eastAsia="Arial" w:hAnsi="Arial"/>
                <w:sz w:val="18"/>
                <w:szCs w:val="18"/>
                <w:color w:val="auto"/>
              </w:rPr>
              <w:t>margin</w:t>
            </w:r>
          </w:p>
        </w:tc>
        <w:tc>
          <w:tcPr>
            <w:tcW w:w="6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1,221,184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972,578</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3,403,192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2,667,394</w:t>
            </w:r>
          </w:p>
        </w:tc>
      </w:tr>
      <w:tr>
        <w:trPr>
          <w:trHeight w:val="224"/>
        </w:trPr>
        <w:tc>
          <w:tcPr>
            <w:tcW w:w="3980" w:type="dxa"/>
            <w:vAlign w:val="bottom"/>
            <w:gridSpan w:val="2"/>
          </w:tcPr>
          <w:p>
            <w:pPr>
              <w:ind w:left="80"/>
              <w:spacing w:after="0"/>
              <w:rPr>
                <w:sz w:val="20"/>
                <w:szCs w:val="20"/>
                <w:color w:val="auto"/>
              </w:rPr>
            </w:pPr>
            <w:r>
              <w:rPr>
                <w:rFonts w:ascii="Arial" w:cs="Arial" w:eastAsia="Arial" w:hAnsi="Arial"/>
                <w:sz w:val="18"/>
                <w:szCs w:val="18"/>
                <w:color w:val="auto"/>
              </w:rPr>
              <w:t>expenses: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esearch and development</w:t>
            </w:r>
          </w:p>
        </w:tc>
        <w:tc>
          <w:tcPr>
            <w:tcW w:w="6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306,617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260,794</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897,005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770,280</w:t>
            </w:r>
          </w:p>
        </w:tc>
      </w:tr>
      <w:tr>
        <w:trPr>
          <w:trHeight w:val="225"/>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lling, marketing, general and administrative</w:t>
            </w:r>
          </w:p>
        </w:tc>
        <w:tc>
          <w:tcPr>
            <w:tcW w:w="6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206,076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153,753</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597,963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494,808</w:t>
            </w:r>
          </w:p>
        </w:tc>
      </w:tr>
      <w:tr>
        <w:trPr>
          <w:trHeight w:val="225"/>
        </w:trPr>
        <w:tc>
          <w:tcPr>
            <w:tcW w:w="18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mortization of intangibles</w:t>
            </w:r>
          </w:p>
        </w:tc>
        <w:tc>
          <w:tcPr>
            <w:tcW w:w="6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107,783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107,077</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323,217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321,448</w:t>
            </w: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pecial charges, net</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(8,938)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31,830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(8,189)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44,286</w:t>
            </w:r>
          </w:p>
        </w:tc>
      </w:tr>
      <w:tr>
        <w:trPr>
          <w:trHeight w:val="218"/>
        </w:trPr>
        <w:tc>
          <w:tcPr>
            <w:tcW w:w="1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611,538</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553,454</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1,809,996</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1,630,822</w:t>
            </w:r>
          </w:p>
        </w:tc>
      </w:tr>
      <w:tr>
        <w:trPr>
          <w:trHeight w:val="224"/>
        </w:trPr>
        <w:tc>
          <w:tcPr>
            <w:tcW w:w="3980" w:type="dxa"/>
            <w:vAlign w:val="bottom"/>
            <w:gridSpan w:val="2"/>
          </w:tcPr>
          <w:p>
            <w:pPr>
              <w:ind w:left="80"/>
              <w:spacing w:after="0"/>
              <w:rPr>
                <w:sz w:val="20"/>
                <w:szCs w:val="20"/>
                <w:color w:val="auto"/>
              </w:rPr>
            </w:pPr>
            <w:r>
              <w:rPr>
                <w:rFonts w:ascii="Arial" w:cs="Arial" w:eastAsia="Arial" w:hAnsi="Arial"/>
                <w:sz w:val="18"/>
                <w:szCs w:val="18"/>
                <w:color w:val="auto"/>
              </w:rPr>
              <w:t>income:</w:t>
            </w:r>
          </w:p>
        </w:tc>
        <w:tc>
          <w:tcPr>
            <w:tcW w:w="6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609,646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419,124</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1,593,196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1,036,572</w:t>
            </w:r>
          </w:p>
        </w:tc>
      </w:tr>
      <w:tr>
        <w:trPr>
          <w:trHeight w:val="224"/>
        </w:trPr>
        <w:tc>
          <w:tcPr>
            <w:tcW w:w="3980" w:type="dxa"/>
            <w:vAlign w:val="bottom"/>
            <w:gridSpan w:val="2"/>
          </w:tcPr>
          <w:p>
            <w:pPr>
              <w:ind w:left="20"/>
              <w:spacing w:after="0"/>
              <w:rPr>
                <w:sz w:val="20"/>
                <w:szCs w:val="20"/>
                <w:color w:val="auto"/>
              </w:rPr>
            </w:pPr>
            <w:r>
              <w:rPr>
                <w:rFonts w:ascii="Arial" w:cs="Arial" w:eastAsia="Arial" w:hAnsi="Arial"/>
                <w:sz w:val="18"/>
                <w:szCs w:val="18"/>
                <w:color w:val="auto"/>
              </w:rPr>
              <w:t>ting expense (income):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terest expense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44,659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45,914</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130,204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144,712</w:t>
            </w: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terest income</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(3,778)</w:t>
            </w:r>
          </w:p>
        </w:tc>
      </w:tr>
      <w:tr>
        <w:trPr>
          <w:trHeight w:val="225"/>
        </w:trPr>
        <w:tc>
          <w:tcPr>
            <w:tcW w:w="3980" w:type="dxa"/>
            <w:vAlign w:val="bottom"/>
            <w:gridSpan w:val="2"/>
          </w:tcPr>
          <w:p>
            <w:pPr>
              <w:spacing w:after="0"/>
              <w:rPr>
                <w:sz w:val="20"/>
                <w:szCs w:val="20"/>
                <w:color w:val="auto"/>
              </w:rPr>
            </w:pPr>
            <w:r>
              <w:rPr>
                <w:rFonts w:ascii="Arial" w:cs="Arial" w:eastAsia="Arial" w:hAnsi="Arial"/>
                <w:sz w:val="18"/>
                <w:szCs w:val="18"/>
                <w:color w:val="auto"/>
              </w:rPr>
              <w:t>ther, net</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(6,991)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(21,090)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18"/>
        </w:trPr>
        <w:tc>
          <w:tcPr>
            <w:tcW w:w="18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37,368</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46,095</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108,315</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142,265</w:t>
            </w:r>
          </w:p>
        </w:tc>
      </w:tr>
      <w:tr>
        <w:trPr>
          <w:trHeight w:val="217"/>
        </w:trPr>
        <w:tc>
          <w:tcPr>
            <w:tcW w:w="3980" w:type="dxa"/>
            <w:vAlign w:val="bottom"/>
            <w:gridSpan w:val="2"/>
          </w:tcPr>
          <w:p>
            <w:pPr>
              <w:spacing w:after="0" w:line="204" w:lineRule="exact"/>
              <w:rPr>
                <w:sz w:val="20"/>
                <w:szCs w:val="20"/>
                <w:color w:val="auto"/>
              </w:rPr>
            </w:pPr>
            <w:r>
              <w:rPr>
                <w:rFonts w:ascii="Arial" w:cs="Arial" w:eastAsia="Arial" w:hAnsi="Arial"/>
                <w:sz w:val="18"/>
                <w:szCs w:val="18"/>
                <w:color w:val="auto"/>
              </w:rPr>
              <w:t>efore income taxes</w:t>
            </w:r>
          </w:p>
        </w:tc>
        <w:tc>
          <w:tcPr>
            <w:tcW w:w="6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572,278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373,029</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1,484,881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894,307</w:t>
            </w:r>
          </w:p>
        </w:tc>
      </w:tr>
      <w:tr>
        <w:trPr>
          <w:trHeight w:val="224"/>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for income taxes</w:t>
            </w: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68,967</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10,364</w:t>
            </w:r>
          </w:p>
        </w:tc>
        <w:tc>
          <w:tcPr>
            <w:tcW w:w="1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170,146</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60,072</w:t>
            </w:r>
          </w:p>
        </w:tc>
      </w:tr>
      <w:tr>
        <w:trPr>
          <w:trHeight w:val="218"/>
        </w:trPr>
        <w:tc>
          <w:tcPr>
            <w:tcW w:w="3980" w:type="dxa"/>
            <w:vAlign w:val="bottom"/>
            <w:gridSpan w:val="2"/>
          </w:tcPr>
          <w:p>
            <w:pPr>
              <w:spacing w:after="0" w:line="205" w:lineRule="exact"/>
              <w:rPr>
                <w:sz w:val="20"/>
                <w:szCs w:val="20"/>
                <w:color w:val="auto"/>
              </w:rPr>
            </w:pPr>
            <w:r>
              <w:rPr>
                <w:rFonts w:ascii="Arial" w:cs="Arial" w:eastAsia="Arial" w:hAnsi="Arial"/>
                <w:sz w:val="18"/>
                <w:szCs w:val="18"/>
                <w:color w:val="auto"/>
              </w:rPr>
              <w:t>me</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$503,311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$362,665</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1,314,735$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834,235</w:t>
            </w:r>
          </w:p>
        </w:tc>
      </w:tr>
      <w:tr>
        <w:trPr>
          <w:trHeight w:val="20"/>
        </w:trPr>
        <w:tc>
          <w:tcPr>
            <w:tcW w:w="180" w:type="dxa"/>
            <w:vAlign w:val="bottom"/>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18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w w:val="97"/>
              </w:rPr>
              <w:t>ed to compute earnings per common share – basic</w:t>
            </w:r>
          </w:p>
        </w:tc>
        <w:tc>
          <w:tcPr>
            <w:tcW w:w="66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368,476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368,791</w:t>
            </w: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368,834</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368,417</w:t>
            </w:r>
          </w:p>
        </w:tc>
      </w:tr>
      <w:tr>
        <w:trPr>
          <w:trHeight w:val="225"/>
        </w:trPr>
        <w:tc>
          <w:tcPr>
            <w:tcW w:w="180" w:type="dxa"/>
            <w:vAlign w:val="bottom"/>
          </w:tcPr>
          <w:p>
            <w:pPr>
              <w:spacing w:after="0"/>
              <w:rPr>
                <w:sz w:val="20"/>
                <w:szCs w:val="20"/>
                <w:color w:val="auto"/>
              </w:rPr>
            </w:pPr>
            <w:r>
              <w:rPr>
                <w:rFonts w:ascii="Arial" w:cs="Arial" w:eastAsia="Arial" w:hAnsi="Arial"/>
                <w:sz w:val="18"/>
                <w:szCs w:val="18"/>
                <w:color w:val="auto"/>
                <w:w w:val="79"/>
              </w:rPr>
              <w:t>ed</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to compute earnings per common share – diluted</w:t>
            </w:r>
          </w:p>
        </w:tc>
        <w:tc>
          <w:tcPr>
            <w:tcW w:w="66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371,849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372,003</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372,457</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371,857</w:t>
            </w:r>
          </w:p>
        </w:tc>
      </w:tr>
      <w:tr>
        <w:trPr>
          <w:trHeight w:val="488"/>
        </w:trPr>
        <w:tc>
          <w:tcPr>
            <w:tcW w:w="3980" w:type="dxa"/>
            <w:vAlign w:val="bottom"/>
            <w:gridSpan w:val="2"/>
          </w:tcPr>
          <w:p>
            <w:pPr>
              <w:spacing w:after="0"/>
              <w:rPr>
                <w:sz w:val="20"/>
                <w:szCs w:val="20"/>
                <w:color w:val="auto"/>
              </w:rPr>
            </w:pPr>
            <w:r>
              <w:rPr>
                <w:rFonts w:ascii="Arial" w:cs="Arial" w:eastAsia="Arial" w:hAnsi="Arial"/>
                <w:sz w:val="18"/>
                <w:szCs w:val="18"/>
                <w:color w:val="auto"/>
              </w:rPr>
              <w:t>nings per common share</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0.98</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arnings per common share</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-3243580</wp:posOffset>
            </wp:positionV>
            <wp:extent cx="6515100" cy="15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5100" cy="15113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-2950210</wp:posOffset>
            </wp:positionV>
            <wp:extent cx="6515100" cy="142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4224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-2086610</wp:posOffset>
            </wp:positionV>
            <wp:extent cx="6515100" cy="142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0" cy="14224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-1801495</wp:posOffset>
            </wp:positionV>
            <wp:extent cx="6515100" cy="142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0" cy="14224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-1214755</wp:posOffset>
            </wp:positionV>
            <wp:extent cx="6515100" cy="142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0" cy="14224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wp:posOffset>
            </wp:positionV>
            <wp:extent cx="6515100" cy="142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0" cy="14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64770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0"/>
          </w:cols>
          <w:pgMar w:left="220" w:top="993" w:right="1239" w:bottom="1440" w:gutter="0" w:footer="0" w:header="0"/>
        </w:sectPr>
      </w:pPr>
    </w:p>
    <w:bookmarkStart w:id="2" w:name="page3"/>
    <w:bookmarkEnd w:id="2"/>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86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August 1, 2020</w:t>
            </w: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August 1, 2020</w:t>
            </w:r>
          </w:p>
        </w:tc>
        <w:tc>
          <w:tcPr>
            <w:tcW w:w="0" w:type="dxa"/>
            <w:vAlign w:val="bottom"/>
          </w:tcPr>
          <w:p>
            <w:pPr>
              <w:spacing w:after="0"/>
              <w:rPr>
                <w:sz w:val="1"/>
                <w:szCs w:val="1"/>
                <w:color w:val="auto"/>
              </w:rPr>
            </w:pPr>
          </w:p>
        </w:tc>
      </w:tr>
      <w:tr>
        <w:trPr>
          <w:trHeight w:val="218"/>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362,665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1,314,735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0" w:type="dxa"/>
            <w:vAlign w:val="bottom"/>
          </w:tcPr>
          <w:p>
            <w:pPr>
              <w:spacing w:after="0"/>
              <w:rPr>
                <w:sz w:val="1"/>
                <w:szCs w:val="1"/>
                <w:color w:val="auto"/>
              </w:rPr>
            </w:pPr>
          </w:p>
        </w:tc>
      </w:tr>
      <w:tr>
        <w:trPr>
          <w:trHeight w:val="224"/>
        </w:trPr>
        <w:tc>
          <w:tcPr>
            <w:tcW w:w="498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73"/>
        </w:trPr>
        <w:tc>
          <w:tcPr>
            <w:tcW w:w="498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2"/>
              </w:rPr>
              <w:t>Change in fair value of derivative instruments designated as cash</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980" w:type="dxa"/>
            <w:vAlign w:val="bottom"/>
            <w:shd w:val="clear" w:color="auto" w:fill="CCEEFF"/>
          </w:tcPr>
          <w:p>
            <w:pPr>
              <w:ind w:left="140"/>
              <w:spacing w:after="0" w:line="172" w:lineRule="exact"/>
              <w:rPr>
                <w:sz w:val="20"/>
                <w:szCs w:val="20"/>
                <w:color w:val="auto"/>
              </w:rPr>
            </w:pPr>
            <w:r>
              <w:rPr>
                <w:rFonts w:ascii="Arial" w:cs="Arial" w:eastAsia="Arial" w:hAnsi="Arial"/>
                <w:sz w:val="18"/>
                <w:szCs w:val="18"/>
                <w:color w:val="auto"/>
                <w:w w:val="90"/>
              </w:rPr>
              <w:t>flow hedges (net of taxes of $10,657, $1,437, $6,452 and $26,503,</w:t>
            </w: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(40,040)</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0" w:type="dxa"/>
            <w:vAlign w:val="bottom"/>
          </w:tcPr>
          <w:p>
            <w:pPr>
              <w:spacing w:after="0"/>
              <w:rPr>
                <w:sz w:val="1"/>
                <w:szCs w:val="1"/>
                <w:color w:val="auto"/>
              </w:rPr>
            </w:pPr>
          </w:p>
        </w:tc>
      </w:tr>
      <w:tr>
        <w:trPr>
          <w:trHeight w:val="224"/>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980" w:type="dxa"/>
            <w:vAlign w:val="bottom"/>
          </w:tcPr>
          <w:p>
            <w:pPr>
              <w:ind w:left="140"/>
              <w:spacing w:after="0" w:line="172" w:lineRule="exact"/>
              <w:rPr>
                <w:sz w:val="20"/>
                <w:szCs w:val="20"/>
                <w:color w:val="auto"/>
              </w:rPr>
            </w:pPr>
            <w:r>
              <w:rPr>
                <w:rFonts w:ascii="Arial" w:cs="Arial" w:eastAsia="Arial" w:hAnsi="Arial"/>
                <w:sz w:val="18"/>
                <w:szCs w:val="18"/>
                <w:color w:val="auto"/>
                <w:w w:val="92"/>
              </w:rPr>
              <w:t>Changes in pension plans, net actuarial loss and foreign currency</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980" w:type="dxa"/>
            <w:vAlign w:val="bottom"/>
          </w:tcPr>
          <w:p>
            <w:pPr>
              <w:ind w:left="140"/>
              <w:spacing w:after="0" w:line="172" w:lineRule="exact"/>
              <w:rPr>
                <w:sz w:val="20"/>
                <w:szCs w:val="20"/>
                <w:color w:val="auto"/>
              </w:rPr>
            </w:pPr>
            <w:r>
              <w:rPr>
                <w:rFonts w:ascii="Arial" w:cs="Arial" w:eastAsia="Arial" w:hAnsi="Arial"/>
                <w:sz w:val="18"/>
                <w:szCs w:val="18"/>
                <w:color w:val="auto"/>
                <w:w w:val="91"/>
              </w:rPr>
              <w:t>translation adjustments (net of taxes of $85, $168, $257 and $485,</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(82,751)</w:t>
            </w:r>
          </w:p>
        </w:tc>
        <w:tc>
          <w:tcPr>
            <w:tcW w:w="0" w:type="dxa"/>
            <w:vAlign w:val="bottom"/>
          </w:tcPr>
          <w:p>
            <w:pPr>
              <w:spacing w:after="0"/>
              <w:rPr>
                <w:sz w:val="1"/>
                <w:szCs w:val="1"/>
                <w:color w:val="auto"/>
              </w:rPr>
            </w:pPr>
          </w:p>
        </w:tc>
      </w:tr>
      <w:tr>
        <w:trPr>
          <w:trHeight w:val="218"/>
        </w:trPr>
        <w:tc>
          <w:tcPr>
            <w:tcW w:w="49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461,283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366,738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1,339,253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751,484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2021</w:t>
            </w:r>
          </w:p>
        </w:tc>
        <w:tc>
          <w:tcPr>
            <w:tcW w:w="220" w:type="dxa"/>
            <w:vAlign w:val="bottom"/>
          </w:tcPr>
          <w:p>
            <w:pPr>
              <w:spacing w:after="0"/>
              <w:rPr>
                <w:sz w:val="16"/>
                <w:szCs w:val="16"/>
                <w:color w:val="auto"/>
              </w:rPr>
            </w:pPr>
          </w:p>
        </w:tc>
        <w:tc>
          <w:tcPr>
            <w:tcW w:w="1520" w:type="dxa"/>
            <w:vAlign w:val="bottom"/>
          </w:tcPr>
          <w:p>
            <w:pPr>
              <w:jc w:val="right"/>
              <w:ind w:right="281"/>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1,480,701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1,055,860</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823,163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737,536</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608,260</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116,032</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3,090,455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2,517,688</w:t>
            </w:r>
          </w:p>
        </w:tc>
        <w:tc>
          <w:tcPr>
            <w:tcW w:w="0" w:type="dxa"/>
            <w:vAlign w:val="bottom"/>
          </w:tcPr>
          <w:p>
            <w:pPr>
              <w:spacing w:after="0"/>
              <w:rPr>
                <w:sz w:val="1"/>
                <w:szCs w:val="1"/>
                <w:color w:val="auto"/>
              </w:rPr>
            </w:pPr>
          </w:p>
        </w:tc>
      </w:tr>
      <w:tr>
        <w:trPr>
          <w:trHeight w:val="18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and buildings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954,125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974,604</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2,825,698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2,667,846</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equipment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85,291</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Leasehold improvements</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160,983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157,915</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4,030,205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3,885,656</w:t>
            </w:r>
          </w:p>
        </w:tc>
        <w:tc>
          <w:tcPr>
            <w:tcW w:w="0" w:type="dxa"/>
            <w:vAlign w:val="bottom"/>
          </w:tcPr>
          <w:p>
            <w:pPr>
              <w:spacing w:after="0"/>
              <w:rPr>
                <w:sz w:val="1"/>
                <w:szCs w:val="1"/>
                <w:color w:val="auto"/>
              </w:rPr>
            </w:pPr>
          </w:p>
        </w:tc>
      </w:tr>
      <w:tr>
        <w:trPr>
          <w:trHeight w:val="208"/>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2,856,531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2,765,095</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1,173,674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1,120,561</w:t>
            </w:r>
          </w:p>
        </w:tc>
        <w:tc>
          <w:tcPr>
            <w:tcW w:w="0" w:type="dxa"/>
            <w:vAlign w:val="bottom"/>
          </w:tcPr>
          <w:p>
            <w:pPr>
              <w:spacing w:after="0"/>
              <w:rPr>
                <w:sz w:val="1"/>
                <w:szCs w:val="1"/>
                <w:color w:val="auto"/>
              </w:rPr>
            </w:pPr>
          </w:p>
        </w:tc>
      </w:tr>
      <w:tr>
        <w:trPr>
          <w:trHeight w:val="18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86,729</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12,278,898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12,278,425</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3,248,802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3,650,280</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1,425,293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1,503,064</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318,506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311,856</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17,377,061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17,830,354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21,641,190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265,933</w:t>
            </w:r>
          </w:p>
        </w:tc>
        <w:tc>
          <w:tcPr>
            <w:tcW w:w="12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227,273</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233,055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Debt, current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1,324,677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969,677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955,633</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2,793,342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1,364,986</w:t>
            </w:r>
          </w:p>
        </w:tc>
        <w:tc>
          <w:tcPr>
            <w:tcW w:w="0" w:type="dxa"/>
            <w:vAlign w:val="bottom"/>
          </w:tcPr>
          <w:p>
            <w:pPr>
              <w:spacing w:after="0"/>
              <w:rPr>
                <w:sz w:val="1"/>
                <w:szCs w:val="1"/>
                <w:color w:val="auto"/>
              </w:rPr>
            </w:pPr>
          </w:p>
        </w:tc>
      </w:tr>
      <w:tr>
        <w:trPr>
          <w:trHeight w:val="19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3,824,819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5,145,102</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1,776,308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1,919,595</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529,057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591,780</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453,701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449,195</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6,583,885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8,105,672</w:t>
            </w:r>
          </w:p>
        </w:tc>
        <w:tc>
          <w:tcPr>
            <w:tcW w:w="0" w:type="dxa"/>
            <w:vAlign w:val="bottom"/>
          </w:tcPr>
          <w:p>
            <w:pPr>
              <w:spacing w:after="0"/>
              <w:rPr>
                <w:sz w:val="1"/>
                <w:szCs w:val="1"/>
                <w:color w:val="auto"/>
              </w:rPr>
            </w:pPr>
          </w:p>
        </w:tc>
      </w:tr>
      <w:tr>
        <w:trPr>
          <w:trHeight w:val="208"/>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1" w:lineRule="exact"/>
              <w:rPr>
                <w:sz w:val="20"/>
                <w:szCs w:val="20"/>
                <w:color w:val="auto"/>
              </w:rPr>
            </w:pPr>
            <w:r>
              <w:rPr>
                <w:rFonts w:ascii="Arial" w:cs="Arial" w:eastAsia="Arial" w:hAnsi="Arial"/>
                <w:sz w:val="16"/>
                <w:szCs w:val="16"/>
                <w:color w:val="auto"/>
                <w:w w:val="90"/>
              </w:rPr>
              <w:t>Common stock, 0.16 2/3 par value, 1,200,000,000 shares authorized, 368,214,341 shares outstanding (369,484,899</w:t>
            </w:r>
          </w:p>
        </w:tc>
        <w:tc>
          <w:tcPr>
            <w:tcW w:w="2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61,370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61,582</w:t>
            </w:r>
          </w:p>
        </w:tc>
        <w:tc>
          <w:tcPr>
            <w:tcW w:w="0" w:type="dxa"/>
            <w:vAlign w:val="bottom"/>
          </w:tcPr>
          <w:p>
            <w:pPr>
              <w:spacing w:after="0"/>
              <w:rPr>
                <w:sz w:val="1"/>
                <w:szCs w:val="1"/>
                <w:color w:val="auto"/>
              </w:rPr>
            </w:pPr>
          </w:p>
        </w:tc>
      </w:tr>
      <w:tr>
        <w:trPr>
          <w:trHeight w:val="205"/>
        </w:trPr>
        <w:tc>
          <w:tcPr>
            <w:tcW w:w="7600" w:type="dxa"/>
            <w:vAlign w:val="bottom"/>
          </w:tcPr>
          <w:p>
            <w:pPr>
              <w:ind w:left="140"/>
              <w:spacing w:after="0"/>
              <w:rPr>
                <w:sz w:val="20"/>
                <w:szCs w:val="20"/>
                <w:color w:val="auto"/>
              </w:rPr>
            </w:pPr>
            <w:r>
              <w:rPr>
                <w:rFonts w:ascii="Arial" w:cs="Arial" w:eastAsia="Arial" w:hAnsi="Arial"/>
                <w:sz w:val="16"/>
                <w:szCs w:val="16"/>
                <w:color w:val="auto"/>
              </w:rPr>
              <w:t>on October 31, 2020)</w:t>
            </w:r>
          </w:p>
        </w:tc>
        <w:tc>
          <w:tcPr>
            <w:tcW w:w="2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 excess of par value</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4,614,677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4,949,586</w:t>
            </w:r>
          </w:p>
        </w:tc>
        <w:tc>
          <w:tcPr>
            <w:tcW w:w="0" w:type="dxa"/>
            <w:vAlign w:val="bottom"/>
          </w:tcPr>
          <w:p>
            <w:pPr>
              <w:spacing w:after="0"/>
              <w:rPr>
                <w:sz w:val="1"/>
                <w:szCs w:val="1"/>
                <w:color w:val="auto"/>
              </w:rPr>
            </w:pPr>
          </w:p>
        </w:tc>
      </w:tr>
      <w:tr>
        <w:trPr>
          <w:trHeight w:val="208"/>
        </w:trPr>
        <w:tc>
          <w:tcPr>
            <w:tcW w:w="76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7,812,859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7,236,238</w:t>
            </w:r>
          </w:p>
        </w:tc>
        <w:tc>
          <w:tcPr>
            <w:tcW w:w="0" w:type="dxa"/>
            <w:vAlign w:val="bottom"/>
          </w:tcPr>
          <w:p>
            <w:pPr>
              <w:spacing w:after="0"/>
              <w:rPr>
                <w:sz w:val="1"/>
                <w:szCs w:val="1"/>
                <w:color w:val="auto"/>
              </w:rPr>
            </w:pPr>
          </w:p>
        </w:tc>
      </w:tr>
      <w:tr>
        <w:trPr>
          <w:trHeight w:val="215"/>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(224,943)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(249,461)</w:t>
            </w:r>
          </w:p>
        </w:tc>
        <w:tc>
          <w:tcPr>
            <w:tcW w:w="0" w:type="dxa"/>
            <w:vAlign w:val="bottom"/>
          </w:tcPr>
          <w:p>
            <w:pPr>
              <w:spacing w:after="0"/>
              <w:rPr>
                <w:sz w:val="1"/>
                <w:szCs w:val="1"/>
                <w:color w:val="auto"/>
              </w:rPr>
            </w:pPr>
          </w:p>
        </w:tc>
      </w:tr>
      <w:tr>
        <w:trPr>
          <w:trHeight w:val="201"/>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12,263,963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11,997,945</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21,641,190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 July 31,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2"/>
              <w:spacing w:after="0" w:line="131"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18"/>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MAY 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368,827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4,724,493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7,564,054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(182,915)</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$0.69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(42,028)</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0"/>
              </w:rPr>
              <w:t>(163,113)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 JULY 31,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4,614,677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7,812,859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6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Nine Months Ended July 31, 2021</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2"/>
              <w:spacing w:after="0" w:line="131"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18"/>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369,485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61,582</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4,949,586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7,236,238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$2.00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9"/>
              <w:spacing w:after="0"/>
              <w:rPr>
                <w:sz w:val="20"/>
                <w:szCs w:val="20"/>
                <w:color w:val="auto"/>
              </w:rPr>
            </w:pPr>
            <w:r>
              <w:rPr>
                <w:rFonts w:ascii="Arial" w:cs="Arial" w:eastAsia="Arial" w:hAnsi="Arial"/>
                <w:sz w:val="18"/>
                <w:szCs w:val="18"/>
                <w:color w:val="auto"/>
                <w:w w:val="90"/>
              </w:rPr>
              <w:t>(508,600)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BALANCE, JULY 31,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4,614,677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7,812,859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993"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 August 1,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1"/>
              <w:spacing w:after="0" w:line="131"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MAY 2,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368,425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4,861,013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6,945,442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(277,002)</w:t>
            </w: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362,665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 $0.62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8"/>
                <w:szCs w:val="18"/>
                <w:b w:val="1"/>
                <w:bCs w:val="1"/>
                <w:color w:val="auto"/>
              </w:rPr>
              <w:t>BALANCE, AUGUST 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4,909,651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7,079,309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(272,929)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Nine Months Ended August 1, 2020</w:t>
            </w: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4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Capital in</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center"/>
              <w:ind w:right="101"/>
              <w:spacing w:after="0" w:line="131"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75"/>
        </w:trPr>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7"/>
        </w:trPr>
        <w:tc>
          <w:tcPr>
            <w:tcW w:w="484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Excess of</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Par Value</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40" w:type="dxa"/>
            <w:vAlign w:val="bottom"/>
          </w:tcPr>
          <w:p>
            <w:pPr>
              <w:jc w:val="center"/>
              <w:ind w:right="101"/>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18"/>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NOVEMBER 2,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6,899,253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(187,799)</w:t>
            </w: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Effect of Accounting Standards Update 2018-02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Dividends declared and paid - $1.78 per share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(656,558)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as charitable contribution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Issuance of stock under stock plans and other</w:t>
            </w:r>
          </w:p>
        </w:tc>
        <w:tc>
          <w:tcPr>
            <w:tcW w:w="106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(82,751)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tcPr>
          <w:p>
            <w:pPr>
              <w:spacing w:after="0"/>
              <w:rPr>
                <w:sz w:val="20"/>
                <w:szCs w:val="20"/>
                <w:color w:val="auto"/>
              </w:rPr>
            </w:pPr>
            <w:r>
              <w:rPr>
                <w:rFonts w:ascii="Arial" w:cs="Arial" w:eastAsia="Arial" w:hAnsi="Arial"/>
                <w:sz w:val="18"/>
                <w:szCs w:val="18"/>
                <w:b w:val="1"/>
                <w:bCs w:val="1"/>
                <w:color w:val="auto"/>
              </w:rPr>
              <w:t>BALANCE, AUGUST 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4,909,651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7,079,309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(272,929)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59"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41"/>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Pr>
          <w:p>
            <w:pPr>
              <w:spacing w:after="0"/>
              <w:rPr>
                <w:sz w:val="15"/>
                <w:szCs w:val="15"/>
                <w:color w:val="auto"/>
              </w:rPr>
            </w:pPr>
          </w:p>
        </w:tc>
        <w:tc>
          <w:tcPr>
            <w:tcW w:w="1500" w:type="dxa"/>
            <w:vAlign w:val="bottom"/>
          </w:tcPr>
          <w:p>
            <w:pPr>
              <w:jc w:val="right"/>
              <w:ind w:right="361"/>
              <w:spacing w:after="0"/>
              <w:rPr>
                <w:sz w:val="20"/>
                <w:szCs w:val="20"/>
                <w:color w:val="auto"/>
              </w:rPr>
            </w:pPr>
            <w:r>
              <w:rPr>
                <w:rFonts w:ascii="Arial" w:cs="Arial" w:eastAsia="Arial" w:hAnsi="Arial"/>
                <w:sz w:val="14"/>
                <w:szCs w:val="14"/>
                <w:b w:val="1"/>
                <w:bCs w:val="1"/>
                <w:color w:val="auto"/>
              </w:rPr>
              <w:t>August 1, 2020</w:t>
            </w:r>
          </w:p>
        </w:tc>
      </w:tr>
      <w:tr>
        <w:trPr>
          <w:trHeight w:val="19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1,314,735</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834,235</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8"/>
        </w:trPr>
        <w:tc>
          <w:tcPr>
            <w:tcW w:w="760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158,937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176,722</w:t>
            </w:r>
          </w:p>
        </w:tc>
      </w:tr>
      <w:tr>
        <w:trPr>
          <w:trHeight w:val="215"/>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436,734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431,985</w:t>
            </w:r>
          </w:p>
        </w:tc>
      </w:tr>
      <w:tr>
        <w:trPr>
          <w:trHeight w:val="208"/>
        </w:trPr>
        <w:tc>
          <w:tcPr>
            <w:tcW w:w="7600" w:type="dxa"/>
            <w:vAlign w:val="bottom"/>
          </w:tcPr>
          <w:p>
            <w:pPr>
              <w:ind w:left="66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118,683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112,961</w:t>
            </w:r>
          </w:p>
        </w:tc>
      </w:tr>
      <w:tr>
        <w:trPr>
          <w:trHeight w:val="215"/>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sale of property, plant and equipment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0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(72,578)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(42,802)</w:t>
            </w:r>
          </w:p>
        </w:tc>
      </w:tr>
      <w:tr>
        <w:trPr>
          <w:trHeight w:val="215"/>
        </w:trPr>
        <w:tc>
          <w:tcPr>
            <w:tcW w:w="76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Non-cash contribution to charitable foundation</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r>
      <w:tr>
        <w:trPr>
          <w:trHeight w:val="208"/>
        </w:trPr>
        <w:tc>
          <w:tcPr>
            <w:tcW w:w="7600" w:type="dxa"/>
            <w:vAlign w:val="bottom"/>
          </w:tcPr>
          <w:p>
            <w:pPr>
              <w:ind w:left="6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(14,965)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5,675</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(222,887)</w:t>
            </w:r>
          </w:p>
        </w:tc>
      </w:tr>
      <w:tr>
        <w:trPr>
          <w:trHeight w:val="201"/>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479,610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501,654</w:t>
            </w:r>
          </w:p>
        </w:tc>
      </w:tr>
      <w:tr>
        <w:trPr>
          <w:trHeight w:val="208"/>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1,794,345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1,335,889</w:t>
            </w:r>
          </w:p>
        </w:tc>
      </w:tr>
      <w:tr>
        <w:trPr>
          <w:trHeight w:val="188"/>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other investments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(212,899)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(135,804)</w:t>
            </w:r>
          </w:p>
        </w:tc>
      </w:tr>
      <w:tr>
        <w:trPr>
          <w:trHeight w:val="228"/>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property, plant and equipment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Payments for acquisitions, net of cash acquired</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(24,950)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(12,763)</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01"/>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(149,781)</w:t>
            </w:r>
          </w:p>
        </w:tc>
      </w:tr>
      <w:tr>
        <w:trPr>
          <w:trHeight w:val="195"/>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debt</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395,646</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revolver</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Payments on revolver</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(350,000)</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repayments</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(738,114)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(656,558)</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(237,265)</w:t>
            </w:r>
          </w:p>
        </w:tc>
      </w:tr>
      <w:tr>
        <w:trPr>
          <w:trHeight w:val="208"/>
        </w:trPr>
        <w:tc>
          <w:tcPr>
            <w:tcW w:w="7600" w:type="dxa"/>
            <w:vAlign w:val="bottom"/>
          </w:tcPr>
          <w:p>
            <w:pPr>
              <w:ind w:left="34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55,348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57,750</w:t>
            </w:r>
          </w:p>
        </w:tc>
      </w:tr>
      <w:tr>
        <w:trPr>
          <w:trHeight w:val="215"/>
        </w:trPr>
        <w:tc>
          <w:tcPr>
            <w:tcW w:w="7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other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r>
      <w:tr>
        <w:trPr>
          <w:trHeight w:val="201"/>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(744,442)</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01"/>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424,841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441,942</w:t>
            </w:r>
          </w:p>
        </w:tc>
      </w:tr>
      <w:tr>
        <w:trPr>
          <w:trHeight w:val="208"/>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1,055,860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648,322</w:t>
            </w:r>
          </w:p>
        </w:tc>
      </w:tr>
      <w:tr>
        <w:trPr>
          <w:trHeight w:val="201"/>
        </w:trPr>
        <w:tc>
          <w:tcPr>
            <w:tcW w:w="76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1,480,701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1,090,264</w:t>
            </w:r>
          </w:p>
        </w:tc>
      </w:tr>
      <w:tr>
        <w:trPr>
          <w:trHeight w:val="23"/>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JULY 31, 2021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69" w:lineRule="exact"/>
        <w:rPr>
          <w:sz w:val="20"/>
          <w:szCs w:val="20"/>
          <w:color w:val="auto"/>
        </w:rPr>
      </w:pPr>
    </w:p>
    <w:p>
      <w:pPr>
        <w:ind w:right="60" w:firstLine="436"/>
        <w:spacing w:after="0" w:line="249"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31, 2020 (fiscal 2020) and related notes. The results of operations for the interim periods shown in this report are not necessarily indicative of the results that may be expected for the fiscal year ending October 30, 2021 (fiscal 2021) or any future period.</w:t>
      </w:r>
    </w:p>
    <w:p>
      <w:pPr>
        <w:spacing w:after="0" w:line="141" w:lineRule="exact"/>
        <w:rPr>
          <w:sz w:val="20"/>
          <w:szCs w:val="20"/>
          <w:color w:val="auto"/>
        </w:rPr>
      </w:pPr>
    </w:p>
    <w:p>
      <w:pPr>
        <w:ind w:right="340" w:firstLine="436"/>
        <w:spacing w:after="0" w:line="263"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2021 presentation.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63" w:lineRule="exact"/>
        <w:rPr>
          <w:sz w:val="20"/>
          <w:szCs w:val="20"/>
          <w:color w:val="auto"/>
        </w:rPr>
      </w:pPr>
    </w:p>
    <w:p>
      <w:pPr>
        <w:ind w:right="300" w:firstLine="436"/>
        <w:spacing w:after="0" w:line="364" w:lineRule="auto"/>
        <w:rPr>
          <w:sz w:val="20"/>
          <w:szCs w:val="20"/>
          <w:color w:val="auto"/>
        </w:rPr>
      </w:pPr>
      <w:r>
        <w:rPr>
          <w:rFonts w:ascii="Arial" w:cs="Arial" w:eastAsia="Arial" w:hAnsi="Arial"/>
          <w:sz w:val="15"/>
          <w:szCs w:val="15"/>
          <w:color w:val="auto"/>
        </w:rPr>
        <w:t xml:space="preserve">On July 12, 2020, the Company entered into a definitive agreement (the Merger Agreement) to acquire Maxim Integrated Products, Inc. (Maxim), an independent manufacturer of innovative analog and mixed-signal products and technologies. See Note 14, </w:t>
      </w:r>
      <w:r>
        <w:rPr>
          <w:rFonts w:ascii="Arial" w:cs="Arial" w:eastAsia="Arial" w:hAnsi="Arial"/>
          <w:sz w:val="15"/>
          <w:szCs w:val="15"/>
          <w:i w:val="1"/>
          <w:iCs w:val="1"/>
          <w:color w:val="auto"/>
        </w:rPr>
        <w:t>Acquisitions</w:t>
      </w:r>
      <w:r>
        <w:rPr>
          <w:rFonts w:ascii="Arial" w:cs="Arial" w:eastAsia="Arial" w:hAnsi="Arial"/>
          <w:sz w:val="15"/>
          <w:szCs w:val="15"/>
          <w:color w:val="auto"/>
        </w:rPr>
        <w:t>, for additional information.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 and Shareholders' Equity</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summary of the Company’s stock option activity as of July 31, 2021 and changes during the nine-month period then ended is presented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left="243"/>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left="263"/>
              <w:spacing w:after="0" w:line="159" w:lineRule="exact"/>
              <w:rPr>
                <w:sz w:val="20"/>
                <w:szCs w:val="20"/>
                <w:color w:val="auto"/>
              </w:rPr>
            </w:pPr>
            <w:r>
              <w:rPr>
                <w:rFonts w:ascii="Arial" w:cs="Arial" w:eastAsia="Arial" w:hAnsi="Arial"/>
                <w:sz w:val="14"/>
                <w:szCs w:val="14"/>
                <w:b w:val="1"/>
                <w:bCs w:val="1"/>
                <w:color w:val="auto"/>
                <w:w w:val="86"/>
              </w:rPr>
              <w:t>Average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300" w:type="dxa"/>
            <w:vAlign w:val="bottom"/>
          </w:tcPr>
          <w:p>
            <w:pPr>
              <w:spacing w:after="0"/>
              <w:rPr>
                <w:sz w:val="13"/>
                <w:szCs w:val="13"/>
                <w:color w:val="auto"/>
              </w:rPr>
            </w:pPr>
          </w:p>
        </w:tc>
        <w:tc>
          <w:tcPr>
            <w:tcW w:w="1340" w:type="dxa"/>
            <w:vAlign w:val="bottom"/>
          </w:tcPr>
          <w:p>
            <w:pPr>
              <w:jc w:val="center"/>
              <w:ind w:left="337"/>
              <w:spacing w:after="0" w:line="15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3"/>
                <w:szCs w:val="13"/>
                <w:color w:val="auto"/>
              </w:rPr>
            </w:pPr>
          </w:p>
        </w:tc>
        <w:tc>
          <w:tcPr>
            <w:tcW w:w="1620" w:type="dxa"/>
            <w:vAlign w:val="bottom"/>
            <w:gridSpan w:val="2"/>
          </w:tcPr>
          <w:p>
            <w:pPr>
              <w:jc w:val="center"/>
              <w:ind w:left="250"/>
              <w:spacing w:after="0" w:line="159" w:lineRule="exact"/>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left="243"/>
              <w:spacing w:after="0" w:line="15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restart"/>
          </w:tcPr>
          <w:p>
            <w:pPr>
              <w:jc w:val="center"/>
              <w:ind w:left="3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40"/>
        </w:trPr>
        <w:tc>
          <w:tcPr>
            <w:tcW w:w="5300" w:type="dxa"/>
            <w:vAlign w:val="bottom"/>
          </w:tcPr>
          <w:p>
            <w:pPr>
              <w:spacing w:after="0"/>
              <w:rPr>
                <w:sz w:val="3"/>
                <w:szCs w:val="3"/>
                <w:color w:val="auto"/>
              </w:rPr>
            </w:pPr>
          </w:p>
        </w:tc>
        <w:tc>
          <w:tcPr>
            <w:tcW w:w="1340" w:type="dxa"/>
            <w:vAlign w:val="bottom"/>
            <w:vMerge w:val="restart"/>
          </w:tcPr>
          <w:p>
            <w:pPr>
              <w:jc w:val="center"/>
              <w:ind w:left="337"/>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3"/>
                <w:szCs w:val="3"/>
                <w:color w:val="auto"/>
              </w:rPr>
            </w:pPr>
          </w:p>
        </w:tc>
        <w:tc>
          <w:tcPr>
            <w:tcW w:w="1620" w:type="dxa"/>
            <w:vAlign w:val="bottom"/>
            <w:gridSpan w:val="2"/>
            <w:vMerge w:val="restart"/>
          </w:tcPr>
          <w:p>
            <w:pPr>
              <w:jc w:val="center"/>
              <w:ind w:left="250"/>
              <w:spacing w:after="0"/>
              <w:rPr>
                <w:sz w:val="20"/>
                <w:szCs w:val="20"/>
                <w:color w:val="auto"/>
              </w:rPr>
            </w:pPr>
            <w:r>
              <w:rPr>
                <w:rFonts w:ascii="Arial" w:cs="Arial" w:eastAsia="Arial" w:hAnsi="Arial"/>
                <w:sz w:val="14"/>
                <w:szCs w:val="14"/>
                <w:b w:val="1"/>
                <w:bCs w:val="1"/>
                <w:color w:val="auto"/>
                <w:w w:val="87"/>
              </w:rPr>
              <w:t>Average Exercise</w:t>
            </w:r>
          </w:p>
        </w:tc>
        <w:tc>
          <w:tcPr>
            <w:tcW w:w="1420" w:type="dxa"/>
            <w:vAlign w:val="bottom"/>
            <w:gridSpan w:val="2"/>
            <w:vMerge w:val="restart"/>
          </w:tcPr>
          <w:p>
            <w:pPr>
              <w:jc w:val="center"/>
              <w:ind w:left="263"/>
              <w:spacing w:after="0"/>
              <w:rPr>
                <w:sz w:val="20"/>
                <w:szCs w:val="20"/>
                <w:color w:val="auto"/>
              </w:rPr>
            </w:pPr>
            <w:r>
              <w:rPr>
                <w:rFonts w:ascii="Arial" w:cs="Arial" w:eastAsia="Arial" w:hAnsi="Arial"/>
                <w:sz w:val="14"/>
                <w:szCs w:val="14"/>
                <w:b w:val="1"/>
                <w:bCs w:val="1"/>
                <w:color w:val="auto"/>
                <w:w w:val="92"/>
              </w:rPr>
              <w:t>Contractual</w:t>
            </w:r>
          </w:p>
        </w:tc>
        <w:tc>
          <w:tcPr>
            <w:tcW w:w="1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53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60" w:type="dxa"/>
            <w:vAlign w:val="bottom"/>
          </w:tcPr>
          <w:p>
            <w:pPr>
              <w:jc w:val="center"/>
              <w:ind w:left="381"/>
              <w:spacing w:after="0" w:line="141"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ind w:left="370"/>
              <w:spacing w:after="0"/>
              <w:rPr>
                <w:sz w:val="20"/>
                <w:szCs w:val="20"/>
                <w:color w:val="auto"/>
              </w:rPr>
            </w:pPr>
            <w:r>
              <w:rPr>
                <w:rFonts w:ascii="Arial" w:cs="Arial" w:eastAsia="Arial" w:hAnsi="Arial"/>
                <w:sz w:val="14"/>
                <w:szCs w:val="14"/>
                <w:b w:val="1"/>
                <w:bCs w:val="1"/>
                <w:color w:val="auto"/>
                <w:w w:val="90"/>
              </w:rPr>
              <w:t>Price Per Share</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63"/>
              <w:spacing w:after="0"/>
              <w:rPr>
                <w:sz w:val="20"/>
                <w:szCs w:val="20"/>
                <w:color w:val="auto"/>
              </w:rPr>
            </w:pPr>
            <w:r>
              <w:rPr>
                <w:rFonts w:ascii="Arial" w:cs="Arial" w:eastAsia="Arial" w:hAnsi="Arial"/>
                <w:sz w:val="14"/>
                <w:szCs w:val="14"/>
                <w:b w:val="1"/>
                <w:bCs w:val="1"/>
                <w:color w:val="auto"/>
                <w:w w:val="90"/>
              </w:rPr>
              <w:t>Term in Years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8"/>
        </w:trPr>
        <w:tc>
          <w:tcPr>
            <w:tcW w:w="53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Options outstanding at October 31, 2020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tcPr>
          <w:p>
            <w:pPr>
              <w:ind w:left="78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644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$145.04</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tcPr>
          <w:p>
            <w:pPr>
              <w:ind w:left="78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$87.18</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Options 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00" w:type="dxa"/>
            <w:vAlign w:val="bottom"/>
          </w:tcPr>
          <w:p>
            <w:pPr>
              <w:ind w:left="460"/>
              <w:spacing w:after="0"/>
              <w:rPr>
                <w:sz w:val="20"/>
                <w:szCs w:val="20"/>
                <w:color w:val="auto"/>
              </w:rPr>
            </w:pPr>
            <w:r>
              <w:rPr>
                <w:rFonts w:ascii="Arial" w:cs="Arial" w:eastAsia="Arial" w:hAnsi="Arial"/>
                <w:sz w:val="18"/>
                <w:szCs w:val="18"/>
                <w:b w:val="1"/>
                <w:bCs w:val="1"/>
                <w:color w:val="auto"/>
              </w:rPr>
              <w:t>Options outstanding at July 31,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$84.53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Options exercisable at July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$254,262</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b w:val="1"/>
                <w:bCs w:val="1"/>
                <w:color w:val="auto"/>
              </w:rPr>
              <w:t>Options vested or expected to vest at July 31, 2021 (1)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3,816</w:t>
            </w:r>
          </w:p>
        </w:tc>
        <w:tc>
          <w:tcPr>
            <w:tcW w:w="160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$83.41</w:t>
            </w:r>
          </w:p>
        </w:tc>
        <w:tc>
          <w:tcPr>
            <w:tcW w:w="120" w:type="dxa"/>
            <w:vAlign w:val="bottom"/>
          </w:tcPr>
          <w:p>
            <w:pPr>
              <w:spacing w:after="0"/>
              <w:rPr>
                <w:sz w:val="17"/>
                <w:szCs w:val="17"/>
                <w:color w:val="auto"/>
              </w:rPr>
            </w:pPr>
          </w:p>
        </w:tc>
        <w:tc>
          <w:tcPr>
            <w:tcW w:w="1320" w:type="dxa"/>
            <w:vAlign w:val="bottom"/>
          </w:tcPr>
          <w:p>
            <w:pPr>
              <w:jc w:val="right"/>
              <w:spacing w:after="0" w:line="197"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1460" w:type="dxa"/>
            <w:vAlign w:val="bottom"/>
          </w:tcPr>
          <w:p>
            <w:pPr>
              <w:jc w:val="right"/>
              <w:spacing w:after="0" w:line="197" w:lineRule="exact"/>
              <w:rPr>
                <w:sz w:val="20"/>
                <w:szCs w:val="20"/>
                <w:color w:val="auto"/>
              </w:rPr>
            </w:pPr>
            <w:r>
              <w:rPr>
                <w:rFonts w:ascii="Arial" w:cs="Arial" w:eastAsia="Arial" w:hAnsi="Arial"/>
                <w:sz w:val="18"/>
                <w:szCs w:val="18"/>
                <w:color w:val="auto"/>
              </w:rPr>
              <w:t>$320,532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40" w:right="240" w:hanging="317"/>
        <w:spacing w:after="0" w:line="263" w:lineRule="auto"/>
        <w:tabs>
          <w:tab w:leader="none" w:pos="679"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27" w:lineRule="exact"/>
        <w:rPr>
          <w:sz w:val="20"/>
          <w:szCs w:val="20"/>
          <w:color w:val="auto"/>
        </w:rPr>
      </w:pPr>
    </w:p>
    <w:p>
      <w:pPr>
        <w:ind w:firstLine="396"/>
        <w:spacing w:after="0" w:line="263" w:lineRule="auto"/>
        <w:rPr>
          <w:sz w:val="20"/>
          <w:szCs w:val="20"/>
          <w:color w:val="auto"/>
        </w:rPr>
      </w:pPr>
      <w:r>
        <w:rPr>
          <w:rFonts w:ascii="Arial" w:cs="Arial" w:eastAsia="Arial" w:hAnsi="Arial"/>
          <w:sz w:val="17"/>
          <w:szCs w:val="17"/>
          <w:color w:val="auto"/>
        </w:rPr>
        <w:t>In the first quarter of fiscal 2021, the Company issued a special performance stock option award to the Company's chief executive officer. The performance stock option award is exercisable for up to 460,000 shares of the Company's common stock (the Target Number of Shares) at an exercise price per share of $144.06, which was the closing price of the Company's common stock on the date of grant, and vests subject to the satisfaction of certain target stock price thresholds during a five-year period, measured on the basis of the average of the closing prices of the Company's common stock over 70 consecutive trading days. The actual number of shares that will become exercisable will range from 0% to a maximum of 100% of the Target Number of Shares based on the attainment of such target stock price thresholds at any time during a five-year period from December 15, 2020 to December 15, 2025. The grant date fair value of the award was calculated using the Monte Carlo simulation model which utilizes multiple input variables that determine the probability of satisfying the performance conditions stipulated in the award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8" w:name="page9"/>
    <w:bookmarkEnd w:id="8"/>
    <w:p>
      <w:pPr>
        <w:ind w:right="340" w:firstLine="396"/>
        <w:spacing w:after="0" w:line="364" w:lineRule="auto"/>
        <w:rPr>
          <w:sz w:val="20"/>
          <w:szCs w:val="20"/>
          <w:color w:val="auto"/>
        </w:rPr>
      </w:pPr>
      <w:r>
        <w:rPr>
          <w:rFonts w:ascii="Arial" w:cs="Arial" w:eastAsia="Arial" w:hAnsi="Arial"/>
          <w:sz w:val="15"/>
          <w:szCs w:val="15"/>
          <w:color w:val="auto"/>
        </w:rPr>
        <w:t>During the nine-month periods ended July 31, 2021 and August 1, 2020, the total intrinsic value of options exercised (i.e., the difference between the market price at exercise and the price paid by the employee to exercise the options) was $79.1 million and $61.7 million, respectively.</w:t>
      </w:r>
    </w:p>
    <w:p>
      <w:pPr>
        <w:spacing w:after="0" w:line="58" w:lineRule="exact"/>
        <w:rPr>
          <w:sz w:val="20"/>
          <w:szCs w:val="20"/>
          <w:color w:val="auto"/>
        </w:rPr>
      </w:pPr>
    </w:p>
    <w:p>
      <w:pPr>
        <w:ind w:right="140" w:firstLine="396"/>
        <w:spacing w:after="0" w:line="263" w:lineRule="auto"/>
        <w:rPr>
          <w:sz w:val="20"/>
          <w:szCs w:val="20"/>
          <w:color w:val="auto"/>
        </w:rPr>
      </w:pPr>
      <w:r>
        <w:rPr>
          <w:rFonts w:ascii="Arial" w:cs="Arial" w:eastAsia="Arial" w:hAnsi="Arial"/>
          <w:sz w:val="18"/>
          <w:szCs w:val="18"/>
          <w:color w:val="auto"/>
        </w:rPr>
        <w:t>A summary of the Company’s restricted stock unit/award activity as of July 31, 2021 and changes during the nine-month period then ended is presented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tcPr>
          <w:p>
            <w:pPr>
              <w:jc w:val="center"/>
              <w:ind w:left="321"/>
              <w:spacing w:after="0"/>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8"/>
        </w:trPr>
        <w:tc>
          <w:tcPr>
            <w:tcW w:w="8260" w:type="dxa"/>
            <w:vAlign w:val="bottom"/>
          </w:tcPr>
          <w:p>
            <w:pPr>
              <w:spacing w:after="0"/>
              <w:rPr>
                <w:sz w:val="13"/>
                <w:szCs w:val="13"/>
                <w:color w:val="auto"/>
              </w:rPr>
            </w:pPr>
          </w:p>
        </w:tc>
        <w:tc>
          <w:tcPr>
            <w:tcW w:w="1420" w:type="dxa"/>
            <w:vAlign w:val="bottom"/>
          </w:tcPr>
          <w:p>
            <w:pPr>
              <w:jc w:val="center"/>
              <w:ind w:left="321"/>
              <w:spacing w:after="0" w:line="15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3"/>
                <w:szCs w:val="13"/>
                <w:color w:val="auto"/>
              </w:rPr>
            </w:pPr>
          </w:p>
        </w:tc>
        <w:tc>
          <w:tcPr>
            <w:tcW w:w="1440" w:type="dxa"/>
            <w:vAlign w:val="bottom"/>
          </w:tcPr>
          <w:p>
            <w:pPr>
              <w:jc w:val="center"/>
              <w:ind w:left="330"/>
              <w:spacing w:after="0" w:line="159" w:lineRule="exact"/>
              <w:rPr>
                <w:sz w:val="20"/>
                <w:szCs w:val="20"/>
                <w:color w:val="auto"/>
              </w:rPr>
            </w:pPr>
            <w:r>
              <w:rPr>
                <w:rFonts w:ascii="Arial" w:cs="Arial" w:eastAsia="Arial" w:hAnsi="Arial"/>
                <w:sz w:val="14"/>
                <w:szCs w:val="14"/>
                <w:b w:val="1"/>
                <w:bCs w:val="1"/>
                <w:color w:val="auto"/>
                <w:w w:val="88"/>
              </w:rPr>
              <w:t>Weighted-</w:t>
            </w:r>
          </w:p>
        </w:tc>
      </w:tr>
      <w:tr>
        <w:trPr>
          <w:trHeight w:val="158"/>
        </w:trPr>
        <w:tc>
          <w:tcPr>
            <w:tcW w:w="8260" w:type="dxa"/>
            <w:vAlign w:val="bottom"/>
          </w:tcPr>
          <w:p>
            <w:pPr>
              <w:spacing w:after="0"/>
              <w:rPr>
                <w:sz w:val="13"/>
                <w:szCs w:val="13"/>
                <w:color w:val="auto"/>
              </w:rPr>
            </w:pPr>
          </w:p>
        </w:tc>
        <w:tc>
          <w:tcPr>
            <w:tcW w:w="1420" w:type="dxa"/>
            <w:vAlign w:val="bottom"/>
          </w:tcPr>
          <w:p>
            <w:pPr>
              <w:jc w:val="right"/>
              <w:ind w:right="221"/>
              <w:spacing w:after="0" w:line="159" w:lineRule="exact"/>
              <w:rPr>
                <w:sz w:val="20"/>
                <w:szCs w:val="20"/>
                <w:color w:val="auto"/>
              </w:rPr>
            </w:pPr>
            <w:r>
              <w:rPr>
                <w:rFonts w:ascii="Arial" w:cs="Arial" w:eastAsia="Arial" w:hAnsi="Arial"/>
                <w:sz w:val="14"/>
                <w:szCs w:val="14"/>
                <w:b w:val="1"/>
                <w:bCs w:val="1"/>
                <w:color w:val="auto"/>
              </w:rPr>
              <w:t>Units/Awards</w:t>
            </w:r>
          </w:p>
        </w:tc>
        <w:tc>
          <w:tcPr>
            <w:tcW w:w="100" w:type="dxa"/>
            <w:vAlign w:val="bottom"/>
          </w:tcPr>
          <w:p>
            <w:pPr>
              <w:spacing w:after="0"/>
              <w:rPr>
                <w:sz w:val="13"/>
                <w:szCs w:val="13"/>
                <w:color w:val="auto"/>
              </w:rPr>
            </w:pPr>
          </w:p>
        </w:tc>
        <w:tc>
          <w:tcPr>
            <w:tcW w:w="1440" w:type="dxa"/>
            <w:vAlign w:val="bottom"/>
          </w:tcPr>
          <w:p>
            <w:pPr>
              <w:jc w:val="center"/>
              <w:ind w:left="350"/>
              <w:spacing w:after="0" w:line="159" w:lineRule="exact"/>
              <w:rPr>
                <w:sz w:val="20"/>
                <w:szCs w:val="20"/>
                <w:color w:val="auto"/>
              </w:rPr>
            </w:pPr>
            <w:r>
              <w:rPr>
                <w:rFonts w:ascii="Arial" w:cs="Arial" w:eastAsia="Arial" w:hAnsi="Arial"/>
                <w:sz w:val="14"/>
                <w:szCs w:val="14"/>
                <w:b w:val="1"/>
                <w:bCs w:val="1"/>
                <w:color w:val="auto"/>
                <w:w w:val="92"/>
              </w:rPr>
              <w:t>Average Grant-</w:t>
            </w:r>
          </w:p>
        </w:tc>
      </w:tr>
      <w:tr>
        <w:trPr>
          <w:trHeight w:val="158"/>
        </w:trPr>
        <w:tc>
          <w:tcPr>
            <w:tcW w:w="8260" w:type="dxa"/>
            <w:vAlign w:val="bottom"/>
          </w:tcPr>
          <w:p>
            <w:pPr>
              <w:spacing w:after="0"/>
              <w:rPr>
                <w:sz w:val="13"/>
                <w:szCs w:val="13"/>
                <w:color w:val="auto"/>
              </w:rPr>
            </w:pPr>
          </w:p>
        </w:tc>
        <w:tc>
          <w:tcPr>
            <w:tcW w:w="1420" w:type="dxa"/>
            <w:vAlign w:val="bottom"/>
          </w:tcPr>
          <w:p>
            <w:pPr>
              <w:jc w:val="center"/>
              <w:ind w:left="321"/>
              <w:spacing w:after="0" w:line="159" w:lineRule="exact"/>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3"/>
                <w:szCs w:val="13"/>
                <w:color w:val="auto"/>
              </w:rPr>
            </w:pPr>
          </w:p>
        </w:tc>
        <w:tc>
          <w:tcPr>
            <w:tcW w:w="1440" w:type="dxa"/>
            <w:vAlign w:val="bottom"/>
          </w:tcPr>
          <w:p>
            <w:pPr>
              <w:jc w:val="center"/>
              <w:ind w:left="330"/>
              <w:spacing w:after="0" w:line="159" w:lineRule="exact"/>
              <w:rPr>
                <w:sz w:val="20"/>
                <w:szCs w:val="20"/>
                <w:color w:val="auto"/>
              </w:rPr>
            </w:pPr>
            <w:r>
              <w:rPr>
                <w:rFonts w:ascii="Arial" w:cs="Arial" w:eastAsia="Arial" w:hAnsi="Arial"/>
                <w:sz w:val="14"/>
                <w:szCs w:val="14"/>
                <w:b w:val="1"/>
                <w:bCs w:val="1"/>
                <w:color w:val="auto"/>
                <w:w w:val="94"/>
              </w:rPr>
              <w:t>Date Fair Value</w:t>
            </w:r>
          </w:p>
        </w:tc>
      </w:tr>
      <w:tr>
        <w:trPr>
          <w:trHeight w:val="183"/>
        </w:trPr>
        <w:tc>
          <w:tcPr>
            <w:tcW w:w="8260" w:type="dxa"/>
            <w:vAlign w:val="bottom"/>
          </w:tcPr>
          <w:p>
            <w:pPr>
              <w:spacing w:after="0"/>
              <w:rPr>
                <w:sz w:val="15"/>
                <w:szCs w:val="15"/>
                <w:color w:val="auto"/>
              </w:rPr>
            </w:pPr>
          </w:p>
        </w:tc>
        <w:tc>
          <w:tcPr>
            <w:tcW w:w="1420" w:type="dxa"/>
            <w:vAlign w:val="bottom"/>
          </w:tcPr>
          <w:p>
            <w:pPr>
              <w:jc w:val="center"/>
              <w:ind w:left="321"/>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1440" w:type="dxa"/>
            <w:vAlign w:val="bottom"/>
          </w:tcPr>
          <w:p>
            <w:pPr>
              <w:jc w:val="center"/>
              <w:ind w:left="330"/>
              <w:spacing w:after="0"/>
              <w:rPr>
                <w:sz w:val="20"/>
                <w:szCs w:val="20"/>
                <w:color w:val="auto"/>
              </w:rPr>
            </w:pPr>
            <w:r>
              <w:rPr>
                <w:rFonts w:ascii="Arial" w:cs="Arial" w:eastAsia="Arial" w:hAnsi="Arial"/>
                <w:sz w:val="14"/>
                <w:szCs w:val="14"/>
                <w:b w:val="1"/>
                <w:bCs w:val="1"/>
                <w:color w:val="auto"/>
                <w:w w:val="91"/>
              </w:rPr>
              <w:t>Per Share</w:t>
            </w:r>
          </w:p>
        </w:tc>
      </w:tr>
      <w:tr>
        <w:trPr>
          <w:trHeight w:val="24"/>
        </w:trPr>
        <w:tc>
          <w:tcPr>
            <w:tcW w:w="82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8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Restricted stock units/awards outstanding at October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$91.54</w:t>
            </w:r>
          </w:p>
        </w:tc>
      </w:tr>
      <w:tr>
        <w:trPr>
          <w:trHeight w:val="224"/>
        </w:trPr>
        <w:tc>
          <w:tcPr>
            <w:tcW w:w="8260" w:type="dxa"/>
            <w:vAlign w:val="bottom"/>
          </w:tcPr>
          <w:p>
            <w:pPr>
              <w:ind w:left="740"/>
              <w:spacing w:after="0"/>
              <w:rPr>
                <w:sz w:val="20"/>
                <w:szCs w:val="20"/>
                <w:color w:val="auto"/>
              </w:rPr>
            </w:pPr>
            <w:r>
              <w:rPr>
                <w:rFonts w:ascii="Arial" w:cs="Arial" w:eastAsia="Arial" w:hAnsi="Arial"/>
                <w:sz w:val="18"/>
                <w:szCs w:val="18"/>
                <w:color w:val="auto"/>
              </w:rPr>
              <w:t>Units/Awards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1,034</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$143.88</w:t>
            </w:r>
          </w:p>
        </w:tc>
      </w:tr>
      <w:tr>
        <w:trPr>
          <w:trHeight w:val="225"/>
        </w:trPr>
        <w:tc>
          <w:tcPr>
            <w:tcW w:w="82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Restrictions lapsed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$89.08</w:t>
            </w:r>
          </w:p>
        </w:tc>
      </w:tr>
      <w:tr>
        <w:trPr>
          <w:trHeight w:val="224"/>
        </w:trPr>
        <w:tc>
          <w:tcPr>
            <w:tcW w:w="826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54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$100.74</w:t>
            </w:r>
          </w:p>
        </w:tc>
      </w:tr>
      <w:tr>
        <w:trPr>
          <w:trHeight w:val="243"/>
        </w:trPr>
        <w:tc>
          <w:tcPr>
            <w:tcW w:w="8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Restricted stock units/awards outstanding at July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5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$107.70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54" w:lineRule="exact"/>
        <w:rPr>
          <w:sz w:val="20"/>
          <w:szCs w:val="20"/>
          <w:color w:val="auto"/>
        </w:rPr>
      </w:pPr>
    </w:p>
    <w:p>
      <w:pPr>
        <w:ind w:firstLine="396"/>
        <w:spacing w:after="0" w:line="303" w:lineRule="auto"/>
        <w:rPr>
          <w:sz w:val="20"/>
          <w:szCs w:val="20"/>
          <w:color w:val="auto"/>
        </w:rPr>
      </w:pPr>
      <w:r>
        <w:rPr>
          <w:rFonts w:ascii="Arial" w:cs="Arial" w:eastAsia="Arial" w:hAnsi="Arial"/>
          <w:sz w:val="15"/>
          <w:szCs w:val="15"/>
          <w:color w:val="auto"/>
        </w:rPr>
        <w:t>In the first half of fiscal 2021, the Company issued approximately 121,000 performance-based restricted stock units (Maxim Integration PRSUs) related to the Company's planned acquisition of Maxim to a select group of employees. The number of Maxim Integration PRSUs that may be earned will range from 0% to a maximum of 200% of the issued amount of Maxim Integration PRSUs and will be determined according to the achievement of certain performance metrics. Any shares earned will vest on the 60th day following the two-year anniversary of the closing of the Maxim acquisition. If the Maxim acquisition does not close, the awards will be cancelled. The grant date fair value of these awards were calculated using the value of the Company's common stock on the date of grant, reduced by the present value of dividends expected to be paid on the Company's common stock prior to vesting. The grant-date fair value of these awards is also impacted by the number of units that are expected to vest during the performance period and is adjusted through the related stock-based compensation expense at each reporting period based on the probability of achievement of that performance condition.</w:t>
      </w:r>
    </w:p>
    <w:p>
      <w:pPr>
        <w:spacing w:after="0" w:line="186" w:lineRule="exact"/>
        <w:rPr>
          <w:sz w:val="20"/>
          <w:szCs w:val="20"/>
          <w:color w:val="auto"/>
        </w:rPr>
      </w:pPr>
    </w:p>
    <w:p>
      <w:pPr>
        <w:ind w:firstLine="396"/>
        <w:spacing w:after="0" w:line="328" w:lineRule="auto"/>
        <w:rPr>
          <w:sz w:val="20"/>
          <w:szCs w:val="20"/>
          <w:color w:val="auto"/>
        </w:rPr>
      </w:pPr>
      <w:r>
        <w:rPr>
          <w:rFonts w:ascii="Arial" w:cs="Arial" w:eastAsia="Arial" w:hAnsi="Arial"/>
          <w:sz w:val="15"/>
          <w:szCs w:val="15"/>
          <w:color w:val="auto"/>
        </w:rPr>
        <w:t>As of July 31, 2021, there was $337.9 million of total unrecognized compensation cost related to unvested stock-based awards comprised of stock options and restricted stock units/awards. That cost is expected to be recognized over a weighted-average period of 1.4 years. The total grant-date fair values of awards that vested during the nine-month periods ended July 31, 2021 and August 1, 2020 were approximately $114.7 million and $157.9 million, respectively.</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8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3140" w:type="dxa"/>
            <w:vAlign w:val="bottom"/>
            <w:gridSpan w:val="4"/>
          </w:tcPr>
          <w:p>
            <w:pPr>
              <w:jc w:val="right"/>
              <w:ind w:right="9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5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5"/>
              </w:rPr>
              <w:t>August 1, 2020</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31, 2021</w:t>
            </w:r>
          </w:p>
        </w:tc>
        <w:tc>
          <w:tcPr>
            <w:tcW w:w="5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August 1, 2020</w:t>
            </w:r>
          </w:p>
        </w:tc>
        <w:tc>
          <w:tcPr>
            <w:tcW w:w="0" w:type="dxa"/>
            <w:vAlign w:val="bottom"/>
          </w:tcPr>
          <w:p>
            <w:pPr>
              <w:spacing w:after="0"/>
              <w:rPr>
                <w:sz w:val="1"/>
                <w:szCs w:val="1"/>
                <w:color w:val="auto"/>
              </w:rPr>
            </w:pPr>
          </w:p>
        </w:tc>
      </w:tr>
      <w:tr>
        <w:trPr>
          <w:trHeight w:val="218"/>
        </w:trPr>
        <w:tc>
          <w:tcPr>
            <w:tcW w:w="368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Cost of sales</w:t>
            </w: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24"/>
        </w:trPr>
        <w:tc>
          <w:tcPr>
            <w:tcW w:w="3680" w:type="dxa"/>
            <w:vAlign w:val="bottom"/>
          </w:tcPr>
          <w:p>
            <w:pPr>
              <w:ind w:left="74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57,675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55,163</w:t>
            </w:r>
          </w:p>
        </w:tc>
        <w:tc>
          <w:tcPr>
            <w:tcW w:w="0" w:type="dxa"/>
            <w:vAlign w:val="bottom"/>
          </w:tcPr>
          <w:p>
            <w:pPr>
              <w:spacing w:after="0"/>
              <w:rPr>
                <w:sz w:val="1"/>
                <w:szCs w:val="1"/>
                <w:color w:val="auto"/>
              </w:rPr>
            </w:pPr>
          </w:p>
        </w:tc>
      </w:tr>
      <w:tr>
        <w:trPr>
          <w:trHeight w:val="173"/>
        </w:trPr>
        <w:tc>
          <w:tcPr>
            <w:tcW w:w="3680" w:type="dxa"/>
            <w:vAlign w:val="bottom"/>
            <w:shd w:val="clear" w:color="auto" w:fill="CCEEFF"/>
          </w:tcPr>
          <w:p>
            <w:pPr>
              <w:ind w:left="740"/>
              <w:spacing w:after="0" w:line="173" w:lineRule="exact"/>
              <w:rPr>
                <w:sz w:val="20"/>
                <w:szCs w:val="20"/>
                <w:color w:val="auto"/>
              </w:rPr>
            </w:pPr>
            <w:r>
              <w:rPr>
                <w:rFonts w:ascii="Arial" w:cs="Arial" w:eastAsia="Arial" w:hAnsi="Arial"/>
                <w:sz w:val="18"/>
                <w:szCs w:val="18"/>
                <w:color w:val="auto"/>
              </w:rPr>
              <w:t>Selling, marketing, general and</w:t>
            </w:r>
          </w:p>
        </w:tc>
        <w:tc>
          <w:tcPr>
            <w:tcW w:w="6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47,670</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43,427</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6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740"/>
              <w:spacing w:after="0"/>
              <w:rPr>
                <w:sz w:val="20"/>
                <w:szCs w:val="20"/>
                <w:color w:val="auto"/>
              </w:rPr>
            </w:pPr>
            <w:r>
              <w:rPr>
                <w:rFonts w:ascii="Arial" w:cs="Arial" w:eastAsia="Arial" w:hAnsi="Arial"/>
                <w:sz w:val="18"/>
                <w:szCs w:val="18"/>
                <w:color w:val="auto"/>
              </w:rPr>
              <w:t>Special charges, net</w:t>
            </w:r>
          </w:p>
        </w:tc>
        <w:tc>
          <w:tcPr>
            <w:tcW w:w="6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153"/>
        </w:trPr>
        <w:tc>
          <w:tcPr>
            <w:tcW w:w="3680" w:type="dxa"/>
            <w:vAlign w:val="bottom"/>
            <w:tcBorders>
              <w:top w:val="single" w:sz="8" w:color="CCEEFF"/>
            </w:tcBorders>
            <w:shd w:val="clear" w:color="auto" w:fill="CCEEFF"/>
          </w:tcPr>
          <w:p>
            <w:pPr>
              <w:ind w:left="1060"/>
              <w:spacing w:after="0" w:line="153" w:lineRule="exact"/>
              <w:rPr>
                <w:sz w:val="20"/>
                <w:szCs w:val="20"/>
                <w:color w:val="auto"/>
              </w:rPr>
            </w:pPr>
            <w:r>
              <w:rPr>
                <w:rFonts w:ascii="Arial" w:cs="Arial" w:eastAsia="Arial" w:hAnsi="Arial"/>
                <w:sz w:val="17"/>
                <w:szCs w:val="17"/>
                <w:color w:val="auto"/>
              </w:rPr>
              <w:t>Total stock-based compensation</w:t>
            </w:r>
          </w:p>
        </w:tc>
        <w:tc>
          <w:tcPr>
            <w:tcW w:w="60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41,687</w:t>
            </w: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118,683</w:t>
            </w:r>
          </w:p>
        </w:tc>
        <w:tc>
          <w:tcPr>
            <w:tcW w:w="1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112,961</w:t>
            </w:r>
          </w:p>
        </w:tc>
        <w:tc>
          <w:tcPr>
            <w:tcW w:w="0" w:type="dxa"/>
            <w:vAlign w:val="bottom"/>
          </w:tcPr>
          <w:p>
            <w:pPr>
              <w:spacing w:after="0"/>
              <w:rPr>
                <w:sz w:val="1"/>
                <w:szCs w:val="1"/>
                <w:color w:val="auto"/>
              </w:rPr>
            </w:pPr>
          </w:p>
        </w:tc>
      </w:tr>
      <w:tr>
        <w:trPr>
          <w:trHeight w:val="217"/>
        </w:trPr>
        <w:tc>
          <w:tcPr>
            <w:tcW w:w="3680" w:type="dxa"/>
            <w:vAlign w:val="bottom"/>
            <w:tcBorders>
              <w:bottom w:val="single" w:sz="8" w:color="CCEEFF"/>
            </w:tcBorders>
            <w:shd w:val="clear" w:color="auto" w:fill="CCEEFF"/>
          </w:tcPr>
          <w:p>
            <w:pPr>
              <w:ind w:left="660"/>
              <w:spacing w:after="0" w:line="197" w:lineRule="exact"/>
              <w:rPr>
                <w:sz w:val="20"/>
                <w:szCs w:val="20"/>
                <w:color w:val="auto"/>
              </w:rPr>
            </w:pPr>
            <w:r>
              <w:rPr>
                <w:rFonts w:ascii="Arial" w:cs="Arial" w:eastAsia="Arial" w:hAnsi="Arial"/>
                <w:sz w:val="18"/>
                <w:szCs w:val="18"/>
                <w:color w:val="auto"/>
              </w:rPr>
              <w:t>expense</w:t>
            </w: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700" w:firstLine="396"/>
        <w:spacing w:after="0" w:line="263" w:lineRule="auto"/>
        <w:rPr>
          <w:sz w:val="20"/>
          <w:szCs w:val="20"/>
          <w:color w:val="auto"/>
        </w:rPr>
      </w:pPr>
      <w:r>
        <w:rPr>
          <w:rFonts w:ascii="Arial" w:cs="Arial" w:eastAsia="Arial" w:hAnsi="Arial"/>
          <w:sz w:val="18"/>
          <w:szCs w:val="18"/>
          <w:color w:val="auto"/>
        </w:rPr>
        <w:t>As of July 31, 2021 and October 31, 2020, the Company capitalized $6.0 million and $5.8 million, respectively, of stock-based compensation in Inventories on the Condensed Consolidated Balance Sheets.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10" w:lineRule="exact"/>
        <w:rPr>
          <w:sz w:val="20"/>
          <w:szCs w:val="20"/>
          <w:color w:val="auto"/>
        </w:rPr>
      </w:pPr>
    </w:p>
    <w:p>
      <w:pPr>
        <w:ind w:right="300" w:firstLine="436"/>
        <w:spacing w:after="0" w:line="267" w:lineRule="auto"/>
        <w:rPr>
          <w:sz w:val="20"/>
          <w:szCs w:val="20"/>
          <w:color w:val="auto"/>
        </w:rPr>
      </w:pPr>
      <w:r>
        <w:rPr>
          <w:rFonts w:ascii="Arial" w:cs="Arial" w:eastAsia="Arial" w:hAnsi="Arial"/>
          <w:sz w:val="17"/>
          <w:szCs w:val="17"/>
          <w:color w:val="auto"/>
        </w:rPr>
        <w:t>As of July 31, 2021, the Company had repurchased a total of approximately 159.0 million shares of its common stock for approximately $6.7 billion under the Company's share repurchase program. As of July 31, 2021, an additional $1.4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69" w:lineRule="exact"/>
        <w:rPr>
          <w:sz w:val="20"/>
          <w:szCs w:val="20"/>
          <w:color w:val="auto"/>
        </w:rPr>
      </w:pPr>
    </w:p>
    <w:p>
      <w:pPr>
        <w:ind w:right="160" w:firstLine="396"/>
        <w:spacing w:after="0" w:line="263"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nine months of fiscal 2021.</w:t>
      </w:r>
    </w:p>
    <w:tbl>
      <w:tblPr>
        <w:tblLayout w:type="fixed"/>
        <w:tblInd w:w="0" w:type="dxa"/>
        <w:tblCellMar>
          <w:top w:w="0" w:type="dxa"/>
          <w:left w:w="0" w:type="dxa"/>
          <w:bottom w:w="0" w:type="dxa"/>
          <w:right w:w="0" w:type="dxa"/>
        </w:tblCellMar>
      </w:tblPr>
      <w:tr>
        <w:trPr>
          <w:trHeight w:val="166"/>
        </w:trPr>
        <w:tc>
          <w:tcPr>
            <w:tcW w:w="4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ind w:left="120"/>
              <w:spacing w:after="0" w:line="166" w:lineRule="exact"/>
              <w:rPr>
                <w:sz w:val="20"/>
                <w:szCs w:val="20"/>
                <w:color w:val="auto"/>
              </w:rPr>
            </w:pPr>
            <w:r>
              <w:rPr>
                <w:rFonts w:ascii="Arial" w:cs="Arial" w:eastAsia="Arial" w:hAnsi="Arial"/>
                <w:sz w:val="16"/>
                <w:szCs w:val="16"/>
                <w:b w:val="1"/>
                <w:bCs w:val="1"/>
                <w:color w:val="auto"/>
              </w:rPr>
              <w:t>Foreign</w:t>
            </w:r>
          </w:p>
        </w:tc>
        <w:tc>
          <w:tcPr>
            <w:tcW w:w="560" w:type="dxa"/>
            <w:vAlign w:val="bottom"/>
          </w:tcPr>
          <w:p>
            <w:pPr>
              <w:spacing w:after="0"/>
              <w:rPr>
                <w:sz w:val="14"/>
                <w:szCs w:val="14"/>
                <w:color w:val="auto"/>
              </w:rPr>
            </w:pPr>
          </w:p>
        </w:tc>
        <w:tc>
          <w:tcPr>
            <w:tcW w:w="1160" w:type="dxa"/>
            <w:vAlign w:val="bottom"/>
            <w:gridSpan w:val="2"/>
          </w:tcPr>
          <w:p>
            <w:pPr>
              <w:ind w:left="80"/>
              <w:spacing w:after="0" w:line="166" w:lineRule="exact"/>
              <w:rPr>
                <w:sz w:val="20"/>
                <w:szCs w:val="20"/>
                <w:color w:val="auto"/>
              </w:rPr>
            </w:pPr>
            <w:r>
              <w:rPr>
                <w:rFonts w:ascii="Arial" w:cs="Arial" w:eastAsia="Arial" w:hAnsi="Arial"/>
                <w:sz w:val="16"/>
                <w:szCs w:val="16"/>
                <w:b w:val="1"/>
                <w:bCs w:val="1"/>
                <w:color w:val="auto"/>
              </w:rPr>
              <w:t>Unrealized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460" w:type="dxa"/>
            <w:vAlign w:val="bottom"/>
          </w:tcPr>
          <w:p>
            <w:pPr>
              <w:spacing w:after="0"/>
              <w:rPr>
                <w:sz w:val="13"/>
                <w:szCs w:val="13"/>
                <w:color w:val="auto"/>
              </w:rPr>
            </w:pPr>
          </w:p>
        </w:tc>
        <w:tc>
          <w:tcPr>
            <w:tcW w:w="1680" w:type="dxa"/>
            <w:vAlign w:val="bottom"/>
            <w:gridSpan w:val="3"/>
          </w:tcPr>
          <w:p>
            <w:pPr>
              <w:ind w:left="80"/>
              <w:spacing w:after="0" w:line="158" w:lineRule="exact"/>
              <w:rPr>
                <w:sz w:val="20"/>
                <w:szCs w:val="20"/>
                <w:color w:val="auto"/>
              </w:rPr>
            </w:pPr>
            <w:r>
              <w:rPr>
                <w:rFonts w:ascii="Arial" w:cs="Arial" w:eastAsia="Arial" w:hAnsi="Arial"/>
                <w:sz w:val="16"/>
                <w:szCs w:val="16"/>
                <w:b w:val="1"/>
                <w:bCs w:val="1"/>
                <w:color w:val="auto"/>
              </w:rPr>
              <w:t>currency translation</w:t>
            </w:r>
          </w:p>
        </w:tc>
        <w:tc>
          <w:tcPr>
            <w:tcW w:w="1720" w:type="dxa"/>
            <w:vAlign w:val="bottom"/>
            <w:gridSpan w:val="3"/>
          </w:tcPr>
          <w:p>
            <w:pPr>
              <w:jc w:val="center"/>
              <w:ind w:right="100"/>
              <w:spacing w:after="0" w:line="158" w:lineRule="exact"/>
              <w:rPr>
                <w:sz w:val="20"/>
                <w:szCs w:val="20"/>
                <w:color w:val="auto"/>
              </w:rPr>
            </w:pPr>
            <w:r>
              <w:rPr>
                <w:rFonts w:ascii="Arial" w:cs="Arial" w:eastAsia="Arial" w:hAnsi="Arial"/>
                <w:sz w:val="16"/>
                <w:szCs w:val="16"/>
                <w:b w:val="1"/>
                <w:bCs w:val="1"/>
                <w:color w:val="auto"/>
                <w:w w:val="84"/>
              </w:rPr>
              <w:t>holding gains (losses)</w:t>
            </w:r>
          </w:p>
        </w:tc>
        <w:tc>
          <w:tcPr>
            <w:tcW w:w="5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Pension plans</w:t>
            </w:r>
          </w:p>
        </w:tc>
        <w:tc>
          <w:tcPr>
            <w:tcW w:w="680" w:type="dxa"/>
            <w:vAlign w:val="bottom"/>
          </w:tcPr>
          <w:p>
            <w:pPr>
              <w:spacing w:after="0"/>
              <w:rPr>
                <w:sz w:val="13"/>
                <w:szCs w:val="13"/>
                <w:color w:val="auto"/>
              </w:rPr>
            </w:pPr>
          </w:p>
        </w:tc>
        <w:tc>
          <w:tcPr>
            <w:tcW w:w="100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460" w:type="dxa"/>
            <w:vAlign w:val="bottom"/>
          </w:tcPr>
          <w:p>
            <w:pPr>
              <w:spacing w:after="0"/>
              <w:rPr>
                <w:sz w:val="18"/>
                <w:szCs w:val="18"/>
                <w:color w:val="auto"/>
              </w:rPr>
            </w:pPr>
          </w:p>
        </w:tc>
        <w:tc>
          <w:tcPr>
            <w:tcW w:w="1680" w:type="dxa"/>
            <w:vAlign w:val="bottom"/>
            <w:gridSpan w:val="3"/>
          </w:tcPr>
          <w:p>
            <w:pPr>
              <w:ind w:left="400"/>
              <w:spacing w:after="0"/>
              <w:rPr>
                <w:sz w:val="20"/>
                <w:szCs w:val="20"/>
                <w:color w:val="auto"/>
              </w:rPr>
            </w:pPr>
            <w:r>
              <w:rPr>
                <w:rFonts w:ascii="Arial" w:cs="Arial" w:eastAsia="Arial" w:hAnsi="Arial"/>
                <w:sz w:val="16"/>
                <w:szCs w:val="16"/>
                <w:b w:val="1"/>
                <w:bCs w:val="1"/>
                <w:color w:val="auto"/>
              </w:rPr>
              <w:t>adjustment</w:t>
            </w: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on derivatives</w:t>
            </w:r>
          </w:p>
        </w:tc>
        <w:tc>
          <w:tcPr>
            <w:tcW w:w="5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October 31, 2020</w:t>
            </w:r>
          </w:p>
        </w:tc>
        <w:tc>
          <w:tcPr>
            <w:tcW w:w="6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(26,852)</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(49,939)</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172"/>
        </w:trPr>
        <w:tc>
          <w:tcPr>
            <w:tcW w:w="4460" w:type="dxa"/>
            <w:vAlign w:val="bottom"/>
          </w:tcPr>
          <w:p>
            <w:pPr>
              <w:ind w:left="640"/>
              <w:spacing w:after="0" w:line="172" w:lineRule="exact"/>
              <w:rPr>
                <w:sz w:val="20"/>
                <w:szCs w:val="20"/>
                <w:color w:val="auto"/>
              </w:rPr>
            </w:pPr>
            <w:r>
              <w:rPr>
                <w:rFonts w:ascii="Arial" w:cs="Arial" w:eastAsia="Arial" w:hAnsi="Arial"/>
                <w:sz w:val="18"/>
                <w:szCs w:val="18"/>
                <w:color w:val="auto"/>
              </w:rPr>
              <w:t>Other comprehensive income (loss) before</w:t>
            </w:r>
          </w:p>
        </w:tc>
        <w:tc>
          <w:tcPr>
            <w:tcW w:w="6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32,548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35,225</w:t>
            </w:r>
          </w:p>
        </w:tc>
        <w:tc>
          <w:tcPr>
            <w:tcW w:w="0" w:type="dxa"/>
            <w:vAlign w:val="bottom"/>
          </w:tcPr>
          <w:p>
            <w:pPr>
              <w:spacing w:after="0"/>
              <w:rPr>
                <w:sz w:val="1"/>
                <w:szCs w:val="1"/>
                <w:color w:val="auto"/>
              </w:rPr>
            </w:pP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EEFF"/>
          </w:tcPr>
          <w:p>
            <w:pPr>
              <w:ind w:left="640"/>
              <w:spacing w:after="0" w:line="173" w:lineRule="exact"/>
              <w:rPr>
                <w:sz w:val="20"/>
                <w:szCs w:val="20"/>
                <w:color w:val="auto"/>
              </w:rPr>
            </w:pPr>
            <w:r>
              <w:rPr>
                <w:rFonts w:ascii="Arial" w:cs="Arial" w:eastAsia="Arial" w:hAnsi="Arial"/>
                <w:sz w:val="18"/>
                <w:szCs w:val="18"/>
                <w:color w:val="auto"/>
                <w:w w:val="97"/>
              </w:rPr>
              <w:t>Amounts reclassified out of other comprehensive</w:t>
            </w:r>
          </w:p>
        </w:tc>
        <w:tc>
          <w:tcPr>
            <w:tcW w:w="6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6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tcPr>
          <w:p>
            <w:pPr>
              <w:ind w:left="640"/>
              <w:spacing w:after="0"/>
              <w:rPr>
                <w:sz w:val="20"/>
                <w:szCs w:val="20"/>
                <w:color w:val="auto"/>
              </w:rPr>
            </w:pPr>
            <w:r>
              <w:rPr>
                <w:rFonts w:ascii="Arial" w:cs="Arial" w:eastAsia="Arial" w:hAnsi="Arial"/>
                <w:sz w:val="18"/>
                <w:szCs w:val="18"/>
                <w:color w:val="auto"/>
              </w:rPr>
              <w:t>Tax effects</w:t>
            </w:r>
          </w:p>
        </w:tc>
        <w:tc>
          <w:tcPr>
            <w:tcW w:w="6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18"/>
        </w:trPr>
        <w:tc>
          <w:tcPr>
            <w:tcW w:w="44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19,853</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0" w:type="dxa"/>
            <w:vAlign w:val="bottom"/>
          </w:tcPr>
          <w:p>
            <w:pPr>
              <w:spacing w:after="0"/>
              <w:rPr>
                <w:sz w:val="1"/>
                <w:szCs w:val="1"/>
                <w:color w:val="auto"/>
              </w:rPr>
            </w:pPr>
          </w:p>
        </w:tc>
      </w:tr>
      <w:tr>
        <w:trPr>
          <w:trHeight w:val="218"/>
        </w:trPr>
        <w:tc>
          <w:tcPr>
            <w:tcW w:w="4460" w:type="dxa"/>
            <w:vAlign w:val="bottom"/>
          </w:tcPr>
          <w:p>
            <w:pPr>
              <w:ind w:left="420"/>
              <w:spacing w:after="0"/>
              <w:rPr>
                <w:sz w:val="20"/>
                <w:szCs w:val="20"/>
                <w:color w:val="auto"/>
              </w:rPr>
            </w:pPr>
            <w:r>
              <w:rPr>
                <w:rFonts w:ascii="Arial" w:cs="Arial" w:eastAsia="Arial" w:hAnsi="Arial"/>
                <w:sz w:val="18"/>
                <w:szCs w:val="18"/>
                <w:b w:val="1"/>
                <w:bCs w:val="1"/>
                <w:color w:val="auto"/>
              </w:rPr>
              <w:t>July 31, 2021</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(152,817)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(50,347)</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(224,943)</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2" w:lineRule="exact"/>
        <w:rPr>
          <w:sz w:val="20"/>
          <w:szCs w:val="20"/>
          <w:color w:val="auto"/>
        </w:rPr>
      </w:pPr>
    </w:p>
    <w:tbl>
      <w:tblPr>
        <w:tblLayout w:type="fixed"/>
        <w:tblInd w:w="40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80" w:type="dxa"/>
            <w:vAlign w:val="bottom"/>
          </w:tcPr>
          <w:p>
            <w:pPr>
              <w:ind w:left="420"/>
              <w:spacing w:after="0" w:line="198" w:lineRule="exact"/>
              <w:rPr>
                <w:sz w:val="20"/>
                <w:szCs w:val="20"/>
                <w:color w:val="auto"/>
              </w:rPr>
            </w:pPr>
            <w:r>
              <w:rPr>
                <w:rFonts w:ascii="Arial" w:cs="Arial" w:eastAsia="Arial" w:hAnsi="Arial"/>
                <w:sz w:val="18"/>
                <w:szCs w:val="18"/>
                <w:b w:val="1"/>
                <w:bCs w:val="1"/>
                <w:color w:val="auto"/>
              </w:rPr>
              <w:t>Comprehensive Income</w:t>
            </w:r>
          </w:p>
        </w:tc>
        <w:tc>
          <w:tcPr>
            <w:tcW w:w="140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July 31, 2021</w:t>
            </w:r>
          </w:p>
        </w:tc>
        <w:tc>
          <w:tcPr>
            <w:tcW w:w="5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w:t>
            </w:r>
          </w:p>
        </w:tc>
        <w:tc>
          <w:tcPr>
            <w:tcW w:w="500" w:type="dxa"/>
            <w:vAlign w:val="bottom"/>
          </w:tcPr>
          <w:p>
            <w:pPr>
              <w:spacing w:after="0"/>
              <w:rPr>
                <w:sz w:val="17"/>
                <w:szCs w:val="17"/>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July 31, 2021</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August 1, 2020</w:t>
            </w:r>
          </w:p>
        </w:tc>
        <w:tc>
          <w:tcPr>
            <w:tcW w:w="100" w:type="dxa"/>
            <w:vAlign w:val="bottom"/>
          </w:tcPr>
          <w:p>
            <w:pPr>
              <w:spacing w:after="0"/>
              <w:rPr>
                <w:sz w:val="17"/>
                <w:szCs w:val="17"/>
                <w:color w:val="auto"/>
              </w:rPr>
            </w:pPr>
          </w:p>
        </w:tc>
        <w:tc>
          <w:tcPr>
            <w:tcW w:w="26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185"/>
        </w:trPr>
        <w:tc>
          <w:tcPr>
            <w:tcW w:w="2480" w:type="dxa"/>
            <w:vAlign w:val="bottom"/>
          </w:tcPr>
          <w:p>
            <w:pPr>
              <w:ind w:left="20"/>
              <w:spacing w:after="0" w:line="185" w:lineRule="exact"/>
              <w:rPr>
                <w:sz w:val="20"/>
                <w:szCs w:val="20"/>
                <w:color w:val="auto"/>
              </w:rPr>
            </w:pPr>
            <w:r>
              <w:rPr>
                <w:rFonts w:ascii="Arial" w:cs="Arial" w:eastAsia="Arial" w:hAnsi="Arial"/>
                <w:sz w:val="18"/>
                <w:szCs w:val="18"/>
                <w:b w:val="1"/>
                <w:bCs w:val="1"/>
                <w:color w:val="auto"/>
              </w:rPr>
              <w:t>Component</w:t>
            </w:r>
          </w:p>
        </w:tc>
        <w:tc>
          <w:tcPr>
            <w:tcW w:w="140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80" w:type="dxa"/>
            <w:vAlign w:val="bottom"/>
            <w:tcBorders>
              <w:top w:val="single" w:sz="8" w:color="auto"/>
            </w:tcBorders>
            <w:gridSpan w:val="4"/>
            <w:shd w:val="clear" w:color="auto" w:fill="CCEEFF"/>
          </w:tcPr>
          <w:p>
            <w:pPr>
              <w:ind w:left="420"/>
              <w:spacing w:after="0"/>
              <w:rPr>
                <w:sz w:val="20"/>
                <w:szCs w:val="20"/>
                <w:color w:val="auto"/>
              </w:rPr>
            </w:pPr>
            <w:r>
              <w:rPr>
                <w:rFonts w:ascii="Arial" w:cs="Arial" w:eastAsia="Arial" w:hAnsi="Arial"/>
                <w:sz w:val="18"/>
                <w:szCs w:val="18"/>
                <w:color w:val="auto"/>
                <w:w w:val="90"/>
              </w:rPr>
              <w:t>Unrealized holding losses (gains) on derivatives</w:t>
            </w:r>
          </w:p>
        </w:tc>
        <w:tc>
          <w:tcPr>
            <w:tcW w:w="5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620"/>
              <w:spacing w:after="0"/>
              <w:rPr>
                <w:sz w:val="20"/>
                <w:szCs w:val="20"/>
                <w:color w:val="auto"/>
              </w:rPr>
            </w:pPr>
            <w:r>
              <w:rPr>
                <w:rFonts w:ascii="Arial" w:cs="Arial" w:eastAsia="Arial" w:hAnsi="Arial"/>
                <w:sz w:val="18"/>
                <w:szCs w:val="18"/>
                <w:color w:val="auto"/>
              </w:rPr>
              <w:t>Currency forwards</w:t>
            </w:r>
          </w:p>
        </w:tc>
        <w:tc>
          <w:tcPr>
            <w:tcW w:w="7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172"/>
        </w:trPr>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4"/>
                <w:szCs w:val="14"/>
                <w:color w:val="auto"/>
              </w:rPr>
            </w:pPr>
          </w:p>
        </w:tc>
        <w:tc>
          <w:tcPr>
            <w:tcW w:w="2640" w:type="dxa"/>
            <w:vAlign w:val="bottom"/>
          </w:tcPr>
          <w:p>
            <w:pPr>
              <w:ind w:left="400"/>
              <w:spacing w:after="0" w:line="172" w:lineRule="exact"/>
              <w:rPr>
                <w:sz w:val="20"/>
                <w:szCs w:val="20"/>
                <w:color w:val="auto"/>
              </w:rPr>
            </w:pPr>
            <w:r>
              <w:rPr>
                <w:rFonts w:ascii="Arial" w:cs="Arial" w:eastAsia="Arial" w:hAnsi="Arial"/>
                <w:sz w:val="18"/>
                <w:szCs w:val="18"/>
                <w:color w:val="auto"/>
                <w:w w:val="89"/>
              </w:rPr>
              <w:t>Selling, marketing, general and</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25"/>
        </w:trPr>
        <w:tc>
          <w:tcPr>
            <w:tcW w:w="248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8"/>
              </w:rPr>
              <w:t>Interest rate derivatives</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17"/>
        </w:trPr>
        <w:tc>
          <w:tcPr>
            <w:tcW w:w="24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152"/>
        </w:trPr>
        <w:tc>
          <w:tcPr>
            <w:tcW w:w="2480" w:type="dxa"/>
            <w:vAlign w:val="bottom"/>
          </w:tcPr>
          <w:p>
            <w:pPr>
              <w:ind w:left="620"/>
              <w:spacing w:after="0" w:line="153" w:lineRule="exact"/>
              <w:rPr>
                <w:sz w:val="20"/>
                <w:szCs w:val="20"/>
                <w:color w:val="auto"/>
              </w:rPr>
            </w:pPr>
            <w:r>
              <w:rPr>
                <w:rFonts w:ascii="Arial" w:cs="Arial" w:eastAsia="Arial" w:hAnsi="Arial"/>
                <w:sz w:val="17"/>
                <w:szCs w:val="17"/>
                <w:color w:val="auto"/>
              </w:rPr>
              <w:t>Effect of Accounting</w:t>
            </w:r>
          </w:p>
        </w:tc>
        <w:tc>
          <w:tcPr>
            <w:tcW w:w="70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3"/>
                <w:szCs w:val="13"/>
                <w:color w:val="auto"/>
              </w:rPr>
            </w:pPr>
          </w:p>
        </w:tc>
        <w:tc>
          <w:tcPr>
            <w:tcW w:w="1340" w:type="dxa"/>
            <w:vAlign w:val="bottom"/>
            <w:gridSpan w:val="3"/>
            <w:vMerge w:val="restart"/>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8"/>
              </w:rPr>
              <w:t>(2,379)</w:t>
            </w:r>
          </w:p>
        </w:tc>
        <w:tc>
          <w:tcPr>
            <w:tcW w:w="100" w:type="dxa"/>
            <w:vAlign w:val="bottom"/>
          </w:tcPr>
          <w:p>
            <w:pPr>
              <w:spacing w:after="0"/>
              <w:rPr>
                <w:sz w:val="13"/>
                <w:szCs w:val="13"/>
                <w:color w:val="auto"/>
              </w:rPr>
            </w:pPr>
          </w:p>
        </w:tc>
        <w:tc>
          <w:tcPr>
            <w:tcW w:w="2640" w:type="dxa"/>
            <w:vAlign w:val="bottom"/>
            <w:vMerge w:val="restart"/>
          </w:tcPr>
          <w:p>
            <w:pPr>
              <w:ind w:left="40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23"/>
        </w:trPr>
        <w:tc>
          <w:tcPr>
            <w:tcW w:w="2480" w:type="dxa"/>
            <w:vAlign w:val="bottom"/>
          </w:tcPr>
          <w:p>
            <w:pPr>
              <w:ind w:left="240"/>
              <w:spacing w:after="0"/>
              <w:rPr>
                <w:sz w:val="20"/>
                <w:szCs w:val="20"/>
                <w:color w:val="auto"/>
              </w:rPr>
            </w:pPr>
            <w:r>
              <w:rPr>
                <w:rFonts w:ascii="Arial" w:cs="Arial" w:eastAsia="Arial" w:hAnsi="Arial"/>
                <w:sz w:val="18"/>
                <w:szCs w:val="18"/>
                <w:color w:val="auto"/>
              </w:rPr>
              <w:t>Standards Update 2018-02</w:t>
            </w:r>
          </w:p>
        </w:tc>
        <w:tc>
          <w:tcPr>
            <w:tcW w:w="7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gridSpan w:val="3"/>
          </w:tcPr>
          <w:p>
            <w:pPr>
              <w:spacing w:after="0" w:line="20" w:lineRule="exact"/>
              <w:rPr>
                <w:sz w:val="1"/>
                <w:szCs w:val="1"/>
                <w:color w:val="auto"/>
              </w:rPr>
            </w:pPr>
          </w:p>
        </w:tc>
        <w:tc>
          <w:tcPr>
            <w:tcW w:w="1420" w:type="dxa"/>
            <w:vAlign w:val="bottom"/>
            <w:tcBorders>
              <w:top w:val="single" w:sz="8" w:color="CCEEFF"/>
            </w:tcBorders>
            <w:gridSpan w:val="3"/>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140" w:type="dxa"/>
            <w:vAlign w:val="bottom"/>
            <w:gridSpan w:val="11"/>
            <w:shd w:val="clear" w:color="auto" w:fill="CCEEFF"/>
          </w:tcPr>
          <w:p>
            <w:pPr>
              <w:ind w:left="420"/>
              <w:spacing w:after="0"/>
              <w:rPr>
                <w:sz w:val="20"/>
                <w:szCs w:val="20"/>
                <w:color w:val="auto"/>
              </w:rPr>
            </w:pPr>
            <w:r>
              <w:rPr>
                <w:rFonts w:ascii="Arial" w:cs="Arial" w:eastAsia="Arial" w:hAnsi="Arial"/>
                <w:sz w:val="18"/>
                <w:szCs w:val="18"/>
                <w:color w:val="auto"/>
                <w:w w:val="90"/>
              </w:rPr>
              <w:t>Amortization of pension components included in the computation of net periodic pension cost</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tcPr>
          <w:p>
            <w:pPr>
              <w:ind w:left="620"/>
              <w:spacing w:after="0"/>
              <w:rPr>
                <w:sz w:val="20"/>
                <w:szCs w:val="20"/>
                <w:color w:val="auto"/>
              </w:rPr>
            </w:pPr>
            <w:r>
              <w:rPr>
                <w:rFonts w:ascii="Arial" w:cs="Arial" w:eastAsia="Arial" w:hAnsi="Arial"/>
                <w:sz w:val="18"/>
                <w:szCs w:val="18"/>
                <w:color w:val="auto"/>
              </w:rPr>
              <w:t>Actuarial losses</w:t>
            </w:r>
          </w:p>
        </w:tc>
        <w:tc>
          <w:tcPr>
            <w:tcW w:w="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4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18"/>
        </w:trPr>
        <w:tc>
          <w:tcPr>
            <w:tcW w:w="2480" w:type="dxa"/>
            <w:vAlign w:val="bottom"/>
          </w:tcPr>
          <w:p>
            <w:pPr>
              <w:spacing w:after="0"/>
              <w:rPr>
                <w:sz w:val="18"/>
                <w:szCs w:val="18"/>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480" w:type="dxa"/>
            <w:vAlign w:val="bottom"/>
          </w:tcPr>
          <w:p>
            <w:pPr>
              <w:ind w:left="420"/>
              <w:spacing w:after="0" w:line="172" w:lineRule="exact"/>
              <w:rPr>
                <w:sz w:val="20"/>
                <w:szCs w:val="20"/>
                <w:color w:val="auto"/>
              </w:rPr>
            </w:pPr>
            <w:r>
              <w:rPr>
                <w:rFonts w:ascii="Arial" w:cs="Arial" w:eastAsia="Arial" w:hAnsi="Arial"/>
                <w:sz w:val="18"/>
                <w:szCs w:val="18"/>
                <w:color w:val="auto"/>
                <w:w w:val="97"/>
              </w:rPr>
              <w:t>Total amounts reclassified</w:t>
            </w:r>
          </w:p>
        </w:tc>
        <w:tc>
          <w:tcPr>
            <w:tcW w:w="700" w:type="dxa"/>
            <w:vAlign w:val="bottom"/>
            <w:vMerge w:val="restart"/>
          </w:tcPr>
          <w:p>
            <w:pPr>
              <w:jc w:val="right"/>
              <w:ind w:right="116"/>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vMerge w:val="restart"/>
          </w:tcPr>
          <w:p>
            <w:pPr>
              <w:jc w:val="right"/>
              <w:ind w:right="176"/>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80" w:type="dxa"/>
            <w:vAlign w:val="bottom"/>
          </w:tcPr>
          <w:p>
            <w:pPr>
              <w:ind w:left="20"/>
              <w:spacing w:after="0" w:line="197" w:lineRule="exact"/>
              <w:rPr>
                <w:sz w:val="20"/>
                <w:szCs w:val="20"/>
                <w:color w:val="auto"/>
              </w:rPr>
            </w:pPr>
            <w:r>
              <w:rPr>
                <w:rFonts w:ascii="Arial" w:cs="Arial" w:eastAsia="Arial" w:hAnsi="Arial"/>
                <w:sz w:val="18"/>
                <w:szCs w:val="18"/>
                <w:color w:val="auto"/>
              </w:rPr>
              <w:t>out of AOCI, net of tax</w:t>
            </w:r>
          </w:p>
        </w:tc>
        <w:tc>
          <w:tcPr>
            <w:tcW w:w="7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Realized gains or losses on investments are determined based on the specific identification basis and are recognized in nonoperating expense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09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Earnings Per Share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6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6"/>
                <w:szCs w:val="16"/>
                <w:color w:val="auto"/>
              </w:rPr>
            </w:pPr>
          </w:p>
        </w:tc>
        <w:tc>
          <w:tcPr>
            <w:tcW w:w="2920" w:type="dxa"/>
            <w:vAlign w:val="bottom"/>
            <w:gridSpan w:val="4"/>
          </w:tcPr>
          <w:p>
            <w:pPr>
              <w:jc w:val="right"/>
              <w:ind w:right="85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July 31, 2021</w:t>
            </w:r>
          </w:p>
        </w:tc>
        <w:tc>
          <w:tcPr>
            <w:tcW w:w="5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August 1, 2020</w:t>
            </w:r>
          </w:p>
        </w:tc>
        <w:tc>
          <w:tcPr>
            <w:tcW w:w="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31, 2021</w:t>
            </w:r>
          </w:p>
        </w:tc>
        <w:tc>
          <w:tcPr>
            <w:tcW w:w="5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August 1, 2020</w:t>
            </w:r>
          </w:p>
        </w:tc>
        <w:tc>
          <w:tcPr>
            <w:tcW w:w="0" w:type="dxa"/>
            <w:vAlign w:val="bottom"/>
          </w:tcPr>
          <w:p>
            <w:pPr>
              <w:spacing w:after="0"/>
              <w:rPr>
                <w:sz w:val="1"/>
                <w:szCs w:val="1"/>
                <w:color w:val="auto"/>
              </w:rPr>
            </w:pPr>
          </w:p>
        </w:tc>
      </w:tr>
      <w:tr>
        <w:trPr>
          <w:trHeight w:val="218"/>
        </w:trPr>
        <w:tc>
          <w:tcPr>
            <w:tcW w:w="4120" w:type="dxa"/>
            <w:vAlign w:val="bottom"/>
            <w:tcBorders>
              <w:top w:val="single" w:sz="8" w:color="CCEEFF"/>
            </w:tcBorders>
            <w:shd w:val="clear" w:color="auto" w:fill="CCEEFF"/>
          </w:tcPr>
          <w:p>
            <w:pPr>
              <w:ind w:left="460"/>
              <w:spacing w:after="0" w:line="204" w:lineRule="exact"/>
              <w:rPr>
                <w:sz w:val="20"/>
                <w:szCs w:val="20"/>
                <w:color w:val="auto"/>
              </w:rPr>
            </w:pPr>
            <w:r>
              <w:rPr>
                <w:rFonts w:ascii="Arial" w:cs="Arial" w:eastAsia="Arial" w:hAnsi="Arial"/>
                <w:sz w:val="18"/>
                <w:szCs w:val="18"/>
                <w:color w:val="auto"/>
              </w:rPr>
              <w:t>Net Income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503,311</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362,665</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1,314,735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834,235</w:t>
            </w:r>
          </w:p>
        </w:tc>
        <w:tc>
          <w:tcPr>
            <w:tcW w:w="0" w:type="dxa"/>
            <w:vAlign w:val="bottom"/>
          </w:tcPr>
          <w:p>
            <w:pPr>
              <w:spacing w:after="0"/>
              <w:rPr>
                <w:sz w:val="1"/>
                <w:szCs w:val="1"/>
                <w:color w:val="auto"/>
              </w:rPr>
            </w:pPr>
          </w:p>
        </w:tc>
      </w:tr>
      <w:tr>
        <w:trPr>
          <w:trHeight w:val="224"/>
        </w:trPr>
        <w:tc>
          <w:tcPr>
            <w:tcW w:w="4120" w:type="dxa"/>
            <w:vAlign w:val="bottom"/>
          </w:tcPr>
          <w:p>
            <w:pPr>
              <w:ind w:left="460"/>
              <w:spacing w:after="0"/>
              <w:rPr>
                <w:sz w:val="20"/>
                <w:szCs w:val="20"/>
                <w:color w:val="auto"/>
              </w:rPr>
            </w:pPr>
            <w:r>
              <w:rPr>
                <w:rFonts w:ascii="Arial" w:cs="Arial" w:eastAsia="Arial" w:hAnsi="Arial"/>
                <w:sz w:val="18"/>
                <w:szCs w:val="18"/>
                <w:color w:val="auto"/>
              </w:rPr>
              <w:t>Basic shares:</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368,791</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368,417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780"/>
              <w:spacing w:after="0"/>
              <w:rPr>
                <w:sz w:val="20"/>
                <w:szCs w:val="20"/>
                <w:color w:val="auto"/>
              </w:rPr>
            </w:pPr>
            <w:r>
              <w:rPr>
                <w:rFonts w:ascii="Arial" w:cs="Arial" w:eastAsia="Arial" w:hAnsi="Arial"/>
                <w:sz w:val="18"/>
                <w:szCs w:val="18"/>
                <w:color w:val="auto"/>
              </w:rPr>
              <w:t>Earnings per common share basic:</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1.37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0.98</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3.56</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20" w:type="dxa"/>
            <w:vAlign w:val="bottom"/>
            <w:shd w:val="clear" w:color="auto" w:fill="CCEEFF"/>
          </w:tcPr>
          <w:p>
            <w:pPr>
              <w:ind w:left="460"/>
              <w:spacing w:after="0" w:line="191" w:lineRule="exact"/>
              <w:rPr>
                <w:sz w:val="20"/>
                <w:szCs w:val="20"/>
                <w:color w:val="auto"/>
              </w:rPr>
            </w:pPr>
            <w:r>
              <w:rPr>
                <w:rFonts w:ascii="Arial" w:cs="Arial" w:eastAsia="Arial" w:hAnsi="Arial"/>
                <w:sz w:val="18"/>
                <w:szCs w:val="18"/>
                <w:color w:val="auto"/>
              </w:rPr>
              <w:t>Diluted shares:</w:t>
            </w: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780"/>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368,476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368,791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368,834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368,417</w:t>
            </w:r>
          </w:p>
        </w:tc>
        <w:tc>
          <w:tcPr>
            <w:tcW w:w="0" w:type="dxa"/>
            <w:vAlign w:val="bottom"/>
          </w:tcPr>
          <w:p>
            <w:pPr>
              <w:spacing w:after="0"/>
              <w:rPr>
                <w:sz w:val="1"/>
                <w:szCs w:val="1"/>
                <w:color w:val="auto"/>
              </w:rPr>
            </w:pPr>
          </w:p>
        </w:tc>
      </w:tr>
      <w:tr>
        <w:trPr>
          <w:trHeight w:val="173"/>
        </w:trPr>
        <w:tc>
          <w:tcPr>
            <w:tcW w:w="4120" w:type="dxa"/>
            <w:vAlign w:val="bottom"/>
            <w:shd w:val="clear" w:color="auto" w:fill="CCEEFF"/>
          </w:tcPr>
          <w:p>
            <w:pPr>
              <w:ind w:left="780"/>
              <w:spacing w:after="0" w:line="173" w:lineRule="exact"/>
              <w:rPr>
                <w:sz w:val="20"/>
                <w:szCs w:val="20"/>
                <w:color w:val="auto"/>
              </w:rPr>
            </w:pPr>
            <w:r>
              <w:rPr>
                <w:rFonts w:ascii="Arial" w:cs="Arial" w:eastAsia="Arial" w:hAnsi="Arial"/>
                <w:sz w:val="18"/>
                <w:szCs w:val="18"/>
                <w:color w:val="auto"/>
              </w:rPr>
              <w:t>Assumed exercise of common stock</w:t>
            </w:r>
          </w:p>
        </w:tc>
        <w:tc>
          <w:tcPr>
            <w:tcW w:w="6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equivalents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120" w:type="dxa"/>
            <w:vAlign w:val="bottom"/>
          </w:tcPr>
          <w:p>
            <w:pPr>
              <w:ind w:left="780"/>
              <w:spacing w:after="0" w:line="153" w:lineRule="exact"/>
              <w:rPr>
                <w:sz w:val="20"/>
                <w:szCs w:val="20"/>
                <w:color w:val="auto"/>
              </w:rPr>
            </w:pPr>
            <w:r>
              <w:rPr>
                <w:rFonts w:ascii="Arial" w:cs="Arial" w:eastAsia="Arial" w:hAnsi="Arial"/>
                <w:sz w:val="17"/>
                <w:szCs w:val="17"/>
                <w:color w:val="auto"/>
              </w:rPr>
              <w:t>Weighted-average common and common</w:t>
            </w:r>
          </w:p>
        </w:tc>
        <w:tc>
          <w:tcPr>
            <w:tcW w:w="6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371,849</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372,003</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372,457</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371,857</w:t>
            </w:r>
          </w:p>
        </w:tc>
        <w:tc>
          <w:tcPr>
            <w:tcW w:w="0" w:type="dxa"/>
            <w:vAlign w:val="bottom"/>
          </w:tcPr>
          <w:p>
            <w:pPr>
              <w:spacing w:after="0"/>
              <w:rPr>
                <w:sz w:val="1"/>
                <w:szCs w:val="1"/>
                <w:color w:val="auto"/>
              </w:rPr>
            </w:pPr>
          </w:p>
        </w:tc>
      </w:tr>
      <w:tr>
        <w:trPr>
          <w:trHeight w:val="197"/>
        </w:trPr>
        <w:tc>
          <w:tcPr>
            <w:tcW w:w="4120" w:type="dxa"/>
            <w:vAlign w:val="bottom"/>
          </w:tcPr>
          <w:p>
            <w:pPr>
              <w:ind w:left="340"/>
              <w:spacing w:after="0" w:line="197" w:lineRule="exact"/>
              <w:rPr>
                <w:sz w:val="20"/>
                <w:szCs w:val="20"/>
                <w:color w:val="auto"/>
              </w:rPr>
            </w:pPr>
            <w:r>
              <w:rPr>
                <w:rFonts w:ascii="Arial" w:cs="Arial" w:eastAsia="Arial" w:hAnsi="Arial"/>
                <w:sz w:val="18"/>
                <w:szCs w:val="18"/>
                <w:color w:val="auto"/>
              </w:rPr>
              <w:t>equivalent shares</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120" w:type="dxa"/>
            <w:vAlign w:val="bottom"/>
            <w:tcBorders>
              <w:bottom w:val="single" w:sz="8" w:color="CCEEFF"/>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Earnings per common share diluted:</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Anti-dilutive shares related to:</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12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Outstanding stock-based awards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 net</w:t>
      </w:r>
    </w:p>
    <w:p>
      <w:pPr>
        <w:spacing w:after="0" w:line="169" w:lineRule="exact"/>
        <w:rPr>
          <w:sz w:val="20"/>
          <w:szCs w:val="20"/>
          <w:color w:val="auto"/>
        </w:rPr>
      </w:pPr>
    </w:p>
    <w:p>
      <w:pPr>
        <w:ind w:right="380" w:firstLine="436"/>
        <w:spacing w:after="0" w:line="262" w:lineRule="auto"/>
        <w:rPr>
          <w:sz w:val="20"/>
          <w:szCs w:val="20"/>
          <w:color w:val="auto"/>
        </w:rPr>
      </w:pPr>
      <w:r>
        <w:rPr>
          <w:rFonts w:ascii="Arial" w:cs="Arial" w:eastAsia="Arial" w:hAnsi="Arial"/>
          <w:sz w:val="18"/>
          <w:szCs w:val="18"/>
          <w:color w:val="auto"/>
        </w:rPr>
        <w:t>The following table is a quarterly roll-forward from October 31, 2020 to July 31, 2021 of the employee separation and exit cost accruals established related to existing restructuring actions:</w:t>
      </w:r>
    </w:p>
    <w:tbl>
      <w:tblPr>
        <w:tblLayout w:type="fixed"/>
        <w:tblInd w:w="0" w:type="dxa"/>
        <w:tblCellMar>
          <w:top w:w="0" w:type="dxa"/>
          <w:left w:w="0" w:type="dxa"/>
          <w:bottom w:w="0" w:type="dxa"/>
          <w:right w:w="0" w:type="dxa"/>
        </w:tblCellMar>
      </w:tblPr>
      <w:tr>
        <w:trPr>
          <w:trHeight w:val="141"/>
        </w:trPr>
        <w:tc>
          <w:tcPr>
            <w:tcW w:w="46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160" w:type="dxa"/>
            <w:vAlign w:val="bottom"/>
            <w:gridSpan w:val="3"/>
          </w:tcPr>
          <w:p>
            <w:pPr>
              <w:ind w:left="460"/>
              <w:spacing w:after="0" w:line="141" w:lineRule="exact"/>
              <w:rPr>
                <w:sz w:val="20"/>
                <w:szCs w:val="20"/>
                <w:color w:val="auto"/>
              </w:rPr>
            </w:pPr>
            <w:r>
              <w:rPr>
                <w:rFonts w:ascii="Arial" w:cs="Arial" w:eastAsia="Arial" w:hAnsi="Arial"/>
                <w:sz w:val="14"/>
                <w:szCs w:val="14"/>
                <w:b w:val="1"/>
                <w:bCs w:val="1"/>
                <w:color w:val="auto"/>
                <w:w w:val="99"/>
              </w:rPr>
              <w:t>Closure of Manufacturing</w:t>
            </w:r>
          </w:p>
        </w:tc>
        <w:tc>
          <w:tcPr>
            <w:tcW w:w="580" w:type="dxa"/>
            <w:vAlign w:val="bottom"/>
          </w:tcPr>
          <w:p>
            <w:pPr>
              <w:spacing w:after="0"/>
              <w:rPr>
                <w:sz w:val="12"/>
                <w:szCs w:val="12"/>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Repositioning Action</w:t>
            </w:r>
          </w:p>
        </w:tc>
        <w:tc>
          <w:tcPr>
            <w:tcW w:w="680" w:type="dxa"/>
            <w:vAlign w:val="bottom"/>
          </w:tcPr>
          <w:p>
            <w:pPr>
              <w:spacing w:after="0"/>
              <w:rPr>
                <w:sz w:val="12"/>
                <w:szCs w:val="12"/>
                <w:color w:val="auto"/>
              </w:rPr>
            </w:pPr>
          </w:p>
        </w:tc>
        <w:tc>
          <w:tcPr>
            <w:tcW w:w="136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Other Actions</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Facilities</w:t>
            </w:r>
          </w:p>
        </w:tc>
        <w:tc>
          <w:tcPr>
            <w:tcW w:w="5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2020</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20" w:type="dxa"/>
            <w:vAlign w:val="bottom"/>
            <w:gridSpan w:val="2"/>
          </w:tcPr>
          <w:p>
            <w:pPr>
              <w:spacing w:after="0" w:line="204" w:lineRule="exact"/>
              <w:rPr>
                <w:sz w:val="20"/>
                <w:szCs w:val="20"/>
                <w:color w:val="auto"/>
              </w:rPr>
            </w:pPr>
            <w:r>
              <w:rPr>
                <w:rFonts w:ascii="Arial" w:cs="Arial" w:eastAsia="Arial" w:hAnsi="Arial"/>
                <w:sz w:val="18"/>
                <w:szCs w:val="18"/>
                <w:color w:val="auto"/>
              </w:rPr>
              <w:t>First quarter fiscal 2021 special charges</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6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420" w:type="dxa"/>
            <w:vAlign w:val="bottom"/>
            <w:gridSpan w:val="2"/>
          </w:tcPr>
          <w:p>
            <w:pPr>
              <w:spacing w:after="0" w:line="204" w:lineRule="exact"/>
              <w:rPr>
                <w:sz w:val="20"/>
                <w:szCs w:val="20"/>
                <w:color w:val="auto"/>
              </w:rPr>
            </w:pPr>
            <w:r>
              <w:rPr>
                <w:rFonts w:ascii="Arial" w:cs="Arial" w:eastAsia="Arial" w:hAnsi="Arial"/>
                <w:sz w:val="18"/>
                <w:szCs w:val="18"/>
                <w:color w:val="auto"/>
              </w:rPr>
              <w:t>Second quarter fiscal 2021 special charges</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46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6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May 1, 2021</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420" w:type="dxa"/>
            <w:vAlign w:val="bottom"/>
            <w:gridSpan w:val="2"/>
          </w:tcPr>
          <w:p>
            <w:pPr>
              <w:spacing w:after="0" w:line="204" w:lineRule="exact"/>
              <w:rPr>
                <w:sz w:val="20"/>
                <w:szCs w:val="20"/>
                <w:color w:val="auto"/>
              </w:rPr>
            </w:pPr>
            <w:r>
              <w:rPr>
                <w:rFonts w:ascii="Arial" w:cs="Arial" w:eastAsia="Arial" w:hAnsi="Arial"/>
                <w:sz w:val="18"/>
                <w:szCs w:val="18"/>
                <w:color w:val="auto"/>
              </w:rPr>
              <w:t>Third quarter fiscal 2021 special charges</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6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6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4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July 31, 2021</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Accrued liabilities</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vMerge w:val="continue"/>
          </w:tcPr>
          <w:p>
            <w:pPr>
              <w:spacing w:after="0"/>
              <w:rPr>
                <w:sz w:val="17"/>
                <w:szCs w:val="17"/>
                <w:color w:val="auto"/>
              </w:rPr>
            </w:pPr>
          </w:p>
        </w:tc>
        <w:tc>
          <w:tcPr>
            <w:tcW w:w="4420" w:type="dxa"/>
            <w:vAlign w:val="bottom"/>
            <w:gridSpan w:val="2"/>
            <w:vMerge w:val="continue"/>
          </w:tcPr>
          <w:p>
            <w:pPr>
              <w:spacing w:after="0"/>
              <w:rPr>
                <w:sz w:val="17"/>
                <w:szCs w:val="17"/>
                <w:color w:val="auto"/>
              </w:rPr>
            </w:pPr>
          </w:p>
        </w:tc>
        <w:tc>
          <w:tcPr>
            <w:tcW w:w="640" w:type="dxa"/>
            <w:vAlign w:val="bottom"/>
            <w:tcBorders>
              <w:bottom w:val="single" w:sz="8" w:color="auto"/>
            </w:tcBorders>
          </w:tcPr>
          <w:p>
            <w:pPr>
              <w:ind w:left="460"/>
              <w:spacing w:after="0" w:line="197"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26,875</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7,881</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2"/>
              <w:spacing w:after="0" w:line="197"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200" w:firstLine="396"/>
        <w:spacing w:after="0" w:line="254" w:lineRule="auto"/>
        <w:rPr>
          <w:sz w:val="20"/>
          <w:szCs w:val="20"/>
          <w:color w:val="auto"/>
        </w:rPr>
      </w:pPr>
      <w:r>
        <w:rPr>
          <w:rFonts w:ascii="Arial" w:cs="Arial" w:eastAsia="Arial" w:hAnsi="Arial"/>
          <w:sz w:val="18"/>
          <w:szCs w:val="18"/>
          <w:color w:val="auto"/>
        </w:rPr>
        <w:t>Special charges, net, for the quarter ended July 31, 2021 was a net gain of $8.9 million, which included charges of $4.6 million related to the closure of the Company’s manufacturing facilities reflected in the table above as well as a gain of $13.6 million related to the sale of the Company’s Singapore test facility described further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63" w:lineRule="exact"/>
        <w:rPr>
          <w:sz w:val="20"/>
          <w:szCs w:val="20"/>
          <w:color w:val="auto"/>
        </w:rPr>
      </w:pPr>
    </w:p>
    <w:p>
      <w:pPr>
        <w:ind w:right="80" w:firstLine="396"/>
        <w:spacing w:after="0" w:line="248" w:lineRule="auto"/>
        <w:rPr>
          <w:sz w:val="20"/>
          <w:szCs w:val="20"/>
          <w:color w:val="auto"/>
        </w:rPr>
      </w:pPr>
      <w:r>
        <w:rPr>
          <w:rFonts w:ascii="Arial" w:cs="Arial" w:eastAsia="Arial" w:hAnsi="Arial"/>
          <w:sz w:val="18"/>
          <w:szCs w:val="18"/>
          <w:color w:val="auto"/>
        </w:rPr>
        <w:t>The Company recorded special charges of $137.5 million on a cumulative basis through July 31, 2021, as a result of organizational initiatives to better align the global workforce with the Company's long-term strategic plan. Approximately $123.3 million of the total charges was for severance and fringe benefit costs in accordance with either the Company's ongoing benefit plan or statutory requirements for the impacted manufacturing, engineering and selling, marketing, general and administrative (SMG&amp;A) employees. The remaining $14.2 million of the charges were recorded in the fiscal year ended November 2, 2019 (fiscal 2019) and related to the write-off of acquired intellectual property due to the Company's decision to discontinue certain product development strategies.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63" w:lineRule="exact"/>
        <w:rPr>
          <w:sz w:val="20"/>
          <w:szCs w:val="20"/>
          <w:color w:val="auto"/>
        </w:rPr>
      </w:pPr>
    </w:p>
    <w:p>
      <w:pPr>
        <w:ind w:right="140" w:firstLine="396"/>
        <w:spacing w:after="0" w:line="263" w:lineRule="auto"/>
        <w:rPr>
          <w:sz w:val="20"/>
          <w:szCs w:val="20"/>
          <w:color w:val="auto"/>
        </w:rPr>
      </w:pPr>
      <w:r>
        <w:rPr>
          <w:rFonts w:ascii="Arial" w:cs="Arial" w:eastAsia="Arial" w:hAnsi="Arial"/>
          <w:sz w:val="18"/>
          <w:szCs w:val="18"/>
          <w:color w:val="auto"/>
        </w:rPr>
        <w:t>The Company recorded net special charges of $46.8 million on a cumulative basis through July 31, 2021 as a result of its decision to consolidate certain wafer and test facility operations acquired as part of the acquisition of Linear Technology Corporation (Linear).</w:t>
      </w:r>
    </w:p>
    <w:p>
      <w:pPr>
        <w:spacing w:after="0" w:line="75" w:lineRule="exact"/>
        <w:rPr>
          <w:sz w:val="20"/>
          <w:szCs w:val="20"/>
          <w:color w:val="auto"/>
        </w:rPr>
      </w:pPr>
    </w:p>
    <w:p>
      <w:pPr>
        <w:ind w:right="320" w:firstLine="396"/>
        <w:spacing w:after="0" w:line="276" w:lineRule="auto"/>
        <w:rPr>
          <w:sz w:val="20"/>
          <w:szCs w:val="20"/>
          <w:color w:val="auto"/>
        </w:rPr>
      </w:pPr>
      <w:r>
        <w:rPr>
          <w:rFonts w:ascii="Arial" w:cs="Arial" w:eastAsia="Arial" w:hAnsi="Arial"/>
          <w:sz w:val="17"/>
          <w:szCs w:val="17"/>
          <w:color w:val="auto"/>
        </w:rPr>
        <w:t>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65" w:lineRule="exact"/>
        <w:rPr>
          <w:sz w:val="20"/>
          <w:szCs w:val="20"/>
          <w:color w:val="auto"/>
        </w:rPr>
      </w:pPr>
    </w:p>
    <w:p>
      <w:pPr>
        <w:ind w:right="500" w:firstLine="396"/>
        <w:spacing w:after="0" w:line="254" w:lineRule="auto"/>
        <w:rPr>
          <w:sz w:val="20"/>
          <w:szCs w:val="20"/>
          <w:color w:val="auto"/>
        </w:rPr>
      </w:pPr>
      <w:r>
        <w:rPr>
          <w:rFonts w:ascii="Arial" w:cs="Arial" w:eastAsia="Arial" w:hAnsi="Arial"/>
          <w:sz w:val="18"/>
          <w:szCs w:val="18"/>
          <w:color w:val="auto"/>
        </w:rPr>
        <w:t xml:space="preserve">During the third quarter of fiscal 2021, the Company ceased production at its Hillview wafer fabrication facility located in Milpitas, California and determined that this facility met the held for sale criteria specified in Accounting Standards Codification (ASC ) 360. See Note 6 - </w:t>
      </w:r>
      <w:r>
        <w:rPr>
          <w:rFonts w:ascii="Arial" w:cs="Arial" w:eastAsia="Arial" w:hAnsi="Arial"/>
          <w:sz w:val="18"/>
          <w:szCs w:val="18"/>
          <w:i w:val="1"/>
          <w:iCs w:val="1"/>
          <w:color w:val="auto"/>
        </w:rPr>
        <w:t>Property, Plant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w:t>
      </w:r>
      <w:r>
        <w:rPr>
          <w:rFonts w:ascii="Arial" w:cs="Arial" w:eastAsia="Arial" w:hAnsi="Arial"/>
          <w:sz w:val="18"/>
          <w:szCs w:val="18"/>
          <w:color w:val="auto"/>
        </w:rPr>
        <w:t>for amounts reclassified.</w:t>
      </w:r>
    </w:p>
    <w:p>
      <w:pPr>
        <w:spacing w:after="0" w:line="82" w:lineRule="exact"/>
        <w:rPr>
          <w:sz w:val="20"/>
          <w:szCs w:val="20"/>
          <w:color w:val="auto"/>
        </w:rPr>
      </w:pPr>
    </w:p>
    <w:p>
      <w:pPr>
        <w:ind w:right="40" w:firstLine="396"/>
        <w:spacing w:after="0" w:line="317" w:lineRule="auto"/>
        <w:rPr>
          <w:sz w:val="20"/>
          <w:szCs w:val="20"/>
          <w:color w:val="auto"/>
        </w:rPr>
      </w:pPr>
      <w:r>
        <w:rPr>
          <w:rFonts w:ascii="Arial" w:cs="Arial" w:eastAsia="Arial" w:hAnsi="Arial"/>
          <w:sz w:val="15"/>
          <w:szCs w:val="15"/>
          <w:color w:val="auto"/>
        </w:rPr>
        <w:t>During the third quarter of fiscal 2021, the Company completed the sale of its facility and certain equipment in Singapore, that were previously classified as held for sale, for approximately $35.7 million, which resulted in a gain of $13.6 million. Concurrent with the sale, the Company entered into a short-term lease agreement to leaseback a portion of the facility while it completes its transition of related operations to its facilities in Penang, Malaysia and the Philippines, as well as to its outsourced assembly and test partners, which is expected to be competed in the fiscal year ending October 29, 2022 (fiscal 2022).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103" w:lineRule="exact"/>
        <w:rPr>
          <w:sz w:val="20"/>
          <w:szCs w:val="20"/>
          <w:color w:val="auto"/>
        </w:rPr>
      </w:pPr>
    </w:p>
    <w:p>
      <w:pPr>
        <w:ind w:right="260" w:firstLine="396"/>
        <w:spacing w:after="0" w:line="317" w:lineRule="auto"/>
        <w:rPr>
          <w:sz w:val="20"/>
          <w:szCs w:val="20"/>
          <w:color w:val="auto"/>
        </w:rPr>
      </w:pPr>
      <w:r>
        <w:rPr>
          <w:rFonts w:ascii="Arial" w:cs="Arial" w:eastAsia="Arial" w:hAnsi="Arial"/>
          <w:sz w:val="15"/>
          <w:szCs w:val="15"/>
          <w:color w:val="auto"/>
        </w:rPr>
        <w:t>During the third quarter of fiscal 2021, the Company ceased production at its Hillview wafer fabrication facility located in Milpitas, California and determined that this facility met the held for sale criteria specified in ASC 360. No write-down to fair value was required upon this designation, as the fair value of the asset group, less costs to sell, was greater than its carrying value. As shown below, this carrying value was reclassified from Property, plant and equipment to Prepaid expenses and other current assets upon designation and remains in Prepaid expenses and other current assets as of July 31,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90"/>
              </w:rPr>
              <w:t>42,608</w:t>
            </w:r>
          </w:p>
        </w:tc>
      </w:tr>
      <w:tr>
        <w:trPr>
          <w:trHeight w:val="224"/>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9"/>
              </w:rPr>
              <w:t>(13,634)</w:t>
            </w:r>
          </w:p>
        </w:tc>
      </w:tr>
      <w:tr>
        <w:trPr>
          <w:trHeight w:val="243"/>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0"/>
              </w:rPr>
              <w:t>28,974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16" w:lineRule="exact"/>
        <w:rPr>
          <w:sz w:val="20"/>
          <w:szCs w:val="20"/>
          <w:color w:val="auto"/>
        </w:rPr>
      </w:pPr>
    </w:p>
    <w:p>
      <w:pPr>
        <w:ind w:right="440" w:firstLine="396"/>
        <w:spacing w:after="0" w:line="263" w:lineRule="auto"/>
        <w:rPr>
          <w:sz w:val="20"/>
          <w:szCs w:val="20"/>
          <w:color w:val="auto"/>
        </w:rPr>
      </w:pPr>
      <w:r>
        <w:rPr>
          <w:rFonts w:ascii="Arial" w:cs="Arial" w:eastAsia="Arial" w:hAnsi="Arial"/>
          <w:sz w:val="18"/>
          <w:szCs w:val="18"/>
          <w:color w:val="auto"/>
        </w:rPr>
        <w:t>The Company designs, develops, manufactures and markets a broad range of integrated circuits. The Company operates and tracks its results in one reportable segment based on the aggregation of nine operating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0" w:lineRule="exact"/>
        <w:rPr>
          <w:sz w:val="20"/>
          <w:szCs w:val="20"/>
          <w:color w:val="auto"/>
        </w:rPr>
      </w:pPr>
    </w:p>
    <w:p>
      <w:pPr>
        <w:ind w:right="40" w:firstLine="436"/>
        <w:spacing w:after="0" w:line="302" w:lineRule="auto"/>
        <w:rPr>
          <w:sz w:val="20"/>
          <w:szCs w:val="20"/>
          <w:color w:val="auto"/>
        </w:rPr>
      </w:pPr>
      <w:r>
        <w:rPr>
          <w:rFonts w:ascii="Arial" w:cs="Arial" w:eastAsia="Arial" w:hAnsi="Arial"/>
          <w:sz w:val="15"/>
          <w:szCs w:val="15"/>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r>
      <w:tr>
        <w:trPr>
          <w:trHeight w:val="183"/>
        </w:trPr>
        <w:tc>
          <w:tcPr>
            <w:tcW w:w="27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2021</w:t>
            </w: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89"/>
              </w:rPr>
              <w:t>August 1, 2020</w:t>
            </w: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r>
      <w:tr>
        <w:trPr>
          <w:trHeight w:val="178"/>
        </w:trPr>
        <w:tc>
          <w:tcPr>
            <w:tcW w:w="27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 of Revenue*</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ind w:left="630"/>
              <w:spacing w:after="0"/>
              <w:rPr>
                <w:sz w:val="20"/>
                <w:szCs w:val="20"/>
                <w:color w:val="auto"/>
              </w:rPr>
            </w:pPr>
            <w:r>
              <w:rPr>
                <w:rFonts w:ascii="Arial" w:cs="Arial" w:eastAsia="Arial" w:hAnsi="Arial"/>
                <w:sz w:val="14"/>
                <w:szCs w:val="14"/>
                <w:b w:val="1"/>
                <w:bCs w:val="1"/>
                <w:color w:val="auto"/>
              </w:rPr>
              <w:t>Y/Y%</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2"/>
              </w:rPr>
              <w:t>% of Revenue*</w:t>
            </w:r>
          </w:p>
        </w:tc>
      </w:tr>
      <w:tr>
        <w:trPr>
          <w:trHeight w:val="218"/>
        </w:trPr>
        <w:tc>
          <w:tcPr>
            <w:tcW w:w="272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Industrial</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1,001,867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29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778,361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720" w:type="dxa"/>
            <w:vAlign w:val="bottom"/>
          </w:tcPr>
          <w:p>
            <w:pPr>
              <w:ind w:left="460"/>
              <w:spacing w:after="0"/>
              <w:rPr>
                <w:sz w:val="20"/>
                <w:szCs w:val="20"/>
                <w:color w:val="auto"/>
              </w:rPr>
            </w:pPr>
            <w:r>
              <w:rPr>
                <w:rFonts w:ascii="Arial" w:cs="Arial" w:eastAsia="Arial" w:hAnsi="Arial"/>
                <w:sz w:val="18"/>
                <w:szCs w:val="18"/>
                <w:color w:val="auto"/>
              </w:rPr>
              <w:t>Communications</w:t>
            </w:r>
          </w:p>
        </w:tc>
        <w:tc>
          <w:tcPr>
            <w:tcW w:w="7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288,743</w:t>
            </w:r>
          </w:p>
        </w:tc>
        <w:tc>
          <w:tcPr>
            <w:tcW w:w="100" w:type="dxa"/>
            <w:vAlign w:val="bottom"/>
          </w:tcPr>
          <w:p>
            <w:pPr>
              <w:spacing w:after="0"/>
              <w:rPr>
                <w:sz w:val="19"/>
                <w:szCs w:val="19"/>
                <w:color w:val="auto"/>
              </w:rPr>
            </w:pP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363,304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ind w:right="155"/>
              <w:spacing w:after="0"/>
              <w:rPr>
                <w:sz w:val="20"/>
                <w:szCs w:val="20"/>
                <w:color w:val="auto"/>
              </w:rPr>
            </w:pPr>
            <w:r>
              <w:rPr>
                <w:rFonts w:ascii="Arial" w:cs="Arial" w:eastAsia="Arial" w:hAnsi="Arial"/>
                <w:sz w:val="18"/>
                <w:szCs w:val="18"/>
                <w:color w:val="auto"/>
              </w:rPr>
              <w:t>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Automotive</w:t>
            </w:r>
          </w:p>
        </w:tc>
        <w:tc>
          <w:tcPr>
            <w:tcW w:w="7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79"/>
              </w:rPr>
              <w:t>80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Consumer</w:t>
            </w: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6"/>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tcPr>
          <w:p>
            <w:pPr>
              <w:jc w:val="center"/>
              <w:ind w:left="152"/>
              <w:spacing w:after="0"/>
              <w:rPr>
                <w:sz w:val="20"/>
                <w:szCs w:val="20"/>
                <w:color w:val="auto"/>
              </w:rPr>
            </w:pPr>
            <w:r>
              <w:rPr>
                <w:rFonts w:ascii="Arial" w:cs="Arial" w:eastAsia="Arial" w:hAnsi="Arial"/>
                <w:sz w:val="18"/>
                <w:szCs w:val="18"/>
                <w:color w:val="auto"/>
                <w:w w:val="79"/>
              </w:rPr>
              <w:t>16</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1,758,853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rPr>
              <w:t>100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gridSpan w:val="2"/>
            <w:shd w:val="clear" w:color="auto" w:fill="CCEEFF"/>
          </w:tcPr>
          <w:p>
            <w:pPr>
              <w:jc w:val="center"/>
              <w:ind w:left="152"/>
              <w:spacing w:after="0"/>
              <w:rPr>
                <w:sz w:val="20"/>
                <w:szCs w:val="20"/>
                <w:color w:val="auto"/>
              </w:rPr>
            </w:pPr>
            <w:r>
              <w:rPr>
                <w:rFonts w:ascii="Arial" w:cs="Arial" w:eastAsia="Arial" w:hAnsi="Arial"/>
                <w:sz w:val="18"/>
                <w:szCs w:val="18"/>
                <w:b w:val="1"/>
                <w:bCs w:val="1"/>
                <w:color w:val="auto"/>
                <w:w w:val="79"/>
              </w:rPr>
              <w:t>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1,456,136</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r>
        <w:trPr>
          <w:trHeight w:val="896"/>
        </w:trPr>
        <w:tc>
          <w:tcPr>
            <w:tcW w:w="2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3"/>
        </w:trPr>
        <w:tc>
          <w:tcPr>
            <w:tcW w:w="27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Nine Months Ended</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3"/>
        </w:trPr>
        <w:tc>
          <w:tcPr>
            <w:tcW w:w="4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July 31, 2021</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675"/>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Borders>
              <w:bottom w:val="single" w:sz="8" w:color="auto"/>
            </w:tcBorders>
          </w:tcPr>
          <w:p>
            <w:pPr>
              <w:spacing w:after="0"/>
              <w:rPr>
                <w:sz w:val="15"/>
                <w:szCs w:val="15"/>
                <w:color w:val="auto"/>
              </w:rPr>
            </w:pPr>
          </w:p>
        </w:tc>
      </w:tr>
      <w:tr>
        <w:trPr>
          <w:trHeight w:val="178"/>
        </w:trPr>
        <w:tc>
          <w:tcPr>
            <w:tcW w:w="43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Y/Y%</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5"/>
                <w:szCs w:val="15"/>
                <w:color w:val="auto"/>
              </w:rPr>
            </w:pPr>
          </w:p>
        </w:tc>
      </w:tr>
      <w:tr>
        <w:trPr>
          <w:trHeight w:val="218"/>
        </w:trPr>
        <w:tc>
          <w:tcPr>
            <w:tcW w:w="43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2,829,648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2,184,413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436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847,632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880,633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5"/>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793,443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507,995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463,713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4,978,718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4,076,761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84" w:lineRule="exact"/>
        <w:rPr>
          <w:sz w:val="20"/>
          <w:szCs w:val="20"/>
          <w:color w:val="auto"/>
        </w:rPr>
      </w:pPr>
    </w:p>
    <w:p>
      <w:pPr>
        <w:ind w:right="260" w:firstLine="396"/>
        <w:spacing w:after="0" w:line="268" w:lineRule="auto"/>
        <w:rPr>
          <w:sz w:val="20"/>
          <w:szCs w:val="20"/>
          <w:color w:val="auto"/>
        </w:rPr>
      </w:pPr>
      <w:r>
        <w:rPr>
          <w:rFonts w:ascii="Arial" w:cs="Arial" w:eastAsia="Arial" w:hAnsi="Arial"/>
          <w:sz w:val="17"/>
          <w:szCs w:val="17"/>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2"/>
        </w:trPr>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7"/>
              </w:rPr>
              <w:t>July 31, 2021</w:t>
            </w: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August 1, 2020</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66"/>
        </w:trPr>
        <w:tc>
          <w:tcPr>
            <w:tcW w:w="3520" w:type="dxa"/>
            <w:vAlign w:val="bottom"/>
            <w:gridSpan w:val="3"/>
          </w:tcPr>
          <w:p>
            <w:pPr>
              <w:ind w:left="420"/>
              <w:spacing w:after="0" w:line="166" w:lineRule="exact"/>
              <w:rPr>
                <w:sz w:val="20"/>
                <w:szCs w:val="20"/>
                <w:color w:val="auto"/>
              </w:rPr>
            </w:pPr>
            <w:r>
              <w:rPr>
                <w:rFonts w:ascii="Arial" w:cs="Arial" w:eastAsia="Arial" w:hAnsi="Arial"/>
                <w:sz w:val="18"/>
                <w:szCs w:val="18"/>
                <w:color w:val="auto"/>
              </w:rPr>
              <w:t>Channel</w:t>
            </w:r>
          </w:p>
        </w:tc>
        <w:tc>
          <w:tcPr>
            <w:tcW w:w="70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Pr>
          <w:p>
            <w:pPr>
              <w:spacing w:after="0"/>
              <w:rPr>
                <w:sz w:val="14"/>
                <w:szCs w:val="14"/>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42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1,123,301</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819,472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tcPr>
          <w:p>
            <w:pPr>
              <w:spacing w:after="0"/>
              <w:rPr>
                <w:sz w:val="19"/>
                <w:szCs w:val="19"/>
                <w:color w:val="auto"/>
              </w:rPr>
            </w:pPr>
          </w:p>
        </w:tc>
        <w:tc>
          <w:tcPr>
            <w:tcW w:w="310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588,001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614,770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20" w:type="dxa"/>
            <w:vAlign w:val="bottom"/>
            <w:shd w:val="clear" w:color="auto" w:fill="CCEEFF"/>
          </w:tcPr>
          <w:p>
            <w:pPr>
              <w:spacing w:after="0"/>
              <w:rPr>
                <w:sz w:val="19"/>
                <w:szCs w:val="19"/>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47,551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52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1,758,853</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1,456,136</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91"/>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82"/>
        </w:trPr>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7"/>
              </w:rPr>
              <w:t>July 31, 2021</w:t>
            </w: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3"/>
              </w:rPr>
              <w:t>August 1, 2020</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66"/>
        </w:trPr>
        <w:tc>
          <w:tcPr>
            <w:tcW w:w="3520" w:type="dxa"/>
            <w:vAlign w:val="bottom"/>
            <w:gridSpan w:val="3"/>
          </w:tcPr>
          <w:p>
            <w:pPr>
              <w:ind w:left="420"/>
              <w:spacing w:after="0" w:line="166" w:lineRule="exact"/>
              <w:rPr>
                <w:sz w:val="20"/>
                <w:szCs w:val="20"/>
                <w:color w:val="auto"/>
              </w:rPr>
            </w:pPr>
            <w:r>
              <w:rPr>
                <w:rFonts w:ascii="Arial" w:cs="Arial" w:eastAsia="Arial" w:hAnsi="Arial"/>
                <w:sz w:val="18"/>
                <w:szCs w:val="18"/>
                <w:color w:val="auto"/>
              </w:rPr>
              <w:t>Channel</w:t>
            </w:r>
          </w:p>
        </w:tc>
        <w:tc>
          <w:tcPr>
            <w:tcW w:w="70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spacing w:after="0"/>
              <w:rPr>
                <w:sz w:val="14"/>
                <w:szCs w:val="14"/>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Pr>
          <w:p>
            <w:pPr>
              <w:spacing w:after="0"/>
              <w:rPr>
                <w:sz w:val="14"/>
                <w:szCs w:val="14"/>
                <w:color w:val="auto"/>
              </w:rPr>
            </w:pPr>
          </w:p>
        </w:tc>
      </w:tr>
      <w:tr>
        <w:trPr>
          <w:trHeight w:val="20"/>
        </w:trPr>
        <w:tc>
          <w:tcPr>
            <w:tcW w:w="4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17"/>
        </w:trPr>
        <w:tc>
          <w:tcPr>
            <w:tcW w:w="3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Distributors</w:t>
            </w:r>
          </w:p>
        </w:tc>
        <w:tc>
          <w:tcPr>
            <w:tcW w:w="7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3,162,615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2,317,421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520" w:type="dxa"/>
            <w:vAlign w:val="bottom"/>
            <w:gridSpan w:val="3"/>
          </w:tcPr>
          <w:p>
            <w:pPr>
              <w:ind w:left="420"/>
              <w:spacing w:after="0"/>
              <w:rPr>
                <w:sz w:val="20"/>
                <w:szCs w:val="20"/>
                <w:color w:val="auto"/>
              </w:rPr>
            </w:pPr>
            <w:r>
              <w:rPr>
                <w:rFonts w:ascii="Arial" w:cs="Arial" w:eastAsia="Arial" w:hAnsi="Arial"/>
                <w:sz w:val="18"/>
                <w:szCs w:val="18"/>
                <w:color w:val="auto"/>
              </w:rPr>
              <w:t>Direct customers</w:t>
            </w:r>
          </w:p>
        </w:tc>
        <w:tc>
          <w:tcPr>
            <w:tcW w:w="7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1,724,012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ind w:right="56"/>
              <w:spacing w:after="0"/>
              <w:rPr>
                <w:sz w:val="20"/>
                <w:szCs w:val="20"/>
                <w:color w:val="auto"/>
              </w:rPr>
            </w:pPr>
            <w:r>
              <w:rPr>
                <w:rFonts w:ascii="Arial" w:cs="Arial" w:eastAsia="Arial" w:hAnsi="Arial"/>
                <w:sz w:val="18"/>
                <w:szCs w:val="18"/>
                <w:color w:val="auto"/>
              </w:rPr>
              <w:t>35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1,692,152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336"/>
              <w:spacing w:after="0"/>
              <w:rPr>
                <w:sz w:val="20"/>
                <w:szCs w:val="20"/>
                <w:color w:val="auto"/>
              </w:rPr>
            </w:pPr>
            <w:r>
              <w:rPr>
                <w:rFonts w:ascii="Arial" w:cs="Arial" w:eastAsia="Arial" w:hAnsi="Arial"/>
                <w:sz w:val="18"/>
                <w:szCs w:val="18"/>
                <w:color w:val="auto"/>
              </w:rPr>
              <w:t>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92,091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67,188</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3520" w:type="dxa"/>
            <w:vAlign w:val="bottom"/>
            <w:gridSpan w:val="3"/>
          </w:tcPr>
          <w:p>
            <w:pPr>
              <w:ind w:left="420"/>
              <w:spacing w:after="0"/>
              <w:rPr>
                <w:sz w:val="20"/>
                <w:szCs w:val="20"/>
                <w:color w:val="auto"/>
              </w:rPr>
            </w:pPr>
            <w:r>
              <w:rPr>
                <w:rFonts w:ascii="Arial" w:cs="Arial" w:eastAsia="Arial" w:hAnsi="Arial"/>
                <w:sz w:val="18"/>
                <w:szCs w:val="18"/>
                <w:b w:val="1"/>
                <w:bCs w:val="1"/>
                <w:color w:val="auto"/>
              </w:rPr>
              <w:t>Total revenue</w:t>
            </w: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4,978,718</w:t>
            </w: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100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4,076,761</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b w:val="1"/>
                <w:bCs w:val="1"/>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-123190</wp:posOffset>
            </wp:positionV>
            <wp:extent cx="49047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0474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69" w:lineRule="exact"/>
        <w:rPr>
          <w:sz w:val="20"/>
          <w:szCs w:val="20"/>
          <w:color w:val="auto"/>
        </w:rPr>
      </w:pPr>
    </w:p>
    <w:p>
      <w:pPr>
        <w:ind w:right="80" w:firstLine="436"/>
        <w:spacing w:after="0" w:line="249"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41" w:lineRule="exact"/>
        <w:rPr>
          <w:sz w:val="20"/>
          <w:szCs w:val="20"/>
          <w:color w:val="auto"/>
        </w:rPr>
      </w:pPr>
    </w:p>
    <w:p>
      <w:pPr>
        <w:ind w:right="440" w:firstLine="436"/>
        <w:spacing w:after="0" w:line="26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27" w:lineRule="exact"/>
        <w:rPr>
          <w:sz w:val="20"/>
          <w:szCs w:val="20"/>
          <w:color w:val="auto"/>
        </w:rPr>
      </w:pPr>
    </w:p>
    <w:p>
      <w:pPr>
        <w:ind w:right="260" w:firstLine="436"/>
        <w:spacing w:after="0" w:line="364" w:lineRule="auto"/>
        <w:rPr>
          <w:sz w:val="20"/>
          <w:szCs w:val="20"/>
          <w:color w:val="auto"/>
        </w:rPr>
      </w:pPr>
      <w:r>
        <w:rPr>
          <w:rFonts w:ascii="Arial" w:cs="Arial" w:eastAsia="Arial" w:hAnsi="Arial"/>
          <w:sz w:val="15"/>
          <w:szCs w:val="15"/>
          <w:i w:val="1"/>
          <w:iCs w:val="1"/>
          <w:color w:val="auto"/>
        </w:rPr>
        <w:t xml:space="preserve">Level 2 </w:t>
      </w:r>
      <w:r>
        <w:rPr>
          <w:rFonts w:ascii="Arial" w:cs="Arial" w:eastAsia="Arial" w:hAnsi="Arial"/>
          <w:sz w:val="15"/>
          <w:szCs w:val="15"/>
          <w:color w:val="auto"/>
        </w:rPr>
        <w:t>— Level 2 inputs are inputs other than quoted prices included within Level 1 that are observable for the asset or liability, either directly or</w:t>
      </w:r>
      <w:r>
        <w:rPr>
          <w:rFonts w:ascii="Arial" w:cs="Arial" w:eastAsia="Arial" w:hAnsi="Arial"/>
          <w:sz w:val="15"/>
          <w:szCs w:val="15"/>
          <w:i w:val="1"/>
          <w:iCs w:val="1"/>
          <w:color w:val="auto"/>
        </w:rPr>
        <w:t xml:space="preserve"> </w:t>
      </w:r>
      <w:r>
        <w:rPr>
          <w:rFonts w:ascii="Arial" w:cs="Arial" w:eastAsia="Arial" w:hAnsi="Arial"/>
          <w:sz w:val="15"/>
          <w:szCs w:val="15"/>
          <w:color w:val="auto"/>
        </w:rPr>
        <w:t>indirectly. If the asset or liability has a specified (contractual) term, a Level 2 input must be observable for substantially the full term of the asset or liability.</w:t>
      </w:r>
    </w:p>
    <w:p>
      <w:pPr>
        <w:spacing w:after="0" w:line="58" w:lineRule="exact"/>
        <w:rPr>
          <w:sz w:val="20"/>
          <w:szCs w:val="20"/>
          <w:color w:val="auto"/>
        </w:rPr>
      </w:pPr>
    </w:p>
    <w:p>
      <w:pPr>
        <w:ind w:right="300" w:firstLine="436"/>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3" w:name="page14"/>
    <w:bookmarkEnd w:id="13"/>
    <w:p>
      <w:pPr>
        <w:ind w:right="40" w:firstLine="436"/>
        <w:spacing w:after="0" w:line="251" w:lineRule="auto"/>
        <w:rPr>
          <w:sz w:val="20"/>
          <w:szCs w:val="20"/>
          <w:color w:val="auto"/>
        </w:rPr>
      </w:pPr>
      <w:r>
        <w:rPr>
          <w:rFonts w:ascii="Arial" w:cs="Arial" w:eastAsia="Arial" w:hAnsi="Arial"/>
          <w:sz w:val="18"/>
          <w:szCs w:val="18"/>
          <w:color w:val="auto"/>
        </w:rPr>
        <w:t>The tables below, set forth by level, presents the Company’s financial assets and liabilities, excluding accrued interest components that were accounted for at fair value on a recurring basis as of July 31, 2021 and October 31, 2020. The tables exclude cash on hand and assets and liabilities that are measured at historical cost or any basis other than fair value. As of July 31, 2021 and October 31, 2020, the Company held $289.7 million and $239.6 million, respectively, of cash that was excluded from the tables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July 31, 2021</w:t>
            </w: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1"/>
        </w:trPr>
        <w:tc>
          <w:tcPr>
            <w:tcW w:w="5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Fair Value measurement at</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5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Reporting Date using:</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500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55"/>
        </w:trPr>
        <w:tc>
          <w:tcPr>
            <w:tcW w:w="5000" w:type="dxa"/>
            <w:vAlign w:val="bottom"/>
          </w:tcPr>
          <w:p>
            <w:pPr>
              <w:spacing w:after="0"/>
              <w:rPr>
                <w:sz w:val="13"/>
                <w:szCs w:val="13"/>
                <w:color w:val="auto"/>
              </w:rPr>
            </w:pPr>
          </w:p>
        </w:tc>
        <w:tc>
          <w:tcPr>
            <w:tcW w:w="2080" w:type="dxa"/>
            <w:vAlign w:val="bottom"/>
            <w:gridSpan w:val="3"/>
          </w:tcPr>
          <w:p>
            <w:pPr>
              <w:jc w:val="center"/>
              <w:ind w:left="258"/>
              <w:spacing w:after="0" w:line="155" w:lineRule="exact"/>
              <w:rPr>
                <w:sz w:val="20"/>
                <w:szCs w:val="20"/>
                <w:color w:val="auto"/>
              </w:rPr>
            </w:pPr>
            <w:r>
              <w:rPr>
                <w:rFonts w:ascii="Arial" w:cs="Arial" w:eastAsia="Arial" w:hAnsi="Arial"/>
                <w:sz w:val="14"/>
                <w:szCs w:val="14"/>
                <w:b w:val="1"/>
                <w:bCs w:val="1"/>
                <w:color w:val="auto"/>
                <w:w w:val="90"/>
              </w:rPr>
              <w:t>Quoted Prices in Active</w:t>
            </w:r>
          </w:p>
        </w:tc>
        <w:tc>
          <w:tcPr>
            <w:tcW w:w="620" w:type="dxa"/>
            <w:vAlign w:val="bottom"/>
          </w:tcPr>
          <w:p>
            <w:pPr>
              <w:spacing w:after="0"/>
              <w:rPr>
                <w:sz w:val="13"/>
                <w:szCs w:val="13"/>
                <w:color w:val="auto"/>
              </w:rPr>
            </w:pPr>
          </w:p>
        </w:tc>
        <w:tc>
          <w:tcPr>
            <w:tcW w:w="14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3"/>
              </w:rPr>
              <w:t>Significant Other</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8"/>
        </w:trPr>
        <w:tc>
          <w:tcPr>
            <w:tcW w:w="5000" w:type="dxa"/>
            <w:vAlign w:val="bottom"/>
          </w:tcPr>
          <w:p>
            <w:pPr>
              <w:spacing w:after="0"/>
              <w:rPr>
                <w:sz w:val="13"/>
                <w:szCs w:val="13"/>
                <w:color w:val="auto"/>
              </w:rPr>
            </w:pPr>
          </w:p>
        </w:tc>
        <w:tc>
          <w:tcPr>
            <w:tcW w:w="2080" w:type="dxa"/>
            <w:vAlign w:val="bottom"/>
            <w:gridSpan w:val="3"/>
          </w:tcPr>
          <w:p>
            <w:pPr>
              <w:ind w:left="140"/>
              <w:spacing w:after="0" w:line="159" w:lineRule="exact"/>
              <w:rPr>
                <w:sz w:val="20"/>
                <w:szCs w:val="20"/>
                <w:color w:val="auto"/>
              </w:rPr>
            </w:pPr>
            <w:r>
              <w:rPr>
                <w:rFonts w:ascii="Arial" w:cs="Arial" w:eastAsia="Arial" w:hAnsi="Arial"/>
                <w:sz w:val="14"/>
                <w:szCs w:val="14"/>
                <w:b w:val="1"/>
                <w:bCs w:val="1"/>
                <w:color w:val="auto"/>
              </w:rPr>
              <w:t>Markets for Identical Assets</w:t>
            </w:r>
          </w:p>
        </w:tc>
        <w:tc>
          <w:tcPr>
            <w:tcW w:w="2080" w:type="dxa"/>
            <w:vAlign w:val="bottom"/>
            <w:gridSpan w:val="3"/>
          </w:tcPr>
          <w:p>
            <w:pPr>
              <w:ind w:left="440"/>
              <w:spacing w:after="0" w:line="159" w:lineRule="exact"/>
              <w:rPr>
                <w:sz w:val="20"/>
                <w:szCs w:val="20"/>
                <w:color w:val="auto"/>
              </w:rPr>
            </w:pPr>
            <w:r>
              <w:rPr>
                <w:rFonts w:ascii="Arial" w:cs="Arial" w:eastAsia="Arial" w:hAnsi="Arial"/>
                <w:sz w:val="14"/>
                <w:szCs w:val="14"/>
                <w:b w:val="1"/>
                <w:bCs w:val="1"/>
                <w:color w:val="auto"/>
              </w:rPr>
              <w:t>Observable Inputs</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3"/>
        </w:trPr>
        <w:tc>
          <w:tcPr>
            <w:tcW w:w="5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1)</w:t>
            </w:r>
          </w:p>
        </w:tc>
        <w:tc>
          <w:tcPr>
            <w:tcW w:w="62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20" w:type="dxa"/>
            <w:vAlign w:val="bottom"/>
          </w:tcPr>
          <w:p>
            <w:pPr>
              <w:spacing w:after="0"/>
              <w:rPr>
                <w:sz w:val="15"/>
                <w:szCs w:val="15"/>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4"/>
        </w:trPr>
        <w:tc>
          <w:tcPr>
            <w:tcW w:w="5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4"/>
        </w:trPr>
        <w:tc>
          <w:tcPr>
            <w:tcW w:w="500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4"/>
        </w:trPr>
        <w:tc>
          <w:tcPr>
            <w:tcW w:w="5000" w:type="dxa"/>
            <w:vAlign w:val="bottom"/>
          </w:tcPr>
          <w:p>
            <w:pPr>
              <w:ind w:left="460"/>
              <w:spacing w:after="0"/>
              <w:rPr>
                <w:sz w:val="20"/>
                <w:szCs w:val="20"/>
                <w:color w:val="auto"/>
              </w:rPr>
            </w:pPr>
            <w:r>
              <w:rPr>
                <w:rFonts w:ascii="Arial" w:cs="Arial" w:eastAsia="Arial" w:hAnsi="Arial"/>
                <w:sz w:val="18"/>
                <w:szCs w:val="18"/>
                <w:b w:val="1"/>
                <w:bCs w:val="1"/>
                <w:color w:val="auto"/>
              </w:rPr>
              <w:t>Cash equivalents:</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Available-for-sale:</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5000" w:type="dxa"/>
            <w:vAlign w:val="bottom"/>
          </w:tcPr>
          <w:p>
            <w:pPr>
              <w:ind w:left="1100"/>
              <w:spacing w:after="0"/>
              <w:rPr>
                <w:sz w:val="20"/>
                <w:szCs w:val="20"/>
                <w:color w:val="auto"/>
              </w:rPr>
            </w:pPr>
            <w:r>
              <w:rPr>
                <w:rFonts w:ascii="Arial" w:cs="Arial" w:eastAsia="Arial" w:hAnsi="Arial"/>
                <w:sz w:val="18"/>
                <w:szCs w:val="18"/>
                <w:color w:val="auto"/>
                <w:w w:val="97"/>
              </w:rPr>
              <w:t>Government and institutional money market funds</w:t>
            </w:r>
          </w:p>
        </w:tc>
        <w:tc>
          <w:tcPr>
            <w:tcW w:w="7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810,935</w:t>
            </w:r>
          </w:p>
        </w:tc>
        <w:tc>
          <w:tcPr>
            <w:tcW w:w="100" w:type="dxa"/>
            <w:vAlign w:val="bottom"/>
          </w:tcPr>
          <w:p>
            <w:pPr>
              <w:spacing w:after="0"/>
              <w:rPr>
                <w:sz w:val="19"/>
                <w:szCs w:val="19"/>
                <w:color w:val="auto"/>
              </w:rPr>
            </w:pP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810,935</w:t>
            </w:r>
          </w:p>
        </w:tc>
      </w:tr>
      <w:tr>
        <w:trPr>
          <w:trHeight w:val="225"/>
        </w:trPr>
        <w:tc>
          <w:tcPr>
            <w:tcW w:w="50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Corporate obligations (1)</w:t>
            </w:r>
          </w:p>
        </w:tc>
        <w:tc>
          <w:tcPr>
            <w:tcW w:w="7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380,050</w:t>
            </w:r>
          </w:p>
        </w:tc>
      </w:tr>
      <w:tr>
        <w:trPr>
          <w:trHeight w:val="224"/>
        </w:trPr>
        <w:tc>
          <w:tcPr>
            <w:tcW w:w="5000" w:type="dxa"/>
            <w:vAlign w:val="bottom"/>
          </w:tcPr>
          <w:p>
            <w:pPr>
              <w:ind w:left="460"/>
              <w:spacing w:after="0"/>
              <w:rPr>
                <w:sz w:val="20"/>
                <w:szCs w:val="20"/>
                <w:color w:val="auto"/>
              </w:rPr>
            </w:pPr>
            <w:r>
              <w:rPr>
                <w:rFonts w:ascii="Arial" w:cs="Arial" w:eastAsia="Arial" w:hAnsi="Arial"/>
                <w:sz w:val="18"/>
                <w:szCs w:val="18"/>
                <w:b w:val="1"/>
                <w:bCs w:val="1"/>
                <w:color w:val="auto"/>
              </w:rPr>
              <w:t>Other assets:</w:t>
            </w: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4"/>
        </w:trPr>
        <w:tc>
          <w:tcPr>
            <w:tcW w:w="5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Deferred compensation plan investments</w:t>
            </w: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68,383</w:t>
            </w:r>
          </w:p>
        </w:tc>
      </w:tr>
      <w:tr>
        <w:trPr>
          <w:trHeight w:val="217"/>
        </w:trPr>
        <w:tc>
          <w:tcPr>
            <w:tcW w:w="5000" w:type="dxa"/>
            <w:vAlign w:val="bottom"/>
          </w:tcPr>
          <w:p>
            <w:pPr>
              <w:ind w:left="460"/>
              <w:spacing w:after="0"/>
              <w:rPr>
                <w:sz w:val="20"/>
                <w:szCs w:val="20"/>
                <w:color w:val="auto"/>
              </w:rPr>
            </w:pPr>
            <w:r>
              <w:rPr>
                <w:rFonts w:ascii="Arial" w:cs="Arial" w:eastAsia="Arial" w:hAnsi="Arial"/>
                <w:sz w:val="18"/>
                <w:szCs w:val="18"/>
                <w:b w:val="1"/>
                <w:bCs w:val="1"/>
                <w:color w:val="auto"/>
              </w:rPr>
              <w:t>Total assets measured at fair value</w:t>
            </w:r>
          </w:p>
        </w:tc>
        <w:tc>
          <w:tcPr>
            <w:tcW w:w="7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879,318</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380,050</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1,259,368</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1"/>
        </w:trPr>
        <w:tc>
          <w:tcPr>
            <w:tcW w:w="5000" w:type="dxa"/>
            <w:vAlign w:val="bottom"/>
            <w:shd w:val="clear" w:color="auto" w:fill="CCEEFF"/>
          </w:tcPr>
          <w:p>
            <w:pPr>
              <w:ind w:left="460"/>
              <w:spacing w:after="0" w:line="191" w:lineRule="exact"/>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4"/>
        </w:trPr>
        <w:tc>
          <w:tcPr>
            <w:tcW w:w="5000" w:type="dxa"/>
            <w:vAlign w:val="bottom"/>
          </w:tcPr>
          <w:p>
            <w:pPr>
              <w:ind w:left="780"/>
              <w:spacing w:after="0"/>
              <w:rPr>
                <w:sz w:val="20"/>
                <w:szCs w:val="20"/>
                <w:color w:val="auto"/>
              </w:rPr>
            </w:pPr>
            <w:r>
              <w:rPr>
                <w:rFonts w:ascii="Arial" w:cs="Arial" w:eastAsia="Arial" w:hAnsi="Arial"/>
                <w:sz w:val="18"/>
                <w:szCs w:val="18"/>
                <w:color w:val="auto"/>
              </w:rPr>
              <w:t>Forward foreign currency exchange contracts (2)</w:t>
            </w:r>
          </w:p>
        </w:tc>
        <w:tc>
          <w:tcPr>
            <w:tcW w:w="7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4,573</w:t>
            </w:r>
          </w:p>
        </w:tc>
      </w:tr>
      <w:tr>
        <w:trPr>
          <w:trHeight w:val="225"/>
        </w:trPr>
        <w:tc>
          <w:tcPr>
            <w:tcW w:w="5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Interest rate derivatives</w:t>
            </w:r>
          </w:p>
        </w:tc>
        <w:tc>
          <w:tcPr>
            <w:tcW w:w="7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181,189</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181,189</w:t>
            </w:r>
          </w:p>
        </w:tc>
      </w:tr>
      <w:tr>
        <w:trPr>
          <w:trHeight w:val="217"/>
        </w:trPr>
        <w:tc>
          <w:tcPr>
            <w:tcW w:w="5000" w:type="dxa"/>
            <w:vAlign w:val="bottom"/>
          </w:tcPr>
          <w:p>
            <w:pPr>
              <w:ind w:left="460"/>
              <w:spacing w:after="0"/>
              <w:rPr>
                <w:sz w:val="20"/>
                <w:szCs w:val="20"/>
                <w:color w:val="auto"/>
              </w:rPr>
            </w:pPr>
            <w:r>
              <w:rPr>
                <w:rFonts w:ascii="Arial" w:cs="Arial" w:eastAsia="Arial" w:hAnsi="Arial"/>
                <w:sz w:val="18"/>
                <w:szCs w:val="18"/>
                <w:b w:val="1"/>
                <w:bCs w:val="1"/>
                <w:color w:val="auto"/>
              </w:rPr>
              <w:t>Total liabilities measured at fair value</w:t>
            </w:r>
          </w:p>
        </w:tc>
        <w:tc>
          <w:tcPr>
            <w:tcW w:w="74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185,762</w:t>
            </w:r>
          </w:p>
        </w:tc>
        <w:tc>
          <w:tcPr>
            <w:tcW w:w="100" w:type="dxa"/>
            <w:vAlign w:val="bottom"/>
          </w:tcPr>
          <w:p>
            <w:pPr>
              <w:spacing w:after="0"/>
              <w:rPr>
                <w:sz w:val="18"/>
                <w:szCs w:val="18"/>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185,762</w:t>
            </w:r>
          </w:p>
        </w:tc>
      </w:tr>
      <w:tr>
        <w:trPr>
          <w:trHeight w:val="20"/>
        </w:trPr>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40" w:hanging="31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July 31, 2021 was $380.0 million.</w:t>
      </w:r>
    </w:p>
    <w:p>
      <w:pPr>
        <w:spacing w:after="0" w:line="15" w:lineRule="exact"/>
        <w:rPr>
          <w:rFonts w:ascii="Arial" w:cs="Arial" w:eastAsia="Arial" w:hAnsi="Arial"/>
          <w:sz w:val="18"/>
          <w:szCs w:val="18"/>
          <w:color w:val="auto"/>
        </w:rPr>
      </w:pPr>
    </w:p>
    <w:p>
      <w:pPr>
        <w:ind w:left="640" w:right="580" w:hanging="317"/>
        <w:spacing w:after="0" w:line="306" w:lineRule="auto"/>
        <w:tabs>
          <w:tab w:leader="none" w:pos="634"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The Company has master netting arrangements by counterparty with respect to derivative contracts. See Note 9,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in these Notes to Condensed Consolidated Financial Statements for more information related to the Company's master netting arrangements.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October 31, 2020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Reporting Date using:</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0"/>
              </w:rPr>
              <w:t>Quoted Prices in Active</w:t>
            </w:r>
          </w:p>
        </w:tc>
        <w:tc>
          <w:tcPr>
            <w:tcW w:w="220" w:type="dxa"/>
            <w:vAlign w:val="bottom"/>
          </w:tcPr>
          <w:p>
            <w:pPr>
              <w:spacing w:after="0"/>
              <w:rPr>
                <w:sz w:val="13"/>
                <w:szCs w:val="13"/>
                <w:color w:val="auto"/>
              </w:rPr>
            </w:pPr>
          </w:p>
        </w:tc>
        <w:tc>
          <w:tcPr>
            <w:tcW w:w="16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Significant Other</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740" w:type="dxa"/>
            <w:vAlign w:val="bottom"/>
          </w:tcPr>
          <w:p>
            <w:pPr>
              <w:spacing w:after="0"/>
              <w:rPr>
                <w:sz w:val="12"/>
                <w:szCs w:val="12"/>
                <w:color w:val="auto"/>
              </w:rPr>
            </w:pPr>
          </w:p>
        </w:tc>
        <w:tc>
          <w:tcPr>
            <w:tcW w:w="18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7"/>
              </w:rPr>
              <w:t>Markets for Identical Assets</w:t>
            </w:r>
          </w:p>
        </w:tc>
        <w:tc>
          <w:tcPr>
            <w:tcW w:w="220" w:type="dxa"/>
            <w:vAlign w:val="bottom"/>
          </w:tcPr>
          <w:p>
            <w:pPr>
              <w:spacing w:after="0"/>
              <w:rPr>
                <w:sz w:val="12"/>
                <w:szCs w:val="12"/>
                <w:color w:val="auto"/>
              </w:rPr>
            </w:pPr>
          </w:p>
        </w:tc>
        <w:tc>
          <w:tcPr>
            <w:tcW w:w="164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1"/>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660"/>
              <w:spacing w:after="0"/>
              <w:rPr>
                <w:sz w:val="20"/>
                <w:szCs w:val="20"/>
                <w:color w:val="auto"/>
              </w:rPr>
            </w:pPr>
            <w:r>
              <w:rPr>
                <w:rFonts w:ascii="Arial" w:cs="Arial" w:eastAsia="Arial" w:hAnsi="Arial"/>
                <w:sz w:val="18"/>
                <w:szCs w:val="18"/>
                <w:color w:val="auto"/>
              </w:rPr>
              <w:t>Government and institutional money market funds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816,253</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816,253</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340"/>
              <w:spacing w:after="0"/>
              <w:rPr>
                <w:sz w:val="20"/>
                <w:szCs w:val="20"/>
                <w:color w:val="auto"/>
              </w:rPr>
            </w:pPr>
            <w:r>
              <w:rPr>
                <w:rFonts w:ascii="Arial" w:cs="Arial" w:eastAsia="Arial" w:hAnsi="Arial"/>
                <w:sz w:val="18"/>
                <w:szCs w:val="18"/>
                <w:color w:val="auto"/>
              </w:rPr>
              <w:t>Forward foreign currency exchange contracts (1)</w:t>
            </w:r>
          </w:p>
        </w:tc>
        <w:tc>
          <w:tcPr>
            <w:tcW w:w="1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25"/>
        </w:trPr>
        <w:tc>
          <w:tcPr>
            <w:tcW w:w="5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compensation plan investments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17"/>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869,209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874,636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rate derivatives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3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40" w:right="580" w:hanging="317"/>
        <w:spacing w:after="0" w:line="364" w:lineRule="auto"/>
        <w:tabs>
          <w:tab w:leader="none" w:pos="634"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The Company has master netting arrangements by counterparty with respect to derivative contracts. See Note 9,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in these Notes to Condensed Consolidated Financial Statements for more information related to the Company's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63"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market rates.</w:t>
      </w:r>
    </w:p>
    <w:p>
      <w:pPr>
        <w:spacing w:after="0" w:line="127" w:lineRule="exact"/>
        <w:rPr>
          <w:sz w:val="20"/>
          <w:szCs w:val="20"/>
          <w:color w:val="auto"/>
        </w:rPr>
      </w:pPr>
    </w:p>
    <w:p>
      <w:pPr>
        <w:ind w:right="500" w:firstLine="436"/>
        <w:spacing w:after="0" w:line="263"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27" w:lineRule="exact"/>
        <w:rPr>
          <w:sz w:val="20"/>
          <w:szCs w:val="20"/>
          <w:color w:val="auto"/>
        </w:rPr>
      </w:pPr>
    </w:p>
    <w:p>
      <w:pPr>
        <w:ind w:right="380" w:firstLine="436"/>
        <w:spacing w:after="0" w:line="263"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27" w:lineRule="exact"/>
        <w:rPr>
          <w:sz w:val="20"/>
          <w:szCs w:val="20"/>
          <w:color w:val="auto"/>
        </w:rPr>
      </w:pPr>
    </w:p>
    <w:p>
      <w:pPr>
        <w:ind w:firstLine="436"/>
        <w:spacing w:after="0" w:line="24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63" w:lineRule="exact"/>
        <w:rPr>
          <w:sz w:val="20"/>
          <w:szCs w:val="20"/>
          <w:color w:val="auto"/>
        </w:rPr>
      </w:pPr>
    </w:p>
    <w:p>
      <w:pPr>
        <w:ind w:right="20" w:firstLine="396"/>
        <w:spacing w:after="0" w:line="364" w:lineRule="auto"/>
        <w:rPr>
          <w:sz w:val="20"/>
          <w:szCs w:val="20"/>
          <w:color w:val="auto"/>
        </w:rPr>
      </w:pPr>
      <w:r>
        <w:rPr>
          <w:rFonts w:ascii="Arial" w:cs="Arial" w:eastAsia="Arial" w:hAnsi="Arial"/>
          <w:sz w:val="15"/>
          <w:szCs w:val="15"/>
          <w:b w:val="1"/>
          <w:bCs w:val="1"/>
          <w:i w:val="1"/>
          <w:iCs w:val="1"/>
          <w:color w:val="auto"/>
        </w:rPr>
        <w:t>Held for sale assets —</w:t>
      </w:r>
      <w:r>
        <w:rPr>
          <w:rFonts w:ascii="Arial" w:cs="Arial" w:eastAsia="Arial" w:hAnsi="Arial"/>
          <w:sz w:val="15"/>
          <w:szCs w:val="15"/>
          <w:color w:val="auto"/>
        </w:rPr>
        <w:t>The Company has classified the assets held for sale at carrying value. However, if they were to be carried at fair value, they would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considered a Level 3 fair value measurement and would be determined based on the use of appraisals and input from market participants.</w:t>
      </w:r>
    </w:p>
    <w:p>
      <w:pPr>
        <w:spacing w:after="0" w:line="18" w:lineRule="exact"/>
        <w:rPr>
          <w:sz w:val="20"/>
          <w:szCs w:val="20"/>
          <w:color w:val="auto"/>
        </w:rPr>
      </w:pPr>
    </w:p>
    <w:p>
      <w:pPr>
        <w:ind w:right="20" w:firstLine="396"/>
        <w:spacing w:after="0" w:line="307" w:lineRule="auto"/>
        <w:rPr>
          <w:sz w:val="20"/>
          <w:szCs w:val="20"/>
          <w:color w:val="auto"/>
        </w:rPr>
      </w:pPr>
      <w:r>
        <w:rPr>
          <w:rFonts w:ascii="Arial" w:cs="Arial" w:eastAsia="Arial" w:hAnsi="Arial"/>
          <w:sz w:val="15"/>
          <w:szCs w:val="15"/>
          <w:b w:val="1"/>
          <w:bCs w:val="1"/>
          <w:i w:val="1"/>
          <w:iCs w:val="1"/>
          <w:color w:val="auto"/>
        </w:rPr>
        <w:t xml:space="preserve">Debt — </w:t>
      </w:r>
      <w:r>
        <w:rPr>
          <w:rFonts w:ascii="Arial" w:cs="Arial" w:eastAsia="Arial" w:hAnsi="Arial"/>
          <w:sz w:val="15"/>
          <w:szCs w:val="15"/>
          <w:color w:val="auto"/>
        </w:rPr>
        <w:t>The table below presents the estimated fair value of certain financial instruments not recorded at fair value on a recurring basis. The carrying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amounts of the term loan approximates fair value. The term loan is classified as a Level 2 measurement according to the fair value hierarchy. The fair 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July 31, 2021</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 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Principal Amount</w:t>
            </w:r>
          </w:p>
        </w:tc>
        <w:tc>
          <w:tcPr>
            <w:tcW w:w="680" w:type="dxa"/>
            <w:vAlign w:val="bottom"/>
          </w:tcPr>
          <w:p>
            <w:pPr>
              <w:spacing w:after="0"/>
              <w:rPr>
                <w:sz w:val="11"/>
                <w:szCs w:val="11"/>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1"/>
                <w:szCs w:val="11"/>
                <w:color w:val="auto"/>
              </w:rPr>
            </w:pPr>
          </w:p>
        </w:tc>
        <w:tc>
          <w:tcPr>
            <w:tcW w:w="142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Principal Amount</w:t>
            </w:r>
          </w:p>
        </w:tc>
        <w:tc>
          <w:tcPr>
            <w:tcW w:w="740" w:type="dxa"/>
            <w:vAlign w:val="bottom"/>
          </w:tcPr>
          <w:p>
            <w:pPr>
              <w:spacing w:after="0"/>
              <w:rPr>
                <w:sz w:val="11"/>
                <w:szCs w:val="11"/>
                <w:color w:val="auto"/>
              </w:rPr>
            </w:pPr>
          </w:p>
        </w:tc>
        <w:tc>
          <w:tcPr>
            <w:tcW w:w="11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6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Outstanding</w:t>
            </w:r>
          </w:p>
        </w:tc>
        <w:tc>
          <w:tcPr>
            <w:tcW w:w="7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46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3-Year term loan, due March 2022</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172"/>
        </w:trPr>
        <w:tc>
          <w:tcPr>
            <w:tcW w:w="900" w:type="dxa"/>
            <w:vAlign w:val="bottom"/>
          </w:tcPr>
          <w:p>
            <w:pPr>
              <w:ind w:left="420"/>
              <w:spacing w:after="0" w:line="172" w:lineRule="exact"/>
              <w:rPr>
                <w:sz w:val="20"/>
                <w:szCs w:val="20"/>
                <w:color w:val="auto"/>
              </w:rPr>
            </w:pPr>
            <w:r>
              <w:rPr>
                <w:rFonts w:ascii="Arial" w:cs="Arial" w:eastAsia="Arial" w:hAnsi="Arial"/>
                <w:sz w:val="18"/>
                <w:szCs w:val="18"/>
                <w:color w:val="auto"/>
                <w:w w:val="90"/>
              </w:rPr>
              <w:t>2.50%</w:t>
            </w:r>
          </w:p>
        </w:tc>
        <w:tc>
          <w:tcPr>
            <w:tcW w:w="2560" w:type="dxa"/>
            <w:vAlign w:val="bottom"/>
          </w:tcPr>
          <w:p>
            <w:pPr>
              <w:ind w:left="20"/>
              <w:spacing w:after="0" w:line="172" w:lineRule="exact"/>
              <w:rPr>
                <w:sz w:val="20"/>
                <w:szCs w:val="20"/>
                <w:color w:val="auto"/>
              </w:rPr>
            </w:pPr>
            <w:r>
              <w:rPr>
                <w:rFonts w:ascii="Arial" w:cs="Arial" w:eastAsia="Arial" w:hAnsi="Arial"/>
                <w:sz w:val="18"/>
                <w:szCs w:val="18"/>
                <w:color w:val="auto"/>
              </w:rPr>
              <w:t>Senior unsecured notes, due</w:t>
            </w:r>
          </w:p>
        </w:tc>
        <w:tc>
          <w:tcPr>
            <w:tcW w:w="5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403,072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408,565</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December 2021</w:t>
            </w:r>
          </w:p>
        </w:tc>
        <w:tc>
          <w:tcPr>
            <w:tcW w:w="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460" w:type="dxa"/>
            <w:vAlign w:val="bottom"/>
            <w:gridSpan w:val="2"/>
            <w:shd w:val="clear" w:color="auto" w:fill="CCEEFF"/>
          </w:tcPr>
          <w:p>
            <w:pPr>
              <w:ind w:left="420"/>
              <w:spacing w:after="0" w:line="173" w:lineRule="exact"/>
              <w:rPr>
                <w:sz w:val="20"/>
                <w:szCs w:val="20"/>
                <w:color w:val="auto"/>
              </w:rPr>
            </w:pPr>
            <w:r>
              <w:rPr>
                <w:rFonts w:ascii="Arial" w:cs="Arial" w:eastAsia="Arial" w:hAnsi="Arial"/>
                <w:sz w:val="18"/>
                <w:szCs w:val="18"/>
                <w:color w:val="auto"/>
                <w:w w:val="88"/>
              </w:rPr>
              <w:t>2.875% Senior unsecured notes, due June</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523,041</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526,855</w:t>
            </w:r>
          </w:p>
        </w:tc>
        <w:tc>
          <w:tcPr>
            <w:tcW w:w="0" w:type="dxa"/>
            <w:vAlign w:val="bottom"/>
          </w:tcPr>
          <w:p>
            <w:pPr>
              <w:spacing w:after="0"/>
              <w:rPr>
                <w:sz w:val="1"/>
                <w:szCs w:val="1"/>
                <w:color w:val="auto"/>
              </w:rPr>
            </w:pPr>
          </w:p>
        </w:tc>
      </w:tr>
      <w:tr>
        <w:trPr>
          <w:trHeight w:val="224"/>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60" w:type="dxa"/>
            <w:vAlign w:val="bottom"/>
            <w:gridSpan w:val="2"/>
          </w:tcPr>
          <w:p>
            <w:pPr>
              <w:ind w:left="420"/>
              <w:spacing w:after="0" w:line="172" w:lineRule="exact"/>
              <w:rPr>
                <w:sz w:val="20"/>
                <w:szCs w:val="20"/>
                <w:color w:val="auto"/>
              </w:rPr>
            </w:pPr>
            <w:r>
              <w:rPr>
                <w:rFonts w:ascii="Arial" w:cs="Arial" w:eastAsia="Arial" w:hAnsi="Arial"/>
                <w:sz w:val="18"/>
                <w:szCs w:val="18"/>
                <w:color w:val="auto"/>
              </w:rPr>
              <w:t>3.125% Senior unsecured notes, due</w:t>
            </w:r>
          </w:p>
        </w:tc>
        <w:tc>
          <w:tcPr>
            <w:tcW w:w="5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583,885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590,177</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December 2023</w:t>
            </w:r>
          </w:p>
        </w:tc>
        <w:tc>
          <w:tcPr>
            <w:tcW w:w="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420"/>
              <w:spacing w:after="0" w:line="173" w:lineRule="exact"/>
              <w:rPr>
                <w:sz w:val="20"/>
                <w:szCs w:val="20"/>
                <w:color w:val="auto"/>
              </w:rPr>
            </w:pPr>
            <w:r>
              <w:rPr>
                <w:rFonts w:ascii="Arial" w:cs="Arial" w:eastAsia="Arial" w:hAnsi="Arial"/>
                <w:sz w:val="18"/>
                <w:szCs w:val="18"/>
                <w:color w:val="auto"/>
                <w:w w:val="90"/>
              </w:rPr>
              <w:t>2.95%</w:t>
            </w:r>
          </w:p>
        </w:tc>
        <w:tc>
          <w:tcPr>
            <w:tcW w:w="25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2"/>
              </w:rPr>
              <w:t>Senior unsecured notes, due April</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429,643</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434,919</w:t>
            </w:r>
          </w:p>
        </w:tc>
        <w:tc>
          <w:tcPr>
            <w:tcW w:w="0" w:type="dxa"/>
            <w:vAlign w:val="bottom"/>
          </w:tcPr>
          <w:p>
            <w:pPr>
              <w:spacing w:after="0"/>
              <w:rPr>
                <w:sz w:val="1"/>
                <w:szCs w:val="1"/>
                <w:color w:val="auto"/>
              </w:rPr>
            </w:pPr>
          </w:p>
        </w:tc>
      </w:tr>
      <w:tr>
        <w:trPr>
          <w:trHeight w:val="224"/>
        </w:trPr>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5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900" w:type="dxa"/>
            <w:vAlign w:val="bottom"/>
          </w:tcPr>
          <w:p>
            <w:pPr>
              <w:ind w:left="420"/>
              <w:spacing w:after="0" w:line="172" w:lineRule="exact"/>
              <w:rPr>
                <w:sz w:val="20"/>
                <w:szCs w:val="20"/>
                <w:color w:val="auto"/>
              </w:rPr>
            </w:pPr>
            <w:r>
              <w:rPr>
                <w:rFonts w:ascii="Arial" w:cs="Arial" w:eastAsia="Arial" w:hAnsi="Arial"/>
                <w:sz w:val="18"/>
                <w:szCs w:val="18"/>
                <w:color w:val="auto"/>
                <w:w w:val="90"/>
              </w:rPr>
              <w:t>3.90%</w:t>
            </w:r>
          </w:p>
        </w:tc>
        <w:tc>
          <w:tcPr>
            <w:tcW w:w="2560" w:type="dxa"/>
            <w:vAlign w:val="bottom"/>
          </w:tcPr>
          <w:p>
            <w:pPr>
              <w:ind w:left="20"/>
              <w:spacing w:after="0" w:line="172" w:lineRule="exact"/>
              <w:rPr>
                <w:sz w:val="20"/>
                <w:szCs w:val="20"/>
                <w:color w:val="auto"/>
              </w:rPr>
            </w:pPr>
            <w:r>
              <w:rPr>
                <w:rFonts w:ascii="Arial" w:cs="Arial" w:eastAsia="Arial" w:hAnsi="Arial"/>
                <w:sz w:val="18"/>
                <w:szCs w:val="18"/>
                <w:color w:val="auto"/>
              </w:rPr>
              <w:t>Senior unsecured notes, due</w:t>
            </w:r>
          </w:p>
        </w:tc>
        <w:tc>
          <w:tcPr>
            <w:tcW w:w="5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953,017</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969,033</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December 2025</w:t>
            </w:r>
          </w:p>
        </w:tc>
        <w:tc>
          <w:tcPr>
            <w:tcW w:w="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420"/>
              <w:spacing w:after="0" w:line="173" w:lineRule="exact"/>
              <w:rPr>
                <w:sz w:val="20"/>
                <w:szCs w:val="20"/>
                <w:color w:val="auto"/>
              </w:rPr>
            </w:pPr>
            <w:r>
              <w:rPr>
                <w:rFonts w:ascii="Arial" w:cs="Arial" w:eastAsia="Arial" w:hAnsi="Arial"/>
                <w:sz w:val="18"/>
                <w:szCs w:val="18"/>
                <w:color w:val="auto"/>
                <w:w w:val="90"/>
              </w:rPr>
              <w:t>3.50%</w:t>
            </w:r>
          </w:p>
        </w:tc>
        <w:tc>
          <w:tcPr>
            <w:tcW w:w="25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Senior unsecured notes, due</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1,004,709</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1,017,505</w:t>
            </w:r>
          </w:p>
        </w:tc>
        <w:tc>
          <w:tcPr>
            <w:tcW w:w="0" w:type="dxa"/>
            <w:vAlign w:val="bottom"/>
          </w:tcPr>
          <w:p>
            <w:pPr>
              <w:spacing w:after="0"/>
              <w:rPr>
                <w:sz w:val="1"/>
                <w:szCs w:val="1"/>
                <w:color w:val="auto"/>
              </w:rPr>
            </w:pPr>
          </w:p>
        </w:tc>
      </w:tr>
      <w:tr>
        <w:trPr>
          <w:trHeight w:val="224"/>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2026</w:t>
            </w:r>
          </w:p>
        </w:tc>
        <w:tc>
          <w:tcPr>
            <w:tcW w:w="5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900" w:type="dxa"/>
            <w:vAlign w:val="bottom"/>
          </w:tcPr>
          <w:p>
            <w:pPr>
              <w:ind w:left="420"/>
              <w:spacing w:after="0" w:line="172" w:lineRule="exact"/>
              <w:rPr>
                <w:sz w:val="20"/>
                <w:szCs w:val="20"/>
                <w:color w:val="auto"/>
              </w:rPr>
            </w:pPr>
            <w:r>
              <w:rPr>
                <w:rFonts w:ascii="Arial" w:cs="Arial" w:eastAsia="Arial" w:hAnsi="Arial"/>
                <w:sz w:val="18"/>
                <w:szCs w:val="18"/>
                <w:color w:val="auto"/>
                <w:w w:val="90"/>
              </w:rPr>
              <w:t>4.50%</w:t>
            </w:r>
          </w:p>
        </w:tc>
        <w:tc>
          <w:tcPr>
            <w:tcW w:w="2560" w:type="dxa"/>
            <w:vAlign w:val="bottom"/>
          </w:tcPr>
          <w:p>
            <w:pPr>
              <w:ind w:left="20"/>
              <w:spacing w:after="0" w:line="172" w:lineRule="exact"/>
              <w:rPr>
                <w:sz w:val="20"/>
                <w:szCs w:val="20"/>
                <w:color w:val="auto"/>
              </w:rPr>
            </w:pPr>
            <w:r>
              <w:rPr>
                <w:rFonts w:ascii="Arial" w:cs="Arial" w:eastAsia="Arial" w:hAnsi="Arial"/>
                <w:sz w:val="18"/>
                <w:szCs w:val="18"/>
                <w:color w:val="auto"/>
              </w:rPr>
              <w:t>Senior unsecured notes, due</w:t>
            </w:r>
          </w:p>
        </w:tc>
        <w:tc>
          <w:tcPr>
            <w:tcW w:w="54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300,420</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298,153</w:t>
            </w: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December 2036</w:t>
            </w:r>
          </w:p>
        </w:tc>
        <w:tc>
          <w:tcPr>
            <w:tcW w:w="5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900" w:type="dxa"/>
            <w:vAlign w:val="bottom"/>
            <w:shd w:val="clear" w:color="auto" w:fill="CCEEFF"/>
          </w:tcPr>
          <w:p>
            <w:pPr>
              <w:ind w:left="420"/>
              <w:spacing w:after="0" w:line="173" w:lineRule="exact"/>
              <w:rPr>
                <w:sz w:val="20"/>
                <w:szCs w:val="20"/>
                <w:color w:val="auto"/>
              </w:rPr>
            </w:pPr>
            <w:r>
              <w:rPr>
                <w:rFonts w:ascii="Arial" w:cs="Arial" w:eastAsia="Arial" w:hAnsi="Arial"/>
                <w:sz w:val="18"/>
                <w:szCs w:val="18"/>
                <w:color w:val="auto"/>
                <w:w w:val="90"/>
              </w:rPr>
              <w:t>5.30%</w:t>
            </w:r>
          </w:p>
        </w:tc>
        <w:tc>
          <w:tcPr>
            <w:tcW w:w="25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Senior unsecured notes, due</w:t>
            </w:r>
          </w:p>
        </w:tc>
        <w:tc>
          <w:tcPr>
            <w:tcW w:w="5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549,646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538,788</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2045</w:t>
            </w: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60" w:type="dxa"/>
            <w:vAlign w:val="bottom"/>
            <w:gridSpan w:val="2"/>
          </w:tcPr>
          <w:p>
            <w:pPr>
              <w:ind w:left="420"/>
              <w:spacing w:after="0"/>
              <w:rPr>
                <w:sz w:val="20"/>
                <w:szCs w:val="20"/>
                <w:color w:val="auto"/>
              </w:rPr>
            </w:pPr>
            <w:r>
              <w:rPr>
                <w:rFonts w:ascii="Arial" w:cs="Arial" w:eastAsia="Arial" w:hAnsi="Arial"/>
                <w:sz w:val="18"/>
                <w:szCs w:val="18"/>
                <w:color w:val="auto"/>
              </w:rPr>
              <w:t>Total debt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5,672,433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5,708,995</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00" w:firstLine="436"/>
        <w:spacing w:after="0" w:line="311" w:lineRule="auto"/>
        <w:rPr>
          <w:sz w:val="20"/>
          <w:szCs w:val="20"/>
          <w:color w:val="auto"/>
        </w:rPr>
      </w:pPr>
      <w:r>
        <w:rPr>
          <w:rFonts w:ascii="Arial" w:cs="Arial" w:eastAsia="Arial" w:hAnsi="Arial"/>
          <w:sz w:val="15"/>
          <w:szCs w:val="15"/>
          <w:color w:val="auto"/>
        </w:rPr>
        <w:t>As of July 31, 2021, the Company believed that none of its unrealized losses on its available-for-sale investments were attributable to credit losses and therefore were not impaired. The investments with unrealized losses consisted primarily of corporate debt securities. In making the determination that the decline in fair value of these securities did not indicate impairment, the Company considered various factors, including, but not limited to: the extent to which fair value was less than cost; the financial condition and near-term prospects of the issuers; and the Company’s intent not to sell these securities and the assessment that it is more likely than not that the Company would not be required to sell these securities before the recovery of their amortized cost basis.</w:t>
      </w:r>
    </w:p>
    <w:p>
      <w:pPr>
        <w:spacing w:after="0" w:line="97" w:lineRule="exact"/>
        <w:rPr>
          <w:sz w:val="20"/>
          <w:szCs w:val="20"/>
          <w:color w:val="auto"/>
        </w:rPr>
      </w:pPr>
    </w:p>
    <w:p>
      <w:pPr>
        <w:ind w:right="80" w:firstLine="436"/>
        <w:spacing w:after="0" w:line="254" w:lineRule="auto"/>
        <w:rPr>
          <w:sz w:val="20"/>
          <w:szCs w:val="20"/>
          <w:color w:val="auto"/>
        </w:rPr>
      </w:pPr>
      <w:r>
        <w:rPr>
          <w:rFonts w:ascii="Arial" w:cs="Arial" w:eastAsia="Arial" w:hAnsi="Arial"/>
          <w:sz w:val="18"/>
          <w:szCs w:val="18"/>
          <w:color w:val="auto"/>
        </w:rPr>
        <w:t>Unrealized gains and losses, net of taxes, are reported as a component of AOCI in the Company’s Condensed Consolidated Statements of Stockholders’ Equity. No material amounts were reclassified out of AOCI during the three- and nine-month periods ended July 31, 2021 and August 1, 2020 for realized gains or losses on available-for-sale investments.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 Derivatives</w:t>
      </w:r>
    </w:p>
    <w:p>
      <w:pPr>
        <w:spacing w:after="0" w:line="169" w:lineRule="exact"/>
        <w:rPr>
          <w:sz w:val="20"/>
          <w:szCs w:val="20"/>
          <w:color w:val="auto"/>
        </w:rPr>
      </w:pPr>
    </w:p>
    <w:p>
      <w:pPr>
        <w:ind w:right="20" w:firstLine="436"/>
        <w:spacing w:after="0" w:line="302" w:lineRule="auto"/>
        <w:rPr>
          <w:sz w:val="20"/>
          <w:szCs w:val="20"/>
          <w:color w:val="auto"/>
        </w:rPr>
      </w:pPr>
      <w:r>
        <w:rPr>
          <w:rFonts w:ascii="Arial" w:cs="Arial" w:eastAsia="Arial" w:hAnsi="Arial"/>
          <w:sz w:val="15"/>
          <w:szCs w:val="15"/>
          <w:i w:val="1"/>
          <w:iCs w:val="1"/>
          <w:color w:val="auto"/>
        </w:rPr>
        <w:t xml:space="preserve">Foreign Exchange Exposure Management </w:t>
      </w:r>
      <w:r>
        <w:rPr>
          <w:rFonts w:ascii="Arial" w:cs="Arial" w:eastAsia="Arial" w:hAnsi="Arial"/>
          <w:sz w:val="15"/>
          <w:szCs w:val="15"/>
          <w:color w:val="auto"/>
        </w:rPr>
        <w:t>— The Company enters into forward foreign currency exchange contracts to offset certain operational and</w:t>
      </w:r>
      <w:r>
        <w:rPr>
          <w:rFonts w:ascii="Arial" w:cs="Arial" w:eastAsia="Arial" w:hAnsi="Arial"/>
          <w:sz w:val="15"/>
          <w:szCs w:val="15"/>
          <w:i w:val="1"/>
          <w:iCs w:val="1"/>
          <w:color w:val="auto"/>
        </w:rPr>
        <w:t xml:space="preserve"> </w:t>
      </w:r>
      <w:r>
        <w:rPr>
          <w:rFonts w:ascii="Arial" w:cs="Arial" w:eastAsia="Arial" w:hAnsi="Arial"/>
          <w:sz w:val="15"/>
          <w:szCs w:val="15"/>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318" w:lineRule="exact"/>
        <w:rPr>
          <w:sz w:val="20"/>
          <w:szCs w:val="20"/>
          <w:color w:val="auto"/>
        </w:rPr>
      </w:pPr>
    </w:p>
    <w:p>
      <w:pPr>
        <w:ind w:right="20" w:firstLine="436"/>
        <w:spacing w:after="0" w:line="251"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July 31, 2021 and October 31, 2020 were $236.5 million and $202.7 million, respectively. The fair values of forward foreign currency derivative instruments designated as hedging instruments in the Company’s Condensed Consolidated Balance Sheets as of July 31, 2021 and October 31, 2020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At</w:t>
            </w:r>
          </w:p>
        </w:tc>
        <w:tc>
          <w:tcPr>
            <w:tcW w:w="1300" w:type="dxa"/>
            <w:vAlign w:val="bottom"/>
            <w:tcBorders>
              <w:bottom w:val="single" w:sz="8" w:color="auto"/>
            </w:tcBorders>
          </w:tcPr>
          <w:p>
            <w:pPr>
              <w:spacing w:after="0"/>
              <w:rPr>
                <w:sz w:val="16"/>
                <w:szCs w:val="16"/>
                <w:color w:val="auto"/>
              </w:rPr>
            </w:pPr>
          </w:p>
        </w:tc>
      </w:tr>
      <w:tr>
        <w:trPr>
          <w:trHeight w:val="184"/>
        </w:trPr>
        <w:tc>
          <w:tcPr>
            <w:tcW w:w="368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July 31, 2021</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2"/>
              </w:rPr>
              <w:t>October 31, 2020</w:t>
            </w:r>
          </w:p>
        </w:tc>
      </w:tr>
      <w:tr>
        <w:trPr>
          <w:trHeight w:val="218"/>
        </w:trPr>
        <w:tc>
          <w:tcPr>
            <w:tcW w:w="368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w w:val="88"/>
              </w:rPr>
              <w:t>Forward foreign currency exchange contracts</w:t>
            </w:r>
          </w:p>
        </w:tc>
        <w:tc>
          <w:tcPr>
            <w:tcW w:w="3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9"/>
              </w:rPr>
              <w:t>Prepaid expenses and other current assets</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r>
      <w:tr>
        <w:trPr>
          <w:trHeight w:val="224"/>
        </w:trPr>
        <w:tc>
          <w:tcPr>
            <w:tcW w:w="3680" w:type="dxa"/>
            <w:vAlign w:val="bottom"/>
          </w:tcPr>
          <w:p>
            <w:pPr>
              <w:ind w:left="460"/>
              <w:spacing w:after="0"/>
              <w:rPr>
                <w:sz w:val="20"/>
                <w:szCs w:val="20"/>
                <w:color w:val="auto"/>
              </w:rPr>
            </w:pPr>
            <w:r>
              <w:rPr>
                <w:rFonts w:ascii="Arial" w:cs="Arial" w:eastAsia="Arial" w:hAnsi="Arial"/>
                <w:sz w:val="18"/>
                <w:szCs w:val="18"/>
                <w:color w:val="auto"/>
                <w:w w:val="88"/>
              </w:rPr>
              <w:t>Forward foreign currency exchange contracts</w:t>
            </w:r>
          </w:p>
        </w:tc>
        <w:tc>
          <w:tcPr>
            <w:tcW w:w="3540" w:type="dxa"/>
            <w:vAlign w:val="bottom"/>
            <w:gridSpan w:val="2"/>
          </w:tcPr>
          <w:p>
            <w:pPr>
              <w:ind w:left="460"/>
              <w:spacing w:after="0"/>
              <w:rPr>
                <w:sz w:val="20"/>
                <w:szCs w:val="20"/>
                <w:color w:val="auto"/>
              </w:rPr>
            </w:pPr>
            <w:r>
              <w:rPr>
                <w:rFonts w:ascii="Arial" w:cs="Arial" w:eastAsia="Arial" w:hAnsi="Arial"/>
                <w:sz w:val="18"/>
                <w:szCs w:val="18"/>
                <w:color w:val="auto"/>
              </w:rPr>
              <w:t>Accrued liabilities</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9" w:lineRule="exact"/>
        <w:rPr>
          <w:sz w:val="20"/>
          <w:szCs w:val="20"/>
          <w:color w:val="auto"/>
        </w:rPr>
      </w:pPr>
    </w:p>
    <w:p>
      <w:pPr>
        <w:ind w:right="180" w:firstLine="436"/>
        <w:spacing w:after="0" w:line="254" w:lineRule="auto"/>
        <w:rPr>
          <w:sz w:val="20"/>
          <w:szCs w:val="20"/>
          <w:color w:val="auto"/>
        </w:rPr>
      </w:pPr>
      <w:r>
        <w:rPr>
          <w:rFonts w:ascii="Arial" w:cs="Arial" w:eastAsia="Arial" w:hAnsi="Arial"/>
          <w:sz w:val="18"/>
          <w:szCs w:val="18"/>
          <w:color w:val="auto"/>
        </w:rPr>
        <w:t>As of July 31, 2021 and October 31, 2020, the total notional amounts of undesignated hedges related to forward foreign currency exchange contracts were $142.4 million and $62.7 million, respectively. The fair values of these hedging instruments in the Company’s Condensed Consolidated Balance Sheets were immaterial as of July 31, 2021 and October 31, 2020.</w:t>
      </w:r>
    </w:p>
    <w:p>
      <w:pPr>
        <w:spacing w:after="0" w:line="135" w:lineRule="exact"/>
        <w:rPr>
          <w:sz w:val="20"/>
          <w:szCs w:val="20"/>
          <w:color w:val="auto"/>
        </w:rPr>
      </w:pPr>
    </w:p>
    <w:p>
      <w:pPr>
        <w:ind w:right="140" w:firstLine="396"/>
        <w:spacing w:after="0" w:line="263" w:lineRule="auto"/>
        <w:rPr>
          <w:sz w:val="20"/>
          <w:szCs w:val="20"/>
          <w:color w:val="auto"/>
        </w:rPr>
      </w:pPr>
      <w:r>
        <w:rPr>
          <w:rFonts w:ascii="Arial" w:cs="Arial" w:eastAsia="Arial" w:hAnsi="Arial"/>
          <w:sz w:val="18"/>
          <w:szCs w:val="18"/>
          <w:color w:val="auto"/>
        </w:rPr>
        <w:t>The Company estimates $3.5 million, net of tax, of losses on forward foreign currency derivative instruments included in AOCI will be reclassified into earnings within the next twelve months.</w:t>
      </w:r>
    </w:p>
    <w:p>
      <w:pPr>
        <w:spacing w:after="0" w:line="127" w:lineRule="exact"/>
        <w:rPr>
          <w:sz w:val="20"/>
          <w:szCs w:val="20"/>
          <w:color w:val="auto"/>
        </w:rPr>
      </w:pPr>
    </w:p>
    <w:p>
      <w:pPr>
        <w:ind w:right="20" w:firstLine="396"/>
        <w:spacing w:after="0" w:line="328" w:lineRule="auto"/>
        <w:rPr>
          <w:sz w:val="20"/>
          <w:szCs w:val="20"/>
          <w:color w:val="auto"/>
        </w:rPr>
      </w:pPr>
      <w:r>
        <w:rPr>
          <w:rFonts w:ascii="Arial" w:cs="Arial" w:eastAsia="Arial" w:hAnsi="Arial"/>
          <w:sz w:val="15"/>
          <w:szCs w:val="15"/>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July 31, 2021 and October 31, 2020, none of the netting arrangements involved collateral.</w:t>
      </w:r>
    </w:p>
    <w:p>
      <w:pPr>
        <w:spacing w:after="0" w:line="85"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89"/>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80" w:type="dxa"/>
            <w:vAlign w:val="bottom"/>
          </w:tcPr>
          <w:p>
            <w:pPr>
              <w:spacing w:after="0"/>
              <w:rPr>
                <w:sz w:val="16"/>
                <w:szCs w:val="16"/>
                <w:color w:val="auto"/>
              </w:rPr>
            </w:pPr>
          </w:p>
        </w:tc>
        <w:tc>
          <w:tcPr>
            <w:tcW w:w="13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October 31, 2020</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assets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2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amounts of recognized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43"/>
        </w:trPr>
        <w:tc>
          <w:tcPr>
            <w:tcW w:w="81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(liabilities) assets offset and presented in the Condensed Consolidated Balance Sheets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436"/>
        <w:spacing w:after="0" w:line="292" w:lineRule="auto"/>
        <w:rPr>
          <w:sz w:val="20"/>
          <w:szCs w:val="20"/>
          <w:color w:val="auto"/>
        </w:rPr>
      </w:pPr>
      <w:r>
        <w:rPr>
          <w:rFonts w:ascii="Arial" w:cs="Arial" w:eastAsia="Arial" w:hAnsi="Arial"/>
          <w:sz w:val="17"/>
          <w:szCs w:val="17"/>
          <w:color w:val="auto"/>
        </w:rPr>
        <w:t>As of July 31, 2021 and October 31, 2020, the fair value of the interest rate swap agreement designated as a cash flow hedge was $181.2 million and $214.6 million, respectively, and is included within Accrued liabilities in the Company's Condensed Consolidated Balance Sheets.</w:t>
      </w:r>
    </w:p>
    <w:p>
      <w:pPr>
        <w:spacing w:after="0" w:line="105" w:lineRule="exact"/>
        <w:rPr>
          <w:sz w:val="20"/>
          <w:szCs w:val="20"/>
          <w:color w:val="auto"/>
        </w:rPr>
      </w:pPr>
    </w:p>
    <w:p>
      <w:pPr>
        <w:ind w:right="120" w:firstLine="436"/>
        <w:spacing w:after="0" w:line="263"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July 31, 2021 and October 31, 2020,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16" w:name="page17"/>
    <w:bookmarkEnd w:id="16"/>
    <w:p>
      <w:pPr>
        <w:ind w:right="60"/>
        <w:spacing w:after="0" w:line="263" w:lineRule="auto"/>
        <w:rPr>
          <w:sz w:val="20"/>
          <w:szCs w:val="20"/>
          <w:color w:val="auto"/>
        </w:rPr>
      </w:pPr>
      <w:r>
        <w:rPr>
          <w:rFonts w:ascii="Arial" w:cs="Arial" w:eastAsia="Arial" w:hAnsi="Arial"/>
          <w:sz w:val="18"/>
          <w:szCs w:val="18"/>
          <w:color w:val="auto"/>
        </w:rPr>
        <w:t>obligations of the Company to the counterparties. As a result of the above considerations, the Company does not consider the risk of counterparty default to be significant.</w:t>
      </w:r>
    </w:p>
    <w:p>
      <w:pPr>
        <w:spacing w:after="0" w:line="127" w:lineRule="exact"/>
        <w:rPr>
          <w:sz w:val="20"/>
          <w:szCs w:val="20"/>
          <w:color w:val="auto"/>
        </w:rPr>
      </w:pPr>
    </w:p>
    <w:p>
      <w:pPr>
        <w:ind w:right="60" w:firstLine="436"/>
        <w:spacing w:after="0" w:line="254"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July 31, 2021 and October 31, 2020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July 31, 2021</w:t>
            </w:r>
          </w:p>
        </w:tc>
        <w:tc>
          <w:tcPr>
            <w:tcW w:w="680" w:type="dxa"/>
            <w:vAlign w:val="bottom"/>
          </w:tcPr>
          <w:p>
            <w:pPr>
              <w:spacing w:after="0"/>
              <w:rPr>
                <w:sz w:val="16"/>
                <w:szCs w:val="16"/>
                <w:color w:val="auto"/>
              </w:rPr>
            </w:pPr>
          </w:p>
        </w:tc>
        <w:tc>
          <w:tcPr>
            <w:tcW w:w="1540" w:type="dxa"/>
            <w:vAlign w:val="bottom"/>
          </w:tcPr>
          <w:p>
            <w:pPr>
              <w:jc w:val="right"/>
              <w:ind w:right="296"/>
              <w:spacing w:after="0"/>
              <w:rPr>
                <w:sz w:val="20"/>
                <w:szCs w:val="20"/>
                <w:color w:val="auto"/>
              </w:rPr>
            </w:pPr>
            <w:r>
              <w:rPr>
                <w:rFonts w:ascii="Arial" w:cs="Arial" w:eastAsia="Arial" w:hAnsi="Arial"/>
                <w:sz w:val="14"/>
                <w:szCs w:val="14"/>
                <w:b w:val="1"/>
                <w:bCs w:val="1"/>
                <w:color w:val="auto"/>
              </w:rPr>
              <w:t>October 31, 2020</w:t>
            </w:r>
          </w:p>
        </w:tc>
      </w:tr>
      <w:tr>
        <w:trPr>
          <w:trHeight w:val="223"/>
        </w:trPr>
        <w:tc>
          <w:tcPr>
            <w:tcW w:w="66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Raw materials</w:t>
            </w:r>
          </w:p>
        </w:tc>
        <w:tc>
          <w:tcPr>
            <w:tcW w:w="7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42,173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24"/>
        </w:trPr>
        <w:tc>
          <w:tcPr>
            <w:tcW w:w="666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7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482,227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443,690</w:t>
            </w:r>
          </w:p>
        </w:tc>
      </w:tr>
      <w:tr>
        <w:trPr>
          <w:trHeight w:val="224"/>
        </w:trPr>
        <w:tc>
          <w:tcPr>
            <w:tcW w:w="6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Finished goods</w:t>
            </w:r>
          </w:p>
        </w:tc>
        <w:tc>
          <w:tcPr>
            <w:tcW w:w="7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133,120</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130,764</w:t>
            </w:r>
          </w:p>
        </w:tc>
      </w:tr>
      <w:tr>
        <w:trPr>
          <w:trHeight w:val="218"/>
        </w:trPr>
        <w:tc>
          <w:tcPr>
            <w:tcW w:w="6660" w:type="dxa"/>
            <w:vAlign w:val="bottom"/>
          </w:tcPr>
          <w:p>
            <w:pPr>
              <w:ind w:left="580"/>
              <w:spacing w:after="0"/>
              <w:rPr>
                <w:sz w:val="20"/>
                <w:szCs w:val="20"/>
                <w:color w:val="auto"/>
              </w:rPr>
            </w:pPr>
            <w:r>
              <w:rPr>
                <w:rFonts w:ascii="Arial" w:cs="Arial" w:eastAsia="Arial" w:hAnsi="Arial"/>
                <w:sz w:val="18"/>
                <w:szCs w:val="18"/>
                <w:color w:val="auto"/>
              </w:rPr>
              <w:t>Total inventories</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657,520</w:t>
            </w:r>
          </w:p>
        </w:tc>
        <w:tc>
          <w:tcPr>
            <w:tcW w:w="100" w:type="dxa"/>
            <w:vAlign w:val="bottom"/>
          </w:tcPr>
          <w:p>
            <w:pPr>
              <w:spacing w:after="0"/>
              <w:rPr>
                <w:sz w:val="18"/>
                <w:szCs w:val="18"/>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608,260</w:t>
            </w: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Revolving Credit Facility</w:t>
      </w:r>
    </w:p>
    <w:p>
      <w:pPr>
        <w:spacing w:after="0" w:line="169" w:lineRule="exact"/>
        <w:rPr>
          <w:sz w:val="20"/>
          <w:szCs w:val="20"/>
          <w:color w:val="auto"/>
        </w:rPr>
      </w:pPr>
    </w:p>
    <w:p>
      <w:pPr>
        <w:ind w:right="80" w:firstLine="436"/>
        <w:spacing w:after="0" w:line="248" w:lineRule="auto"/>
        <w:rPr>
          <w:sz w:val="20"/>
          <w:szCs w:val="20"/>
          <w:color w:val="auto"/>
        </w:rPr>
      </w:pPr>
      <w:r>
        <w:rPr>
          <w:rFonts w:ascii="Arial" w:cs="Arial" w:eastAsia="Arial" w:hAnsi="Arial"/>
          <w:sz w:val="18"/>
          <w:szCs w:val="18"/>
          <w:color w:val="auto"/>
        </w:rPr>
        <w:t>On June 23, 2021, the Company entered into a Third Amended and Restated Credit Agreement (Revolving Credit Agreement) with Bank of America, N.A. as administrative agent and the other banks identified therein as lenders, which further amended and restated its existing Second Amended and Restated Credit Agreement dated as of June 28, 2019. The Revolving Credit Agreement provides for a five year unsecured revolving credit facility in an aggregate principal amount not to exceed (i) $1.25 billion or (ii) upon the completion of the acquisition by the Company of Maxim on or before January 12, 2022 (subject to certain terms and conditions), $2.5 billion. To date, the Company has not borrowed under this revolving credit facility but may borrow in the future and use the proceeds for repayment of existing indebtedness, stock repurchases, acquisitions, capital expenditures, working capital and other lawful corporate purposes.</w:t>
      </w:r>
    </w:p>
    <w:p>
      <w:pPr>
        <w:spacing w:after="0" w:line="140" w:lineRule="exact"/>
        <w:rPr>
          <w:sz w:val="20"/>
          <w:szCs w:val="20"/>
          <w:color w:val="auto"/>
        </w:rPr>
      </w:pPr>
    </w:p>
    <w:p>
      <w:pPr>
        <w:ind w:right="200" w:firstLine="436"/>
        <w:spacing w:after="0" w:line="297" w:lineRule="auto"/>
        <w:rPr>
          <w:sz w:val="20"/>
          <w:szCs w:val="20"/>
          <w:color w:val="auto"/>
        </w:rPr>
      </w:pPr>
      <w:r>
        <w:rPr>
          <w:rFonts w:ascii="Arial" w:cs="Arial" w:eastAsia="Arial" w:hAnsi="Arial"/>
          <w:sz w:val="15"/>
          <w:szCs w:val="15"/>
          <w:color w:val="auto"/>
        </w:rPr>
        <w:t>Revolving loans under the Revolving Credit Agreement can be Eurocurrency Rate Loans or Base Rate Loans (each as defined in the Revolving Credit Agreement) at the Company’s option. Each Eurocurrency Rate Loan will bear interest at a rate per annum equal to the applicable Eurocurrency Rate plus a margin based on the Company’s Debt Ratings (as defined in the Revolving Credit Agreement) from time to time of between 0.690% and 1.175%. Each Base Rate Loan will bear interest at a rate per annum equal to the Base Rate plus a margin based on the Company’s Debt Ratings from time to time of between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0.00% and 0.175%. In addition, the Company has agreed to pay a facility fee based on the Company’s Debt Ratings from time to time of between 0.060% and</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0.200% multiplied by the actual daily amount of the Commitments (as defined in the Revolving Credit Agreement) in effect. The Revolving Credit Agreement also contains a sustainability-linked pricing component which provides for interest rate and facility fee reductions or increases based on the Company meeting or missing targets related to environmental sustainability, specifically greenhouse gas emissions and renewable energy usage. The Revolving Credit Agreement includes a multicurrency borrowing feature for certain specified foreign currencies. The Company will guarantee the obligations of each subsidiary that is named a Designated Borrower under the Revolving Credit Agreement.</w:t>
      </w:r>
    </w:p>
    <w:p>
      <w:pPr>
        <w:spacing w:after="0" w:line="128" w:lineRule="exact"/>
        <w:rPr>
          <w:sz w:val="20"/>
          <w:szCs w:val="20"/>
          <w:color w:val="auto"/>
        </w:rPr>
      </w:pPr>
    </w:p>
    <w:p>
      <w:pPr>
        <w:ind w:right="480" w:firstLine="436"/>
        <w:spacing w:after="0" w:line="292" w:lineRule="auto"/>
        <w:rPr>
          <w:sz w:val="20"/>
          <w:szCs w:val="20"/>
          <w:color w:val="auto"/>
        </w:rPr>
      </w:pPr>
      <w:r>
        <w:rPr>
          <w:rFonts w:ascii="Arial" w:cs="Arial" w:eastAsia="Arial" w:hAnsi="Arial"/>
          <w:sz w:val="17"/>
          <w:szCs w:val="17"/>
          <w:color w:val="auto"/>
        </w:rPr>
        <w:t>The Revolving Credit Agreement contains customary representations and warranties, and affirmative and negative covenants and events of default applicable to the Company and its subsidiaries. As of July 31, 2021, the Company was in compliance with these covenants.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69" w:lineRule="exact"/>
        <w:rPr>
          <w:sz w:val="20"/>
          <w:szCs w:val="20"/>
          <w:color w:val="auto"/>
        </w:rPr>
      </w:pPr>
    </w:p>
    <w:p>
      <w:pPr>
        <w:ind w:right="120" w:firstLine="436"/>
        <w:spacing w:after="0" w:line="364" w:lineRule="auto"/>
        <w:rPr>
          <w:sz w:val="20"/>
          <w:szCs w:val="20"/>
          <w:color w:val="auto"/>
        </w:rPr>
      </w:pPr>
      <w:r>
        <w:rPr>
          <w:rFonts w:ascii="Arial" w:cs="Arial" w:eastAsia="Arial" w:hAnsi="Arial"/>
          <w:sz w:val="15"/>
          <w:szCs w:val="15"/>
          <w:color w:val="auto"/>
        </w:rPr>
        <w:t>The Company’s effective tax rates for the three- and nine-month periods ended July 31, 2021 and August 1, 2020 were below the U.S. statutory tax rate of 21.0%, due to lower statutory tax rates applicable to the Company's operations in the foreign jurisdictions in which it earns income.</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 has numerous audits ongoing throughout the world including: an IRS income tax audit for the fiscal year ended November 3, 2018 (fiscal</w:t>
      </w:r>
    </w:p>
    <w:p>
      <w:pPr>
        <w:spacing w:after="0" w:line="50"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color w:val="auto"/>
        </w:rPr>
        <w:t>2018) and fiscal 2019; various U.S. state and local tax audits; and international audits. The Company's U.S. federal tax returns prior to the fiscal year ended October 28, 2017 (fiscal 2017) are no longer subject to examination.</w:t>
      </w:r>
    </w:p>
    <w:p>
      <w:pPr>
        <w:spacing w:after="0" w:line="140" w:lineRule="exact"/>
        <w:rPr>
          <w:sz w:val="20"/>
          <w:szCs w:val="20"/>
          <w:color w:val="auto"/>
        </w:rPr>
      </w:pPr>
    </w:p>
    <w:p>
      <w:pPr>
        <w:jc w:val="both"/>
        <w:ind w:firstLine="436"/>
        <w:spacing w:after="0" w:line="254" w:lineRule="auto"/>
        <w:rPr>
          <w:sz w:val="20"/>
          <w:szCs w:val="20"/>
          <w:color w:val="auto"/>
        </w:rPr>
      </w:pPr>
      <w:r>
        <w:rPr>
          <w:rFonts w:ascii="Arial" w:cs="Arial" w:eastAsia="Arial" w:hAnsi="Arial"/>
          <w:sz w:val="18"/>
          <w:szCs w:val="18"/>
          <w:color w:val="auto"/>
        </w:rPr>
        <w:t>During the fourth quarter of fiscal 2018, the Company’s Irish tax resident subsidiary received an assessment, excluding any penalties and interest, for the fiscal year ended November 2, 2013 (fiscal 2013) of approximately €43.0 million, or approximately $51.0 million (as of July 31, 2021), from the Irish Revenue Commissioners (Irish Revenue). The assessment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7" w:name="page18"/>
    <w:bookmarkEnd w:id="17"/>
    <w:p>
      <w:pPr>
        <w:jc w:val="both"/>
        <w:ind w:right="280"/>
        <w:spacing w:after="0" w:line="263" w:lineRule="auto"/>
        <w:rPr>
          <w:sz w:val="20"/>
          <w:szCs w:val="20"/>
          <w:color w:val="auto"/>
        </w:rPr>
      </w:pPr>
      <w:r>
        <w:rPr>
          <w:rFonts w:ascii="Arial" w:cs="Arial" w:eastAsia="Arial" w:hAnsi="Arial"/>
          <w:sz w:val="18"/>
          <w:szCs w:val="18"/>
          <w:color w:val="auto"/>
        </w:rPr>
        <w:t>claimed that the Company’s Irish entity failed to conform to 2010 OECD Transfer Pricing Guidelines. During the third quarter of fiscal 2021, the Company settled the fiscal 2013 audit with Irish Revenue for an amount that was not material to the Company.</w:t>
      </w:r>
    </w:p>
    <w:p>
      <w:pPr>
        <w:spacing w:after="0" w:line="127" w:lineRule="exact"/>
        <w:rPr>
          <w:sz w:val="20"/>
          <w:szCs w:val="20"/>
          <w:color w:val="auto"/>
        </w:rPr>
      </w:pPr>
    </w:p>
    <w:p>
      <w:pPr>
        <w:jc w:val="both"/>
        <w:ind w:right="300" w:firstLine="436"/>
        <w:spacing w:after="0" w:line="254" w:lineRule="auto"/>
        <w:rPr>
          <w:sz w:val="20"/>
          <w:szCs w:val="20"/>
          <w:color w:val="auto"/>
        </w:rPr>
      </w:pPr>
      <w:r>
        <w:rPr>
          <w:rFonts w:ascii="Arial" w:cs="Arial" w:eastAsia="Arial" w:hAnsi="Arial"/>
          <w:sz w:val="18"/>
          <w:szCs w:val="18"/>
          <w:color w:val="auto"/>
        </w:rPr>
        <w:t>During fiscal 2019, Irish Revenue commenced transfer pricing audits of fiscal years ended November 1, 2014 (fiscal 2014) through fiscal 2017. The Company settled the audits relating to fiscal 2014 through fiscal 2017 with either no assessment or for additional tax payments that were not material to the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Financial Instruments</w:t>
      </w:r>
    </w:p>
    <w:p>
      <w:pPr>
        <w:spacing w:after="0" w:line="97" w:lineRule="exact"/>
        <w:rPr>
          <w:sz w:val="20"/>
          <w:szCs w:val="20"/>
          <w:color w:val="auto"/>
        </w:rPr>
      </w:pPr>
    </w:p>
    <w:p>
      <w:pPr>
        <w:ind w:right="180" w:firstLine="396"/>
        <w:spacing w:after="0" w:line="263"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Measurement of Credit Losses on Financial Instruments </w:t>
      </w:r>
      <w:r>
        <w:rPr>
          <w:rFonts w:ascii="Arial" w:cs="Arial" w:eastAsia="Arial" w:hAnsi="Arial"/>
          <w:sz w:val="17"/>
          <w:szCs w:val="17"/>
          <w:color w:val="auto"/>
        </w:rPr>
        <w:t>(ASU 2016-13). ASU 2016-13 requires a financial asset (or group of financial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xml:space="preserve"> (ASU 2019-05) and ASU 2019-11, </w:t>
      </w:r>
      <w:r>
        <w:rPr>
          <w:rFonts w:ascii="Arial" w:cs="Arial" w:eastAsia="Arial" w:hAnsi="Arial"/>
          <w:sz w:val="17"/>
          <w:szCs w:val="17"/>
          <w:i w:val="1"/>
          <w:iCs w:val="1"/>
          <w:color w:val="auto"/>
        </w:rPr>
        <w:t xml:space="preserve">Codification Improvements to Topic 326 </w:t>
      </w:r>
      <w:r>
        <w:rPr>
          <w:rFonts w:ascii="Arial" w:cs="Arial" w:eastAsia="Arial" w:hAnsi="Arial"/>
          <w:sz w:val="17"/>
          <w:szCs w:val="17"/>
          <w:color w:val="auto"/>
        </w:rPr>
        <w:t>(ASU 2019-11). ASU 2019-05 allows an entity to irrevocably elect the fair value option for certain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ASC 326.</w:t>
      </w:r>
    </w:p>
    <w:p>
      <w:pPr>
        <w:spacing w:after="0" w:line="53" w:lineRule="exact"/>
        <w:rPr>
          <w:sz w:val="20"/>
          <w:szCs w:val="20"/>
          <w:color w:val="auto"/>
        </w:rPr>
      </w:pPr>
    </w:p>
    <w:p>
      <w:pPr>
        <w:ind w:right="100" w:firstLine="396"/>
        <w:spacing w:after="0" w:line="311" w:lineRule="auto"/>
        <w:rPr>
          <w:sz w:val="20"/>
          <w:szCs w:val="20"/>
          <w:color w:val="auto"/>
        </w:rPr>
      </w:pPr>
      <w:r>
        <w:rPr>
          <w:rFonts w:ascii="Arial" w:cs="Arial" w:eastAsia="Arial" w:hAnsi="Arial"/>
          <w:sz w:val="15"/>
          <w:szCs w:val="15"/>
          <w:color w:val="auto"/>
        </w:rPr>
        <w:t xml:space="preserve">The Company is exposed to credit losses through sales of its products and certain financial instruments. The Company determines if there is an expected loss on its accounts receivables using historical collection experience, current and future economic and market conditions and a review of the current status of customers' trade accounts receivables. The Company adopted these standards effective November 1, 2020 using the modified retrospective approach, which did not have a material impact on the Company's financial position and results of operations. See Note 8,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in these Notes to Condensed Consolidated Financial Statements for more information related to how the Company assesses credit losses on its available-for-sale debt securities.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taxes</w:t>
      </w:r>
    </w:p>
    <w:p>
      <w:pPr>
        <w:spacing w:after="0" w:line="97" w:lineRule="exact"/>
        <w:rPr>
          <w:sz w:val="20"/>
          <w:szCs w:val="20"/>
          <w:color w:val="auto"/>
        </w:rPr>
      </w:pPr>
    </w:p>
    <w:p>
      <w:pPr>
        <w:ind w:right="160" w:firstLine="396"/>
        <w:spacing w:after="0" w:line="24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(ASU-2019-12).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Company adopted ASU 2019-12 in the first quarter of fiscal 2021. Upon adoption, ASU 2019-12 did not have a material impact on the Company's financial position and results of operations.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Retirement Benefits</w:t>
      </w:r>
    </w:p>
    <w:p>
      <w:pPr>
        <w:spacing w:after="0" w:line="84" w:lineRule="exact"/>
        <w:rPr>
          <w:sz w:val="20"/>
          <w:szCs w:val="20"/>
          <w:color w:val="auto"/>
        </w:rPr>
      </w:pPr>
    </w:p>
    <w:p>
      <w:pPr>
        <w:ind w:firstLine="436"/>
        <w:spacing w:after="0" w:line="24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 2018-14), which modifies the disclosure requirements for defined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plans and other post-retirement plans. ASU 2018-14 is effective for fiscal years ending after December 15, 2020, with early adoption permitted. The Company adopted ASU 2018-14 in the first quarter of fiscal 2021. Upon adoption, ASU 2018-14 did not have a material impact on the Company's financial position and results of operations.</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Standards to Be Implemented</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Reference Rate Reform</w:t>
      </w:r>
    </w:p>
    <w:p>
      <w:pPr>
        <w:spacing w:after="0" w:line="97" w:lineRule="exact"/>
        <w:rPr>
          <w:sz w:val="20"/>
          <w:szCs w:val="20"/>
          <w:color w:val="auto"/>
        </w:rPr>
      </w:pPr>
    </w:p>
    <w:p>
      <w:pPr>
        <w:ind w:right="140" w:firstLine="436"/>
        <w:spacing w:after="0" w:line="317" w:lineRule="auto"/>
        <w:rPr>
          <w:sz w:val="20"/>
          <w:szCs w:val="20"/>
          <w:color w:val="auto"/>
        </w:rPr>
      </w:pPr>
      <w:r>
        <w:rPr>
          <w:rFonts w:ascii="Arial" w:cs="Arial" w:eastAsia="Arial" w:hAnsi="Arial"/>
          <w:sz w:val="15"/>
          <w:szCs w:val="15"/>
          <w:color w:val="auto"/>
        </w:rPr>
        <w:t xml:space="preserve">In March 2020, the FASB issued ASU No. 2020-04, </w:t>
      </w:r>
      <w:r>
        <w:rPr>
          <w:rFonts w:ascii="Arial" w:cs="Arial" w:eastAsia="Arial" w:hAnsi="Arial"/>
          <w:sz w:val="15"/>
          <w:szCs w:val="15"/>
          <w:i w:val="1"/>
          <w:iCs w:val="1"/>
          <w:color w:val="auto"/>
        </w:rPr>
        <w:t>Reference Rate Reform (Topic 848) - Facilitation of the Effects of Reference Rate Reform on</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Reporting</w:t>
      </w:r>
      <w:r>
        <w:rPr>
          <w:rFonts w:ascii="Arial" w:cs="Arial" w:eastAsia="Arial" w:hAnsi="Arial"/>
          <w:sz w:val="15"/>
          <w:szCs w:val="15"/>
          <w:color w:val="auto"/>
        </w:rPr>
        <w:t>, which provides optional guidance for accounting for contracts, hedging relationships, and other transactions affected by reference rate</w:t>
      </w:r>
      <w:r>
        <w:rPr>
          <w:rFonts w:ascii="Arial" w:cs="Arial" w:eastAsia="Arial" w:hAnsi="Arial"/>
          <w:sz w:val="15"/>
          <w:szCs w:val="15"/>
          <w:i w:val="1"/>
          <w:iCs w:val="1"/>
          <w:color w:val="auto"/>
        </w:rPr>
        <w:t xml:space="preserve"> </w:t>
      </w:r>
      <w:r>
        <w:rPr>
          <w:rFonts w:ascii="Arial" w:cs="Arial" w:eastAsia="Arial" w:hAnsi="Arial"/>
          <w:sz w:val="15"/>
          <w:szCs w:val="15"/>
          <w:color w:val="auto"/>
        </w:rPr>
        <w:t>reform, if certain criteria are met. The provisions of this standard are available for election through December 31, 2022. The Company is currently evaluating the impact of the reference rate reform on its contracts and the resulting impact of adopting this standard on our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14 –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63" w:lineRule="exact"/>
        <w:rPr>
          <w:sz w:val="20"/>
          <w:szCs w:val="20"/>
          <w:color w:val="auto"/>
        </w:rPr>
      </w:pPr>
    </w:p>
    <w:p>
      <w:pPr>
        <w:ind w:right="40" w:firstLine="436"/>
        <w:spacing w:after="0" w:line="248" w:lineRule="auto"/>
        <w:rPr>
          <w:sz w:val="20"/>
          <w:szCs w:val="20"/>
          <w:color w:val="auto"/>
        </w:rPr>
      </w:pPr>
      <w:r>
        <w:rPr>
          <w:rFonts w:ascii="Arial" w:cs="Arial" w:eastAsia="Arial" w:hAnsi="Arial"/>
          <w:sz w:val="18"/>
          <w:szCs w:val="18"/>
          <w:color w:val="auto"/>
        </w:rPr>
        <w:t>On July 12, 2020, the Company entered into the Merger Agreement to acquire Maxim, an independent manufacturer of innovative analog and mixed-signal products and technologies. Under the terms of the Merger Agreement, Maxim stockholders will receive, for each outstanding share of Maxim common stock, 0.630 of a share of the Company’s common stock at the closing. The estimated merger consideration is approximately $29.0 billion based on the closing price of the Company's common stock on August 13, 2021. The value of the merger consideration will fluctuate based upon changes in the price of the Company's common stock and the number of shares of Maxim common stock, restricted stock awards and restricted stock unit awards outstanding on the closing date.</w:t>
      </w:r>
    </w:p>
    <w:p>
      <w:pPr>
        <w:spacing w:after="0" w:line="143"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The transaction is subject to customary closing conditions, including receipt of regulatory approvals. To date, required regulatory approvals have been obtained in all jurisdictions with the exception of China. The Merger Agreement includes termination rights for both the Company and Maxim. The Company may be required to pay Maxim a regulatory termination fee of $830.0 million in cash if the Merger Agreement is terminated in certain circumstances involving the failure to obtain required regulatory approvals. On October 8, 2020, the required shareholder approvals relating to the Merger Agreement were obtained from both the Company's shareholders and Maxim's shareholders.</w:t>
      </w:r>
    </w:p>
    <w:p>
      <w:pPr>
        <w:spacing w:after="0" w:line="127" w:lineRule="exact"/>
        <w:rPr>
          <w:sz w:val="20"/>
          <w:szCs w:val="20"/>
          <w:color w:val="auto"/>
        </w:rPr>
      </w:pPr>
    </w:p>
    <w:p>
      <w:pPr>
        <w:ind w:right="180" w:firstLine="436"/>
        <w:spacing w:after="0" w:line="254" w:lineRule="auto"/>
        <w:rPr>
          <w:sz w:val="20"/>
          <w:szCs w:val="20"/>
          <w:color w:val="auto"/>
        </w:rPr>
      </w:pPr>
      <w:r>
        <w:rPr>
          <w:rFonts w:ascii="Arial" w:cs="Arial" w:eastAsia="Arial" w:hAnsi="Arial"/>
          <w:sz w:val="18"/>
          <w:szCs w:val="18"/>
          <w:color w:val="auto"/>
        </w:rPr>
        <w:t>In the three- and nine-month periods ended July 31, 2021, the Company incurred $18.3 million and $56.6 million of transaction-related costs related to the proposed acquisition of Maxim, respectively, recorded within Selling, marketing, general and administrative expenses in the Company's Condensed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69" w:lineRule="exact"/>
        <w:rPr>
          <w:sz w:val="20"/>
          <w:szCs w:val="20"/>
          <w:color w:val="auto"/>
        </w:rPr>
      </w:pPr>
    </w:p>
    <w:p>
      <w:pPr>
        <w:ind w:firstLine="396"/>
        <w:spacing w:after="0" w:line="364" w:lineRule="auto"/>
        <w:rPr>
          <w:sz w:val="20"/>
          <w:szCs w:val="20"/>
          <w:color w:val="auto"/>
        </w:rPr>
      </w:pPr>
      <w:r>
        <w:rPr>
          <w:rFonts w:ascii="Arial" w:cs="Arial" w:eastAsia="Arial" w:hAnsi="Arial"/>
          <w:sz w:val="15"/>
          <w:szCs w:val="15"/>
          <w:color w:val="auto"/>
        </w:rPr>
        <w:t>On August 17, 2021, the Board of Directors of the Company declared a cash dividend of $0.69 per outstanding share of common stock. The dividend will be paid on September 8, 2021 to all shareholders of record at the close of business on August 27, 2021 and is expected to total approximately $254.1 million.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9" w:name="page20"/>
    <w:bookmarkEnd w:id="19"/>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61" w:lineRule="exact"/>
        <w:rPr>
          <w:sz w:val="20"/>
          <w:szCs w:val="20"/>
          <w:color w:val="auto"/>
        </w:rPr>
      </w:pPr>
    </w:p>
    <w:p>
      <w:pPr>
        <w:ind w:right="80" w:firstLine="436"/>
        <w:spacing w:after="0" w:line="328" w:lineRule="auto"/>
        <w:rPr>
          <w:sz w:val="20"/>
          <w:szCs w:val="20"/>
          <w:color w:val="auto"/>
        </w:rPr>
      </w:pPr>
      <w:r>
        <w:rPr>
          <w:rFonts w:ascii="Arial" w:cs="Arial" w:eastAsia="Arial" w:hAnsi="Arial"/>
          <w:sz w:val="15"/>
          <w:szCs w:val="15"/>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31, 2020 (fiscal 2020).</w:t>
      </w:r>
    </w:p>
    <w:p>
      <w:pPr>
        <w:spacing w:after="0" w:line="85" w:lineRule="exact"/>
        <w:rPr>
          <w:sz w:val="20"/>
          <w:szCs w:val="20"/>
          <w:color w:val="auto"/>
        </w:rPr>
      </w:pPr>
    </w:p>
    <w:p>
      <w:pPr>
        <w:ind w:right="40" w:firstLine="436"/>
        <w:spacing w:after="0" w:line="298" w:lineRule="auto"/>
        <w:rPr>
          <w:sz w:val="20"/>
          <w:szCs w:val="20"/>
          <w:color w:val="auto"/>
        </w:rPr>
      </w:pPr>
      <w:r>
        <w:rPr>
          <w:rFonts w:ascii="Arial" w:cs="Arial" w:eastAsia="Arial" w:hAnsi="Arial"/>
          <w:sz w:val="15"/>
          <w:szCs w:val="15"/>
          <w:color w:val="auto"/>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the proposed acquisition of Maxim Integrated Products, Inc.; our anticipated growth and trends in our businesses; our future liquidity, capital needs and capital expenditures; </w:t>
      </w:r>
      <w:r>
        <w:rPr>
          <w:rFonts w:ascii="Arial" w:cs="Arial" w:eastAsia="Arial" w:hAnsi="Arial"/>
          <w:sz w:val="15"/>
          <w:szCs w:val="15"/>
          <w:color w:val="212529"/>
        </w:rPr>
        <w:t>the impact of the COVID-19</w:t>
      </w:r>
      <w:r>
        <w:rPr>
          <w:rFonts w:ascii="Arial" w:cs="Arial" w:eastAsia="Arial" w:hAnsi="Arial"/>
          <w:sz w:val="15"/>
          <w:szCs w:val="15"/>
          <w:color w:val="auto"/>
        </w:rPr>
        <w:t xml:space="preserve"> </w:t>
      </w:r>
      <w:r>
        <w:rPr>
          <w:rFonts w:ascii="Arial" w:cs="Arial" w:eastAsia="Arial" w:hAnsi="Arial"/>
          <w:sz w:val="15"/>
          <w:szCs w:val="15"/>
          <w:color w:val="212529"/>
        </w:rPr>
        <w:t xml:space="preserve">pandemic on our business, financial condition and results of operations; </w:t>
      </w:r>
      <w:r>
        <w:rPr>
          <w:rFonts w:ascii="Arial" w:cs="Arial" w:eastAsia="Arial" w:hAnsi="Arial"/>
          <w:sz w:val="15"/>
          <w:szCs w:val="15"/>
          <w:color w:val="000000"/>
        </w:rPr>
        <w:t>our future market position and expected competitive changes in the marketplace for</w:t>
      </w:r>
      <w:r>
        <w:rPr>
          <w:rFonts w:ascii="Arial" w:cs="Arial" w:eastAsia="Arial" w:hAnsi="Arial"/>
          <w:sz w:val="15"/>
          <w:szCs w:val="15"/>
          <w:color w:val="212529"/>
        </w:rPr>
        <w:t xml:space="preserve"> </w:t>
      </w:r>
      <w:r>
        <w:rPr>
          <w:rFonts w:ascii="Arial" w:cs="Arial" w:eastAsia="Arial" w:hAnsi="Arial"/>
          <w:sz w:val="15"/>
          <w:szCs w:val="15"/>
          <w:color w:val="000000"/>
        </w:rPr>
        <w:t>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63" w:lineRule="exact"/>
        <w:rPr>
          <w:sz w:val="20"/>
          <w:szCs w:val="20"/>
          <w:color w:val="auto"/>
        </w:rPr>
      </w:pPr>
    </w:p>
    <w:p>
      <w:pPr>
        <w:ind w:right="80" w:firstLine="436"/>
        <w:spacing w:after="0" w:line="307" w:lineRule="auto"/>
        <w:rPr>
          <w:sz w:val="20"/>
          <w:szCs w:val="20"/>
          <w:color w:val="auto"/>
        </w:rPr>
      </w:pPr>
      <w:r>
        <w:rPr>
          <w:rFonts w:ascii="Arial" w:cs="Arial" w:eastAsia="Arial" w:hAnsi="Arial"/>
          <w:sz w:val="15"/>
          <w:szCs w:val="15"/>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Since the beginning of the third quarter of fiscal 2020, our manufacturing operations and supply chain generally stabilized at normal levels, but that could change in the future given that the COVID-19 situation remains dynamic.</w:t>
      </w:r>
    </w:p>
    <w:p>
      <w:pPr>
        <w:spacing w:after="0" w:line="102" w:lineRule="exact"/>
        <w:rPr>
          <w:sz w:val="20"/>
          <w:szCs w:val="20"/>
          <w:color w:val="auto"/>
        </w:rPr>
      </w:pPr>
    </w:p>
    <w:p>
      <w:pPr>
        <w:ind w:firstLine="436"/>
        <w:spacing w:after="0" w:line="276"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18" w:lineRule="exact"/>
        <w:rPr>
          <w:sz w:val="20"/>
          <w:szCs w:val="20"/>
          <w:color w:val="auto"/>
        </w:rPr>
      </w:pPr>
    </w:p>
    <w:p>
      <w:pPr>
        <w:ind w:right="20" w:firstLine="436"/>
        <w:spacing w:after="0" w:line="267" w:lineRule="auto"/>
        <w:rPr>
          <w:sz w:val="20"/>
          <w:szCs w:val="20"/>
          <w:color w:val="auto"/>
        </w:rPr>
      </w:pPr>
      <w:r>
        <w:rPr>
          <w:rFonts w:ascii="Arial" w:cs="Arial" w:eastAsia="Arial" w:hAnsi="Arial"/>
          <w:sz w:val="17"/>
          <w:szCs w:val="17"/>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63" w:lineRule="exact"/>
        <w:rPr>
          <w:sz w:val="20"/>
          <w:szCs w:val="20"/>
          <w:color w:val="auto"/>
        </w:rPr>
      </w:pPr>
    </w:p>
    <w:p>
      <w:pPr>
        <w:ind w:right="100" w:firstLine="436"/>
        <w:spacing w:after="0" w:line="248" w:lineRule="auto"/>
        <w:rPr>
          <w:sz w:val="20"/>
          <w:szCs w:val="20"/>
          <w:color w:val="auto"/>
        </w:rPr>
      </w:pPr>
      <w:r>
        <w:rPr>
          <w:rFonts w:ascii="Arial" w:cs="Arial" w:eastAsia="Arial" w:hAnsi="Arial"/>
          <w:sz w:val="18"/>
          <w:szCs w:val="18"/>
          <w:color w:val="auto"/>
        </w:rPr>
        <w:t>On July 12, 2020, we entered into a definitive agreement (the Merger Agreement) to acquire Maxim Integrated Products, Inc. (Maxim), an independent manufacturer of innovative analog and mixed-signal products and technologies. Under the terms of the Merger Agreement, Maxim stockholders will receive, for each outstanding share of Maxim common stock, 0.630 of a share of our common stock at the closing. The estimated merger consideration is approximately $29.0 billion based on the closing price of our common stock on August 13, 2021. The value of the merger consideration will fluctuate based upon changes in the price of our common stock and the number of shares of Maxim common stock, restricted stock awards and restricted stock unit awards outstanding on the closing date.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032" w:right="379" w:bottom="1440" w:gutter="0" w:footer="0" w:header="0"/>
        </w:sectPr>
      </w:pPr>
    </w:p>
    <w:bookmarkStart w:id="20" w:name="page21"/>
    <w:bookmarkEnd w:id="20"/>
    <w:p>
      <w:pPr>
        <w:ind w:right="180" w:firstLine="436"/>
        <w:spacing w:after="0" w:line="249" w:lineRule="auto"/>
        <w:rPr>
          <w:sz w:val="20"/>
          <w:szCs w:val="20"/>
          <w:color w:val="auto"/>
        </w:rPr>
      </w:pPr>
      <w:r>
        <w:rPr>
          <w:rFonts w:ascii="Arial" w:cs="Arial" w:eastAsia="Arial" w:hAnsi="Arial"/>
          <w:sz w:val="18"/>
          <w:szCs w:val="18"/>
          <w:color w:val="auto"/>
        </w:rPr>
        <w:t>The transaction is subject to customary closing conditions, including receipt of regulatory approvals. To date, required regulatory approvals have been obtained in all jurisdictions with the exception of China. The Merger Agreement includes termination rights for us and Maxim. We may be required to pay Maxim a regulatory termination fee of $830.0 million in cash if the Merger Agreement is terminated in certain circumstances involving the failure to obtain required regulatory approvals. On October 8, 2020, the required shareholder approvals relating to the Merger Agreement were obtained from both our shareholders and Maxim's shareholders.</w:t>
      </w:r>
    </w:p>
    <w:p>
      <w:pPr>
        <w:spacing w:after="0" w:line="141" w:lineRule="exact"/>
        <w:rPr>
          <w:sz w:val="20"/>
          <w:szCs w:val="20"/>
          <w:color w:val="auto"/>
        </w:rPr>
      </w:pPr>
    </w:p>
    <w:p>
      <w:pPr>
        <w:ind w:firstLine="436"/>
        <w:spacing w:after="0" w:line="263" w:lineRule="auto"/>
        <w:rPr>
          <w:sz w:val="20"/>
          <w:szCs w:val="20"/>
          <w:color w:val="auto"/>
        </w:rPr>
      </w:pPr>
      <w:r>
        <w:rPr>
          <w:rFonts w:ascii="Arial" w:cs="Arial" w:eastAsia="Arial" w:hAnsi="Arial"/>
          <w:sz w:val="18"/>
          <w:szCs w:val="18"/>
          <w:color w:val="auto"/>
        </w:rPr>
        <w:t xml:space="preserve">See Note 14,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Condensed Consolidated Financial Statements contained in Part I, Item 1 of this Quarterly Report on Form 10-Q for further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1, 2020</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18"/>
        </w:trPr>
        <w:tc>
          <w:tcPr>
            <w:tcW w:w="49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1,758,853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1,456,136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503,311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362,665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444"/>
        </w:trPr>
        <w:tc>
          <w:tcPr>
            <w:tcW w:w="4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83"/>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31, 2021</w:t>
            </w:r>
          </w:p>
        </w:tc>
        <w:tc>
          <w:tcPr>
            <w:tcW w:w="260" w:type="dxa"/>
            <w:vAlign w:val="bottom"/>
          </w:tcPr>
          <w:p>
            <w:pPr>
              <w:spacing w:after="0"/>
              <w:rPr>
                <w:sz w:val="15"/>
                <w:szCs w:val="15"/>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1, 2020</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18"/>
        </w:trPr>
        <w:tc>
          <w:tcPr>
            <w:tcW w:w="49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4,978,718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4,076,761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901,957</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1,314,735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834,235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7" w:lineRule="exact"/>
        <w:rPr>
          <w:sz w:val="20"/>
          <w:szCs w:val="20"/>
          <w:color w:val="auto"/>
        </w:rPr>
      </w:pPr>
    </w:p>
    <w:p>
      <w:pPr>
        <w:ind w:right="120" w:firstLine="436"/>
        <w:spacing w:after="0" w:line="317" w:lineRule="auto"/>
        <w:rPr>
          <w:sz w:val="20"/>
          <w:szCs w:val="20"/>
          <w:color w:val="auto"/>
        </w:rPr>
      </w:pPr>
      <w:r>
        <w:rPr>
          <w:rFonts w:ascii="Arial" w:cs="Arial" w:eastAsia="Arial" w:hAnsi="Arial"/>
          <w:sz w:val="15"/>
          <w:szCs w:val="15"/>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typically do not materially change the sizing of, or the underlying trends of results within, each end market.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July 31, 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August 1, 2020</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1,001,867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778,361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288,743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363,304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178,166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1,758,853</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2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Nine Months Ended</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July 31, 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897"/>
              <w:spacing w:after="0"/>
              <w:rPr>
                <w:sz w:val="20"/>
                <w:szCs w:val="20"/>
                <w:color w:val="auto"/>
              </w:rPr>
            </w:pPr>
            <w:r>
              <w:rPr>
                <w:rFonts w:ascii="Arial" w:cs="Arial" w:eastAsia="Arial" w:hAnsi="Arial"/>
                <w:sz w:val="14"/>
                <w:szCs w:val="14"/>
                <w:b w:val="1"/>
                <w:bCs w:val="1"/>
                <w:color w:val="auto"/>
              </w:rPr>
              <w:t>August 1, 2020</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Revenue*</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2,829,648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2,184,413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4"/>
        </w:trPr>
        <w:tc>
          <w:tcPr>
            <w:tcW w:w="428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847,632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17 %</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880,633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5"/>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507,995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463,713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428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4,978,718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-123190</wp:posOffset>
            </wp:positionV>
            <wp:extent cx="44100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10075" cy="8255"/>
                    </a:xfrm>
                    <a:prstGeom prst="rect">
                      <a:avLst/>
                    </a:prstGeom>
                    <a:noFill/>
                  </pic:spPr>
                </pic:pic>
              </a:graphicData>
            </a:graphic>
          </wp:anchor>
        </w:drawing>
      </w:r>
    </w:p>
    <w:p>
      <w:pPr>
        <w:spacing w:after="0" w:line="169" w:lineRule="exact"/>
        <w:rPr>
          <w:sz w:val="20"/>
          <w:szCs w:val="20"/>
          <w:color w:val="auto"/>
        </w:rPr>
      </w:pPr>
    </w:p>
    <w:p>
      <w:pPr>
        <w:ind w:right="140" w:firstLine="436"/>
        <w:spacing w:after="0" w:line="311" w:lineRule="auto"/>
        <w:rPr>
          <w:sz w:val="20"/>
          <w:szCs w:val="20"/>
          <w:color w:val="auto"/>
        </w:rPr>
      </w:pPr>
      <w:r>
        <w:rPr>
          <w:rFonts w:ascii="Arial" w:cs="Arial" w:eastAsia="Arial" w:hAnsi="Arial"/>
          <w:sz w:val="15"/>
          <w:szCs w:val="15"/>
          <w:color w:val="auto"/>
        </w:rPr>
        <w:t>Revenue increased in the three- and nine-month periods ended July 31, 2021, as compared to the same periods of the prior fiscal year, primarily as a result of higher broad-based demand for our products sold into the Industrial and Automotive end markets, and to a lesser extent, sold into the Consumer end market. In addition, the increased revenue in the Automotive end market in both periods were impacted by an arrangement to license our intellectual property resulting in $24.1 million of revenue immediately recognized in the third quarter of fiscal 2021. Revenue in the Communications end market decreased in the three- and nine-month periods ended July 31, 2021 due to the timing of infrastructure deployment cycles in certain regions.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97" w:lineRule="exact"/>
        <w:rPr>
          <w:sz w:val="20"/>
          <w:szCs w:val="20"/>
          <w:color w:val="auto"/>
        </w:rPr>
      </w:pPr>
    </w:p>
    <w:p>
      <w:pPr>
        <w:ind w:firstLine="396"/>
        <w:spacing w:after="0" w:line="268" w:lineRule="auto"/>
        <w:rPr>
          <w:sz w:val="20"/>
          <w:szCs w:val="20"/>
          <w:color w:val="auto"/>
        </w:rPr>
      </w:pPr>
      <w:r>
        <w:rPr>
          <w:rFonts w:ascii="Arial" w:cs="Arial" w:eastAsia="Arial" w:hAnsi="Arial"/>
          <w:sz w:val="17"/>
          <w:szCs w:val="17"/>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83"/>
        </w:trPr>
        <w:tc>
          <w:tcPr>
            <w:tcW w:w="35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7"/>
              </w:rPr>
              <w:t>July 31, 2021</w:t>
            </w: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August 1, 2020</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78"/>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12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8"/>
              </w:rPr>
              <w:t>% of Revenue*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Pr>
          <w:p>
            <w:pPr>
              <w:spacing w:after="0"/>
              <w:rPr>
                <w:sz w:val="15"/>
                <w:szCs w:val="15"/>
                <w:color w:val="auto"/>
              </w:rPr>
            </w:pPr>
          </w:p>
        </w:tc>
      </w:tr>
      <w:tr>
        <w:trPr>
          <w:trHeight w:val="205"/>
        </w:trPr>
        <w:tc>
          <w:tcPr>
            <w:tcW w:w="3540" w:type="dxa"/>
            <w:vAlign w:val="bottom"/>
            <w:tcBorders>
              <w:top w:val="single" w:sz="8" w:color="CCEEFF"/>
            </w:tcBorders>
            <w:shd w:val="clear" w:color="auto" w:fill="CCEEFF"/>
          </w:tcPr>
          <w:p>
            <w:pPr>
              <w:ind w:left="420"/>
              <w:spacing w:after="0" w:line="204" w:lineRule="exact"/>
              <w:rPr>
                <w:sz w:val="20"/>
                <w:szCs w:val="20"/>
                <w:color w:val="auto"/>
              </w:rPr>
            </w:pPr>
            <w:r>
              <w:rPr>
                <w:rFonts w:ascii="Arial" w:cs="Arial" w:eastAsia="Arial" w:hAnsi="Arial"/>
                <w:sz w:val="18"/>
                <w:szCs w:val="18"/>
                <w:color w:val="auto"/>
              </w:rPr>
              <w:t>Channel</w:t>
            </w:r>
          </w:p>
        </w:tc>
        <w:tc>
          <w:tcPr>
            <w:tcW w:w="7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r>
      <w:tr>
        <w:trPr>
          <w:trHeight w:val="224"/>
        </w:trPr>
        <w:tc>
          <w:tcPr>
            <w:tcW w:w="3540" w:type="dxa"/>
            <w:vAlign w:val="bottom"/>
          </w:tcPr>
          <w:p>
            <w:pPr>
              <w:ind w:left="560"/>
              <w:spacing w:after="0"/>
              <w:rPr>
                <w:sz w:val="20"/>
                <w:szCs w:val="20"/>
                <w:color w:val="auto"/>
              </w:rPr>
            </w:pPr>
            <w:r>
              <w:rPr>
                <w:rFonts w:ascii="Arial" w:cs="Arial" w:eastAsia="Arial" w:hAnsi="Arial"/>
                <w:sz w:val="18"/>
                <w:szCs w:val="18"/>
                <w:color w:val="auto"/>
              </w:rPr>
              <w:t>Distributors</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1,123,301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819,472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Direct customers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588,001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47,551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1,758,853</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1,456,136</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354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r>
      <w:tr>
        <w:trPr>
          <w:trHeight w:val="183"/>
        </w:trPr>
        <w:tc>
          <w:tcPr>
            <w:tcW w:w="35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7"/>
              </w:rPr>
              <w:t>July 31, 2021</w:t>
            </w:r>
          </w:p>
        </w:tc>
        <w:tc>
          <w:tcPr>
            <w:tcW w:w="7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1"/>
              </w:rPr>
              <w:t>August 1, 2020</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78"/>
        </w:trPr>
        <w:tc>
          <w:tcPr>
            <w:tcW w:w="3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60" w:type="dxa"/>
            <w:vAlign w:val="bottom"/>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12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8"/>
              </w:rPr>
              <w:t>% of Revenue*</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4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Pr>
          <w:p>
            <w:pPr>
              <w:spacing w:after="0"/>
              <w:rPr>
                <w:sz w:val="15"/>
                <w:szCs w:val="15"/>
                <w:color w:val="auto"/>
              </w:rPr>
            </w:pPr>
          </w:p>
        </w:tc>
      </w:tr>
      <w:tr>
        <w:trPr>
          <w:trHeight w:val="205"/>
        </w:trPr>
        <w:tc>
          <w:tcPr>
            <w:tcW w:w="3540" w:type="dxa"/>
            <w:vAlign w:val="bottom"/>
            <w:tcBorders>
              <w:top w:val="single" w:sz="8" w:color="CCEEFF"/>
            </w:tcBorders>
            <w:shd w:val="clear" w:color="auto" w:fill="CCEEFF"/>
          </w:tcPr>
          <w:p>
            <w:pPr>
              <w:ind w:left="420"/>
              <w:spacing w:after="0" w:line="204" w:lineRule="exact"/>
              <w:rPr>
                <w:sz w:val="20"/>
                <w:szCs w:val="20"/>
                <w:color w:val="auto"/>
              </w:rPr>
            </w:pPr>
            <w:r>
              <w:rPr>
                <w:rFonts w:ascii="Arial" w:cs="Arial" w:eastAsia="Arial" w:hAnsi="Arial"/>
                <w:sz w:val="18"/>
                <w:szCs w:val="18"/>
                <w:color w:val="auto"/>
              </w:rPr>
              <w:t>Channel</w:t>
            </w:r>
          </w:p>
        </w:tc>
        <w:tc>
          <w:tcPr>
            <w:tcW w:w="7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r>
      <w:tr>
        <w:trPr>
          <w:trHeight w:val="224"/>
        </w:trPr>
        <w:tc>
          <w:tcPr>
            <w:tcW w:w="3540" w:type="dxa"/>
            <w:vAlign w:val="bottom"/>
          </w:tcPr>
          <w:p>
            <w:pPr>
              <w:ind w:left="560"/>
              <w:spacing w:after="0"/>
              <w:rPr>
                <w:sz w:val="20"/>
                <w:szCs w:val="20"/>
                <w:color w:val="auto"/>
              </w:rPr>
            </w:pPr>
            <w:r>
              <w:rPr>
                <w:rFonts w:ascii="Arial" w:cs="Arial" w:eastAsia="Arial" w:hAnsi="Arial"/>
                <w:sz w:val="18"/>
                <w:szCs w:val="18"/>
                <w:color w:val="auto"/>
              </w:rPr>
              <w:t>Distributors</w:t>
            </w: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3,162,615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2,317,421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jc w:val="right"/>
              <w:ind w:right="296"/>
              <w:spacing w:after="0"/>
              <w:rPr>
                <w:sz w:val="20"/>
                <w:szCs w:val="20"/>
                <w:color w:val="auto"/>
              </w:rPr>
            </w:pPr>
            <w:r>
              <w:rPr>
                <w:rFonts w:ascii="Arial" w:cs="Arial" w:eastAsia="Arial" w:hAnsi="Arial"/>
                <w:sz w:val="18"/>
                <w:szCs w:val="18"/>
                <w:color w:val="auto"/>
              </w:rPr>
              <w:t>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Direct customers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1,724,012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1,692,152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3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4,978,718</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4,076,761</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55" w:lineRule="exact"/>
        <w:rPr>
          <w:sz w:val="20"/>
          <w:szCs w:val="20"/>
          <w:color w:val="auto"/>
        </w:rPr>
      </w:pPr>
    </w:p>
    <w:p>
      <w:pPr>
        <w:ind w:right="140" w:firstLine="436"/>
        <w:spacing w:after="0" w:line="251" w:lineRule="auto"/>
        <w:rPr>
          <w:sz w:val="20"/>
          <w:szCs w:val="20"/>
          <w:color w:val="auto"/>
        </w:rPr>
      </w:pPr>
      <w:r>
        <w:rPr>
          <w:rFonts w:ascii="Arial" w:cs="Arial" w:eastAsia="Arial" w:hAnsi="Arial"/>
          <w:sz w:val="18"/>
          <w:szCs w:val="18"/>
          <w:color w:val="auto"/>
        </w:rPr>
        <w:t>The percentage of total revenue sold via each channel can fluctuate from time to time based on end customer demand. In the three- and nine-month periods ended July 31, 2021, higher demand within our Industrial end market resulted in increased revenue through our distributor channel. In addition, an arrangement to license our intellectual property resulting in $24.1 million of revenue immediately recognized in the third quarter of fiscal 2021 contributed to an increase in the percent of total revenue from other channels.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r>
      <w:tr>
        <w:trPr>
          <w:trHeight w:val="183"/>
        </w:trPr>
        <w:tc>
          <w:tcPr>
            <w:tcW w:w="1400" w:type="dxa"/>
            <w:vAlign w:val="bottom"/>
          </w:tcPr>
          <w:p>
            <w:pPr>
              <w:spacing w:after="0"/>
              <w:rPr>
                <w:sz w:val="15"/>
                <w:szCs w:val="15"/>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31, 2021</w:t>
            </w:r>
          </w:p>
        </w:tc>
        <w:tc>
          <w:tcPr>
            <w:tcW w:w="14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2021</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August 1, 2020</w:t>
            </w: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 Change</w:t>
            </w:r>
          </w:p>
        </w:tc>
        <w:tc>
          <w:tcPr>
            <w:tcW w:w="1000" w:type="dxa"/>
            <w:vAlign w:val="bottom"/>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18"/>
        </w:trPr>
        <w:tc>
          <w:tcPr>
            <w:tcW w:w="1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24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7"/>
              </w:rPr>
              <w:t>$   1,221,184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972,578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248,606</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3,403,192</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2,667,394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735,798</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4"/>
        </w:trPr>
        <w:tc>
          <w:tcPr>
            <w:tcW w:w="140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1240" w:type="dxa"/>
            <w:vAlign w:val="bottom"/>
          </w:tcPr>
          <w:p>
            <w:pPr>
              <w:jc w:val="right"/>
              <w:spacing w:after="0"/>
              <w:rPr>
                <w:sz w:val="20"/>
                <w:szCs w:val="20"/>
                <w:color w:val="auto"/>
              </w:rPr>
            </w:pPr>
            <w:r>
              <w:rPr>
                <w:rFonts w:ascii="Arial" w:cs="Arial" w:eastAsia="Arial" w:hAnsi="Arial"/>
                <w:sz w:val="18"/>
                <w:szCs w:val="18"/>
                <w:color w:val="auto"/>
              </w:rPr>
              <w:t>69.4 %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ind w:right="538"/>
              <w:spacing w:after="0"/>
              <w:rPr>
                <w:sz w:val="20"/>
                <w:szCs w:val="20"/>
                <w:color w:val="auto"/>
              </w:rPr>
            </w:pPr>
            <w:r>
              <w:rPr>
                <w:rFonts w:ascii="Arial" w:cs="Arial" w:eastAsia="Arial" w:hAnsi="Arial"/>
                <w:sz w:val="18"/>
                <w:szCs w:val="18"/>
                <w:color w:val="auto"/>
                <w:w w:val="90"/>
              </w:rPr>
              <w:t>68.4%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65.4 %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26" w:lineRule="exact"/>
        <w:rPr>
          <w:sz w:val="20"/>
          <w:szCs w:val="20"/>
          <w:color w:val="auto"/>
        </w:rPr>
      </w:pPr>
    </w:p>
    <w:p>
      <w:pPr>
        <w:ind w:right="180" w:firstLine="436"/>
        <w:spacing w:after="0" w:line="254" w:lineRule="auto"/>
        <w:rPr>
          <w:sz w:val="20"/>
          <w:szCs w:val="20"/>
          <w:color w:val="auto"/>
        </w:rPr>
      </w:pPr>
      <w:r>
        <w:rPr>
          <w:rFonts w:ascii="Arial" w:cs="Arial" w:eastAsia="Arial" w:hAnsi="Arial"/>
          <w:sz w:val="18"/>
          <w:szCs w:val="18"/>
          <w:color w:val="auto"/>
        </w:rPr>
        <w:t>Gross margin percentage increased by 260 and 300 basis points in the three- and nine-month periods ended July 31, 2021, respectively, as compared to the same periods of the prior fiscal year, primarily as a result of higher utilization of our factories due to increased customer demand as well as from the arrangement to license our intellectual property noted above.</w:t>
      </w:r>
    </w:p>
    <w:p>
      <w:pPr>
        <w:sectPr>
          <w:pgSz w:w="11900" w:h="16838" w:orient="portrait"/>
          <w:cols w:equalWidth="0" w:num="1">
            <w:col w:w="11240"/>
          </w:cols>
          <w:pgMar w:left="320" w:top="1091" w:right="339" w:bottom="991"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4"/>
              </w:rPr>
              <w:t>July 31, 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4"/>
              </w:rPr>
              <w:t>July 31,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August 1, 2020</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8"/>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306,617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260,794</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45,823</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18 %  $</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897,005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770,280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126,725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72"/>
        </w:trPr>
        <w:tc>
          <w:tcPr>
            <w:tcW w:w="1620" w:type="dxa"/>
            <w:vAlign w:val="bottom"/>
          </w:tcPr>
          <w:p>
            <w:pPr>
              <w:ind w:left="20"/>
              <w:spacing w:after="0" w:line="172" w:lineRule="exact"/>
              <w:rPr>
                <w:sz w:val="20"/>
                <w:szCs w:val="20"/>
                <w:color w:val="auto"/>
              </w:rPr>
            </w:pPr>
            <w:r>
              <w:rPr>
                <w:rFonts w:ascii="Arial" w:cs="Arial" w:eastAsia="Arial" w:hAnsi="Arial"/>
                <w:sz w:val="18"/>
                <w:szCs w:val="18"/>
                <w:color w:val="auto"/>
                <w:w w:val="87"/>
              </w:rPr>
              <w:t>R&amp;D expenses as a %</w:t>
            </w:r>
          </w:p>
        </w:tc>
        <w:tc>
          <w:tcPr>
            <w:tcW w:w="1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Pr>
          <w:p>
            <w:pPr>
              <w:ind w:left="20"/>
              <w:spacing w:after="0"/>
              <w:rPr>
                <w:sz w:val="20"/>
                <w:szCs w:val="20"/>
                <w:color w:val="auto"/>
              </w:rPr>
            </w:pPr>
            <w:r>
              <w:rPr>
                <w:rFonts w:ascii="Arial" w:cs="Arial" w:eastAsia="Arial" w:hAnsi="Arial"/>
                <w:sz w:val="18"/>
                <w:szCs w:val="18"/>
                <w:color w:val="auto"/>
              </w:rPr>
              <w:t>of revenue</w:t>
            </w:r>
          </w:p>
        </w:tc>
        <w:tc>
          <w:tcPr>
            <w:tcW w:w="1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5"/>
        </w:trPr>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538"/>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both"/>
        <w:ind w:right="40" w:firstLine="436"/>
        <w:spacing w:after="0" w:line="254" w:lineRule="auto"/>
        <w:rPr>
          <w:sz w:val="20"/>
          <w:szCs w:val="20"/>
          <w:color w:val="auto"/>
        </w:rPr>
      </w:pPr>
      <w:r>
        <w:rPr>
          <w:rFonts w:ascii="Arial" w:cs="Arial" w:eastAsia="Arial" w:hAnsi="Arial"/>
          <w:sz w:val="18"/>
          <w:szCs w:val="18"/>
          <w:color w:val="auto"/>
        </w:rPr>
        <w:t>R&amp;D expenses increased in the three- and nine-month periods ended July 31, 2021, as compared to the same periods of the prior fiscal year, primarily as a result of higher R&amp;D employee-related variable compensation expense and salary and benefit expenses. In the nine-month period ended July 31, 2021, those increases were partially offset by lower discretionary spending.</w:t>
      </w:r>
    </w:p>
    <w:p>
      <w:pPr>
        <w:spacing w:after="0" w:line="135" w:lineRule="exact"/>
        <w:rPr>
          <w:sz w:val="20"/>
          <w:szCs w:val="20"/>
          <w:color w:val="auto"/>
        </w:rPr>
      </w:pPr>
    </w:p>
    <w:p>
      <w:pPr>
        <w:ind w:right="100" w:firstLine="436"/>
        <w:spacing w:after="0" w:line="270"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July 31, 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August 1, 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4"/>
              </w:rPr>
              <w:t>July 31, 2021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August 1, 2020</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8"/>
        </w:trPr>
        <w:tc>
          <w:tcPr>
            <w:tcW w:w="1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SMG&amp;A expenses   $</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206,076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153,753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52,323</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34 %  $</w:t>
            </w:r>
          </w:p>
        </w:tc>
        <w:tc>
          <w:tcPr>
            <w:tcW w:w="10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597,963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494,808</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7"/>
              </w:rPr>
              <w:t>$   103,155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72"/>
        </w:trPr>
        <w:tc>
          <w:tcPr>
            <w:tcW w:w="174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9"/>
              </w:rPr>
              <w:t>SMG&amp;A expenses as</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12 %</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a % of revenue</w:t>
            </w: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60" w:firstLine="436"/>
        <w:spacing w:after="0" w:line="254" w:lineRule="auto"/>
        <w:rPr>
          <w:sz w:val="20"/>
          <w:szCs w:val="20"/>
          <w:color w:val="auto"/>
        </w:rPr>
      </w:pPr>
      <w:r>
        <w:rPr>
          <w:rFonts w:ascii="Arial" w:cs="Arial" w:eastAsia="Arial" w:hAnsi="Arial"/>
          <w:sz w:val="18"/>
          <w:szCs w:val="18"/>
          <w:color w:val="auto"/>
        </w:rPr>
        <w:t>SMG&amp;A expenses increased in the three-month period ended July 31, 2021, as compared to the same period of the prior fiscal year, primarily as a result of higher variable compensation expense, salary and benefit expenses and acquisition-related transaction costs in connection with the proposed acquisition of Maxim.</w:t>
      </w:r>
    </w:p>
    <w:p>
      <w:pPr>
        <w:spacing w:after="0" w:line="135" w:lineRule="exact"/>
        <w:rPr>
          <w:sz w:val="20"/>
          <w:szCs w:val="20"/>
          <w:color w:val="auto"/>
        </w:rPr>
      </w:pPr>
    </w:p>
    <w:p>
      <w:pPr>
        <w:ind w:right="120" w:firstLine="436"/>
        <w:spacing w:after="0" w:line="328" w:lineRule="auto"/>
        <w:rPr>
          <w:sz w:val="20"/>
          <w:szCs w:val="20"/>
          <w:color w:val="auto"/>
        </w:rPr>
      </w:pPr>
      <w:r>
        <w:rPr>
          <w:rFonts w:ascii="Arial" w:cs="Arial" w:eastAsia="Arial" w:hAnsi="Arial"/>
          <w:sz w:val="15"/>
          <w:szCs w:val="15"/>
          <w:color w:val="auto"/>
        </w:rPr>
        <w:t>SMG&amp;A expenses increased in the nine-month period ended July 31, 2021, as compared to the same period of the prior fiscal year, primarily as a result of higher acquisition-related transaction costs in connection with the proposed acquisition of Maxim, variable compensation expense and salary and benefit expenses, partially offset by a $40.0 million charitable contribution to the Analog Devices Foundation made in the first quarter of fiscal 2020.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2"/>
              </w:rPr>
              <w:t>July 31,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4"/>
              </w:rPr>
              <w:t>July 31, 2021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5"/>
              </w:rPr>
              <w:t>August 1, 2020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8"/>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609,646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419,124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1"/>
              </w:rPr>
              <w:t>$  190,522</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45 %  $</w:t>
            </w:r>
          </w:p>
        </w:tc>
        <w:tc>
          <w:tcPr>
            <w:tcW w:w="10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w w:val="99"/>
              </w:rPr>
              <w:t>1,593,196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1,036,572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91"/>
              </w:rPr>
              <w:t>$  556,624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line="172" w:lineRule="exact"/>
              <w:rPr>
                <w:sz w:val="20"/>
                <w:szCs w:val="20"/>
                <w:color w:val="auto"/>
              </w:rPr>
            </w:pPr>
            <w:r>
              <w:rPr>
                <w:rFonts w:ascii="Arial" w:cs="Arial" w:eastAsia="Arial" w:hAnsi="Arial"/>
                <w:sz w:val="18"/>
                <w:szCs w:val="18"/>
                <w:color w:val="auto"/>
                <w:w w:val="90"/>
              </w:rPr>
              <w:t>Operating income as a</w:t>
            </w: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32.0 %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00" w:firstLine="436"/>
        <w:spacing w:after="0" w:line="270" w:lineRule="auto"/>
        <w:rPr>
          <w:sz w:val="20"/>
          <w:szCs w:val="20"/>
          <w:color w:val="auto"/>
        </w:rPr>
      </w:pPr>
      <w:r>
        <w:rPr>
          <w:rFonts w:ascii="Arial" w:cs="Arial" w:eastAsia="Arial" w:hAnsi="Arial"/>
          <w:sz w:val="17"/>
          <w:szCs w:val="17"/>
          <w:color w:val="auto"/>
        </w:rPr>
        <w:t xml:space="preserve">The year-over-year increase in operating income in the three-month period ended July 31, 2021 was primarily the result of an increase in revenue of $302.7 million, which contributed to an increase in gross margin of $248.6 million, and a decrease in special charges of $40.8 million, partially offset by increases of $52.3 million in SMG&amp;A expenses and $45.8 million in R&amp;D expenses, as described above under the headings </w:t>
      </w:r>
      <w:r>
        <w:rPr>
          <w:rFonts w:ascii="Arial" w:cs="Arial" w:eastAsia="Arial" w:hAnsi="Arial"/>
          <w:sz w:val="17"/>
          <w:szCs w:val="17"/>
          <w:i w:val="1"/>
          <w:iCs w:val="1"/>
          <w:color w:val="auto"/>
        </w:rPr>
        <w:t>Revenue Trends by End Market,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Gross Margin, Selling, Marketing, General and Administrative (SMG&amp;A) </w:t>
      </w:r>
      <w:r>
        <w:rPr>
          <w:rFonts w:ascii="Arial" w:cs="Arial" w:eastAsia="Arial" w:hAnsi="Arial"/>
          <w:sz w:val="17"/>
          <w:szCs w:val="17"/>
          <w:color w:val="auto"/>
        </w:rPr>
        <w:t>and</w:t>
      </w:r>
      <w:r>
        <w:rPr>
          <w:rFonts w:ascii="Arial" w:cs="Arial" w:eastAsia="Arial" w:hAnsi="Arial"/>
          <w:sz w:val="17"/>
          <w:szCs w:val="17"/>
          <w:i w:val="1"/>
          <w:iCs w:val="1"/>
          <w:color w:val="auto"/>
        </w:rPr>
        <w:t xml:space="preserve"> Research and Development (R&amp;D).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year-over-year increase in operating income in the nine-month period ended July 31, 2021 was primarily the result of an increase in revenue of</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$902.0 million, which contributed to an increase in gross margin of $735.8 million, and a decrease in special charges of $52.5 million, partially offset by 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$126.7 million increase in R&amp;D expenses and a $103.2 million increase in SMG&amp;A expenses, as described above under the headings </w:t>
      </w:r>
      <w:r>
        <w:rPr>
          <w:rFonts w:ascii="Arial" w:cs="Arial" w:eastAsia="Arial" w:hAnsi="Arial"/>
          <w:sz w:val="15"/>
          <w:szCs w:val="15"/>
          <w:i w:val="1"/>
          <w:iCs w:val="1"/>
          <w:color w:val="auto"/>
        </w:rPr>
        <w:t>Revenue Trends by End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Market, Gross Margin, Research and Development (R&amp;D)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Marketing, General and Administrative (SMG&amp;A).</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3"/>
        </w:trPr>
        <w:tc>
          <w:tcPr>
            <w:tcW w:w="37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4"/>
              </w:rPr>
              <w:t>July 31, 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89"/>
              </w:rPr>
              <w:t>August 1, 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7"/>
              </w:rPr>
              <w:t>July 31, 2021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w w:val="91"/>
              </w:rPr>
              <w:t>August 1, 2020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 Change</w:t>
            </w:r>
          </w:p>
        </w:tc>
      </w:tr>
      <w:tr>
        <w:trPr>
          <w:trHeight w:val="218"/>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37,368</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46,095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108,315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142,265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(33,950)</w:t>
            </w:r>
          </w:p>
        </w:tc>
      </w:tr>
    </w:tbl>
    <w:p>
      <w:pPr>
        <w:spacing w:after="0" w:line="239" w:lineRule="exact"/>
        <w:rPr>
          <w:sz w:val="20"/>
          <w:szCs w:val="20"/>
          <w:color w:val="auto"/>
        </w:rPr>
      </w:pPr>
    </w:p>
    <w:p>
      <w:pPr>
        <w:jc w:val="both"/>
        <w:ind w:right="20" w:firstLine="396"/>
        <w:spacing w:after="0" w:line="364" w:lineRule="auto"/>
        <w:rPr>
          <w:sz w:val="20"/>
          <w:szCs w:val="20"/>
          <w:color w:val="auto"/>
        </w:rPr>
      </w:pPr>
      <w:r>
        <w:rPr>
          <w:rFonts w:ascii="Arial" w:cs="Arial" w:eastAsia="Arial" w:hAnsi="Arial"/>
          <w:sz w:val="15"/>
          <w:szCs w:val="15"/>
          <w:color w:val="auto"/>
        </w:rPr>
        <w:t>The year-over-year decrease in nonoperating expense (income) in the three- and nine-month periods ended July 31, 2021 was primarily the result of gains recorded on other investments. The nine-month period was also impacted by a decrease in interest expense related to our debt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Provision for Income Taxes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3"/>
        </w:trPr>
        <w:tc>
          <w:tcPr>
            <w:tcW w:w="3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w w:val="97"/>
              </w:rPr>
              <w:t>July 31, 2021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99"/>
              </w:rPr>
              <w:t>July 31, 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 Change</w:t>
            </w:r>
          </w:p>
        </w:tc>
      </w:tr>
      <w:tr>
        <w:trPr>
          <w:trHeight w:val="218"/>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68,967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10,364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170,146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60,072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110,074</w:t>
            </w:r>
          </w:p>
        </w:tc>
      </w:tr>
      <w:tr>
        <w:trPr>
          <w:trHeight w:val="224"/>
        </w:trPr>
        <w:tc>
          <w:tcPr>
            <w:tcW w:w="31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187" w:lineRule="exact"/>
        <w:rPr>
          <w:sz w:val="20"/>
          <w:szCs w:val="20"/>
          <w:color w:val="auto"/>
        </w:rPr>
      </w:pPr>
    </w:p>
    <w:p>
      <w:pPr>
        <w:jc w:val="both"/>
        <w:ind w:right="120" w:firstLine="436"/>
        <w:spacing w:after="0" w:line="276" w:lineRule="auto"/>
        <w:rPr>
          <w:sz w:val="20"/>
          <w:szCs w:val="20"/>
          <w:color w:val="auto"/>
        </w:rPr>
      </w:pPr>
      <w:r>
        <w:rPr>
          <w:rFonts w:ascii="Arial" w:cs="Arial" w:eastAsia="Arial" w:hAnsi="Arial"/>
          <w:sz w:val="17"/>
          <w:szCs w:val="17"/>
          <w:color w:val="auto"/>
        </w:rPr>
        <w:t>The effective tax rates for the three- and nine-month periods ended July 31, 2021 and August 1, 2020 were below the U.S. statutory tax rate of 21% due to lower statutory tax rates applicable to our operations in the foreign jurisdictions in which we earn income. Our pretax income for the three- and nine-month periods ended July 31, 2021 and August 1, 2020 was primarily generated in Ireland at a tax rate of 12.5%.</w:t>
      </w:r>
    </w:p>
    <w:p>
      <w:pPr>
        <w:spacing w:after="0" w:line="65" w:lineRule="exact"/>
        <w:rPr>
          <w:sz w:val="20"/>
          <w:szCs w:val="20"/>
          <w:color w:val="auto"/>
        </w:rPr>
      </w:pPr>
    </w:p>
    <w:p>
      <w:pPr>
        <w:ind w:right="80" w:firstLine="436"/>
        <w:spacing w:after="0" w:line="251" w:lineRule="auto"/>
        <w:rPr>
          <w:sz w:val="20"/>
          <w:szCs w:val="20"/>
          <w:color w:val="auto"/>
        </w:rPr>
      </w:pPr>
      <w:r>
        <w:rPr>
          <w:rFonts w:ascii="Arial" w:cs="Arial" w:eastAsia="Arial" w:hAnsi="Arial"/>
          <w:sz w:val="18"/>
          <w:szCs w:val="18"/>
          <w:color w:val="auto"/>
        </w:rPr>
        <w:t>The tax rates for the three- and nine-month periods ended August 1, 2020 were also impacted by discrete income tax benefits of $33.7 million recorded in the third quarter of fiscal 2020, comprised primarily of $25.9 million of income tax benefits resulting from the resolution of the Internal Revenue Service (IRS) audit of Linear’s pre-acquisition federal income tax returns for fiscal 2015 through fiscal 2017 and other income tax benefits recorded upon filing of our federal income tax return for fiscal 2019.</w:t>
      </w:r>
    </w:p>
    <w:p>
      <w:pPr>
        <w:spacing w:after="0" w:line="85" w:lineRule="exact"/>
        <w:rPr>
          <w:sz w:val="20"/>
          <w:szCs w:val="20"/>
          <w:color w:val="auto"/>
        </w:rPr>
      </w:pPr>
    </w:p>
    <w:p>
      <w:pPr>
        <w:ind w:right="280" w:firstLine="436"/>
        <w:spacing w:after="0" w:line="263"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July 31, 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1"/>
              </w:rPr>
              <w:t>August 1, 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7"/>
              </w:rPr>
              <w:t>July 31, 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August 1, 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8"/>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503,311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362,665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140,646</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39 %  $</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1,314,735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834,235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480,500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172"/>
        </w:trPr>
        <w:tc>
          <w:tcPr>
            <w:tcW w:w="1560" w:type="dxa"/>
            <w:vAlign w:val="bottom"/>
          </w:tcPr>
          <w:p>
            <w:pPr>
              <w:ind w:left="20"/>
              <w:spacing w:after="0" w:line="172" w:lineRule="exact"/>
              <w:rPr>
                <w:sz w:val="20"/>
                <w:szCs w:val="20"/>
                <w:color w:val="auto"/>
              </w:rPr>
            </w:pPr>
            <w:r>
              <w:rPr>
                <w:rFonts w:ascii="Arial" w:cs="Arial" w:eastAsia="Arial" w:hAnsi="Arial"/>
                <w:sz w:val="18"/>
                <w:szCs w:val="18"/>
                <w:color w:val="auto"/>
                <w:w w:val="88"/>
              </w:rPr>
              <w:t>Net Income as a % of</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6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436"/>
        <w:spacing w:after="0" w:line="254" w:lineRule="auto"/>
        <w:rPr>
          <w:sz w:val="20"/>
          <w:szCs w:val="20"/>
          <w:color w:val="auto"/>
        </w:rPr>
      </w:pPr>
      <w:r>
        <w:rPr>
          <w:rFonts w:ascii="Arial" w:cs="Arial" w:eastAsia="Arial" w:hAnsi="Arial"/>
          <w:sz w:val="18"/>
          <w:szCs w:val="18"/>
          <w:color w:val="auto"/>
        </w:rPr>
        <w:t>Net income increased in the three-month period ended July 31, 2021, as compared to the same period of the prior fiscal year, as a result of a $190.5 million increase in operating income and an $8.7 million decrease in nonoperating expense (income), partially offset by a $58.6 million increase in provision for income taxes.</w:t>
      </w:r>
    </w:p>
    <w:p>
      <w:pPr>
        <w:spacing w:after="0" w:line="135" w:lineRule="exact"/>
        <w:rPr>
          <w:sz w:val="20"/>
          <w:szCs w:val="20"/>
          <w:color w:val="auto"/>
        </w:rPr>
      </w:pPr>
    </w:p>
    <w:p>
      <w:pPr>
        <w:ind w:right="100" w:firstLine="436"/>
        <w:spacing w:after="0" w:line="254" w:lineRule="auto"/>
        <w:rPr>
          <w:sz w:val="20"/>
          <w:szCs w:val="20"/>
          <w:color w:val="auto"/>
        </w:rPr>
      </w:pPr>
      <w:r>
        <w:rPr>
          <w:rFonts w:ascii="Arial" w:cs="Arial" w:eastAsia="Arial" w:hAnsi="Arial"/>
          <w:sz w:val="18"/>
          <w:szCs w:val="18"/>
          <w:color w:val="auto"/>
        </w:rPr>
        <w:t>Net income increased in the nine-month period ended July 31, 2021, as compared to the same period of the prior fiscal year, as a result of a $556.6 million increase in operating income and a $34.0 million decrease in nonoperating expense (income), partially offset by a $110.1 million increase in provision for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ind w:right="20" w:firstLine="436"/>
        <w:spacing w:after="0" w:line="264" w:lineRule="auto"/>
        <w:rPr>
          <w:sz w:val="20"/>
          <w:szCs w:val="20"/>
          <w:color w:val="auto"/>
        </w:rPr>
      </w:pPr>
      <w:r>
        <w:rPr>
          <w:rFonts w:ascii="Arial" w:cs="Arial" w:eastAsia="Arial" w:hAnsi="Arial"/>
          <w:sz w:val="17"/>
          <w:szCs w:val="17"/>
          <w:color w:val="auto"/>
        </w:rPr>
        <w:t>At July 31, 2021, our principal source of liquidity was $1,480.7 million of cash and cash equivalents, of which approximately $701.4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5" w:name="page26"/>
    <w:bookmarkEnd w:id="25"/>
    <w:p>
      <w:pPr>
        <w:ind w:right="200" w:firstLine="436"/>
        <w:spacing w:after="0" w:line="307" w:lineRule="auto"/>
        <w:rPr>
          <w:sz w:val="20"/>
          <w:szCs w:val="20"/>
          <w:color w:val="auto"/>
        </w:rPr>
      </w:pPr>
      <w:r>
        <w:rPr>
          <w:rFonts w:ascii="Arial" w:cs="Arial" w:eastAsia="Arial" w:hAnsi="Arial"/>
          <w:sz w:val="15"/>
          <w:szCs w:val="15"/>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transaction costs associated with our proposed merger with Maxim and dividend payments (if any) in the immediate future and for at least the next twelve months.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r>
      <w:tr>
        <w:trPr>
          <w:trHeight w:val="183"/>
        </w:trPr>
        <w:tc>
          <w:tcPr>
            <w:tcW w:w="58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July 31, 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August 1, 2020</w:t>
            </w:r>
          </w:p>
        </w:tc>
        <w:tc>
          <w:tcPr>
            <w:tcW w:w="380" w:type="dxa"/>
            <w:vAlign w:val="bottom"/>
            <w:tcBorders>
              <w:bottom w:val="single" w:sz="8" w:color="auto"/>
            </w:tcBorders>
          </w:tcPr>
          <w:p>
            <w:pPr>
              <w:spacing w:after="0"/>
              <w:rPr>
                <w:sz w:val="15"/>
                <w:szCs w:val="15"/>
                <w:color w:val="auto"/>
              </w:rPr>
            </w:pPr>
          </w:p>
        </w:tc>
      </w:tr>
      <w:tr>
        <w:trPr>
          <w:trHeight w:val="218"/>
        </w:trPr>
        <w:tc>
          <w:tcPr>
            <w:tcW w:w="586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1,794,345</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1,335,889</w:t>
            </w:r>
          </w:p>
        </w:tc>
        <w:tc>
          <w:tcPr>
            <w:tcW w:w="380" w:type="dxa"/>
            <w:vAlign w:val="bottom"/>
            <w:shd w:val="clear" w:color="auto" w:fill="CCEEFF"/>
          </w:tcPr>
          <w:p>
            <w:pPr>
              <w:spacing w:after="0"/>
              <w:rPr>
                <w:sz w:val="18"/>
                <w:szCs w:val="18"/>
                <w:color w:val="auto"/>
              </w:rPr>
            </w:pPr>
          </w:p>
        </w:tc>
      </w:tr>
      <w:tr>
        <w:trPr>
          <w:trHeight w:val="224"/>
        </w:trPr>
        <w:tc>
          <w:tcPr>
            <w:tcW w:w="5860" w:type="dxa"/>
            <w:vAlign w:val="bottom"/>
          </w:tcPr>
          <w:p>
            <w:pPr>
              <w:ind w:left="460"/>
              <w:spacing w:after="0"/>
              <w:rPr>
                <w:sz w:val="20"/>
                <w:szCs w:val="20"/>
                <w:color w:val="auto"/>
              </w:rPr>
            </w:pPr>
            <w:r>
              <w:rPr>
                <w:rFonts w:ascii="Arial" w:cs="Arial" w:eastAsia="Arial" w:hAnsi="Arial"/>
                <w:sz w:val="18"/>
                <w:szCs w:val="18"/>
                <w:color w:val="auto"/>
              </w:rPr>
              <w:t>Net cash provided by operations as a % of revenue</w:t>
            </w:r>
          </w:p>
        </w:tc>
        <w:tc>
          <w:tcPr>
            <w:tcW w:w="840" w:type="dxa"/>
            <w:vAlign w:val="bottom"/>
          </w:tcPr>
          <w:p>
            <w:pPr>
              <w:spacing w:after="0"/>
              <w:rPr>
                <w:sz w:val="19"/>
                <w:szCs w:val="19"/>
                <w:color w:val="auto"/>
              </w:rPr>
            </w:pPr>
          </w:p>
        </w:tc>
        <w:tc>
          <w:tcPr>
            <w:tcW w:w="1300" w:type="dxa"/>
            <w:vAlign w:val="bottom"/>
          </w:tcPr>
          <w:p>
            <w:pPr>
              <w:jc w:val="right"/>
              <w:ind w:right="116"/>
              <w:spacing w:after="0"/>
              <w:rPr>
                <w:sz w:val="20"/>
                <w:szCs w:val="20"/>
                <w:color w:val="auto"/>
              </w:rPr>
            </w:pPr>
            <w:r>
              <w:rPr>
                <w:rFonts w:ascii="Arial" w:cs="Arial" w:eastAsia="Arial" w:hAnsi="Arial"/>
                <w:sz w:val="18"/>
                <w:szCs w:val="18"/>
                <w:color w:val="auto"/>
              </w:rPr>
              <w:t>36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jc w:val="right"/>
              <w:ind w:right="176"/>
              <w:spacing w:after="0"/>
              <w:rPr>
                <w:sz w:val="20"/>
                <w:szCs w:val="20"/>
                <w:color w:val="auto"/>
              </w:rPr>
            </w:pPr>
            <w:r>
              <w:rPr>
                <w:rFonts w:ascii="Arial" w:cs="Arial" w:eastAsia="Arial" w:hAnsi="Arial"/>
                <w:sz w:val="18"/>
                <w:szCs w:val="18"/>
                <w:color w:val="auto"/>
              </w:rPr>
              <w:t>33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(183,280)</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(149,781)</w:t>
            </w:r>
          </w:p>
        </w:tc>
        <w:tc>
          <w:tcPr>
            <w:tcW w:w="380" w:type="dxa"/>
            <w:vAlign w:val="bottom"/>
            <w:shd w:val="clear" w:color="auto" w:fill="CCEEFF"/>
          </w:tcPr>
          <w:p>
            <w:pPr>
              <w:spacing w:after="0"/>
              <w:rPr>
                <w:sz w:val="19"/>
                <w:szCs w:val="19"/>
                <w:color w:val="auto"/>
              </w:rPr>
            </w:pPr>
          </w:p>
        </w:tc>
      </w:tr>
      <w:tr>
        <w:trPr>
          <w:trHeight w:val="224"/>
        </w:trPr>
        <w:tc>
          <w:tcPr>
            <w:tcW w:w="5860" w:type="dxa"/>
            <w:vAlign w:val="bottom"/>
          </w:tcPr>
          <w:p>
            <w:pPr>
              <w:ind w:left="460"/>
              <w:spacing w:after="0"/>
              <w:rPr>
                <w:sz w:val="20"/>
                <w:szCs w:val="20"/>
                <w:color w:val="auto"/>
              </w:rPr>
            </w:pPr>
            <w:r>
              <w:rPr>
                <w:rFonts w:ascii="Arial" w:cs="Arial" w:eastAsia="Arial" w:hAnsi="Arial"/>
                <w:sz w:val="18"/>
                <w:szCs w:val="18"/>
                <w:color w:val="auto"/>
              </w:rPr>
              <w:t>Net cash used for financing activities</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(1,189,966)</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6"/>
              <w:spacing w:after="0"/>
              <w:rPr>
                <w:sz w:val="20"/>
                <w:szCs w:val="20"/>
                <w:color w:val="auto"/>
              </w:rPr>
            </w:pPr>
            <w:r>
              <w:rPr>
                <w:rFonts w:ascii="Arial" w:cs="Arial" w:eastAsia="Arial" w:hAnsi="Arial"/>
                <w:sz w:val="18"/>
                <w:szCs w:val="18"/>
                <w:color w:val="auto"/>
              </w:rPr>
              <w:t>(744,442)</w:t>
            </w:r>
          </w:p>
        </w:tc>
        <w:tc>
          <w:tcPr>
            <w:tcW w:w="380" w:type="dxa"/>
            <w:vAlign w:val="bottom"/>
          </w:tcPr>
          <w:p>
            <w:pPr>
              <w:spacing w:after="0"/>
              <w:rPr>
                <w:sz w:val="19"/>
                <w:szCs w:val="19"/>
                <w:color w:val="auto"/>
              </w:rPr>
            </w:pPr>
          </w:p>
        </w:tc>
      </w:tr>
    </w:tbl>
    <w:p>
      <w:pPr>
        <w:spacing w:after="0" w:line="187"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8"/>
          <w:szCs w:val="18"/>
          <w:color w:val="auto"/>
        </w:rPr>
        <w:t>The following changes contributed to the net change in cash and cash equivalents in the nine-month period ended July 31, 2021 as compared to the same period in fiscal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0" w:lineRule="exact"/>
        <w:rPr>
          <w:sz w:val="20"/>
          <w:szCs w:val="20"/>
          <w:color w:val="auto"/>
        </w:rPr>
      </w:pPr>
    </w:p>
    <w:p>
      <w:pPr>
        <w:ind w:right="60" w:firstLine="396"/>
        <w:spacing w:after="0" w:line="254"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increase in cash provided by operating activities during the nine-month period ended July 31, 2021, as compared to the same period of the prior fiscal year, was primarily the result of higher net income adjusted for non-cash items and changes in working capital.</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0" w:lineRule="exact"/>
        <w:rPr>
          <w:sz w:val="20"/>
          <w:szCs w:val="20"/>
          <w:color w:val="auto"/>
        </w:rPr>
      </w:pPr>
    </w:p>
    <w:p>
      <w:pPr>
        <w:jc w:val="both"/>
        <w:ind w:right="60" w:firstLine="396"/>
        <w:spacing w:after="0" w:line="328" w:lineRule="auto"/>
        <w:rPr>
          <w:sz w:val="20"/>
          <w:szCs w:val="20"/>
          <w:color w:val="auto"/>
        </w:rPr>
      </w:pPr>
      <w:r>
        <w:rPr>
          <w:rFonts w:ascii="Arial" w:cs="Arial" w:eastAsia="Arial" w:hAnsi="Arial"/>
          <w:sz w:val="15"/>
          <w:szCs w:val="15"/>
          <w:color w:val="auto"/>
        </w:rPr>
        <w:t>Investing cash flows generally consist of capital expenditures and cash used for acquisitions. The increase in cash used for investing activities during the nine-month period ended July 31, 2021, as compared to the same period of the prior fiscal year, was primarily the result of an increase in cash used for capital expenditures and cash payments for acquisitions, partially offset by proceeds from the sale of our Singapore facility and other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0" w:lineRule="exact"/>
        <w:rPr>
          <w:sz w:val="20"/>
          <w:szCs w:val="20"/>
          <w:color w:val="auto"/>
        </w:rPr>
      </w:pPr>
    </w:p>
    <w:p>
      <w:pPr>
        <w:ind w:right="240" w:firstLine="396"/>
        <w:spacing w:after="0" w:line="249" w:lineRule="auto"/>
        <w:rPr>
          <w:sz w:val="20"/>
          <w:szCs w:val="20"/>
          <w:color w:val="auto"/>
        </w:rPr>
      </w:pPr>
      <w:r>
        <w:rPr>
          <w:rFonts w:ascii="Arial" w:cs="Arial" w:eastAsia="Arial" w:hAnsi="Arial"/>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nine-month period ended July 31, 2021, as compared to the same period of the prior fiscal year, was primarily the result of increases in common stock repurchases and dividend payments to shareholders. The comparable period of fiscal 2020 also included proceeds from our bond issuance as well as debt repayments, which did not repeat in fiscal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2021</w:t>
            </w: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2020</w:t>
            </w:r>
          </w:p>
        </w:tc>
        <w:tc>
          <w:tcPr>
            <w:tcW w:w="2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58"/>
              <w:spacing w:after="0"/>
              <w:rPr>
                <w:sz w:val="20"/>
                <w:szCs w:val="20"/>
                <w:color w:val="auto"/>
              </w:rPr>
            </w:pPr>
            <w:r>
              <w:rPr>
                <w:rFonts w:ascii="Arial" w:cs="Arial" w:eastAsia="Arial" w:hAnsi="Arial"/>
                <w:sz w:val="14"/>
                <w:szCs w:val="14"/>
                <w:b w:val="1"/>
                <w:bCs w:val="1"/>
                <w:color w:val="auto"/>
              </w:rPr>
              <w:t>% Change</w:t>
            </w: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823,163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173" w:lineRule="exact"/>
        <w:rPr>
          <w:sz w:val="20"/>
          <w:szCs w:val="20"/>
          <w:color w:val="auto"/>
        </w:rPr>
      </w:pPr>
    </w:p>
    <w:p>
      <w:pPr>
        <w:ind w:right="580" w:firstLine="6"/>
        <w:spacing w:after="0" w:line="263" w:lineRule="auto"/>
        <w:tabs>
          <w:tab w:leader="none" w:pos="13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increase in accounts receivable in dollars was primarily the result of variations in the timing of collections and billings and increased revenue levels.</w:t>
      </w:r>
    </w:p>
    <w:p>
      <w:pPr>
        <w:spacing w:after="0" w:line="144" w:lineRule="exact"/>
        <w:rPr>
          <w:sz w:val="20"/>
          <w:szCs w:val="20"/>
          <w:color w:val="auto"/>
        </w:rPr>
      </w:pPr>
    </w:p>
    <w:p>
      <w:pPr>
        <w:ind w:right="360" w:firstLine="436"/>
        <w:spacing w:after="0" w:line="259" w:lineRule="auto"/>
        <w:rPr>
          <w:sz w:val="20"/>
          <w:szCs w:val="20"/>
          <w:color w:val="auto"/>
        </w:rPr>
      </w:pPr>
      <w:r>
        <w:rPr>
          <w:rFonts w:ascii="Arial" w:cs="Arial" w:eastAsia="Arial" w:hAnsi="Arial"/>
          <w:sz w:val="17"/>
          <w:szCs w:val="17"/>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1" w:lineRule="exact"/>
        <w:rPr>
          <w:sz w:val="20"/>
          <w:szCs w:val="20"/>
          <w:color w:val="auto"/>
        </w:rPr>
      </w:pPr>
    </w:p>
    <w:p>
      <w:pPr>
        <w:ind w:right="440" w:firstLine="436"/>
        <w:spacing w:after="0" w:line="228" w:lineRule="auto"/>
        <w:rPr>
          <w:sz w:val="20"/>
          <w:szCs w:val="20"/>
          <w:color w:val="auto"/>
        </w:rPr>
      </w:pPr>
      <w:r>
        <w:rPr>
          <w:rFonts w:ascii="Arial" w:cs="Arial" w:eastAsia="Arial" w:hAnsi="Arial"/>
          <w:sz w:val="18"/>
          <w:szCs w:val="18"/>
          <w:color w:val="auto"/>
        </w:rPr>
        <w:t>Current liabilities increased to approximately $2,793.3 million at July 31, 2021 from approximately $1,365.0 million at the end of fiscal 2020. The increase was primarily due to increases in the current portion of our debt of $1,324.7 million.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04"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Debt</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2021, our debt obligations consisted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24"/>
        </w:trPr>
        <w:tc>
          <w:tcPr>
            <w:tcW w:w="94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18"/>
        </w:trPr>
        <w:tc>
          <w:tcPr>
            <w:tcW w:w="8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3-Year term loan, due March 2022</w:t>
            </w:r>
          </w:p>
        </w:tc>
        <w:tc>
          <w:tcPr>
            <w:tcW w:w="8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r>
      <w:tr>
        <w:trPr>
          <w:trHeight w:val="224"/>
        </w:trPr>
        <w:tc>
          <w:tcPr>
            <w:tcW w:w="940" w:type="dxa"/>
            <w:vAlign w:val="bottom"/>
          </w:tcPr>
          <w:p>
            <w:pPr>
              <w:ind w:left="460"/>
              <w:spacing w:after="0"/>
              <w:rPr>
                <w:sz w:val="20"/>
                <w:szCs w:val="20"/>
                <w:color w:val="auto"/>
              </w:rPr>
            </w:pPr>
            <w:r>
              <w:rPr>
                <w:rFonts w:ascii="Arial" w:cs="Arial" w:eastAsia="Arial" w:hAnsi="Arial"/>
                <w:sz w:val="18"/>
                <w:szCs w:val="18"/>
                <w:color w:val="auto"/>
                <w:w w:val="90"/>
              </w:rPr>
              <w:t>2.50%</w:t>
            </w:r>
          </w:p>
        </w:tc>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5"/>
        </w:trPr>
        <w:tc>
          <w:tcPr>
            <w:tcW w:w="8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2.875% Senior unsecured notes, due June 2023</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4"/>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3.125% Senior unsecured notes, due December 2023</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25"/>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2.95%</w:t>
            </w: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4"/>
        </w:trPr>
        <w:tc>
          <w:tcPr>
            <w:tcW w:w="940" w:type="dxa"/>
            <w:vAlign w:val="bottom"/>
          </w:tcPr>
          <w:p>
            <w:pPr>
              <w:ind w:left="460"/>
              <w:spacing w:after="0"/>
              <w:rPr>
                <w:sz w:val="20"/>
                <w:szCs w:val="20"/>
                <w:color w:val="auto"/>
              </w:rPr>
            </w:pPr>
            <w:r>
              <w:rPr>
                <w:rFonts w:ascii="Arial" w:cs="Arial" w:eastAsia="Arial" w:hAnsi="Arial"/>
                <w:sz w:val="18"/>
                <w:szCs w:val="18"/>
                <w:color w:val="auto"/>
                <w:w w:val="90"/>
              </w:rPr>
              <w:t>3.90%</w:t>
            </w:r>
          </w:p>
        </w:tc>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25"/>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3.50%</w:t>
            </w: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8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24"/>
        </w:trPr>
        <w:tc>
          <w:tcPr>
            <w:tcW w:w="940" w:type="dxa"/>
            <w:vAlign w:val="bottom"/>
          </w:tcPr>
          <w:p>
            <w:pPr>
              <w:ind w:left="460"/>
              <w:spacing w:after="0"/>
              <w:rPr>
                <w:sz w:val="20"/>
                <w:szCs w:val="20"/>
                <w:color w:val="auto"/>
              </w:rPr>
            </w:pPr>
            <w:r>
              <w:rPr>
                <w:rFonts w:ascii="Arial" w:cs="Arial" w:eastAsia="Arial" w:hAnsi="Arial"/>
                <w:sz w:val="18"/>
                <w:szCs w:val="18"/>
                <w:color w:val="auto"/>
                <w:w w:val="90"/>
              </w:rPr>
              <w:t>4.50%</w:t>
            </w:r>
          </w:p>
        </w:tc>
        <w:tc>
          <w:tcPr>
            <w:tcW w:w="77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8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25"/>
        </w:trPr>
        <w:tc>
          <w:tcPr>
            <w:tcW w:w="9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0"/>
              </w:rPr>
              <w:t>5.30%</w:t>
            </w:r>
          </w:p>
        </w:tc>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8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17"/>
        </w:trPr>
        <w:tc>
          <w:tcPr>
            <w:tcW w:w="8680" w:type="dxa"/>
            <w:vAlign w:val="bottom"/>
            <w:gridSpan w:val="2"/>
          </w:tcPr>
          <w:p>
            <w:pPr>
              <w:ind w:left="460"/>
              <w:spacing w:after="0"/>
              <w:rPr>
                <w:sz w:val="20"/>
                <w:szCs w:val="20"/>
                <w:color w:val="auto"/>
              </w:rPr>
            </w:pPr>
            <w:r>
              <w:rPr>
                <w:rFonts w:ascii="Arial" w:cs="Arial" w:eastAsia="Arial" w:hAnsi="Arial"/>
                <w:sz w:val="18"/>
                <w:szCs w:val="18"/>
                <w:color w:val="auto"/>
              </w:rPr>
              <w:t>Total debt</w:t>
            </w:r>
          </w:p>
        </w:tc>
        <w:tc>
          <w:tcPr>
            <w:tcW w:w="8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5,175,000</w:t>
            </w:r>
          </w:p>
        </w:tc>
      </w:tr>
    </w:tbl>
    <w:p>
      <w:pPr>
        <w:spacing w:after="0" w:line="187" w:lineRule="exact"/>
        <w:rPr>
          <w:sz w:val="20"/>
          <w:szCs w:val="20"/>
          <w:color w:val="auto"/>
        </w:rPr>
      </w:pPr>
    </w:p>
    <w:p>
      <w:pPr>
        <w:ind w:right="40" w:firstLine="436"/>
        <w:spacing w:after="0" w:line="328" w:lineRule="auto"/>
        <w:rPr>
          <w:sz w:val="20"/>
          <w:szCs w:val="20"/>
          <w:color w:val="auto"/>
        </w:rPr>
      </w:pPr>
      <w:r>
        <w:rPr>
          <w:rFonts w:ascii="Arial" w:cs="Arial" w:eastAsia="Arial" w:hAnsi="Arial"/>
          <w:sz w:val="15"/>
          <w:szCs w:val="15"/>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July 31, 2021, we were in compliance with these covenants.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0" w:lineRule="exact"/>
        <w:rPr>
          <w:sz w:val="20"/>
          <w:szCs w:val="20"/>
          <w:color w:val="auto"/>
        </w:rPr>
      </w:pPr>
    </w:p>
    <w:p>
      <w:pPr>
        <w:ind w:right="60" w:firstLine="436"/>
        <w:spacing w:after="0" w:line="317" w:lineRule="auto"/>
        <w:rPr>
          <w:sz w:val="20"/>
          <w:szCs w:val="20"/>
          <w:color w:val="auto"/>
        </w:rPr>
      </w:pPr>
      <w:r>
        <w:rPr>
          <w:rFonts w:ascii="Arial" w:cs="Arial" w:eastAsia="Arial" w:hAnsi="Arial"/>
          <w:sz w:val="15"/>
          <w:szCs w:val="15"/>
          <w:color w:val="auto"/>
        </w:rPr>
        <w:t>Our Third Amended and Restated Revolving Credit Agreement, dated as of June 23, 2021, with Bank of America N.A. as administrative agent and the other banks identified therein as lenders (Revolving Credit Agreement) amends and restates our existing Second Amended and Restated Credit Agreement dated as of June 28, 2019 and provides for a five year unsecured revolving credit facility in an aggregate principal amount not to exceed (i) $1.25 billion or (ii) upon the completion of the acquisition by the Company of Maxim on or before January 12, 2022 (subject to certain terms and conditions), $2.5 billion.</w:t>
      </w:r>
    </w:p>
    <w:p>
      <w:pPr>
        <w:spacing w:after="0" w:line="39" w:lineRule="exact"/>
        <w:rPr>
          <w:sz w:val="20"/>
          <w:szCs w:val="20"/>
          <w:color w:val="auto"/>
        </w:rPr>
      </w:pPr>
    </w:p>
    <w:p>
      <w:pPr>
        <w:ind w:right="160" w:firstLine="436"/>
        <w:spacing w:after="0" w:line="311" w:lineRule="auto"/>
        <w:rPr>
          <w:sz w:val="20"/>
          <w:szCs w:val="20"/>
          <w:color w:val="auto"/>
        </w:rPr>
      </w:pPr>
      <w:r>
        <w:rPr>
          <w:rFonts w:ascii="Arial" w:cs="Arial" w:eastAsia="Arial" w:hAnsi="Arial"/>
          <w:sz w:val="15"/>
          <w:szCs w:val="15"/>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July 31, 2021, we were in compliance with these covenants.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0" w:lineRule="exact"/>
        <w:rPr>
          <w:sz w:val="20"/>
          <w:szCs w:val="20"/>
          <w:color w:val="auto"/>
        </w:rPr>
      </w:pPr>
    </w:p>
    <w:p>
      <w:pPr>
        <w:ind w:right="40" w:firstLine="396"/>
        <w:spacing w:after="0" w:line="266" w:lineRule="auto"/>
        <w:rPr>
          <w:sz w:val="20"/>
          <w:szCs w:val="20"/>
          <w:color w:val="auto"/>
        </w:rPr>
      </w:pPr>
      <w:r>
        <w:rPr>
          <w:rFonts w:ascii="Arial" w:cs="Arial" w:eastAsia="Arial" w:hAnsi="Arial"/>
          <w:sz w:val="17"/>
          <w:szCs w:val="17"/>
          <w:color w:val="auto"/>
        </w:rPr>
        <w:t>In the aggregate, our Board of Directors has authorized us to repurchase $8.2 billion of our common stock under our common stock repurchase program. Unless terminated earlier by resolution of our Board of Directors, the repurchase program will expire when we have repurchased all shares authorized under the program. As of July 31, 2021, an additional $1.4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84" w:lineRule="exact"/>
        <w:rPr>
          <w:sz w:val="20"/>
          <w:szCs w:val="20"/>
          <w:color w:val="auto"/>
        </w:rPr>
      </w:pPr>
    </w:p>
    <w:p>
      <w:pPr>
        <w:ind w:right="60" w:firstLine="436"/>
        <w:spacing w:after="0" w:line="276" w:lineRule="auto"/>
        <w:rPr>
          <w:sz w:val="20"/>
          <w:szCs w:val="20"/>
          <w:color w:val="auto"/>
        </w:rPr>
      </w:pPr>
      <w:r>
        <w:rPr>
          <w:rFonts w:ascii="Arial" w:cs="Arial" w:eastAsia="Arial" w:hAnsi="Arial"/>
          <w:sz w:val="17"/>
          <w:szCs w:val="17"/>
          <w:color w:val="auto"/>
        </w:rPr>
        <w:t>Net additions to property, plant and equipment were $212.9 million in the first nine months of fiscal 2021 and were funded with a combination of cash on hand and cash generated from operations. We expect capital expenditures for fiscal 2021 to be between 4% and 5% of fiscal 2021 revenue. We expect these capital expenditures will be funded with a combination of cash on hand and cash generated from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0" w:lineRule="exact"/>
        <w:rPr>
          <w:sz w:val="20"/>
          <w:szCs w:val="20"/>
          <w:color w:val="auto"/>
        </w:rPr>
      </w:pPr>
    </w:p>
    <w:p>
      <w:pPr>
        <w:ind w:right="60" w:firstLine="436"/>
        <w:spacing w:after="0" w:line="251" w:lineRule="auto"/>
        <w:rPr>
          <w:sz w:val="20"/>
          <w:szCs w:val="20"/>
          <w:color w:val="auto"/>
        </w:rPr>
      </w:pPr>
      <w:r>
        <w:rPr>
          <w:rFonts w:ascii="Arial" w:cs="Arial" w:eastAsia="Arial" w:hAnsi="Arial"/>
          <w:sz w:val="18"/>
          <w:szCs w:val="18"/>
          <w:color w:val="auto"/>
        </w:rPr>
        <w:t>On August 17, 2021, our Board of Directors declared a cash dividend of $0.69 per outstanding share of common stock. The dividend will be paid on September 8, 2021 to all shareholders of record at the close of business on August 27, 2021 and is expected to total approximately $254.1 million. We currently expect quarterly dividends to continue in future periods. The payment of any future quarterly dividends, or a future increase in the quarterly dividend amount, will be at the discretion of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7" w:name="page28"/>
    <w:bookmarkEnd w:id="27"/>
    <w:p>
      <w:pPr>
        <w:ind w:right="860"/>
        <w:spacing w:after="0" w:line="367" w:lineRule="auto"/>
        <w:rPr>
          <w:sz w:val="20"/>
          <w:szCs w:val="20"/>
          <w:color w:val="auto"/>
        </w:rPr>
      </w:pPr>
      <w:r>
        <w:rPr>
          <w:rFonts w:ascii="Arial" w:cs="Arial" w:eastAsia="Arial" w:hAnsi="Arial"/>
          <w:sz w:val="18"/>
          <w:szCs w:val="18"/>
          <w:color w:val="auto"/>
        </w:rPr>
        <w:t xml:space="preserve">Board and will be dependent upon our financial position, results of operations, outlook, liquidity, and other factors deemed relevant by the Board. </w:t>
      </w:r>
      <w:r>
        <w:rPr>
          <w:rFonts w:ascii="Arial" w:cs="Arial" w:eastAsia="Arial" w:hAnsi="Arial"/>
          <w:sz w:val="18"/>
          <w:szCs w:val="18"/>
          <w:b w:val="1"/>
          <w:bCs w:val="1"/>
          <w:color w:val="auto"/>
        </w:rPr>
        <w:t>Contractual Obligations</w:t>
      </w:r>
    </w:p>
    <w:p>
      <w:pPr>
        <w:spacing w:after="0" w:line="1" w:lineRule="exact"/>
        <w:rPr>
          <w:sz w:val="20"/>
          <w:szCs w:val="20"/>
          <w:color w:val="auto"/>
        </w:rPr>
      </w:pPr>
    </w:p>
    <w:p>
      <w:pPr>
        <w:ind w:right="320" w:firstLine="396"/>
        <w:spacing w:after="0" w:line="263" w:lineRule="auto"/>
        <w:rPr>
          <w:sz w:val="20"/>
          <w:szCs w:val="20"/>
          <w:color w:val="auto"/>
        </w:rPr>
      </w:pPr>
      <w:r>
        <w:rPr>
          <w:rFonts w:ascii="Arial" w:cs="Arial" w:eastAsia="Arial" w:hAnsi="Arial"/>
          <w:sz w:val="18"/>
          <w:szCs w:val="18"/>
          <w:color w:val="auto"/>
        </w:rPr>
        <w:t>There have not been any material changes during the nine-month period ended July 31, 2021 to the amounts presented in the table summarizing our contractual obligations included in our Annual Report on Form 10-K for the fiscal year ended October 31,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6"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6" w:lineRule="exact"/>
        <w:rPr>
          <w:sz w:val="20"/>
          <w:szCs w:val="20"/>
          <w:color w:val="auto"/>
        </w:rPr>
      </w:pPr>
    </w:p>
    <w:p>
      <w:pPr>
        <w:ind w:right="160" w:firstLine="396"/>
        <w:spacing w:after="0" w:line="251" w:lineRule="auto"/>
        <w:rPr>
          <w:sz w:val="20"/>
          <w:szCs w:val="20"/>
          <w:color w:val="auto"/>
        </w:rPr>
      </w:pPr>
      <w:r>
        <w:rPr>
          <w:rFonts w:ascii="Arial" w:cs="Arial" w:eastAsia="Arial" w:hAnsi="Arial"/>
          <w:sz w:val="18"/>
          <w:szCs w:val="18"/>
          <w:color w:val="auto"/>
        </w:rPr>
        <w:t>Except for the accounting policies for credit losses and income taxes that were updated as a result of adopting ASU 2016-13 and ASU 2019-12, respectively, there were no other changes in the nine-month period ended July 31, 2021 to the information provided under the heading “Critical Accounting Policies and Estimates” in the section entitled "Management's Discussion and Analysis of Financial Condition and Results of Operations" of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04" w:right="459" w:bottom="1440" w:gutter="0" w:footer="0" w:header="0"/>
        </w:sectPr>
      </w:pPr>
    </w:p>
    <w:bookmarkStart w:id="28" w:name="page29"/>
    <w:bookmarkEnd w:id="28"/>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8" w:lineRule="exact"/>
        <w:rPr>
          <w:sz w:val="20"/>
          <w:szCs w:val="20"/>
          <w:color w:val="auto"/>
        </w:rPr>
      </w:pPr>
    </w:p>
    <w:p>
      <w:pPr>
        <w:ind w:right="20" w:firstLine="436"/>
        <w:spacing w:after="0" w:line="280" w:lineRule="auto"/>
        <w:rPr>
          <w:sz w:val="20"/>
          <w:szCs w:val="20"/>
          <w:color w:val="auto"/>
        </w:rPr>
      </w:pPr>
      <w:r>
        <w:rPr>
          <w:rFonts w:ascii="Arial" w:cs="Arial" w:eastAsia="Arial" w:hAnsi="Arial"/>
          <w:sz w:val="17"/>
          <w:szCs w:val="17"/>
          <w:color w:val="auto"/>
        </w:rPr>
        <w:t>There were no material changes in the nine-month period ended July 31, 2021 to the information provided under Item 7A. “Quantitative and Qualitative Disclosures about Market Risk,” set forth in our Annual Report on Form 10-K for the fiscal year ended October 31, 2020</w:t>
      </w:r>
      <w:r>
        <w:rPr>
          <w:rFonts w:ascii="Arial" w:cs="Arial" w:eastAsia="Arial" w:hAnsi="Arial"/>
          <w:sz w:val="17"/>
          <w:szCs w:val="17"/>
          <w:color w:val="EE2724"/>
        </w:rPr>
        <w:t>.</w:t>
      </w: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82" w:lineRule="exact"/>
        <w:rPr>
          <w:sz w:val="20"/>
          <w:szCs w:val="20"/>
          <w:color w:val="auto"/>
        </w:rPr>
      </w:pPr>
    </w:p>
    <w:p>
      <w:pPr>
        <w:ind w:firstLine="6"/>
        <w:spacing w:after="0" w:line="262" w:lineRule="auto"/>
        <w:tabs>
          <w:tab w:leader="none" w:pos="239"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July 31,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31, 2021, our Chief Executive Officer and Chief Financial Officer concluded that, as of such date, our disclosure controls and procedures were effective at the reasonable assurance level.</w:t>
      </w:r>
    </w:p>
    <w:p>
      <w:pPr>
        <w:spacing w:after="0" w:line="66" w:lineRule="exact"/>
        <w:rPr>
          <w:rFonts w:ascii="Arial" w:cs="Arial" w:eastAsia="Arial" w:hAnsi="Arial"/>
          <w:sz w:val="17"/>
          <w:szCs w:val="17"/>
          <w:color w:val="auto"/>
        </w:rPr>
      </w:pPr>
    </w:p>
    <w:p>
      <w:pPr>
        <w:ind w:right="140" w:firstLine="6"/>
        <w:spacing w:after="0" w:line="254"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July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32"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4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2" w:lineRule="exact"/>
        <w:rPr>
          <w:sz w:val="20"/>
          <w:szCs w:val="20"/>
          <w:color w:val="auto"/>
        </w:rPr>
      </w:pPr>
    </w:p>
    <w:p>
      <w:pPr>
        <w:ind w:right="240" w:firstLine="436"/>
        <w:spacing w:after="0" w:line="311" w:lineRule="auto"/>
        <w:rPr>
          <w:sz w:val="20"/>
          <w:szCs w:val="20"/>
          <w:color w:val="auto"/>
        </w:rPr>
      </w:pPr>
      <w:r>
        <w:rPr>
          <w:rFonts w:ascii="Arial" w:cs="Arial" w:eastAsia="Arial" w:hAnsi="Arial"/>
          <w:sz w:val="15"/>
          <w:szCs w:val="15"/>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October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Maxim Integrated Products, Inc.</w:t>
      </w:r>
    </w:p>
    <w:p>
      <w:pPr>
        <w:spacing w:after="0" w:line="136" w:lineRule="exact"/>
        <w:rPr>
          <w:sz w:val="20"/>
          <w:szCs w:val="20"/>
          <w:color w:val="auto"/>
        </w:rPr>
      </w:pPr>
    </w:p>
    <w:p>
      <w:pPr>
        <w:ind w:right="160"/>
        <w:spacing w:after="0" w:line="364" w:lineRule="auto"/>
        <w:rPr>
          <w:sz w:val="20"/>
          <w:szCs w:val="20"/>
          <w:color w:val="auto"/>
        </w:rPr>
      </w:pPr>
      <w:r>
        <w:rPr>
          <w:rFonts w:ascii="Arial" w:cs="Arial" w:eastAsia="Arial" w:hAnsi="Arial"/>
          <w:sz w:val="15"/>
          <w:szCs w:val="15"/>
          <w:i w:val="1"/>
          <w:iCs w:val="1"/>
          <w:color w:val="auto"/>
        </w:rPr>
        <w:t>Our ability to complete the acquisition of Maxim Integrated Products, Inc. (Maxim) is subject to various closing conditions, including the receipt of consents and approvals from governmental authorities, which may impose conditions that could adversely affect us or cause the acquisition not to be completed.</w:t>
      </w:r>
    </w:p>
    <w:p>
      <w:pPr>
        <w:spacing w:after="0" w:line="18" w:lineRule="exact"/>
        <w:rPr>
          <w:sz w:val="20"/>
          <w:szCs w:val="20"/>
          <w:color w:val="auto"/>
        </w:rPr>
      </w:pPr>
    </w:p>
    <w:p>
      <w:pPr>
        <w:ind w:right="80" w:firstLine="436"/>
        <w:spacing w:after="0" w:line="303" w:lineRule="auto"/>
        <w:rPr>
          <w:sz w:val="20"/>
          <w:szCs w:val="20"/>
          <w:color w:val="auto"/>
        </w:rPr>
      </w:pPr>
      <w:r>
        <w:rPr>
          <w:rFonts w:ascii="Arial" w:cs="Arial" w:eastAsia="Arial" w:hAnsi="Arial"/>
          <w:sz w:val="15"/>
          <w:szCs w:val="15"/>
          <w:color w:val="auto"/>
        </w:rPr>
        <w:t>On July 12, 2020, we entered into a definitive agreement (the Merger Agreement) to acquire Maxim, an independent manufacturer of innovative analog and mixed-signal products and technologies. The merger is subject to a number of conditions to closing as specified in the Merger Agreement. These closing conditions include, among others, the receipt of required approvals under certain foreign competition laws, and the absence of governmental restraints or prohibitions preventing the consummation of the merger. To date, required regulatory approvals have been obtained in all jurisdictions with the exception of China. No assurance can be given that the required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we and Maxim expect to achieve if the merger is successfully completed within its expected time frame.</w:t>
      </w:r>
    </w:p>
    <w:p>
      <w:pPr>
        <w:spacing w:after="0" w:line="67" w:lineRule="exact"/>
        <w:rPr>
          <w:sz w:val="20"/>
          <w:szCs w:val="20"/>
          <w:color w:val="auto"/>
        </w:rPr>
      </w:pPr>
    </w:p>
    <w:p>
      <w:pPr>
        <w:ind w:firstLine="436"/>
        <w:spacing w:after="0" w:line="251" w:lineRule="auto"/>
        <w:rPr>
          <w:sz w:val="20"/>
          <w:szCs w:val="20"/>
          <w:color w:val="auto"/>
        </w:rPr>
      </w:pPr>
      <w:r>
        <w:rPr>
          <w:rFonts w:ascii="Arial" w:cs="Arial" w:eastAsia="Arial" w:hAnsi="Arial"/>
          <w:sz w:val="18"/>
          <w:szCs w:val="18"/>
          <w:color w:val="auto"/>
        </w:rPr>
        <w:t>Additionally, either we or Maxim may terminate the Merger Agreement under certain circumstances, including, among other reasons, if the merger is not completed by October 12, 2021 (which date may be extended to January 12, 2022 under certain circumstances relating to outstanding regulatory approvals). Under certain circumstances, including if the proposed merger is terminated due to a failure to obtain the required regulatory clearances, we may be required to pay Maxim a termination fee of $830.0 million.</w:t>
      </w:r>
    </w:p>
    <w:p>
      <w:pPr>
        <w:spacing w:after="0" w:line="111"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termination of the Merger Agreement could negatively impact our business.</w:t>
      </w:r>
    </w:p>
    <w:p>
      <w:pPr>
        <w:spacing w:after="0" w:line="123" w:lineRule="exact"/>
        <w:rPr>
          <w:sz w:val="20"/>
          <w:szCs w:val="20"/>
          <w:color w:val="auto"/>
        </w:rPr>
      </w:pPr>
    </w:p>
    <w:p>
      <w:pPr>
        <w:ind w:right="340" w:firstLine="436"/>
        <w:spacing w:after="0" w:line="263" w:lineRule="auto"/>
        <w:rPr>
          <w:sz w:val="20"/>
          <w:szCs w:val="20"/>
          <w:color w:val="auto"/>
        </w:rPr>
      </w:pPr>
      <w:r>
        <w:rPr>
          <w:rFonts w:ascii="Arial" w:cs="Arial" w:eastAsia="Arial" w:hAnsi="Arial"/>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101" w:lineRule="exact"/>
        <w:rPr>
          <w:sz w:val="20"/>
          <w:szCs w:val="20"/>
          <w:color w:val="auto"/>
        </w:rPr>
      </w:pPr>
    </w:p>
    <w:p>
      <w:pPr>
        <w:ind w:left="640" w:hanging="31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23" w:lineRule="exact"/>
        <w:rPr>
          <w:rFonts w:ascii="Arial" w:cs="Arial" w:eastAsia="Arial" w:hAnsi="Arial"/>
          <w:sz w:val="18"/>
          <w:szCs w:val="18"/>
          <w:color w:val="auto"/>
        </w:rPr>
      </w:pPr>
    </w:p>
    <w:p>
      <w:pPr>
        <w:ind w:left="640" w:hanging="31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23" w:lineRule="exact"/>
        <w:rPr>
          <w:rFonts w:ascii="Arial" w:cs="Arial" w:eastAsia="Arial" w:hAnsi="Arial"/>
          <w:sz w:val="18"/>
          <w:szCs w:val="18"/>
          <w:color w:val="auto"/>
        </w:rPr>
      </w:pPr>
    </w:p>
    <w:p>
      <w:pPr>
        <w:ind w:left="640" w:right="240" w:hanging="317"/>
        <w:spacing w:after="0" w:line="263"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merger, such as financial advisory, legal, financing and accounting costs and associated fees and expenses, whether or not the merger is completed;</w:t>
      </w:r>
    </w:p>
    <w:p>
      <w:pPr>
        <w:spacing w:after="0" w:line="100" w:lineRule="exact"/>
        <w:rPr>
          <w:rFonts w:ascii="Arial" w:cs="Arial" w:eastAsia="Arial" w:hAnsi="Arial"/>
          <w:sz w:val="18"/>
          <w:szCs w:val="18"/>
          <w:color w:val="auto"/>
        </w:rPr>
      </w:pPr>
    </w:p>
    <w:p>
      <w:pPr>
        <w:ind w:left="640" w:hanging="317"/>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subject to time-consuming and costly litigation related to the merger; and</w:t>
      </w:r>
    </w:p>
    <w:p>
      <w:pPr>
        <w:spacing w:after="0" w:line="123" w:lineRule="exact"/>
        <w:rPr>
          <w:rFonts w:ascii="Arial" w:cs="Arial" w:eastAsia="Arial" w:hAnsi="Arial"/>
          <w:sz w:val="18"/>
          <w:szCs w:val="18"/>
          <w:color w:val="auto"/>
        </w:rPr>
      </w:pPr>
    </w:p>
    <w:p>
      <w:pPr>
        <w:ind w:left="640" w:right="360" w:hanging="317"/>
        <w:spacing w:after="0" w:line="364" w:lineRule="auto"/>
        <w:tabs>
          <w:tab w:leader="none" w:pos="635" w:val="left"/>
        </w:tabs>
        <w:numPr>
          <w:ilvl w:val="0"/>
          <w:numId w:val="8"/>
        </w:numPr>
        <w:rPr>
          <w:rFonts w:ascii="Arial" w:cs="Arial" w:eastAsia="Arial" w:hAnsi="Arial"/>
          <w:sz w:val="15"/>
          <w:szCs w:val="15"/>
          <w:color w:val="auto"/>
        </w:rPr>
      </w:pPr>
      <w:r>
        <w:rPr>
          <w:rFonts w:ascii="Arial" w:cs="Arial" w:eastAsia="Arial" w:hAnsi="Arial"/>
          <w:sz w:val="15"/>
          <w:szCs w:val="15"/>
          <w:color w:val="auto"/>
        </w:rPr>
        <w:t>matters relating to the merger (including integration planning) require substantial commitments of time and resources by our management, which could otherwise have been devoted to day-to-day operations or to other opportunities that may have been beneficial to our business.</w:t>
      </w:r>
    </w:p>
    <w:p>
      <w:pPr>
        <w:spacing w:after="0" w:line="18" w:lineRule="exact"/>
        <w:rPr>
          <w:sz w:val="20"/>
          <w:szCs w:val="20"/>
          <w:color w:val="auto"/>
        </w:rPr>
      </w:pPr>
    </w:p>
    <w:p>
      <w:pPr>
        <w:ind w:firstLine="436"/>
        <w:spacing w:after="0" w:line="317" w:lineRule="auto"/>
        <w:rPr>
          <w:sz w:val="20"/>
          <w:szCs w:val="20"/>
          <w:color w:val="auto"/>
        </w:rPr>
      </w:pPr>
      <w:r>
        <w:rPr>
          <w:rFonts w:ascii="Arial" w:cs="Arial" w:eastAsia="Arial" w:hAnsi="Arial"/>
          <w:sz w:val="15"/>
          <w:szCs w:val="15"/>
          <w:color w:val="auto"/>
        </w:rPr>
        <w:t>From and after the date of the Merger Agreement and prior to completion of the merger, the Merger Agreement restricts us from taking specified actions without Maxim’s consent and requires that our business be conducted in the ordinary course in all material respects. These restrictions may prevent us from making appropriate changes to our business or organizational structure or from pursuing attractive business opportunities that may arise prior to the completion of the merger, and could have the effect of delaying or preventing other strategic transactions. Adverse effects arising from these restrictions during the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pendency of the merger could be exacerbated by any delays in consummation of the merger or termination of the Merger Agreement.</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Whether or not the merger is completed, the announcement and pendency of the merger could cause disruptions in our business, which could have an adverse effect on our business and financial results.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Whether or not the merger is completed, the announcement and pendency of the merger could cause disruptions in our business. Specifically</w:t>
      </w:r>
      <w:r>
        <w:rPr>
          <w:rFonts w:ascii="Arial" w:cs="Arial" w:eastAsia="Arial" w:hAnsi="Arial"/>
          <w:sz w:val="17"/>
          <w:szCs w:val="17"/>
          <w:i w:val="1"/>
          <w:iCs w:val="1"/>
          <w:color w:val="auto"/>
        </w:rPr>
        <w:t>:</w:t>
      </w:r>
    </w:p>
    <w:p>
      <w:pPr>
        <w:spacing w:after="0" w:line="82" w:lineRule="exact"/>
        <w:rPr>
          <w:sz w:val="20"/>
          <w:szCs w:val="20"/>
          <w:color w:val="auto"/>
        </w:rPr>
      </w:pPr>
    </w:p>
    <w:p>
      <w:pPr>
        <w:ind w:left="640" w:right="300" w:hanging="317"/>
        <w:spacing w:after="0" w:line="26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Maxim’s current and prospective employees will experience uncertainty about their future roles with the combined company, which might adversely affect the two companies’ abilities to retain key managers and other employees;</w:t>
      </w:r>
    </w:p>
    <w:p>
      <w:pPr>
        <w:spacing w:after="0" w:line="48" w:lineRule="exact"/>
        <w:rPr>
          <w:rFonts w:ascii="Arial" w:cs="Arial" w:eastAsia="Arial" w:hAnsi="Arial"/>
          <w:sz w:val="18"/>
          <w:szCs w:val="18"/>
          <w:color w:val="auto"/>
        </w:rPr>
      </w:pPr>
    </w:p>
    <w:p>
      <w:pPr>
        <w:ind w:left="640" w:hanging="317"/>
        <w:spacing w:after="0" w:line="324" w:lineRule="auto"/>
        <w:tabs>
          <w:tab w:leader="none" w:pos="635" w:val="left"/>
        </w:tabs>
        <w:numPr>
          <w:ilvl w:val="0"/>
          <w:numId w:val="9"/>
        </w:numPr>
        <w:rPr>
          <w:rFonts w:ascii="Arial" w:cs="Arial" w:eastAsia="Arial" w:hAnsi="Arial"/>
          <w:sz w:val="15"/>
          <w:szCs w:val="15"/>
          <w:color w:val="auto"/>
        </w:rPr>
      </w:pPr>
      <w:r>
        <w:rPr>
          <w:rFonts w:ascii="Arial" w:cs="Arial" w:eastAsia="Arial" w:hAnsi="Arial"/>
          <w:sz w:val="15"/>
          <w:szCs w:val="15"/>
          <w:color w:val="auto"/>
        </w:rPr>
        <w:t>uncertainty regarding the completion of the merger may cause our and Maxim’s customers, suppliers, distributors, vendors, strategic partners or others that deal with us or Maxim to delay or defer entering into contracts with us or Maxim, make other decisions concerning us or Maxim, or seek to change or cancel existing business relationships with us or Maxim, which could negatively affect our respective businesses;</w:t>
      </w:r>
    </w:p>
    <w:p>
      <w:pPr>
        <w:spacing w:after="0" w:line="1" w:lineRule="exact"/>
        <w:rPr>
          <w:rFonts w:ascii="Arial" w:cs="Arial" w:eastAsia="Arial" w:hAnsi="Arial"/>
          <w:sz w:val="15"/>
          <w:szCs w:val="15"/>
          <w:color w:val="auto"/>
        </w:rPr>
      </w:pPr>
    </w:p>
    <w:p>
      <w:pPr>
        <w:ind w:left="640" w:right="240" w:hanging="317"/>
        <w:spacing w:after="0" w:line="25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Merger Agreement restricts us and our subsidiaries from taking specified actions during the pendency of the merger without Maxim’s consent, which may prevent us from pursuing attractive business opportunities or strategic transactions that may arise prior to the completion of the merger; and</w:t>
      </w:r>
    </w:p>
    <w:p>
      <w:pPr>
        <w:spacing w:after="0" w:line="42" w:lineRule="exact"/>
        <w:rPr>
          <w:rFonts w:ascii="Arial" w:cs="Arial" w:eastAsia="Arial" w:hAnsi="Arial"/>
          <w:sz w:val="18"/>
          <w:szCs w:val="18"/>
          <w:color w:val="auto"/>
        </w:rPr>
      </w:pPr>
    </w:p>
    <w:p>
      <w:pPr>
        <w:ind w:left="640" w:hanging="31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attention of our and Maxim’s management may be directed toward the completion of the merger.</w:t>
      </w:r>
    </w:p>
    <w:p>
      <w:pPr>
        <w:spacing w:after="0" w:line="136" w:lineRule="exact"/>
        <w:rPr>
          <w:sz w:val="20"/>
          <w:szCs w:val="20"/>
          <w:color w:val="auto"/>
        </w:rPr>
      </w:pPr>
    </w:p>
    <w:p>
      <w:pPr>
        <w:ind w:right="400" w:firstLine="436"/>
        <w:spacing w:after="0" w:line="254" w:lineRule="auto"/>
        <w:rPr>
          <w:sz w:val="20"/>
          <w:szCs w:val="20"/>
          <w:color w:val="auto"/>
        </w:rPr>
      </w:pPr>
      <w:r>
        <w:rPr>
          <w:rFonts w:ascii="Arial" w:cs="Arial" w:eastAsia="Arial" w:hAnsi="Arial"/>
          <w:sz w:val="18"/>
          <w:szCs w:val="18"/>
          <w:color w:val="auto"/>
        </w:rPr>
        <w:t>We have diverted significant management resources in an effort to complete the merger and are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9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i w:val="1"/>
          <w:iCs w:val="1"/>
          <w:color w:val="auto"/>
        </w:rPr>
        <w:t>We will incur significant acquisition-related costs in connection with the Maxim acquisition, and the combined company could incur substantial expenses related to the integration of Maxim.</w:t>
      </w:r>
    </w:p>
    <w:p>
      <w:pPr>
        <w:spacing w:after="0" w:line="88" w:lineRule="exact"/>
        <w:rPr>
          <w:sz w:val="20"/>
          <w:szCs w:val="20"/>
          <w:color w:val="auto"/>
        </w:rPr>
      </w:pPr>
    </w:p>
    <w:p>
      <w:pPr>
        <w:ind w:right="320" w:firstLine="436"/>
        <w:spacing w:after="0" w:line="317" w:lineRule="auto"/>
        <w:rPr>
          <w:sz w:val="20"/>
          <w:szCs w:val="20"/>
          <w:color w:val="auto"/>
        </w:rPr>
      </w:pPr>
      <w:r>
        <w:rPr>
          <w:rFonts w:ascii="Arial" w:cs="Arial" w:eastAsia="Arial" w:hAnsi="Arial"/>
          <w:sz w:val="15"/>
          <w:szCs w:val="15"/>
          <w:color w:val="auto"/>
        </w:rPr>
        <w:t>We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We will need to pay some of these costs regardless of whether the merger is completed.</w:t>
      </w:r>
    </w:p>
    <w:p>
      <w:pPr>
        <w:spacing w:after="0" w:line="66" w:lineRule="exact"/>
        <w:rPr>
          <w:sz w:val="20"/>
          <w:szCs w:val="20"/>
          <w:color w:val="auto"/>
        </w:rPr>
      </w:pPr>
    </w:p>
    <w:p>
      <w:pPr>
        <w:ind w:right="100" w:firstLine="436"/>
        <w:spacing w:after="0" w:line="264" w:lineRule="auto"/>
        <w:rPr>
          <w:sz w:val="20"/>
          <w:szCs w:val="20"/>
          <w:color w:val="auto"/>
        </w:rPr>
      </w:pPr>
      <w:r>
        <w:rPr>
          <w:rFonts w:ascii="Arial" w:cs="Arial" w:eastAsia="Arial" w:hAnsi="Arial"/>
          <w:sz w:val="17"/>
          <w:szCs w:val="17"/>
          <w:color w:val="auto"/>
        </w:rPr>
        <w:t>The combined company will also incur restructuring and integration costs in connection with the merger. The costs related to restructuring will be expensed as a cost of the ongoing results of operations of either us or the combined company.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We will bear many of these costs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89" w:lineRule="exact"/>
        <w:rPr>
          <w:sz w:val="20"/>
          <w:szCs w:val="20"/>
          <w:color w:val="auto"/>
        </w:rPr>
      </w:pPr>
    </w:p>
    <w:p>
      <w:pPr>
        <w:jc w:val="both"/>
        <w:ind w:right="580"/>
        <w:spacing w:after="0" w:line="254" w:lineRule="auto"/>
        <w:rPr>
          <w:sz w:val="20"/>
          <w:szCs w:val="20"/>
          <w:color w:val="auto"/>
        </w:rPr>
      </w:pPr>
      <w:r>
        <w:rPr>
          <w:rFonts w:ascii="Arial" w:cs="Arial" w:eastAsia="Arial" w:hAnsi="Arial"/>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95" w:lineRule="exact"/>
        <w:rPr>
          <w:sz w:val="20"/>
          <w:szCs w:val="20"/>
          <w:color w:val="auto"/>
        </w:rPr>
      </w:pPr>
    </w:p>
    <w:p>
      <w:pPr>
        <w:ind w:right="40" w:firstLine="436"/>
        <w:spacing w:after="0" w:line="267" w:lineRule="auto"/>
        <w:rPr>
          <w:sz w:val="20"/>
          <w:szCs w:val="20"/>
          <w:color w:val="auto"/>
        </w:rPr>
      </w:pPr>
      <w:r>
        <w:rPr>
          <w:rFonts w:ascii="Arial" w:cs="Arial" w:eastAsia="Arial" w:hAnsi="Arial"/>
          <w:sz w:val="17"/>
          <w:szCs w:val="17"/>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101" w:lineRule="exact"/>
        <w:rPr>
          <w:sz w:val="20"/>
          <w:szCs w:val="20"/>
          <w:color w:val="auto"/>
        </w:rPr>
      </w:pPr>
    </w:p>
    <w:p>
      <w:pPr>
        <w:ind w:right="80" w:firstLine="436"/>
        <w:spacing w:after="0" w:line="317" w:lineRule="auto"/>
        <w:rPr>
          <w:sz w:val="20"/>
          <w:szCs w:val="20"/>
          <w:color w:val="auto"/>
        </w:rPr>
      </w:pPr>
      <w:r>
        <w:rPr>
          <w:rFonts w:ascii="Arial" w:cs="Arial" w:eastAsia="Arial" w:hAnsi="Arial"/>
          <w:sz w:val="15"/>
          <w:szCs w:val="15"/>
          <w:color w:val="auto"/>
        </w:rPr>
        <w:t>The merger involves the combination of two companies which currently operate, and until the completion of the merger will continue to operate, as independent public companies. There can be no assurances that our respective businesses can be integrated successfully. It is possible that the integration process could result in the loss of key employees from both companies, the loss of customers, the disruption of our, Maxim’s or both companies’ ongoing businesses, inconsistencies in standards, controls, procedures and policies, unexpected integration issues, higher than expected integration costs and an overall</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1" w:name="page32"/>
    <w:bookmarkEnd w:id="31"/>
    <w:p>
      <w:pPr>
        <w:ind w:right="80"/>
        <w:spacing w:after="0" w:line="276" w:lineRule="auto"/>
        <w:rPr>
          <w:sz w:val="20"/>
          <w:szCs w:val="20"/>
          <w:color w:val="auto"/>
        </w:rPr>
      </w:pPr>
      <w:r>
        <w:rPr>
          <w:rFonts w:ascii="Arial" w:cs="Arial" w:eastAsia="Arial" w:hAnsi="Arial"/>
          <w:sz w:val="17"/>
          <w:szCs w:val="17"/>
          <w:color w:val="auto"/>
        </w:rPr>
        <w:t>post-completion integration process that takes longer than originally anticipated. The combined company will be required to devote management attention and resources to integrating its business practices and operations, and prior to the merger, management attention and resources will be required to plan for such integration. Potential difficulties the combined company may encounter in the integration process include the following:</w:t>
      </w:r>
    </w:p>
    <w:p>
      <w:pPr>
        <w:spacing w:after="0" w:line="39" w:lineRule="exact"/>
        <w:rPr>
          <w:sz w:val="20"/>
          <w:szCs w:val="20"/>
          <w:color w:val="auto"/>
        </w:rPr>
      </w:pPr>
    </w:p>
    <w:p>
      <w:pPr>
        <w:ind w:left="640" w:right="20" w:hanging="317"/>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34" w:lineRule="exact"/>
        <w:rPr>
          <w:rFonts w:ascii="Arial" w:cs="Arial" w:eastAsia="Arial" w:hAnsi="Arial"/>
          <w:sz w:val="18"/>
          <w:szCs w:val="18"/>
          <w:color w:val="auto"/>
        </w:rPr>
      </w:pPr>
    </w:p>
    <w:p>
      <w:pPr>
        <w:ind w:left="640" w:right="180" w:hanging="317"/>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personnel from the two companies while maintaining focus on providing consistent, high-quality products and services, especially in the COVID-19 environment which has required employees to work remotely in some locations;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83" w:lineRule="exact"/>
        <w:rPr>
          <w:rFonts w:ascii="Arial" w:cs="Arial" w:eastAsia="Arial" w:hAnsi="Arial"/>
          <w:sz w:val="18"/>
          <w:szCs w:val="18"/>
          <w:color w:val="auto"/>
        </w:rPr>
      </w:pPr>
    </w:p>
    <w:p>
      <w:pPr>
        <w:ind w:left="640" w:right="40" w:hanging="317"/>
        <w:spacing w:after="0" w:line="263"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and/or Maxim's performance shortfalls as a result of the diversion of management’s attention caused by completing the merger and integrating the companies’ operations.</w:t>
      </w:r>
    </w:p>
    <w:p>
      <w:pPr>
        <w:spacing w:after="0" w:line="88"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color w:val="auto"/>
        </w:rPr>
        <w:t>Any of these factors could result in the combined company failing to realize the anticipated benefits of the acquisition, on the expected timeline or at all. 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84" w:lineRule="exact"/>
        <w:rPr>
          <w:sz w:val="20"/>
          <w:szCs w:val="20"/>
          <w:color w:val="auto"/>
        </w:rPr>
      </w:pPr>
    </w:p>
    <w:p>
      <w:pPr>
        <w:ind w:right="280" w:firstLine="475"/>
        <w:spacing w:after="0" w:line="251"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we and Maxim expect and may take longer to achieve than anticipated. If we and Maxim are not able to adequately address integration challenges, we may be unable to successfully integrate their operations or realize the anticipated benefits of the integration of the two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value of our common stock could decline if large amounts of our common stock are sold following the Maxim acquisition.</w:t>
      </w:r>
    </w:p>
    <w:p>
      <w:pPr>
        <w:spacing w:after="0" w:line="123" w:lineRule="exact"/>
        <w:rPr>
          <w:sz w:val="20"/>
          <w:szCs w:val="20"/>
          <w:color w:val="auto"/>
        </w:rPr>
      </w:pPr>
    </w:p>
    <w:p>
      <w:pPr>
        <w:ind w:right="200" w:firstLine="475"/>
        <w:spacing w:after="0" w:line="311" w:lineRule="auto"/>
        <w:rPr>
          <w:sz w:val="20"/>
          <w:szCs w:val="20"/>
          <w:color w:val="auto"/>
        </w:rPr>
      </w:pPr>
      <w:r>
        <w:rPr>
          <w:rFonts w:ascii="Arial" w:cs="Arial" w:eastAsia="Arial" w:hAnsi="Arial"/>
          <w:sz w:val="15"/>
          <w:szCs w:val="15"/>
          <w:color w:val="auto"/>
        </w:rPr>
        <w:t>If the merger is consummated, it is expected that we will issue a significant number of shares of our common stock to former Maxim stockholders. Former Maxim stockholders may decide not to hold the shares of our common stock that they will receive in the merger, and our shareholders may decide to reduce their investment in us as a result of the changes to our investment profile as a result of the merger. Other Maxim stockholders, such as funds with limitations on their permitted holdings of stock in individual issuers, may be required to sell the shares of our common stock that they receive in the merger. Such sales of our common stock could have the effect of depressing the market price for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Global Operations</w:t>
      </w:r>
    </w:p>
    <w:p>
      <w:pPr>
        <w:spacing w:after="0" w:line="11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100" w:lineRule="exact"/>
        <w:rPr>
          <w:sz w:val="20"/>
          <w:szCs w:val="20"/>
          <w:color w:val="auto"/>
        </w:rPr>
      </w:pPr>
    </w:p>
    <w:p>
      <w:pPr>
        <w:ind w:right="20" w:firstLine="475"/>
        <w:spacing w:after="0" w:line="264" w:lineRule="auto"/>
        <w:rPr>
          <w:sz w:val="20"/>
          <w:szCs w:val="20"/>
          <w:color w:val="auto"/>
        </w:rPr>
      </w:pPr>
      <w:r>
        <w:rPr>
          <w:rFonts w:ascii="Arial" w:cs="Arial" w:eastAsia="Arial" w:hAnsi="Arial"/>
          <w:sz w:val="17"/>
          <w:szCs w:val="17"/>
          <w:color w:val="auto"/>
        </w:rPr>
        <w:t>The COVID-19 pandemic, and the numerous measures implemented by government authorities in respond,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89" w:lineRule="exact"/>
        <w:rPr>
          <w:sz w:val="20"/>
          <w:szCs w:val="20"/>
          <w:color w:val="auto"/>
        </w:rPr>
      </w:pPr>
    </w:p>
    <w:p>
      <w:pPr>
        <w:ind w:firstLine="475"/>
        <w:spacing w:after="0" w:line="266" w:lineRule="auto"/>
        <w:rPr>
          <w:sz w:val="20"/>
          <w:szCs w:val="20"/>
          <w:color w:val="auto"/>
        </w:rPr>
      </w:pPr>
      <w:r>
        <w:rPr>
          <w:rFonts w:ascii="Arial" w:cs="Arial" w:eastAsia="Arial" w:hAnsi="Arial"/>
          <w:sz w:val="17"/>
          <w:szCs w:val="17"/>
          <w:color w:val="auto"/>
        </w:rPr>
        <w:t>The spread of COVID-19 has caused us to modify our business practices by, among other things, restricting employee travel, modifying employee work locations, and canceling physical participation in meetings, events and conferences. As a result of our changed workplace practices, many of our employees are temporarily working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2" w:name="page33"/>
    <w:bookmarkEnd w:id="32"/>
    <w:p>
      <w:pPr>
        <w:ind w:right="220"/>
        <w:spacing w:after="0" w:line="263" w:lineRule="auto"/>
        <w:rPr>
          <w:sz w:val="20"/>
          <w:szCs w:val="20"/>
          <w:color w:val="auto"/>
        </w:rPr>
      </w:pPr>
      <w:r>
        <w:rPr>
          <w:rFonts w:ascii="Arial" w:cs="Arial" w:eastAsia="Arial" w:hAnsi="Arial"/>
          <w:sz w:val="18"/>
          <w:szCs w:val="18"/>
          <w:color w:val="auto"/>
        </w:rPr>
        <w:t>we cannot provide assurance that such measures will be sufficient to mitigate the risks posed by COVID-19, and if a significant number of our employees or members of our board of directors become ill, our ability to perform critical functions could be harmed.</w:t>
      </w:r>
    </w:p>
    <w:p>
      <w:pPr>
        <w:spacing w:after="0" w:line="101" w:lineRule="exact"/>
        <w:rPr>
          <w:sz w:val="20"/>
          <w:szCs w:val="20"/>
          <w:color w:val="auto"/>
        </w:rPr>
      </w:pPr>
    </w:p>
    <w:p>
      <w:pPr>
        <w:ind w:firstLine="475"/>
        <w:spacing w:after="0" w:line="311" w:lineRule="auto"/>
        <w:rPr>
          <w:sz w:val="20"/>
          <w:szCs w:val="20"/>
          <w:color w:val="auto"/>
        </w:rPr>
      </w:pPr>
      <w:r>
        <w:rPr>
          <w:rFonts w:ascii="Arial" w:cs="Arial" w:eastAsia="Arial" w:hAnsi="Arial"/>
          <w:sz w:val="15"/>
          <w:szCs w:val="15"/>
          <w:color w:val="auto"/>
        </w:rPr>
        <w:t>The COVID-19 pandemic has significantly increased economic and demand uncertainty and has caused an economic slowdown that is likely to continue and could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58" w:lineRule="exact"/>
        <w:rPr>
          <w:sz w:val="20"/>
          <w:szCs w:val="20"/>
          <w:color w:val="auto"/>
        </w:rPr>
      </w:pPr>
    </w:p>
    <w:p>
      <w:pPr>
        <w:ind w:right="40" w:firstLine="475"/>
        <w:spacing w:after="0" w:line="270" w:lineRule="auto"/>
        <w:rPr>
          <w:sz w:val="20"/>
          <w:szCs w:val="20"/>
          <w:color w:val="auto"/>
        </w:rPr>
      </w:pPr>
      <w:r>
        <w:rPr>
          <w:rFonts w:ascii="Arial" w:cs="Arial" w:eastAsia="Arial" w:hAnsi="Arial"/>
          <w:sz w:val="17"/>
          <w:szCs w:val="17"/>
          <w:color w:val="auto"/>
        </w:rPr>
        <w:t>We cannot at this time fully quantify or forecast the impact of the COVID-19 pandemic on our business. The full extent of the impact of the pandemic on our business, financial condition and results of operations will depend on future developments, which are highly uncertain, including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101" w:lineRule="exact"/>
        <w:rPr>
          <w:sz w:val="20"/>
          <w:szCs w:val="20"/>
          <w:color w:val="auto"/>
        </w:rPr>
      </w:pPr>
    </w:p>
    <w:p>
      <w:pPr>
        <w:ind w:right="40" w:firstLine="475"/>
        <w:spacing w:after="0" w:line="262" w:lineRule="auto"/>
        <w:rPr>
          <w:sz w:val="20"/>
          <w:szCs w:val="20"/>
          <w:color w:val="auto"/>
        </w:rPr>
      </w:pPr>
      <w:r>
        <w:rPr>
          <w:rFonts w:ascii="Arial" w:cs="Arial" w:eastAsia="Arial" w:hAnsi="Arial"/>
          <w:sz w:val="17"/>
          <w:szCs w:val="17"/>
          <w:color w:val="auto"/>
        </w:rPr>
        <w:t>Continuing political and global macroeconomic uncertainty, including related to the COVID-19 pandemic, trade and political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9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88" w:lineRule="exact"/>
        <w:rPr>
          <w:sz w:val="20"/>
          <w:szCs w:val="20"/>
          <w:color w:val="auto"/>
        </w:rPr>
      </w:pPr>
    </w:p>
    <w:p>
      <w:pPr>
        <w:ind w:right="160" w:firstLine="475"/>
        <w:spacing w:after="0" w:line="328" w:lineRule="auto"/>
        <w:rPr>
          <w:sz w:val="20"/>
          <w:szCs w:val="20"/>
          <w:color w:val="auto"/>
        </w:rPr>
      </w:pPr>
      <w:r>
        <w:rPr>
          <w:rFonts w:ascii="Arial" w:cs="Arial" w:eastAsia="Arial" w:hAnsi="Arial"/>
          <w:sz w:val="15"/>
          <w:szCs w:val="15"/>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6" w:lineRule="exact"/>
        <w:rPr>
          <w:sz w:val="20"/>
          <w:szCs w:val="20"/>
          <w:color w:val="auto"/>
        </w:rPr>
      </w:pPr>
    </w:p>
    <w:p>
      <w:pPr>
        <w:ind w:left="640" w:right="40" w:hanging="317"/>
        <w:spacing w:after="0" w:line="25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and political disputes between the United States and China, the United Kingdom's withdrawal from the European Union and the implementation of the United States-Mexico-Canada Agreement;</w:t>
      </w:r>
    </w:p>
    <w:p>
      <w:pPr>
        <w:spacing w:after="0" w:line="42" w:lineRule="exact"/>
        <w:rPr>
          <w:rFonts w:ascii="Arial" w:cs="Arial" w:eastAsia="Arial" w:hAnsi="Arial"/>
          <w:sz w:val="18"/>
          <w:szCs w:val="18"/>
          <w:color w:val="auto"/>
        </w:rPr>
      </w:pPr>
    </w:p>
    <w:p>
      <w:pPr>
        <w:ind w:left="640" w:right="200" w:hanging="317"/>
        <w:spacing w:after="0" w:line="263"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and the International Traffic and Arms Regulations;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conversion risks and exchange rate and interest rate fluctuations, including the potential impact of the transition from LIBOR;</w:t>
      </w:r>
    </w:p>
    <w:p>
      <w:pPr>
        <w:spacing w:after="0" w:line="95" w:lineRule="exact"/>
        <w:rPr>
          <w:rFonts w:ascii="Arial" w:cs="Arial" w:eastAsia="Arial" w:hAnsi="Arial"/>
          <w:sz w:val="17"/>
          <w:szCs w:val="17"/>
          <w:color w:val="auto"/>
        </w:rPr>
      </w:pPr>
    </w:p>
    <w:p>
      <w:pPr>
        <w:ind w:left="640" w:right="220" w:hanging="317"/>
        <w:spacing w:after="0" w:line="25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42" w:lineRule="exact"/>
        <w:rPr>
          <w:rFonts w:ascii="Arial" w:cs="Arial" w:eastAsia="Arial" w:hAnsi="Arial"/>
          <w:sz w:val="18"/>
          <w:szCs w:val="18"/>
          <w:color w:val="auto"/>
        </w:rPr>
      </w:pPr>
    </w:p>
    <w:p>
      <w:pPr>
        <w:ind w:left="640" w:right="300" w:hanging="317"/>
        <w:spacing w:after="0" w:line="324" w:lineRule="auto"/>
        <w:tabs>
          <w:tab w:leader="none" w:pos="635"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 w:lineRule="exact"/>
        <w:rPr>
          <w:rFonts w:ascii="Arial" w:cs="Arial" w:eastAsia="Arial" w:hAnsi="Arial"/>
          <w:sz w:val="15"/>
          <w:szCs w:val="15"/>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3" w:name="page34"/>
    <w:bookmarkEnd w:id="33"/>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pandemic;</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23" w:lineRule="exact"/>
        <w:rPr>
          <w:sz w:val="20"/>
          <w:szCs w:val="20"/>
          <w:color w:val="auto"/>
        </w:rPr>
      </w:pPr>
    </w:p>
    <w:p>
      <w:pPr>
        <w:ind w:right="100" w:firstLine="436"/>
        <w:spacing w:after="0" w:line="263"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88" w:lineRule="exact"/>
        <w:rPr>
          <w:sz w:val="20"/>
          <w:szCs w:val="20"/>
          <w:color w:val="auto"/>
        </w:rPr>
      </w:pPr>
    </w:p>
    <w:p>
      <w:pPr>
        <w:ind w:firstLine="436"/>
        <w:spacing w:after="0" w:line="262" w:lineRule="auto"/>
        <w:rPr>
          <w:sz w:val="20"/>
          <w:szCs w:val="20"/>
          <w:color w:val="auto"/>
        </w:rPr>
      </w:pPr>
      <w:r>
        <w:rPr>
          <w:rFonts w:ascii="Arial" w:cs="Arial" w:eastAsia="Arial" w:hAnsi="Arial"/>
          <w:sz w:val="17"/>
          <w:szCs w:val="17"/>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For example, the U.S. government has recently expanded export restrictions that limit our ability to sell to certain Chinese companies and to third parties that do business with those companies. These restrictions may negatively impact demand for our products, including by causing our current or potential customers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109" w:lineRule="exact"/>
        <w:rPr>
          <w:sz w:val="20"/>
          <w:szCs w:val="20"/>
          <w:color w:val="auto"/>
        </w:rPr>
      </w:pPr>
    </w:p>
    <w:p>
      <w:pPr>
        <w:ind w:right="80" w:firstLine="436"/>
        <w:spacing w:after="0" w:line="254" w:lineRule="auto"/>
        <w:rPr>
          <w:sz w:val="20"/>
          <w:szCs w:val="20"/>
          <w:color w:val="auto"/>
        </w:rPr>
      </w:pPr>
      <w:r>
        <w:rPr>
          <w:rFonts w:ascii="Arial" w:cs="Arial" w:eastAsia="Arial" w:hAnsi="Arial"/>
          <w:sz w:val="18"/>
          <w:szCs w:val="18"/>
          <w:color w:val="auto"/>
        </w:rPr>
        <w:t>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9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If we are unable to address our U.S. cash requirements, it may be necessary for us to consider repatriation of foreign earnings, which could have a material adverse effect on our results of operations and financial condition.</w:t>
      </w:r>
    </w:p>
    <w:p>
      <w:pPr>
        <w:spacing w:after="0" w:line="88" w:lineRule="exact"/>
        <w:rPr>
          <w:sz w:val="20"/>
          <w:szCs w:val="20"/>
          <w:color w:val="auto"/>
        </w:rPr>
      </w:pPr>
    </w:p>
    <w:p>
      <w:pPr>
        <w:ind w:right="20" w:firstLine="475"/>
        <w:spacing w:after="0" w:line="264" w:lineRule="auto"/>
        <w:rPr>
          <w:sz w:val="20"/>
          <w:szCs w:val="20"/>
          <w:color w:val="auto"/>
        </w:rPr>
      </w:pPr>
      <w:r>
        <w:rPr>
          <w:rFonts w:ascii="Arial" w:cs="Arial" w:eastAsia="Arial" w:hAnsi="Arial"/>
          <w:sz w:val="17"/>
          <w:szCs w:val="17"/>
          <w:color w:val="auto"/>
        </w:rPr>
        <w:t>We carry outside basis differences in certain of our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Industry and Partners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70" w:lineRule="exact"/>
        <w:rPr>
          <w:sz w:val="20"/>
          <w:szCs w:val="20"/>
          <w:color w:val="auto"/>
        </w:rPr>
      </w:pPr>
    </w:p>
    <w:p>
      <w:pPr>
        <w:ind w:right="440" w:firstLine="475"/>
        <w:spacing w:after="0" w:line="263"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48" w:lineRule="exact"/>
        <w:rPr>
          <w:sz w:val="20"/>
          <w:szCs w:val="20"/>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34" w:name="page35"/>
    <w:bookmarkEnd w:id="34"/>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15" w:lineRule="exact"/>
        <w:rPr>
          <w:rFonts w:ascii="Arial" w:cs="Arial" w:eastAsia="Arial" w:hAnsi="Arial"/>
          <w:sz w:val="18"/>
          <w:szCs w:val="18"/>
          <w:color w:val="auto"/>
        </w:rPr>
      </w:pPr>
    </w:p>
    <w:p>
      <w:pPr>
        <w:ind w:left="640" w:right="340" w:hanging="317"/>
        <w:spacing w:after="0" w:line="300" w:lineRule="auto"/>
        <w:tabs>
          <w:tab w:leader="none" w:pos="6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1" w:lineRule="exact"/>
        <w:rPr>
          <w:rFonts w:ascii="Arial" w:cs="Arial" w:eastAsia="Arial" w:hAnsi="Arial"/>
          <w:sz w:val="15"/>
          <w:szCs w:val="15"/>
          <w:color w:val="auto"/>
        </w:rPr>
      </w:pPr>
    </w:p>
    <w:p>
      <w:pPr>
        <w:ind w:left="640" w:hanging="317"/>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timing of new product announcements or introductions by us, our customers or our competitors and the market acceptance of such products;</w:t>
      </w:r>
    </w:p>
    <w:p>
      <w:pPr>
        <w:spacing w:after="0" w:line="104" w:lineRule="exact"/>
        <w:rPr>
          <w:rFonts w:ascii="Arial" w:cs="Arial" w:eastAsia="Arial" w:hAnsi="Arial"/>
          <w:sz w:val="15"/>
          <w:szCs w:val="15"/>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81" w:lineRule="exact"/>
        <w:rPr>
          <w:rFonts w:ascii="Arial" w:cs="Arial" w:eastAsia="Arial" w:hAnsi="Arial"/>
          <w:sz w:val="17"/>
          <w:szCs w:val="17"/>
          <w:color w:val="auto"/>
        </w:rPr>
      </w:pPr>
    </w:p>
    <w:p>
      <w:pPr>
        <w:ind w:left="640" w:right="40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83" w:lineRule="exact"/>
        <w:rPr>
          <w:rFonts w:ascii="Arial" w:cs="Arial" w:eastAsia="Arial" w:hAnsi="Arial"/>
          <w:sz w:val="18"/>
          <w:szCs w:val="18"/>
          <w:color w:val="auto"/>
        </w:rPr>
      </w:pPr>
    </w:p>
    <w:p>
      <w:pPr>
        <w:ind w:left="640" w:right="28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recruit, hire, retain and motivate adequate numbers of engineers and other qualified employees to meet the demands of our customers;</w:t>
      </w:r>
    </w:p>
    <w:p>
      <w:pPr>
        <w:spacing w:after="0" w:line="118" w:lineRule="exact"/>
        <w:rPr>
          <w:rFonts w:ascii="Arial" w:cs="Arial" w:eastAsia="Arial" w:hAnsi="Arial"/>
          <w:sz w:val="15"/>
          <w:szCs w:val="15"/>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70" w:lineRule="exact"/>
        <w:rPr>
          <w:rFonts w:ascii="Arial" w:cs="Arial" w:eastAsia="Arial" w:hAnsi="Arial"/>
          <w:sz w:val="18"/>
          <w:szCs w:val="18"/>
          <w:color w:val="auto"/>
        </w:rPr>
      </w:pPr>
    </w:p>
    <w:p>
      <w:pPr>
        <w:ind w:left="640" w:right="56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83" w:lineRule="exact"/>
        <w:rPr>
          <w:rFonts w:ascii="Arial" w:cs="Arial" w:eastAsia="Arial" w:hAnsi="Arial"/>
          <w:sz w:val="18"/>
          <w:szCs w:val="18"/>
          <w:color w:val="auto"/>
        </w:rPr>
      </w:pPr>
    </w:p>
    <w:p>
      <w:pPr>
        <w:ind w:left="640" w:right="34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4" w:lineRule="exact"/>
        <w:rPr>
          <w:rFonts w:ascii="Arial" w:cs="Arial" w:eastAsia="Arial" w:hAnsi="Arial"/>
          <w:sz w:val="18"/>
          <w:szCs w:val="18"/>
          <w:color w:val="auto"/>
        </w:rPr>
      </w:pPr>
    </w:p>
    <w:p>
      <w:pPr>
        <w:ind w:left="640" w:right="26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70" w:lineRule="exact"/>
        <w:rPr>
          <w:rFonts w:ascii="Arial" w:cs="Arial" w:eastAsia="Arial" w:hAnsi="Arial"/>
          <w:sz w:val="18"/>
          <w:szCs w:val="18"/>
          <w:color w:val="auto"/>
        </w:rPr>
      </w:pPr>
    </w:p>
    <w:p>
      <w:pPr>
        <w:ind w:left="640" w:right="200" w:hanging="317"/>
        <w:spacing w:after="0" w:line="263"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88" w:lineRule="exact"/>
        <w:rPr>
          <w:sz w:val="20"/>
          <w:szCs w:val="20"/>
          <w:color w:val="auto"/>
        </w:rPr>
      </w:pPr>
    </w:p>
    <w:p>
      <w:pPr>
        <w:ind w:right="80" w:firstLine="475"/>
        <w:spacing w:after="0" w:line="264"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23" w:lineRule="exact"/>
        <w:rPr>
          <w:sz w:val="20"/>
          <w:szCs w:val="20"/>
          <w:color w:val="auto"/>
        </w:rPr>
      </w:pPr>
    </w:p>
    <w:p>
      <w:pPr>
        <w:ind w:firstLine="436"/>
        <w:spacing w:after="0" w:line="264"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three and nine months of the fiscal year ending October 30, 2021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65" w:right="359" w:bottom="1440" w:gutter="0" w:footer="0" w:header="0"/>
        </w:sectPr>
      </w:pPr>
    </w:p>
    <w:bookmarkStart w:id="35" w:name="page36"/>
    <w:bookmarkEnd w:id="35"/>
    <w:p>
      <w:pPr>
        <w:spacing w:after="0" w:line="266" w:lineRule="auto"/>
        <w:rPr>
          <w:sz w:val="20"/>
          <w:szCs w:val="20"/>
          <w:color w:val="auto"/>
        </w:rPr>
      </w:pPr>
      <w:r>
        <w:rPr>
          <w:rFonts w:ascii="Arial" w:cs="Arial" w:eastAsia="Arial" w:hAnsi="Arial"/>
          <w:sz w:val="17"/>
          <w:szCs w:val="17"/>
          <w:color w:val="auto"/>
        </w:rPr>
        <w:t>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00" w:lineRule="exact"/>
        <w:rPr>
          <w:sz w:val="20"/>
          <w:szCs w:val="20"/>
          <w:color w:val="auto"/>
        </w:rPr>
      </w:pPr>
    </w:p>
    <w:p>
      <w:pPr>
        <w:ind w:right="60" w:firstLine="475"/>
        <w:spacing w:after="0" w:line="251" w:lineRule="auto"/>
        <w:rPr>
          <w:sz w:val="20"/>
          <w:szCs w:val="20"/>
          <w:color w:val="auto"/>
        </w:rPr>
      </w:pPr>
      <w:r>
        <w:rPr>
          <w:rFonts w:ascii="Arial" w:cs="Arial" w:eastAsia="Arial" w:hAnsi="Arial"/>
          <w:sz w:val="18"/>
          <w:szCs w:val="18"/>
          <w:color w:val="auto"/>
        </w:rPr>
        <w:t>Compliance with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98" w:lineRule="exact"/>
        <w:rPr>
          <w:sz w:val="20"/>
          <w:szCs w:val="20"/>
          <w:color w:val="auto"/>
        </w:rPr>
      </w:pPr>
    </w:p>
    <w:p>
      <w:pPr>
        <w:ind w:right="60" w:firstLine="475"/>
        <w:spacing w:after="0" w:line="251" w:lineRule="auto"/>
        <w:rPr>
          <w:sz w:val="20"/>
          <w:szCs w:val="20"/>
          <w:color w:val="auto"/>
        </w:rPr>
      </w:pPr>
      <w:r>
        <w:rPr>
          <w:rFonts w:ascii="Arial" w:cs="Arial" w:eastAsia="Arial" w:hAnsi="Arial"/>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9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101" w:lineRule="exact"/>
        <w:rPr>
          <w:sz w:val="20"/>
          <w:szCs w:val="20"/>
          <w:color w:val="auto"/>
        </w:rPr>
      </w:pPr>
    </w:p>
    <w:p>
      <w:pPr>
        <w:ind w:right="160" w:firstLine="475"/>
        <w:spacing w:after="0" w:line="301" w:lineRule="auto"/>
        <w:rPr>
          <w:sz w:val="20"/>
          <w:szCs w:val="20"/>
          <w:color w:val="auto"/>
        </w:rPr>
      </w:pPr>
      <w:r>
        <w:rPr>
          <w:rFonts w:ascii="Arial" w:cs="Arial" w:eastAsia="Arial" w:hAnsi="Arial"/>
          <w:sz w:val="15"/>
          <w:szCs w:val="15"/>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28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88" w:lineRule="exact"/>
        <w:rPr>
          <w:sz w:val="20"/>
          <w:szCs w:val="20"/>
          <w:color w:val="auto"/>
        </w:rPr>
      </w:pPr>
    </w:p>
    <w:p>
      <w:pPr>
        <w:ind w:firstLine="475"/>
        <w:spacing w:after="0" w:line="263"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6" w:lineRule="exact"/>
        <w:rPr>
          <w:sz w:val="20"/>
          <w:szCs w:val="20"/>
          <w:color w:val="auto"/>
        </w:rPr>
      </w:pPr>
    </w:p>
    <w:p>
      <w:pPr>
        <w:ind w:right="20" w:firstLine="475"/>
        <w:spacing w:after="0" w:line="248"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1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36" w:lineRule="exact"/>
        <w:rPr>
          <w:sz w:val="20"/>
          <w:szCs w:val="20"/>
          <w:color w:val="auto"/>
        </w:rPr>
      </w:pPr>
    </w:p>
    <w:p>
      <w:pPr>
        <w:ind w:right="80" w:firstLine="475"/>
        <w:spacing w:after="0" w:line="261"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9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88" w:lineRule="exact"/>
        <w:rPr>
          <w:sz w:val="20"/>
          <w:szCs w:val="20"/>
          <w:color w:val="auto"/>
        </w:rPr>
      </w:pPr>
    </w:p>
    <w:p>
      <w:pPr>
        <w:ind w:firstLine="475"/>
        <w:spacing w:after="0" w:line="301" w:lineRule="auto"/>
        <w:rPr>
          <w:sz w:val="20"/>
          <w:szCs w:val="20"/>
          <w:color w:val="auto"/>
        </w:rPr>
      </w:pPr>
      <w:r>
        <w:rPr>
          <w:rFonts w:ascii="Arial" w:cs="Arial" w:eastAsia="Arial" w:hAnsi="Arial"/>
          <w:sz w:val="15"/>
          <w:szCs w:val="15"/>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29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88" w:lineRule="exact"/>
        <w:rPr>
          <w:sz w:val="20"/>
          <w:szCs w:val="20"/>
          <w:color w:val="auto"/>
        </w:rPr>
      </w:pPr>
    </w:p>
    <w:p>
      <w:pPr>
        <w:ind w:firstLine="475"/>
        <w:spacing w:after="0" w:line="264" w:lineRule="auto"/>
        <w:rPr>
          <w:sz w:val="20"/>
          <w:szCs w:val="20"/>
          <w:color w:val="auto"/>
        </w:rPr>
      </w:pPr>
      <w:r>
        <w:rPr>
          <w:rFonts w:ascii="Arial" w:cs="Arial" w:eastAsia="Arial" w:hAnsi="Arial"/>
          <w:sz w:val="17"/>
          <w:szCs w:val="17"/>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101" w:lineRule="exact"/>
        <w:rPr>
          <w:sz w:val="20"/>
          <w:szCs w:val="20"/>
          <w:color w:val="auto"/>
        </w:rPr>
      </w:pPr>
    </w:p>
    <w:p>
      <w:pPr>
        <w:ind w:right="20" w:firstLine="475"/>
        <w:spacing w:after="0" w:line="317" w:lineRule="auto"/>
        <w:rPr>
          <w:sz w:val="20"/>
          <w:szCs w:val="20"/>
          <w:color w:val="auto"/>
        </w:rPr>
      </w:pPr>
      <w:r>
        <w:rPr>
          <w:rFonts w:ascii="Arial" w:cs="Arial" w:eastAsia="Arial" w:hAnsi="Arial"/>
          <w:sz w:val="15"/>
          <w:szCs w:val="15"/>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7" w:name="page38"/>
    <w:bookmarkEnd w:id="37"/>
    <w:p>
      <w:pPr>
        <w:ind w:right="20"/>
        <w:spacing w:after="0" w:line="266" w:lineRule="auto"/>
        <w:rPr>
          <w:sz w:val="20"/>
          <w:szCs w:val="20"/>
          <w:color w:val="auto"/>
        </w:rPr>
      </w:pPr>
      <w:r>
        <w:rPr>
          <w:rFonts w:ascii="Arial" w:cs="Arial" w:eastAsia="Arial" w:hAnsi="Arial"/>
          <w:sz w:val="17"/>
          <w:szCs w:val="17"/>
          <w:color w:val="auto"/>
        </w:rPr>
        <w:t>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100" w:lineRule="exact"/>
        <w:rPr>
          <w:sz w:val="20"/>
          <w:szCs w:val="20"/>
          <w:color w:val="auto"/>
        </w:rPr>
      </w:pPr>
    </w:p>
    <w:p>
      <w:pPr>
        <w:ind w:right="100"/>
        <w:spacing w:after="0" w:line="364" w:lineRule="auto"/>
        <w:rPr>
          <w:sz w:val="20"/>
          <w:szCs w:val="20"/>
          <w:color w:val="auto"/>
        </w:rPr>
      </w:pPr>
      <w:r>
        <w:rPr>
          <w:rFonts w:ascii="Arial" w:cs="Arial" w:eastAsia="Arial" w:hAnsi="Arial"/>
          <w:sz w:val="15"/>
          <w:szCs w:val="15"/>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Semiconductor products are highly complex and may contain defects that affect their quality or performance. Failures in our products and services or in</w:t>
      </w:r>
    </w:p>
    <w:p>
      <w:pPr>
        <w:spacing w:after="0" w:line="78" w:lineRule="exact"/>
        <w:rPr>
          <w:sz w:val="20"/>
          <w:szCs w:val="20"/>
          <w:color w:val="auto"/>
        </w:rPr>
      </w:pPr>
    </w:p>
    <w:p>
      <w:pPr>
        <w:ind w:right="40"/>
        <w:spacing w:after="0" w:line="321" w:lineRule="auto"/>
        <w:rPr>
          <w:sz w:val="20"/>
          <w:szCs w:val="20"/>
          <w:color w:val="auto"/>
        </w:rPr>
      </w:pPr>
      <w:r>
        <w:rPr>
          <w:rFonts w:ascii="Arial" w:cs="Arial" w:eastAsia="Arial" w:hAnsi="Arial"/>
          <w:sz w:val="15"/>
          <w:szCs w:val="15"/>
          <w:color w:val="auto"/>
        </w:rPr>
        <w:t>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 breaches</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92" w:lineRule="exact"/>
        <w:rPr>
          <w:sz w:val="20"/>
          <w:szCs w:val="20"/>
          <w:color w:val="auto"/>
        </w:rPr>
      </w:pPr>
    </w:p>
    <w:p>
      <w:pPr>
        <w:ind w:right="80" w:firstLine="475"/>
        <w:spacing w:after="0" w:line="321" w:lineRule="auto"/>
        <w:rPr>
          <w:sz w:val="20"/>
          <w:szCs w:val="20"/>
          <w:color w:val="auto"/>
        </w:rPr>
      </w:pPr>
      <w:r>
        <w:rPr>
          <w:rFonts w:ascii="Arial" w:cs="Arial" w:eastAsia="Arial" w:hAnsi="Arial"/>
          <w:sz w:val="15"/>
          <w:szCs w:val="15"/>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 or the</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102" w:lineRule="exact"/>
        <w:rPr>
          <w:sz w:val="20"/>
          <w:szCs w:val="20"/>
          <w:color w:val="auto"/>
        </w:rPr>
      </w:pPr>
    </w:p>
    <w:p>
      <w:pPr>
        <w:ind w:firstLine="475"/>
        <w:spacing w:after="0" w:line="311" w:lineRule="auto"/>
        <w:rPr>
          <w:sz w:val="20"/>
          <w:szCs w:val="20"/>
          <w:color w:val="auto"/>
        </w:rPr>
      </w:pPr>
      <w:r>
        <w:rPr>
          <w:rFonts w:ascii="Arial" w:cs="Arial" w:eastAsia="Arial" w:hAnsi="Arial"/>
          <w:sz w:val="15"/>
          <w:szCs w:val="15"/>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23" w:lineRule="exact"/>
        <w:rPr>
          <w:sz w:val="20"/>
          <w:szCs w:val="20"/>
          <w:color w:val="auto"/>
        </w:rPr>
      </w:pPr>
    </w:p>
    <w:p>
      <w:pPr>
        <w:ind w:right="60" w:firstLine="475"/>
        <w:spacing w:after="0" w:line="249"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11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8" w:name="page39"/>
    <w:bookmarkEnd w:id="38"/>
    <w:p>
      <w:pPr>
        <w:ind w:firstLine="475"/>
        <w:spacing w:after="0" w:line="301" w:lineRule="auto"/>
        <w:rPr>
          <w:sz w:val="20"/>
          <w:szCs w:val="20"/>
          <w:color w:val="auto"/>
        </w:rPr>
      </w:pPr>
      <w:r>
        <w:rPr>
          <w:rFonts w:ascii="Arial" w:cs="Arial" w:eastAsia="Arial" w:hAnsi="Arial"/>
          <w:sz w:val="15"/>
          <w:szCs w:val="15"/>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0" w:lineRule="exact"/>
        <w:rPr>
          <w:sz w:val="20"/>
          <w:szCs w:val="20"/>
          <w:color w:val="auto"/>
        </w:rPr>
      </w:pPr>
    </w:p>
    <w:p>
      <w:pPr>
        <w:ind w:left="640" w:hanging="317"/>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diversion of management’s attention in connection with both negotiating the transaction and integrating the acquired assets and businesses;</w:t>
      </w:r>
    </w:p>
    <w:p>
      <w:pPr>
        <w:spacing w:after="0" w:line="104" w:lineRule="exact"/>
        <w:rPr>
          <w:rFonts w:ascii="Arial" w:cs="Arial" w:eastAsia="Arial" w:hAnsi="Arial"/>
          <w:sz w:val="15"/>
          <w:szCs w:val="15"/>
          <w:color w:val="auto"/>
        </w:rPr>
      </w:pPr>
    </w:p>
    <w:p>
      <w:pPr>
        <w:ind w:left="640" w:hanging="317"/>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95" w:lineRule="exact"/>
        <w:rPr>
          <w:rFonts w:ascii="Arial" w:cs="Arial" w:eastAsia="Arial" w:hAnsi="Arial"/>
          <w:sz w:val="17"/>
          <w:szCs w:val="17"/>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0" w:lineRule="exact"/>
        <w:rPr>
          <w:rFonts w:ascii="Arial" w:cs="Arial" w:eastAsia="Arial" w:hAnsi="Arial"/>
          <w:sz w:val="18"/>
          <w:szCs w:val="18"/>
          <w:color w:val="auto"/>
        </w:rPr>
      </w:pPr>
    </w:p>
    <w:p>
      <w:pPr>
        <w:ind w:left="640" w:right="500" w:hanging="317"/>
        <w:spacing w:after="0" w:line="263"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34"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difficulty realizing expected cost savings, operating synergies and growth prospects of an acquisition in a timely manner or at all; and</w:t>
      </w:r>
    </w:p>
    <w:p>
      <w:pPr>
        <w:spacing w:after="0" w:line="81" w:lineRule="exact"/>
        <w:rPr>
          <w:rFonts w:ascii="Arial" w:cs="Arial" w:eastAsia="Arial" w:hAnsi="Arial"/>
          <w:sz w:val="17"/>
          <w:szCs w:val="17"/>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23" w:lineRule="exact"/>
        <w:rPr>
          <w:sz w:val="20"/>
          <w:szCs w:val="20"/>
          <w:color w:val="auto"/>
        </w:rPr>
      </w:pPr>
    </w:p>
    <w:p>
      <w:pPr>
        <w:ind w:right="280" w:firstLine="475"/>
        <w:spacing w:after="0" w:line="263"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35" w:lineRule="exact"/>
        <w:rPr>
          <w:sz w:val="20"/>
          <w:szCs w:val="20"/>
          <w:color w:val="auto"/>
        </w:rPr>
      </w:pPr>
    </w:p>
    <w:p>
      <w:pPr>
        <w:ind w:right="160" w:firstLine="475"/>
        <w:spacing w:after="0" w:line="305" w:lineRule="auto"/>
        <w:rPr>
          <w:sz w:val="20"/>
          <w:szCs w:val="20"/>
          <w:color w:val="auto"/>
        </w:rPr>
      </w:pPr>
      <w:r>
        <w:rPr>
          <w:rFonts w:ascii="Arial" w:cs="Arial" w:eastAsia="Arial" w:hAnsi="Arial"/>
          <w:sz w:val="15"/>
          <w:szCs w:val="15"/>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117"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36" w:lineRule="exact"/>
        <w:rPr>
          <w:sz w:val="20"/>
          <w:szCs w:val="20"/>
          <w:color w:val="auto"/>
        </w:rPr>
      </w:pPr>
    </w:p>
    <w:p>
      <w:pPr>
        <w:ind w:right="20" w:firstLine="475"/>
        <w:spacing w:after="0" w:line="264" w:lineRule="auto"/>
        <w:rPr>
          <w:sz w:val="20"/>
          <w:szCs w:val="20"/>
          <w:color w:val="auto"/>
        </w:rPr>
      </w:pPr>
      <w:r>
        <w:rPr>
          <w:rFonts w:ascii="Arial" w:cs="Arial" w:eastAsia="Arial" w:hAnsi="Arial"/>
          <w:sz w:val="17"/>
          <w:szCs w:val="17"/>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93" w:lineRule="exact"/>
        <w:rPr>
          <w:sz w:val="20"/>
          <w:szCs w:val="20"/>
          <w:color w:val="auto"/>
        </w:rPr>
      </w:pPr>
    </w:p>
    <w:p>
      <w:pPr>
        <w:jc w:val="both"/>
        <w:ind w:firstLine="475"/>
        <w:spacing w:after="0" w:line="254" w:lineRule="auto"/>
        <w:rPr>
          <w:sz w:val="20"/>
          <w:szCs w:val="20"/>
          <w:color w:val="auto"/>
        </w:rPr>
      </w:pPr>
      <w:r>
        <w:rPr>
          <w:rFonts w:ascii="Arial" w:cs="Arial" w:eastAsia="Arial" w:hAnsi="Arial"/>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6" w:lineRule="exact"/>
        <w:rPr>
          <w:sz w:val="20"/>
          <w:szCs w:val="20"/>
          <w:color w:val="auto"/>
        </w:rPr>
      </w:pPr>
    </w:p>
    <w:p>
      <w:pPr>
        <w:ind w:right="420" w:firstLine="475"/>
        <w:spacing w:after="0" w:line="263"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88" w:lineRule="exact"/>
        <w:rPr>
          <w:sz w:val="20"/>
          <w:szCs w:val="20"/>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70" w:lineRule="exact"/>
        <w:rPr>
          <w:rFonts w:ascii="Arial" w:cs="Arial" w:eastAsia="Arial" w:hAnsi="Arial"/>
          <w:sz w:val="18"/>
          <w:szCs w:val="18"/>
          <w:color w:val="auto"/>
        </w:rPr>
      </w:pPr>
    </w:p>
    <w:p>
      <w:pPr>
        <w:ind w:left="640" w:right="480" w:hanging="317"/>
        <w:spacing w:after="0" w:line="263"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48"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81" w:lineRule="exact"/>
        <w:rPr>
          <w:rFonts w:ascii="Arial" w:cs="Arial" w:eastAsia="Arial" w:hAnsi="Arial"/>
          <w:sz w:val="17"/>
          <w:szCs w:val="17"/>
          <w:color w:val="auto"/>
        </w:rPr>
      </w:pPr>
    </w:p>
    <w:p>
      <w:pPr>
        <w:ind w:left="640" w:right="380" w:hanging="317"/>
        <w:spacing w:after="0" w:line="339"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 w:lineRule="exact"/>
        <w:rPr>
          <w:rFonts w:ascii="Arial" w:cs="Arial" w:eastAsia="Arial" w:hAnsi="Arial"/>
          <w:sz w:val="15"/>
          <w:szCs w:val="15"/>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23" w:lineRule="exact"/>
        <w:rPr>
          <w:sz w:val="20"/>
          <w:szCs w:val="20"/>
          <w:color w:val="auto"/>
        </w:rPr>
      </w:pPr>
    </w:p>
    <w:p>
      <w:pPr>
        <w:ind w:right="80" w:firstLine="475"/>
        <w:spacing w:after="0" w:line="263"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01" w:lineRule="exact"/>
        <w:rPr>
          <w:sz w:val="20"/>
          <w:szCs w:val="20"/>
          <w:color w:val="auto"/>
        </w:rPr>
      </w:pPr>
    </w:p>
    <w:p>
      <w:pPr>
        <w:ind w:firstLine="475"/>
        <w:spacing w:after="0" w:line="254" w:lineRule="auto"/>
        <w:rPr>
          <w:sz w:val="20"/>
          <w:szCs w:val="20"/>
          <w:color w:val="auto"/>
        </w:rPr>
      </w:pPr>
      <w:r>
        <w:rPr>
          <w:rFonts w:ascii="Arial" w:cs="Arial" w:eastAsia="Arial" w:hAnsi="Arial"/>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23" w:lineRule="exact"/>
        <w:rPr>
          <w:sz w:val="20"/>
          <w:szCs w:val="20"/>
          <w:color w:val="auto"/>
        </w:rPr>
      </w:pPr>
    </w:p>
    <w:p>
      <w:pPr>
        <w:ind w:right="760"/>
        <w:spacing w:after="0" w:line="263"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101" w:lineRule="exact"/>
        <w:rPr>
          <w:sz w:val="20"/>
          <w:szCs w:val="20"/>
          <w:color w:val="auto"/>
        </w:rPr>
      </w:pPr>
    </w:p>
    <w:p>
      <w:pPr>
        <w:ind w:right="20" w:firstLine="634"/>
        <w:spacing w:after="0" w:line="251" w:lineRule="auto"/>
        <w:rPr>
          <w:sz w:val="20"/>
          <w:szCs w:val="20"/>
          <w:color w:val="auto"/>
        </w:rPr>
      </w:pPr>
      <w:r>
        <w:rPr>
          <w:rFonts w:ascii="Arial" w:cs="Arial" w:eastAsia="Arial" w:hAnsi="Arial"/>
          <w:sz w:val="18"/>
          <w:szCs w:val="18"/>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118" w:right="399" w:bottom="1440" w:gutter="0" w:footer="0" w:header="0"/>
        </w:sectPr>
      </w:pPr>
    </w:p>
    <w:bookmarkStart w:id="40" w:name="page41"/>
    <w:bookmarkEnd w:id="40"/>
    <w:p>
      <w:pPr>
        <w:ind w:right="820"/>
        <w:spacing w:after="0" w:line="263" w:lineRule="auto"/>
        <w:rPr>
          <w:sz w:val="20"/>
          <w:szCs w:val="20"/>
          <w:color w:val="auto"/>
        </w:rPr>
      </w:pPr>
      <w:r>
        <w:rPr>
          <w:rFonts w:ascii="Arial" w:cs="Arial" w:eastAsia="Arial" w:hAnsi="Arial"/>
          <w:sz w:val="18"/>
          <w:szCs w:val="18"/>
          <w:color w:val="auto"/>
        </w:rPr>
        <w:t>manufacturing operations and facilities, and workforce. If we are unable to generate sufficient cash flow from operations in the future to service our outstanding debt, we may be required to, among other things:</w:t>
      </w:r>
    </w:p>
    <w:p>
      <w:pPr>
        <w:spacing w:after="0" w:line="48" w:lineRule="exact"/>
        <w:rPr>
          <w:sz w:val="20"/>
          <w:szCs w:val="20"/>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136" w:lineRule="exact"/>
        <w:rPr>
          <w:sz w:val="20"/>
          <w:szCs w:val="20"/>
          <w:color w:val="auto"/>
        </w:rPr>
      </w:pPr>
    </w:p>
    <w:p>
      <w:pPr>
        <w:jc w:val="both"/>
        <w:ind w:right="160" w:firstLine="475"/>
        <w:spacing w:after="0" w:line="254"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23" w:lineRule="exact"/>
        <w:rPr>
          <w:sz w:val="20"/>
          <w:szCs w:val="20"/>
          <w:color w:val="auto"/>
        </w:rPr>
      </w:pPr>
    </w:p>
    <w:p>
      <w:pPr>
        <w:ind w:firstLine="475"/>
        <w:spacing w:after="0" w:line="263"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23" w:lineRule="exact"/>
        <w:rPr>
          <w:sz w:val="20"/>
          <w:szCs w:val="20"/>
          <w:color w:val="auto"/>
        </w:rPr>
      </w:pPr>
    </w:p>
    <w:p>
      <w:pPr>
        <w:ind w:right="40" w:firstLine="475"/>
        <w:spacing w:after="0" w:line="248"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116" w:lineRule="exact"/>
        <w:rPr>
          <w:sz w:val="20"/>
          <w:szCs w:val="20"/>
          <w:color w:val="auto"/>
        </w:rPr>
      </w:pPr>
    </w:p>
    <w:p>
      <w:pPr>
        <w:ind w:right="20" w:firstLine="475"/>
        <w:spacing w:after="0" w:line="266"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87" w:lineRule="exact"/>
        <w:rPr>
          <w:sz w:val="20"/>
          <w:szCs w:val="20"/>
          <w:color w:val="auto"/>
        </w:rPr>
      </w:pPr>
    </w:p>
    <w:p>
      <w:pPr>
        <w:ind w:right="320" w:firstLine="475"/>
        <w:spacing w:after="0" w:line="249"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41" w:name="page42"/>
    <w:bookmarkEnd w:id="41"/>
    <w:p>
      <w:pPr>
        <w:ind w:right="240"/>
        <w:spacing w:after="0" w:line="263"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101" w:lineRule="exact"/>
        <w:rPr>
          <w:sz w:val="20"/>
          <w:szCs w:val="20"/>
          <w:color w:val="auto"/>
        </w:rPr>
      </w:pPr>
    </w:p>
    <w:p>
      <w:pPr>
        <w:ind w:right="20" w:firstLine="475"/>
        <w:spacing w:after="0" w:line="261"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 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9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88" w:lineRule="exact"/>
        <w:rPr>
          <w:sz w:val="20"/>
          <w:szCs w:val="20"/>
          <w:color w:val="auto"/>
        </w:rPr>
      </w:pPr>
    </w:p>
    <w:p>
      <w:pPr>
        <w:ind w:right="20" w:firstLine="475"/>
        <w:spacing w:after="0" w:line="321" w:lineRule="auto"/>
        <w:rPr>
          <w:sz w:val="20"/>
          <w:szCs w:val="20"/>
          <w:color w:val="auto"/>
        </w:rPr>
      </w:pPr>
      <w:r>
        <w:rPr>
          <w:rFonts w:ascii="Arial" w:cs="Arial" w:eastAsia="Arial" w:hAnsi="Arial"/>
          <w:sz w:val="15"/>
          <w:szCs w:val="15"/>
          <w:color w:val="auto"/>
        </w:rPr>
        <w:t>The semiconductor industry is characterized by frequent claims and litigation involving patent and other intellectual property rights. Other companies or individuals have obtained patents covering a variety of semiconductor designs and processes, and we might be required to obtain licenses under some of these</w:t>
      </w:r>
    </w:p>
    <w:p>
      <w:pPr>
        <w:spacing w:after="0" w:line="1"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23" w:lineRule="exact"/>
        <w:rPr>
          <w:sz w:val="20"/>
          <w:szCs w:val="20"/>
          <w:color w:val="auto"/>
        </w:rPr>
      </w:pPr>
    </w:p>
    <w:p>
      <w:pPr>
        <w:ind w:firstLine="475"/>
        <w:spacing w:after="0" w:line="264"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6" w:lineRule="exact"/>
        <w:rPr>
          <w:sz w:val="20"/>
          <w:szCs w:val="20"/>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0"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83" w:lineRule="exact"/>
        <w:rPr>
          <w:rFonts w:ascii="Arial" w:cs="Arial" w:eastAsia="Arial" w:hAnsi="Arial"/>
          <w:sz w:val="18"/>
          <w:szCs w:val="18"/>
          <w:color w:val="auto"/>
        </w:rPr>
      </w:pPr>
    </w:p>
    <w:p>
      <w:pPr>
        <w:ind w:left="640" w:hanging="31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42" w:name="page43"/>
    <w:bookmarkEnd w:id="42"/>
    <w:p>
      <w:pPr>
        <w:ind w:left="640" w:hanging="317"/>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23" w:lineRule="exact"/>
        <w:rPr>
          <w:sz w:val="20"/>
          <w:szCs w:val="20"/>
          <w:color w:val="auto"/>
        </w:rPr>
      </w:pPr>
    </w:p>
    <w:p>
      <w:pPr>
        <w:ind w:right="80" w:firstLine="475"/>
        <w:spacing w:after="0" w:line="307" w:lineRule="auto"/>
        <w:rPr>
          <w:sz w:val="20"/>
          <w:szCs w:val="20"/>
          <w:color w:val="auto"/>
        </w:rPr>
      </w:pPr>
      <w:r>
        <w:rPr>
          <w:rFonts w:ascii="Arial" w:cs="Arial" w:eastAsia="Arial" w:hAnsi="Arial"/>
          <w:sz w:val="15"/>
          <w:szCs w:val="15"/>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63" w:lineRule="exact"/>
        <w:rPr>
          <w:sz w:val="20"/>
          <w:szCs w:val="20"/>
          <w:color w:val="auto"/>
        </w:rPr>
      </w:pPr>
    </w:p>
    <w:p>
      <w:pPr>
        <w:ind w:firstLine="475"/>
        <w:spacing w:after="0" w:line="311" w:lineRule="auto"/>
        <w:rPr>
          <w:sz w:val="20"/>
          <w:szCs w:val="20"/>
          <w:color w:val="auto"/>
        </w:rPr>
      </w:pPr>
      <w:r>
        <w:rPr>
          <w:rFonts w:ascii="Arial" w:cs="Arial" w:eastAsia="Arial" w:hAnsi="Arial"/>
          <w:sz w:val="15"/>
          <w:szCs w:val="15"/>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71" w:lineRule="exact"/>
        <w:rPr>
          <w:sz w:val="20"/>
          <w:szCs w:val="20"/>
          <w:color w:val="auto"/>
        </w:rPr>
      </w:pPr>
    </w:p>
    <w:p>
      <w:pPr>
        <w:ind w:right="120" w:firstLine="475"/>
        <w:spacing w:after="0" w:line="251"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065" w:right="3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9"/>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Unregistered Sales of Equity Securities and Use of Proceeds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9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center"/>
              <w:ind w:right="103"/>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Value of Shares that</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03"/>
              <w:spacing w:after="0" w:line="132"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2"/>
              </w:rPr>
              <w:t>Part of Publicly</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Purchased Under</w:t>
            </w:r>
          </w:p>
        </w:tc>
        <w:tc>
          <w:tcPr>
            <w:tcW w:w="0" w:type="dxa"/>
            <w:vAlign w:val="bottom"/>
          </w:tcPr>
          <w:p>
            <w:pPr>
              <w:spacing w:after="0"/>
              <w:rPr>
                <w:sz w:val="1"/>
                <w:szCs w:val="1"/>
                <w:color w:val="auto"/>
              </w:rPr>
            </w:pPr>
          </w:p>
        </w:tc>
      </w:tr>
      <w:tr>
        <w:trPr>
          <w:trHeight w:val="132"/>
        </w:trPr>
        <w:tc>
          <w:tcPr>
            <w:tcW w:w="960" w:type="dxa"/>
            <w:vAlign w:val="bottom"/>
          </w:tcPr>
          <w:p>
            <w:pPr>
              <w:spacing w:after="0"/>
              <w:rPr>
                <w:sz w:val="11"/>
                <w:szCs w:val="11"/>
                <w:color w:val="auto"/>
              </w:rPr>
            </w:pPr>
          </w:p>
        </w:tc>
        <w:tc>
          <w:tcPr>
            <w:tcW w:w="350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6"/>
              </w:rPr>
              <w:t>Shares Purchased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89"/>
              </w:rPr>
              <w:t>Announced Plans 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jc w:val="center"/>
              <w:ind w:right="123"/>
              <w:spacing w:after="0" w:line="132"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4"/>
        </w:trPr>
        <w:tc>
          <w:tcPr>
            <w:tcW w:w="96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1"/>
              </w:rPr>
              <w:t>Paid Per Share (b)</w:t>
            </w: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Programs (c)</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8"/>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 2021 through May 29, 2021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322,889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1,545,508,127</w:t>
            </w:r>
          </w:p>
        </w:tc>
        <w:tc>
          <w:tcPr>
            <w:tcW w:w="0" w:type="dxa"/>
            <w:vAlign w:val="bottom"/>
          </w:tcPr>
          <w:p>
            <w:pPr>
              <w:spacing w:after="0"/>
              <w:rPr>
                <w:sz w:val="1"/>
                <w:szCs w:val="1"/>
                <w:color w:val="auto"/>
              </w:rPr>
            </w:pPr>
          </w:p>
        </w:tc>
      </w:tr>
      <w:tr>
        <w:trPr>
          <w:trHeight w:val="224"/>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May 30, 2021 through June 26, 2021</w:t>
            </w:r>
          </w:p>
        </w:tc>
        <w:tc>
          <w:tcPr>
            <w:tcW w:w="1600" w:type="dxa"/>
            <w:vAlign w:val="bottom"/>
          </w:tcPr>
          <w:p>
            <w:pPr>
              <w:jc w:val="right"/>
              <w:spacing w:after="0"/>
              <w:rPr>
                <w:sz w:val="20"/>
                <w:szCs w:val="20"/>
                <w:color w:val="auto"/>
              </w:rPr>
            </w:pPr>
            <w:r>
              <w:rPr>
                <w:rFonts w:ascii="Arial" w:cs="Arial" w:eastAsia="Arial" w:hAnsi="Arial"/>
                <w:sz w:val="18"/>
                <w:szCs w:val="18"/>
                <w:color w:val="auto"/>
              </w:rPr>
              <w:t>284,261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165.49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273,307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1,500,298,998</w:t>
            </w:r>
          </w:p>
        </w:tc>
        <w:tc>
          <w:tcPr>
            <w:tcW w:w="0" w:type="dxa"/>
            <w:vAlign w:val="bottom"/>
          </w:tcPr>
          <w:p>
            <w:pPr>
              <w:spacing w:after="0"/>
              <w:rPr>
                <w:sz w:val="1"/>
                <w:szCs w:val="1"/>
                <w:color w:val="auto"/>
              </w:rPr>
            </w:pPr>
          </w:p>
        </w:tc>
      </w:tr>
      <w:tr>
        <w:trPr>
          <w:trHeight w:val="225"/>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27, 2021 through July 31,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345,067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1,443,189,210</w:t>
            </w:r>
          </w:p>
        </w:tc>
        <w:tc>
          <w:tcPr>
            <w:tcW w:w="0" w:type="dxa"/>
            <w:vAlign w:val="bottom"/>
          </w:tcPr>
          <w:p>
            <w:pPr>
              <w:spacing w:after="0"/>
              <w:rPr>
                <w:sz w:val="1"/>
                <w:szCs w:val="1"/>
                <w:color w:val="auto"/>
              </w:rPr>
            </w:pPr>
          </w:p>
        </w:tc>
      </w:tr>
      <w:tr>
        <w:trPr>
          <w:trHeight w:val="217"/>
        </w:trPr>
        <w:tc>
          <w:tcPr>
            <w:tcW w:w="960" w:type="dxa"/>
            <w:vAlign w:val="bottom"/>
          </w:tcPr>
          <w:p>
            <w:pPr>
              <w:spacing w:after="0"/>
              <w:rPr>
                <w:sz w:val="18"/>
                <w:szCs w:val="18"/>
                <w:color w:val="auto"/>
              </w:rPr>
            </w:pPr>
          </w:p>
        </w:tc>
        <w:tc>
          <w:tcPr>
            <w:tcW w:w="3500" w:type="dxa"/>
            <w:vAlign w:val="bottom"/>
          </w:tcPr>
          <w:p>
            <w:pPr>
              <w:ind w:left="1100"/>
              <w:spacing w:after="0" w:line="204" w:lineRule="exact"/>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941,263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1,443,189,210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640" w:right="300" w:hanging="317"/>
        <w:spacing w:after="0" w:line="251" w:lineRule="auto"/>
        <w:tabs>
          <w:tab w:leader="none" w:pos="63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67,387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40" w:right="60" w:hanging="317"/>
        <w:spacing w:after="0" w:line="244" w:lineRule="auto"/>
        <w:tabs>
          <w:tab w:leader="none" w:pos="6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40" w:hanging="317"/>
        <w:spacing w:after="0" w:line="265" w:lineRule="auto"/>
        <w:tabs>
          <w:tab w:leader="none" w:pos="6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2" w:right="359" w:bottom="1440" w:gutter="0" w:footer="0" w:header="0"/>
        </w:sectPr>
      </w:pPr>
    </w:p>
    <w:bookmarkStart w:id="44" w:name="page45"/>
    <w:bookmarkEnd w:id="44"/>
    <w:tbl>
      <w:tblPr>
        <w:tblLayout w:type="fixed"/>
        <w:tblInd w:w="20" w:type="dxa"/>
        <w:tblCellMar>
          <w:top w:w="0" w:type="dxa"/>
          <w:left w:w="0" w:type="dxa"/>
          <w:bottom w:w="0" w:type="dxa"/>
          <w:right w:w="0" w:type="dxa"/>
        </w:tblCellMar>
      </w:tblPr>
      <w:tr>
        <w:trPr>
          <w:trHeight w:val="229"/>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620" w:type="dxa"/>
            <w:vAlign w:val="bottom"/>
            <w:gridSpan w:val="11"/>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44"/>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300" w:type="dxa"/>
            <w:vAlign w:val="bottom"/>
            <w:gridSpan w:val="10"/>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4"/>
        </w:trPr>
        <w:tc>
          <w:tcPr>
            <w:tcW w:w="102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88"/>
              </w:rPr>
              <w:t>10.1†</w:t>
            </w:r>
          </w:p>
        </w:tc>
        <w:tc>
          <w:tcPr>
            <w:tcW w:w="320" w:type="dxa"/>
            <w:vAlign w:val="bottom"/>
          </w:tcPr>
          <w:p>
            <w:pPr>
              <w:spacing w:after="0"/>
              <w:rPr>
                <w:sz w:val="17"/>
                <w:szCs w:val="17"/>
                <w:color w:val="auto"/>
              </w:rPr>
            </w:pPr>
          </w:p>
        </w:tc>
        <w:tc>
          <w:tcPr>
            <w:tcW w:w="8300" w:type="dxa"/>
            <w:vAlign w:val="bottom"/>
            <w:gridSpan w:val="10"/>
          </w:tcPr>
          <w:p>
            <w:pPr>
              <w:ind w:left="20"/>
              <w:spacing w:after="0" w:line="205" w:lineRule="exact"/>
              <w:rPr>
                <w:rFonts w:ascii="Arial" w:cs="Arial" w:eastAsia="Arial" w:hAnsi="Arial"/>
                <w:sz w:val="18"/>
                <w:szCs w:val="18"/>
                <w:color w:val="0000FF"/>
              </w:rPr>
            </w:pPr>
            <w:hyperlink w:anchor="page47">
              <w:r>
                <w:rPr>
                  <w:rFonts w:ascii="Arial" w:cs="Arial" w:eastAsia="Arial" w:hAnsi="Arial"/>
                  <w:sz w:val="18"/>
                  <w:szCs w:val="18"/>
                  <w:color w:val="0000FF"/>
                </w:rPr>
                <w:t>Fifth Amendment to the Analog Devices, Inc. Amended and Restated Deferred Compensation Plan.</w:t>
              </w:r>
            </w:hyperlink>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4"/>
        </w:trPr>
        <w:tc>
          <w:tcPr>
            <w:tcW w:w="700" w:type="dxa"/>
            <w:vAlign w:val="bottom"/>
          </w:tcPr>
          <w:p>
            <w:pPr>
              <w:jc w:val="center"/>
              <w:ind w:left="153"/>
              <w:spacing w:after="0" w:line="205" w:lineRule="exact"/>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00" w:type="dxa"/>
            <w:vAlign w:val="bottom"/>
            <w:tcBorders>
              <w:bottom w:val="single" w:sz="8" w:color="0000FF"/>
            </w:tcBorders>
            <w:gridSpan w:val="10"/>
          </w:tcPr>
          <w:p>
            <w:pPr>
              <w:ind w:left="20"/>
              <w:spacing w:after="0" w:line="205" w:lineRule="exact"/>
              <w:rPr>
                <w:rFonts w:ascii="Arial" w:cs="Arial" w:eastAsia="Arial" w:hAnsi="Arial"/>
                <w:sz w:val="18"/>
                <w:szCs w:val="18"/>
                <w:color w:val="0000FF"/>
                <w:w w:val="87"/>
              </w:rPr>
            </w:pPr>
            <w:hyperlink r:id="rId70">
              <w:r>
                <w:rPr>
                  <w:rFonts w:ascii="Arial" w:cs="Arial" w:eastAsia="Arial" w:hAnsi="Arial"/>
                  <w:sz w:val="18"/>
                  <w:szCs w:val="18"/>
                  <w:color w:val="0000FF"/>
                  <w:w w:val="87"/>
                </w:rPr>
                <w:t>Third Amended and Restated Credit Agreement, dated as of June 23, 2021,among Analog Devices, Inc., as Borrower,</w:t>
              </w:r>
            </w:hyperlink>
          </w:p>
        </w:tc>
      </w:tr>
      <w:tr>
        <w:trPr>
          <w:trHeight w:val="172"/>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60" w:type="dxa"/>
            <w:vAlign w:val="bottom"/>
            <w:gridSpan w:val="4"/>
          </w:tcPr>
          <w:p>
            <w:pPr>
              <w:ind w:left="20"/>
              <w:spacing w:after="0" w:line="152" w:lineRule="exact"/>
              <w:rPr>
                <w:rFonts w:ascii="Arial" w:cs="Arial" w:eastAsia="Arial" w:hAnsi="Arial"/>
                <w:sz w:val="17"/>
                <w:szCs w:val="17"/>
                <w:color w:val="0000FF"/>
                <w:w w:val="96"/>
              </w:rPr>
            </w:pPr>
            <w:hyperlink r:id="rId70">
              <w:r>
                <w:rPr>
                  <w:rFonts w:ascii="Arial" w:cs="Arial" w:eastAsia="Arial" w:hAnsi="Arial"/>
                  <w:sz w:val="17"/>
                  <w:szCs w:val="17"/>
                  <w:color w:val="0000FF"/>
                  <w:w w:val="96"/>
                </w:rPr>
                <w:t>Bank of America, N.A., as Administrative Agent, Swing Line Lender and</w:t>
              </w:r>
            </w:hyperlink>
          </w:p>
        </w:tc>
        <w:tc>
          <w:tcPr>
            <w:tcW w:w="3040" w:type="dxa"/>
            <w:vAlign w:val="bottom"/>
            <w:gridSpan w:val="6"/>
          </w:tcPr>
          <w:p>
            <w:pPr>
              <w:jc w:val="right"/>
              <w:ind w:right="200"/>
              <w:spacing w:after="0" w:line="152" w:lineRule="exact"/>
              <w:rPr>
                <w:rFonts w:ascii="Arial" w:cs="Arial" w:eastAsia="Arial" w:hAnsi="Arial"/>
                <w:sz w:val="17"/>
                <w:szCs w:val="17"/>
                <w:color w:val="0000FF"/>
                <w:w w:val="92"/>
              </w:rPr>
            </w:pPr>
            <w:hyperlink r:id="rId70">
              <w:r>
                <w:rPr>
                  <w:rFonts w:ascii="Arial" w:cs="Arial" w:eastAsia="Arial" w:hAnsi="Arial"/>
                  <w:sz w:val="17"/>
                  <w:szCs w:val="17"/>
                  <w:color w:val="0000FF"/>
                  <w:w w:val="92"/>
                </w:rPr>
                <w:t>L/C Issuer, and each lender from time to</w:t>
              </w:r>
            </w:hyperlink>
          </w:p>
        </w:tc>
      </w:tr>
      <w:tr>
        <w:trPr>
          <w:trHeight w:val="132"/>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tcBorders>
              <w:top w:val="single" w:sz="8" w:color="0000FF"/>
            </w:tcBorders>
            <w:gridSpan w:val="2"/>
          </w:tcPr>
          <w:p>
            <w:pPr>
              <w:ind w:left="20"/>
              <w:spacing w:after="0" w:line="132" w:lineRule="exact"/>
              <w:rPr>
                <w:rFonts w:ascii="Arial" w:cs="Arial" w:eastAsia="Arial" w:hAnsi="Arial"/>
                <w:sz w:val="15"/>
                <w:szCs w:val="15"/>
                <w:color w:val="0000FF"/>
              </w:rPr>
            </w:pPr>
            <w:hyperlink r:id="rId70">
              <w:r>
                <w:rPr>
                  <w:rFonts w:ascii="Arial" w:cs="Arial" w:eastAsia="Arial" w:hAnsi="Arial"/>
                  <w:sz w:val="15"/>
                  <w:szCs w:val="15"/>
                  <w:color w:val="0000FF"/>
                </w:rPr>
                <w:t>time party thereto</w:t>
              </w:r>
              <w:r>
                <w:rPr>
                  <w:rFonts w:ascii="Arial" w:cs="Arial" w:eastAsia="Arial" w:hAnsi="Arial"/>
                  <w:sz w:val="15"/>
                  <w:szCs w:val="15"/>
                  <w:color w:val="000000"/>
                </w:rPr>
                <w:t>, filed</w:t>
              </w:r>
            </w:hyperlink>
          </w:p>
        </w:tc>
        <w:tc>
          <w:tcPr>
            <w:tcW w:w="6360" w:type="dxa"/>
            <w:vAlign w:val="bottom"/>
            <w:tcBorders>
              <w:top w:val="single" w:sz="8" w:color="0000FF"/>
            </w:tcBorders>
            <w:gridSpan w:val="7"/>
          </w:tcPr>
          <w:p>
            <w:pPr>
              <w:jc w:val="right"/>
              <w:spacing w:after="0" w:line="132" w:lineRule="exact"/>
              <w:rPr>
                <w:rFonts w:ascii="Arial" w:cs="Arial" w:eastAsia="Arial" w:hAnsi="Arial"/>
                <w:sz w:val="15"/>
                <w:szCs w:val="15"/>
                <w:color w:val="auto"/>
              </w:rPr>
            </w:pPr>
            <w:hyperlink r:id="rId70">
              <w:r>
                <w:rPr>
                  <w:rFonts w:ascii="Arial" w:cs="Arial" w:eastAsia="Arial" w:hAnsi="Arial"/>
                  <w:sz w:val="15"/>
                  <w:szCs w:val="15"/>
                  <w:color w:val="auto"/>
                </w:rPr>
                <w:t>as Exhibit 10.1 to the Company's Current Report on Form 8-K as filed with the Commission</w:t>
              </w:r>
            </w:hyperlink>
          </w:p>
        </w:tc>
        <w:tc>
          <w:tcPr>
            <w:tcW w:w="200" w:type="dxa"/>
            <w:vAlign w:val="bottom"/>
          </w:tcPr>
          <w:p>
            <w:pPr>
              <w:spacing w:after="0"/>
              <w:rPr>
                <w:sz w:val="11"/>
                <w:szCs w:val="11"/>
                <w:color w:val="auto"/>
              </w:rPr>
            </w:pPr>
          </w:p>
        </w:tc>
      </w:tr>
      <w:tr>
        <w:trPr>
          <w:trHeight w:val="192"/>
        </w:trPr>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Borders>
              <w:top w:val="single" w:sz="8" w:color="0000FF"/>
            </w:tcBorders>
          </w:tcPr>
          <w:p>
            <w:pPr>
              <w:ind w:left="20"/>
              <w:spacing w:after="0" w:line="192" w:lineRule="exact"/>
              <w:rPr>
                <w:sz w:val="20"/>
                <w:szCs w:val="20"/>
                <w:color w:val="auto"/>
              </w:rPr>
            </w:pPr>
            <w:r>
              <w:rPr>
                <w:rFonts w:ascii="Arial" w:cs="Arial" w:eastAsia="Arial" w:hAnsi="Arial"/>
                <w:sz w:val="18"/>
                <w:szCs w:val="18"/>
                <w:color w:val="auto"/>
                <w:w w:val="87"/>
              </w:rPr>
              <w:t>on June 23, 2021</w:t>
            </w:r>
          </w:p>
        </w:tc>
        <w:tc>
          <w:tcPr>
            <w:tcW w:w="7040" w:type="dxa"/>
            <w:vAlign w:val="bottom"/>
            <w:gridSpan w:val="9"/>
          </w:tcPr>
          <w:p>
            <w:pPr>
              <w:spacing w:after="0" w:line="192" w:lineRule="exact"/>
              <w:rPr>
                <w:sz w:val="20"/>
                <w:szCs w:val="20"/>
                <w:color w:val="auto"/>
              </w:rPr>
            </w:pPr>
            <w:r>
              <w:rPr>
                <w:rFonts w:ascii="Arial" w:cs="Arial" w:eastAsia="Arial" w:hAnsi="Arial"/>
                <w:sz w:val="18"/>
                <w:szCs w:val="18"/>
                <w:color w:val="auto"/>
              </w:rPr>
              <w:t>(File No. 1-7819) and incorporated herein by reference</w:t>
            </w:r>
          </w:p>
        </w:tc>
      </w:tr>
      <w:tr>
        <w:trPr>
          <w:trHeight w:val="184"/>
        </w:trPr>
        <w:tc>
          <w:tcPr>
            <w:tcW w:w="1020" w:type="dxa"/>
            <w:vAlign w:val="bottom"/>
            <w:gridSpan w:val="2"/>
          </w:tcPr>
          <w:p>
            <w:pPr>
              <w:jc w:val="center"/>
              <w:ind w:right="100"/>
              <w:spacing w:after="0" w:line="184" w:lineRule="exact"/>
              <w:rPr>
                <w:sz w:val="20"/>
                <w:szCs w:val="20"/>
                <w:color w:val="auto"/>
              </w:rPr>
            </w:pPr>
            <w:r>
              <w:rPr>
                <w:rFonts w:ascii="Arial" w:cs="Arial" w:eastAsia="Arial" w:hAnsi="Arial"/>
                <w:sz w:val="18"/>
                <w:szCs w:val="18"/>
                <w:color w:val="auto"/>
                <w:w w:val="88"/>
              </w:rPr>
              <w:t>31.1†</w:t>
            </w:r>
          </w:p>
        </w:tc>
        <w:tc>
          <w:tcPr>
            <w:tcW w:w="320" w:type="dxa"/>
            <w:vAlign w:val="bottom"/>
          </w:tcPr>
          <w:p>
            <w:pPr>
              <w:spacing w:after="0"/>
              <w:rPr>
                <w:sz w:val="16"/>
                <w:szCs w:val="16"/>
                <w:color w:val="auto"/>
              </w:rPr>
            </w:pPr>
          </w:p>
        </w:tc>
        <w:tc>
          <w:tcPr>
            <w:tcW w:w="8300" w:type="dxa"/>
            <w:vAlign w:val="bottom"/>
            <w:gridSpan w:val="10"/>
          </w:tcPr>
          <w:p>
            <w:pPr>
              <w:ind w:left="20"/>
              <w:spacing w:after="0" w:line="184"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Certification Pursuant to Rule 13a-14(a) and 15d-14(a) of the Securities Exchange Act, as Adopted Pursuant to</w:t>
              </w:r>
            </w:hyperlink>
          </w:p>
        </w:tc>
      </w:tr>
      <w:tr>
        <w:trPr>
          <w:trHeight w:val="152"/>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20" w:type="dxa"/>
            <w:vAlign w:val="bottom"/>
            <w:tcBorders>
              <w:top w:val="single" w:sz="8" w:color="0000FF"/>
            </w:tcBorders>
            <w:gridSpan w:val="8"/>
          </w:tcPr>
          <w:p>
            <w:pPr>
              <w:ind w:left="20"/>
              <w:spacing w:after="0" w:line="152" w:lineRule="exact"/>
              <w:rPr>
                <w:rFonts w:ascii="Arial" w:cs="Arial" w:eastAsia="Arial" w:hAnsi="Arial"/>
                <w:sz w:val="17"/>
                <w:szCs w:val="17"/>
                <w:color w:val="0000FF"/>
              </w:rPr>
            </w:pPr>
            <w:hyperlink w:anchor="page51">
              <w:r>
                <w:rPr>
                  <w:rFonts w:ascii="Arial" w:cs="Arial" w:eastAsia="Arial" w:hAnsi="Arial"/>
                  <w:sz w:val="17"/>
                  <w:szCs w:val="17"/>
                  <w:color w:val="0000FF"/>
                </w:rPr>
                <w:t>Section 302 of the Sarbanes-Oxley Act of 2002 (Chief Executive Officer).</w:t>
              </w:r>
            </w:hyperlink>
          </w:p>
        </w:tc>
        <w:tc>
          <w:tcPr>
            <w:tcW w:w="480" w:type="dxa"/>
            <w:vAlign w:val="bottom"/>
            <w:gridSpan w:val="2"/>
          </w:tcPr>
          <w:p>
            <w:pPr>
              <w:spacing w:after="0"/>
              <w:rPr>
                <w:sz w:val="13"/>
                <w:szCs w:val="13"/>
                <w:color w:val="auto"/>
              </w:rPr>
            </w:pPr>
          </w:p>
        </w:tc>
      </w:tr>
      <w:tr>
        <w:trPr>
          <w:trHeight w:val="20"/>
        </w:trPr>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r>
      <w:tr>
        <w:trPr>
          <w:trHeight w:val="204"/>
        </w:trPr>
        <w:tc>
          <w:tcPr>
            <w:tcW w:w="102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88"/>
              </w:rPr>
              <w:t>31.2†</w:t>
            </w:r>
          </w:p>
        </w:tc>
        <w:tc>
          <w:tcPr>
            <w:tcW w:w="320" w:type="dxa"/>
            <w:vAlign w:val="bottom"/>
          </w:tcPr>
          <w:p>
            <w:pPr>
              <w:spacing w:after="0"/>
              <w:rPr>
                <w:sz w:val="17"/>
                <w:szCs w:val="17"/>
                <w:color w:val="auto"/>
              </w:rPr>
            </w:pPr>
          </w:p>
        </w:tc>
        <w:tc>
          <w:tcPr>
            <w:tcW w:w="8300" w:type="dxa"/>
            <w:vAlign w:val="bottom"/>
            <w:gridSpan w:val="10"/>
          </w:tcPr>
          <w:p>
            <w:pPr>
              <w:ind w:left="20"/>
              <w:spacing w:after="0" w:line="205" w:lineRule="exact"/>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Pursuant to Rule 13a-14(a) and 15d-14(a) of the Securities Exchange Act, as Adopted Pursuant to</w:t>
              </w:r>
            </w:hyperlink>
          </w:p>
        </w:tc>
      </w:tr>
      <w:tr>
        <w:trPr>
          <w:trHeight w:val="152"/>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40" w:type="dxa"/>
            <w:vAlign w:val="bottom"/>
            <w:tcBorders>
              <w:top w:val="single" w:sz="8" w:color="0000FF"/>
              <w:bottom w:val="single" w:sz="8" w:color="0000FF"/>
            </w:tcBorders>
            <w:gridSpan w:val="3"/>
          </w:tcPr>
          <w:p>
            <w:pPr>
              <w:ind w:left="20"/>
              <w:spacing w:after="0" w:line="152" w:lineRule="exact"/>
              <w:rPr>
                <w:rFonts w:ascii="Arial" w:cs="Arial" w:eastAsia="Arial" w:hAnsi="Arial"/>
                <w:sz w:val="17"/>
                <w:szCs w:val="17"/>
                <w:color w:val="0000FF"/>
                <w:w w:val="95"/>
              </w:rPr>
            </w:pPr>
            <w:hyperlink w:anchor="page52">
              <w:r>
                <w:rPr>
                  <w:rFonts w:ascii="Arial" w:cs="Arial" w:eastAsia="Arial" w:hAnsi="Arial"/>
                  <w:sz w:val="17"/>
                  <w:szCs w:val="17"/>
                  <w:color w:val="0000FF"/>
                  <w:w w:val="95"/>
                </w:rPr>
                <w:t>Section 302 of the Sarbanes-Oxley Act of 2002 (Chief Financial Officer).</w:t>
              </w:r>
            </w:hyperlink>
          </w:p>
        </w:tc>
        <w:tc>
          <w:tcPr>
            <w:tcW w:w="2580" w:type="dxa"/>
            <w:vAlign w:val="bottom"/>
            <w:tcBorders>
              <w:top w:val="single" w:sz="8" w:color="0000FF"/>
            </w:tcBorders>
            <w:gridSpan w:val="5"/>
          </w:tcPr>
          <w:p>
            <w:pPr>
              <w:spacing w:after="0"/>
              <w:rPr>
                <w:sz w:val="13"/>
                <w:szCs w:val="13"/>
                <w:color w:val="auto"/>
              </w:rPr>
            </w:pPr>
          </w:p>
        </w:tc>
        <w:tc>
          <w:tcPr>
            <w:tcW w:w="480" w:type="dxa"/>
            <w:vAlign w:val="bottom"/>
            <w:gridSpan w:val="2"/>
          </w:tcPr>
          <w:p>
            <w:pPr>
              <w:spacing w:after="0"/>
              <w:rPr>
                <w:sz w:val="13"/>
                <w:szCs w:val="13"/>
                <w:color w:val="auto"/>
              </w:rPr>
            </w:pPr>
          </w:p>
        </w:tc>
      </w:tr>
      <w:tr>
        <w:trPr>
          <w:trHeight w:val="204"/>
        </w:trPr>
        <w:tc>
          <w:tcPr>
            <w:tcW w:w="102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32.1†*</w:t>
            </w:r>
          </w:p>
        </w:tc>
        <w:tc>
          <w:tcPr>
            <w:tcW w:w="320" w:type="dxa"/>
            <w:vAlign w:val="bottom"/>
          </w:tcPr>
          <w:p>
            <w:pPr>
              <w:spacing w:after="0"/>
              <w:rPr>
                <w:sz w:val="17"/>
                <w:szCs w:val="17"/>
                <w:color w:val="auto"/>
              </w:rPr>
            </w:pPr>
          </w:p>
        </w:tc>
        <w:tc>
          <w:tcPr>
            <w:tcW w:w="5340" w:type="dxa"/>
            <w:vAlign w:val="bottom"/>
            <w:tcBorders>
              <w:bottom w:val="single" w:sz="8" w:color="0000FF"/>
            </w:tcBorders>
            <w:gridSpan w:val="6"/>
          </w:tcPr>
          <w:p>
            <w:pPr>
              <w:ind w:left="20"/>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Certification Pursuant to 18 U.S.C. Section 1350 (Chief Executive Officer).</w:t>
              </w:r>
            </w:hyperlink>
          </w:p>
        </w:tc>
        <w:tc>
          <w:tcPr>
            <w:tcW w:w="2960" w:type="dxa"/>
            <w:vAlign w:val="bottom"/>
            <w:gridSpan w:val="4"/>
          </w:tcPr>
          <w:p>
            <w:pPr>
              <w:spacing w:after="0"/>
              <w:rPr>
                <w:sz w:val="17"/>
                <w:szCs w:val="17"/>
                <w:color w:val="auto"/>
              </w:rPr>
            </w:pPr>
          </w:p>
        </w:tc>
      </w:tr>
      <w:tr>
        <w:trPr>
          <w:trHeight w:val="204"/>
        </w:trPr>
        <w:tc>
          <w:tcPr>
            <w:tcW w:w="102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2"/>
              </w:rPr>
              <w:t>32.2†*</w:t>
            </w:r>
          </w:p>
        </w:tc>
        <w:tc>
          <w:tcPr>
            <w:tcW w:w="320" w:type="dxa"/>
            <w:vAlign w:val="bottom"/>
          </w:tcPr>
          <w:p>
            <w:pPr>
              <w:spacing w:after="0"/>
              <w:rPr>
                <w:sz w:val="17"/>
                <w:szCs w:val="17"/>
                <w:color w:val="auto"/>
              </w:rPr>
            </w:pPr>
          </w:p>
        </w:tc>
        <w:tc>
          <w:tcPr>
            <w:tcW w:w="5300" w:type="dxa"/>
            <w:vAlign w:val="bottom"/>
            <w:tcBorders>
              <w:bottom w:val="single" w:sz="8" w:color="0000FF"/>
            </w:tcBorders>
            <w:gridSpan w:val="5"/>
          </w:tcPr>
          <w:p>
            <w:pPr>
              <w:ind w:left="20"/>
              <w:spacing w:after="0" w:line="205"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Certification Pursuant to 18 U.S.C. Section 1350 (Chief Financial Officer).</w:t>
              </w:r>
            </w:hyperlink>
          </w:p>
        </w:tc>
        <w:tc>
          <w:tcPr>
            <w:tcW w:w="3000" w:type="dxa"/>
            <w:vAlign w:val="bottom"/>
            <w:gridSpan w:val="5"/>
          </w:tcPr>
          <w:p>
            <w:pPr>
              <w:spacing w:after="0"/>
              <w:rPr>
                <w:sz w:val="17"/>
                <w:szCs w:val="17"/>
                <w:color w:val="auto"/>
              </w:rPr>
            </w:pPr>
          </w:p>
        </w:tc>
      </w:tr>
      <w:tr>
        <w:trPr>
          <w:trHeight w:val="192"/>
        </w:trPr>
        <w:tc>
          <w:tcPr>
            <w:tcW w:w="1020" w:type="dxa"/>
            <w:vAlign w:val="bottom"/>
            <w:gridSpan w:val="2"/>
          </w:tcPr>
          <w:p>
            <w:pPr>
              <w:jc w:val="center"/>
              <w:ind w:right="80"/>
              <w:spacing w:after="0" w:line="192" w:lineRule="exact"/>
              <w:rPr>
                <w:sz w:val="20"/>
                <w:szCs w:val="20"/>
                <w:color w:val="auto"/>
              </w:rPr>
            </w:pPr>
            <w:r>
              <w:rPr>
                <w:rFonts w:ascii="Arial" w:cs="Arial" w:eastAsia="Arial" w:hAnsi="Arial"/>
                <w:sz w:val="18"/>
                <w:szCs w:val="18"/>
                <w:color w:val="auto"/>
                <w:w w:val="89"/>
              </w:rPr>
              <w:t>101.INS</w:t>
            </w:r>
          </w:p>
        </w:tc>
        <w:tc>
          <w:tcPr>
            <w:tcW w:w="320" w:type="dxa"/>
            <w:vAlign w:val="bottom"/>
          </w:tcPr>
          <w:p>
            <w:pPr>
              <w:spacing w:after="0"/>
              <w:rPr>
                <w:sz w:val="16"/>
                <w:szCs w:val="16"/>
                <w:color w:val="auto"/>
              </w:rPr>
            </w:pPr>
          </w:p>
        </w:tc>
        <w:tc>
          <w:tcPr>
            <w:tcW w:w="8300" w:type="dxa"/>
            <w:vAlign w:val="bottom"/>
            <w:gridSpan w:val="10"/>
          </w:tcPr>
          <w:p>
            <w:pPr>
              <w:ind w:left="20"/>
              <w:spacing w:after="0" w:line="192" w:lineRule="exact"/>
              <w:rPr>
                <w:sz w:val="20"/>
                <w:szCs w:val="20"/>
                <w:color w:val="auto"/>
              </w:rPr>
            </w:pPr>
            <w:r>
              <w:rPr>
                <w:rFonts w:ascii="Arial" w:cs="Arial" w:eastAsia="Arial" w:hAnsi="Arial"/>
                <w:sz w:val="18"/>
                <w:szCs w:val="18"/>
                <w:color w:val="auto"/>
                <w:w w:val="89"/>
              </w:rPr>
              <w:t>The instance document does not appear in the Interactive Data File because its XBRL tags are embedded within the</w:t>
            </w:r>
          </w:p>
        </w:tc>
      </w:tr>
      <w:tr>
        <w:trPr>
          <w:trHeight w:val="223"/>
        </w:trPr>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document.**</w:t>
            </w:r>
          </w:p>
        </w:tc>
      </w:tr>
      <w:tr>
        <w:trPr>
          <w:trHeight w:val="22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Schema Document.**</w:t>
            </w:r>
          </w:p>
        </w:tc>
      </w:tr>
      <w:tr>
        <w:trPr>
          <w:trHeight w:val="22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101.CAL</w:t>
            </w: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Calculation Linkbase Document.**</w:t>
            </w:r>
          </w:p>
        </w:tc>
      </w:tr>
      <w:tr>
        <w:trPr>
          <w:trHeight w:val="22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101.LAB</w:t>
            </w: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Labels Linkbase Document.**</w:t>
            </w:r>
          </w:p>
        </w:tc>
      </w:tr>
      <w:tr>
        <w:trPr>
          <w:trHeight w:val="22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101.PRE</w:t>
            </w: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Presentation Linkbase Document.**</w:t>
            </w:r>
          </w:p>
        </w:tc>
      </w:tr>
      <w:tr>
        <w:trPr>
          <w:trHeight w:val="224"/>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101.DEF</w:t>
            </w:r>
          </w:p>
        </w:tc>
        <w:tc>
          <w:tcPr>
            <w:tcW w:w="320" w:type="dxa"/>
            <w:vAlign w:val="bottom"/>
          </w:tcPr>
          <w:p>
            <w:pPr>
              <w:spacing w:after="0"/>
              <w:rPr>
                <w:sz w:val="19"/>
                <w:szCs w:val="19"/>
                <w:color w:val="auto"/>
              </w:rPr>
            </w:pPr>
          </w:p>
        </w:tc>
        <w:tc>
          <w:tcPr>
            <w:tcW w:w="8300" w:type="dxa"/>
            <w:vAlign w:val="bottom"/>
            <w:gridSpan w:val="10"/>
          </w:tcPr>
          <w:p>
            <w:pPr>
              <w:ind w:left="20"/>
              <w:spacing w:after="0"/>
              <w:rPr>
                <w:sz w:val="20"/>
                <w:szCs w:val="20"/>
                <w:color w:val="auto"/>
              </w:rPr>
            </w:pPr>
            <w:r>
              <w:rPr>
                <w:rFonts w:ascii="Arial" w:cs="Arial" w:eastAsia="Arial" w:hAnsi="Arial"/>
                <w:sz w:val="18"/>
                <w:szCs w:val="18"/>
                <w:color w:val="auto"/>
              </w:rPr>
              <w:t>Inline XBRL Definition Linkbase Document.**</w:t>
            </w:r>
          </w:p>
        </w:tc>
      </w:tr>
    </w:tbl>
    <w:p>
      <w:pPr>
        <w:spacing w:after="0" w:line="2" w:lineRule="exact"/>
        <w:rPr>
          <w:sz w:val="20"/>
          <w:szCs w:val="20"/>
          <w:color w:val="auto"/>
        </w:rPr>
      </w:pPr>
    </w:p>
    <w:p>
      <w:pPr>
        <w:ind w:left="1380" w:right="2080" w:hanging="1024"/>
        <w:spacing w:after="0" w:line="228" w:lineRule="auto"/>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3" w:lineRule="exact"/>
        <w:rPr>
          <w:sz w:val="20"/>
          <w:szCs w:val="20"/>
          <w:color w:val="auto"/>
        </w:rPr>
      </w:pPr>
    </w:p>
    <w:p>
      <w:pPr>
        <w:ind w:left="1380" w:hanging="936"/>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7" w:lineRule="exact"/>
        <w:rPr>
          <w:sz w:val="20"/>
          <w:szCs w:val="20"/>
          <w:color w:val="auto"/>
        </w:rPr>
      </w:pPr>
    </w:p>
    <w:p>
      <w:pPr>
        <w:ind w:left="1380" w:hanging="936"/>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17" w:lineRule="exact"/>
        <w:rPr>
          <w:sz w:val="20"/>
          <w:szCs w:val="20"/>
          <w:color w:val="auto"/>
        </w:rPr>
      </w:pPr>
    </w:p>
    <w:p>
      <w:pPr>
        <w:ind w:left="1380" w:right="1360" w:hanging="936"/>
        <w:spacing w:after="0" w:line="208"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6" w:lineRule="exact"/>
        <w:rPr>
          <w:sz w:val="20"/>
          <w:szCs w:val="20"/>
          <w:color w:val="auto"/>
        </w:rPr>
      </w:pPr>
    </w:p>
    <w:p>
      <w:pPr>
        <w:ind w:left="1380" w:hanging="98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5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Attached as Exhibit 101 to this report are the following formatted in iXBRL (Inline Extensible Business Reporting Language): (i) Condensed Consolidated Statements of Income for the three and nine months ended July 31, 2021 and August 1, 2020, (ii) Condensed Consolidated Statements of Comprehensive Income for the three and nine months ended July 31, 2021 and August 1, 2020, (iii) Condensed Consolidated Balance Sheets at July 31, 2021 and October 31, 2020, (iv) Condensed Consolidated Statements of Shareholders' Equity for the three and nine months ended July 31, 2021 and August 1, 2020, (v) Condensed Consolidated Statements of Cash Flows for the nine months ended July 31, 2021 and August 1, 2020 and (vi) Notes to Condensed Consolidated Financial Statements for the three and nine months ended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032" w:right="439" w:bottom="1440" w:gutter="0" w:footer="0" w:header="0"/>
        </w:sectPr>
      </w:pPr>
    </w:p>
    <w:bookmarkStart w:id="45" w:name="page46"/>
    <w:bookmarkEnd w:id="45"/>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69" w:lineRule="exact"/>
        <w:rPr>
          <w:sz w:val="20"/>
          <w:szCs w:val="20"/>
          <w:color w:val="auto"/>
        </w:rPr>
      </w:pPr>
    </w:p>
    <w:p>
      <w:pPr>
        <w:ind w:right="440" w:firstLine="436"/>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7720" w:type="dxa"/>
            <w:vAlign w:val="bottom"/>
            <w:gridSpan w:val="2"/>
          </w:tcPr>
          <w:p>
            <w:pPr>
              <w:ind w:left="1560"/>
              <w:spacing w:after="0"/>
              <w:rPr>
                <w:sz w:val="20"/>
                <w:szCs w:val="20"/>
                <w:color w:val="auto"/>
              </w:rPr>
            </w:pPr>
            <w:r>
              <w:rPr>
                <w:rFonts w:ascii="Arial" w:cs="Arial" w:eastAsia="Arial" w:hAnsi="Arial"/>
                <w:sz w:val="18"/>
                <w:szCs w:val="18"/>
                <w:color w:val="auto"/>
              </w:rPr>
              <w:t>ANALOG DEVICES, INC.</w:t>
            </w:r>
          </w:p>
        </w:tc>
      </w:tr>
      <w:tr>
        <w:trPr>
          <w:trHeight w:val="489"/>
        </w:trPr>
        <w:tc>
          <w:tcPr>
            <w:tcW w:w="3140" w:type="dxa"/>
            <w:vAlign w:val="bottom"/>
          </w:tcPr>
          <w:p>
            <w:pPr>
              <w:spacing w:after="0"/>
              <w:rPr>
                <w:sz w:val="20"/>
                <w:szCs w:val="20"/>
                <w:color w:val="auto"/>
              </w:rPr>
            </w:pPr>
            <w:r>
              <w:rPr>
                <w:rFonts w:ascii="Arial" w:cs="Arial" w:eastAsia="Arial" w:hAnsi="Arial"/>
                <w:sz w:val="18"/>
                <w:szCs w:val="18"/>
                <w:color w:val="auto"/>
              </w:rPr>
              <w:t>Date: August 18, 2021</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Vincent Roche</w:t>
            </w:r>
          </w:p>
        </w:tc>
      </w:tr>
      <w:tr>
        <w:trPr>
          <w:trHeight w:val="217"/>
        </w:trPr>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Vincent Roche</w:t>
            </w:r>
          </w:p>
        </w:tc>
      </w:tr>
      <w:tr>
        <w:trPr>
          <w:trHeight w:val="224"/>
        </w:trPr>
        <w:tc>
          <w:tcPr>
            <w:tcW w:w="3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24"/>
        </w:trPr>
        <w:tc>
          <w:tcPr>
            <w:tcW w:w="3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489"/>
        </w:trPr>
        <w:tc>
          <w:tcPr>
            <w:tcW w:w="3140" w:type="dxa"/>
            <w:vAlign w:val="bottom"/>
          </w:tcPr>
          <w:p>
            <w:pPr>
              <w:spacing w:after="0"/>
              <w:rPr>
                <w:sz w:val="20"/>
                <w:szCs w:val="20"/>
                <w:color w:val="auto"/>
              </w:rPr>
            </w:pPr>
            <w:r>
              <w:rPr>
                <w:rFonts w:ascii="Arial" w:cs="Arial" w:eastAsia="Arial" w:hAnsi="Arial"/>
                <w:sz w:val="18"/>
                <w:szCs w:val="18"/>
                <w:color w:val="auto"/>
              </w:rPr>
              <w:t>Date: August 18, 2021</w:t>
            </w:r>
          </w:p>
        </w:tc>
        <w:tc>
          <w:tcPr>
            <w:tcW w:w="2080" w:type="dxa"/>
            <w:vAlign w:val="bottom"/>
          </w:tcPr>
          <w:p>
            <w:pPr>
              <w:ind w:left="1560"/>
              <w:spacing w:after="0"/>
              <w:rPr>
                <w:sz w:val="20"/>
                <w:szCs w:val="20"/>
                <w:color w:val="auto"/>
              </w:rPr>
            </w:pPr>
            <w:r>
              <w:rPr>
                <w:rFonts w:ascii="Arial" w:cs="Arial" w:eastAsia="Arial" w:hAnsi="Arial"/>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Prashanth Mahendra-Rajah</w:t>
            </w:r>
          </w:p>
        </w:tc>
      </w:tr>
      <w:tr>
        <w:trPr>
          <w:trHeight w:val="217"/>
        </w:trPr>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Prashanth Mahendra-Rajah</w:t>
            </w:r>
          </w:p>
        </w:tc>
      </w:tr>
      <w:tr>
        <w:trPr>
          <w:trHeight w:val="224"/>
        </w:trPr>
        <w:tc>
          <w:tcPr>
            <w:tcW w:w="3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24"/>
        </w:trPr>
        <w:tc>
          <w:tcPr>
            <w:tcW w:w="3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320" w:top="993" w:right="659" w:bottom="1440" w:gutter="0" w:footer="0" w:header="0"/>
        </w:sectPr>
      </w:pPr>
    </w:p>
    <w:bookmarkStart w:id="46" w:name="page47"/>
    <w:bookmarkEnd w:id="46"/>
    <w:p>
      <w:pPr>
        <w:jc w:val="right"/>
        <w:spacing w:after="0"/>
        <w:rPr>
          <w:sz w:val="20"/>
          <w:szCs w:val="20"/>
          <w:color w:val="auto"/>
        </w:rPr>
      </w:pPr>
      <w:r>
        <w:rPr>
          <w:rFonts w:ascii="Arial" w:cs="Arial" w:eastAsia="Arial" w:hAnsi="Arial"/>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FIFTH AMENDMENT TO THE</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color w:val="auto"/>
        </w:rPr>
        <w:t>ANALOG DEVICES, INC.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DEFERRED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(EFFECTIVE AS OF JANUARY 1, 2009)</w:t>
      </w:r>
    </w:p>
    <w:p>
      <w:pPr>
        <w:spacing w:after="0" w:line="303"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Analog Devices, Inc. (the “Company”) maintains the Analog Devices, Inc. Amended and Restated Deferred</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Plan (effective as of January 1, 2009) (the “Plan”);</w:t>
      </w:r>
    </w:p>
    <w:p>
      <w:pPr>
        <w:spacing w:after="0" w:line="148" w:lineRule="exact"/>
        <w:rPr>
          <w:sz w:val="20"/>
          <w:szCs w:val="20"/>
          <w:color w:val="auto"/>
        </w:rPr>
      </w:pPr>
    </w:p>
    <w:p>
      <w:pPr>
        <w:jc w:val="both"/>
        <w:ind w:firstLine="634"/>
        <w:spacing w:after="0" w:line="28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pursuant to Section 9.1 of the Plan, the Company reserves the right by action to amend the Plan upon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and conditions therein respectively set forth; and</w:t>
      </w:r>
    </w:p>
    <w:p>
      <w:pPr>
        <w:spacing w:after="0" w:line="148" w:lineRule="exact"/>
        <w:rPr>
          <w:sz w:val="20"/>
          <w:szCs w:val="20"/>
          <w:color w:val="auto"/>
        </w:rPr>
      </w:pPr>
    </w:p>
    <w:p>
      <w:pPr>
        <w:jc w:val="both"/>
        <w:ind w:firstLine="634"/>
        <w:spacing w:after="0" w:line="260" w:lineRule="auto"/>
        <w:rPr>
          <w:sz w:val="20"/>
          <w:szCs w:val="20"/>
          <w:color w:val="auto"/>
        </w:rPr>
      </w:pPr>
      <w:r>
        <w:rPr>
          <w:rFonts w:ascii="Arial" w:cs="Arial" w:eastAsia="Arial" w:hAnsi="Arial"/>
          <w:sz w:val="21"/>
          <w:szCs w:val="21"/>
          <w:b w:val="1"/>
          <w:bCs w:val="1"/>
          <w:color w:val="auto"/>
        </w:rPr>
        <w:t>NOW</w:t>
      </w:r>
      <w:r>
        <w:rPr>
          <w:rFonts w:ascii="Arial" w:cs="Arial" w:eastAsia="Arial" w:hAnsi="Arial"/>
          <w:sz w:val="21"/>
          <w:szCs w:val="21"/>
          <w:color w:val="auto"/>
        </w:rPr>
        <w:t>,</w:t>
      </w:r>
      <w:r>
        <w:rPr>
          <w:rFonts w:ascii="Arial" w:cs="Arial" w:eastAsia="Arial" w:hAnsi="Arial"/>
          <w:sz w:val="21"/>
          <w:szCs w:val="21"/>
          <w:b w:val="1"/>
          <w:bCs w:val="1"/>
          <w:color w:val="auto"/>
        </w:rPr>
        <w:t xml:space="preserve"> THEREFORE</w:t>
      </w:r>
      <w:r>
        <w:rPr>
          <w:rFonts w:ascii="Arial" w:cs="Arial" w:eastAsia="Arial" w:hAnsi="Arial"/>
          <w:sz w:val="21"/>
          <w:szCs w:val="21"/>
          <w:color w:val="auto"/>
        </w:rPr>
        <w:t>, the Plan, as previously amended, is hereby amended by this Fifth Amendment, effective as of June</w:t>
      </w:r>
      <w:r>
        <w:rPr>
          <w:rFonts w:ascii="Arial" w:cs="Arial" w:eastAsia="Arial" w:hAnsi="Arial"/>
          <w:sz w:val="21"/>
          <w:szCs w:val="21"/>
          <w:b w:val="1"/>
          <w:bCs w:val="1"/>
          <w:color w:val="auto"/>
        </w:rPr>
        <w:t xml:space="preserve"> </w:t>
      </w:r>
      <w:r>
        <w:rPr>
          <w:rFonts w:ascii="Arial" w:cs="Arial" w:eastAsia="Arial" w:hAnsi="Arial"/>
          <w:sz w:val="21"/>
          <w:szCs w:val="21"/>
          <w:color w:val="auto"/>
        </w:rPr>
        <w:t>01, 2021 (the “Effective Date”), to clarify certain provisions related to the operation of the Plan and conform its operation in accordance with Section 409A of the United States Internal Revenue Code of 1986, as amended, and the regulations and guidance provided thereunder.</w:t>
      </w:r>
    </w:p>
    <w:p>
      <w:pPr>
        <w:spacing w:after="0" w:line="174" w:lineRule="exact"/>
        <w:rPr>
          <w:sz w:val="20"/>
          <w:szCs w:val="20"/>
          <w:color w:val="auto"/>
        </w:rPr>
      </w:pPr>
    </w:p>
    <w:p>
      <w:pPr>
        <w:ind w:firstLine="639"/>
        <w:spacing w:after="0" w:line="275" w:lineRule="auto"/>
        <w:tabs>
          <w:tab w:leader="none" w:pos="1268" w:val="left"/>
        </w:tabs>
        <w:numPr>
          <w:ilvl w:val="0"/>
          <w:numId w:val="26"/>
        </w:numPr>
        <w:rPr>
          <w:rFonts w:ascii="Arial" w:cs="Arial" w:eastAsia="Arial" w:hAnsi="Arial"/>
          <w:sz w:val="21"/>
          <w:szCs w:val="21"/>
          <w:color w:val="auto"/>
        </w:rPr>
      </w:pPr>
      <w:r>
        <w:rPr>
          <w:rFonts w:ascii="Arial" w:cs="Arial" w:eastAsia="Arial" w:hAnsi="Arial"/>
          <w:sz w:val="21"/>
          <w:szCs w:val="21"/>
          <w:color w:val="auto"/>
        </w:rPr>
        <w:t>As of the Effective Date, Sections 2.28 and 2.29 of the Plan shall be and hereby are deleted in their entirety and replaced with the following:</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“2.28.</w:t>
      </w:r>
    </w:p>
    <w:p>
      <w:pPr>
        <w:spacing w:after="0" w:line="221" w:lineRule="exact"/>
        <w:rPr>
          <w:sz w:val="20"/>
          <w:szCs w:val="20"/>
          <w:color w:val="auto"/>
        </w:rPr>
      </w:pPr>
    </w:p>
    <w:p>
      <w:pPr>
        <w:jc w:val="both"/>
        <w:ind w:left="1280"/>
        <w:spacing w:after="0" w:line="289" w:lineRule="auto"/>
        <w:rPr>
          <w:sz w:val="20"/>
          <w:szCs w:val="20"/>
          <w:color w:val="auto"/>
        </w:rPr>
      </w:pPr>
      <w:r>
        <w:rPr>
          <w:rFonts w:ascii="Arial" w:cs="Arial" w:eastAsia="Arial" w:hAnsi="Arial"/>
          <w:sz w:val="19"/>
          <w:szCs w:val="19"/>
          <w:color w:val="auto"/>
        </w:rPr>
        <w:t>‘Retirement’ means a Separation from Service of a Participant who has reached age 62 and completed (i) 10 years of vesting service under the Company’s TIP as an employee, or (ii) 10 years of service from the date of initial election as a non-employee member of the Board; to avoid doubt, a Participant who has joined the Company as a result of a purchase, merger or similar transaction, will have his or her years of service determined by including those years of service performed for the purchased or merged entity prior to the closing of the transaction.</w:t>
      </w:r>
    </w:p>
    <w:p>
      <w:pPr>
        <w:spacing w:after="0" w:line="15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2.29.</w:t>
      </w:r>
    </w:p>
    <w:p>
      <w:pPr>
        <w:spacing w:after="0" w:line="221" w:lineRule="exact"/>
        <w:rPr>
          <w:sz w:val="20"/>
          <w:szCs w:val="20"/>
          <w:color w:val="auto"/>
        </w:rPr>
      </w:pPr>
    </w:p>
    <w:p>
      <w:pPr>
        <w:jc w:val="both"/>
        <w:ind w:left="1280"/>
        <w:spacing w:after="0" w:line="301" w:lineRule="auto"/>
        <w:rPr>
          <w:sz w:val="20"/>
          <w:szCs w:val="20"/>
          <w:color w:val="auto"/>
        </w:rPr>
      </w:pPr>
      <w:r>
        <w:rPr>
          <w:rFonts w:ascii="Arial" w:cs="Arial" w:eastAsia="Arial" w:hAnsi="Arial"/>
          <w:sz w:val="20"/>
          <w:szCs w:val="20"/>
          <w:color w:val="auto"/>
        </w:rPr>
        <w:t>‘Section 409A’ means Section 409A of the Code and the regulations issued thereunder, as modified from time to time. Certain rules regarding Plan operation in accordance with Section 409A are set forth on Schedule A.”</w:t>
      </w:r>
    </w:p>
    <w:p>
      <w:pPr>
        <w:spacing w:after="0" w:line="136" w:lineRule="exact"/>
        <w:rPr>
          <w:sz w:val="20"/>
          <w:szCs w:val="20"/>
          <w:color w:val="auto"/>
        </w:rPr>
      </w:pPr>
    </w:p>
    <w:p>
      <w:pPr>
        <w:ind w:firstLine="639"/>
        <w:spacing w:after="0" w:line="275" w:lineRule="auto"/>
        <w:tabs>
          <w:tab w:leader="none" w:pos="1268" w:val="left"/>
        </w:tabs>
        <w:numPr>
          <w:ilvl w:val="0"/>
          <w:numId w:val="27"/>
        </w:numPr>
        <w:rPr>
          <w:rFonts w:ascii="Arial" w:cs="Arial" w:eastAsia="Arial" w:hAnsi="Arial"/>
          <w:sz w:val="21"/>
          <w:szCs w:val="21"/>
          <w:color w:val="auto"/>
        </w:rPr>
      </w:pPr>
      <w:r>
        <w:rPr>
          <w:rFonts w:ascii="Arial" w:cs="Arial" w:eastAsia="Arial" w:hAnsi="Arial"/>
          <w:sz w:val="21"/>
          <w:szCs w:val="21"/>
          <w:color w:val="auto"/>
        </w:rPr>
        <w:t>As of the Effective Date, Section 6.5 of the Plan shall be and hereby is amended by adding the following sentence to the end thereof:</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“Key rules for determining ‘specified employee’ status are set forth on Schedule A.”</w:t>
      </w:r>
    </w:p>
    <w:p>
      <w:pPr>
        <w:spacing w:after="0" w:line="221" w:lineRule="exact"/>
        <w:rPr>
          <w:sz w:val="20"/>
          <w:szCs w:val="20"/>
          <w:color w:val="auto"/>
        </w:rPr>
      </w:pPr>
    </w:p>
    <w:p>
      <w:pPr>
        <w:ind w:firstLine="639"/>
        <w:spacing w:after="0" w:line="275" w:lineRule="auto"/>
        <w:tabs>
          <w:tab w:leader="none" w:pos="1268" w:val="left"/>
        </w:tabs>
        <w:numPr>
          <w:ilvl w:val="0"/>
          <w:numId w:val="28"/>
        </w:numPr>
        <w:rPr>
          <w:rFonts w:ascii="Arial" w:cs="Arial" w:eastAsia="Arial" w:hAnsi="Arial"/>
          <w:sz w:val="21"/>
          <w:szCs w:val="21"/>
          <w:color w:val="auto"/>
        </w:rPr>
      </w:pPr>
      <w:r>
        <w:rPr>
          <w:rFonts w:ascii="Arial" w:cs="Arial" w:eastAsia="Arial" w:hAnsi="Arial"/>
          <w:sz w:val="21"/>
          <w:szCs w:val="21"/>
          <w:color w:val="auto"/>
        </w:rPr>
        <w:t>As of the Effective Date, Schedule A of the Plan shall be and hereby is amended by deleting item #4 in its entirety and replacing it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25" w:right="339" w:bottom="1440" w:gutter="0" w:footer="0" w:header="0"/>
        </w:sectPr>
      </w:pPr>
    </w:p>
    <w:bookmarkStart w:id="47" w:name="page48"/>
    <w:bookmarkEnd w:id="47"/>
    <w:p>
      <w:pPr>
        <w:spacing w:after="0" w:line="204" w:lineRule="exact"/>
        <w:rPr>
          <w:sz w:val="20"/>
          <w:szCs w:val="20"/>
          <w:color w:val="auto"/>
        </w:rPr>
      </w:pPr>
    </w:p>
    <w:p>
      <w:pPr>
        <w:jc w:val="both"/>
        <w:ind w:left="1280"/>
        <w:spacing w:after="0" w:line="257" w:lineRule="auto"/>
        <w:rPr>
          <w:sz w:val="20"/>
          <w:szCs w:val="20"/>
          <w:color w:val="auto"/>
        </w:rPr>
      </w:pPr>
      <w:r>
        <w:rPr>
          <w:rFonts w:ascii="Arial" w:cs="Arial" w:eastAsia="Arial" w:hAnsi="Arial"/>
          <w:sz w:val="21"/>
          <w:szCs w:val="21"/>
          <w:color w:val="auto"/>
        </w:rPr>
        <w:t>“4. “</w:t>
      </w:r>
      <w:r>
        <w:rPr>
          <w:rFonts w:ascii="Arial" w:cs="Arial" w:eastAsia="Arial" w:hAnsi="Arial"/>
          <w:sz w:val="21"/>
          <w:szCs w:val="21"/>
          <w:b w:val="1"/>
          <w:bCs w:val="1"/>
          <w:color w:val="auto"/>
        </w:rPr>
        <w:t>Separation from Service</w:t>
      </w:r>
      <w:r>
        <w:rPr>
          <w:rFonts w:ascii="Arial" w:cs="Arial" w:eastAsia="Arial" w:hAnsi="Arial"/>
          <w:sz w:val="21"/>
          <w:szCs w:val="21"/>
          <w:color w:val="auto"/>
        </w:rPr>
        <w:t>” or “</w:t>
      </w:r>
      <w:r>
        <w:rPr>
          <w:rFonts w:ascii="Arial" w:cs="Arial" w:eastAsia="Arial" w:hAnsi="Arial"/>
          <w:sz w:val="21"/>
          <w:szCs w:val="21"/>
          <w:b w:val="1"/>
          <w:bCs w:val="1"/>
          <w:color w:val="auto"/>
        </w:rPr>
        <w:t>Separates from Service</w:t>
      </w:r>
      <w:r>
        <w:rPr>
          <w:rFonts w:ascii="Arial" w:cs="Arial" w:eastAsia="Arial" w:hAnsi="Arial"/>
          <w:sz w:val="21"/>
          <w:szCs w:val="21"/>
          <w:color w:val="auto"/>
        </w:rPr>
        <w:t>” means the termination of services provided to an Employer, whether voluntarily or involuntarily, as determined by the Committee in accordance with Treasury Regulation Section 1.409A-1(h). To avoid doubt, the transfer of an Eligible Employee from his Employer to another Employer shall not constitute a “Separation from Service.” See “Certain Procedural Rules” in this Schedule A, below.”</w:t>
      </w:r>
    </w:p>
    <w:p>
      <w:pPr>
        <w:spacing w:after="0" w:line="179" w:lineRule="exact"/>
        <w:rPr>
          <w:sz w:val="20"/>
          <w:szCs w:val="20"/>
          <w:color w:val="auto"/>
        </w:rPr>
      </w:pPr>
    </w:p>
    <w:p>
      <w:pPr>
        <w:ind w:firstLine="639"/>
        <w:spacing w:after="0" w:line="275" w:lineRule="auto"/>
        <w:tabs>
          <w:tab w:leader="none" w:pos="1268" w:val="left"/>
        </w:tabs>
        <w:numPr>
          <w:ilvl w:val="0"/>
          <w:numId w:val="29"/>
        </w:numPr>
        <w:rPr>
          <w:rFonts w:ascii="Arial" w:cs="Arial" w:eastAsia="Arial" w:hAnsi="Arial"/>
          <w:sz w:val="21"/>
          <w:szCs w:val="21"/>
          <w:color w:val="auto"/>
        </w:rPr>
      </w:pPr>
      <w:r>
        <w:rPr>
          <w:rFonts w:ascii="Arial" w:cs="Arial" w:eastAsia="Arial" w:hAnsi="Arial"/>
          <w:sz w:val="21"/>
          <w:szCs w:val="21"/>
          <w:color w:val="auto"/>
        </w:rPr>
        <w:t>As of the Effective Date, Schedule A of the Plan shall be and hereby is amended by adding the following “Certain Section 409A Rules” to the end of the Section entitled “Certain Procedural Rules,” as follows:</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Certain Section 409A Rules</w:t>
      </w:r>
    </w:p>
    <w:p>
      <w:pPr>
        <w:spacing w:after="0" w:line="227" w:lineRule="exact"/>
        <w:rPr>
          <w:sz w:val="20"/>
          <w:szCs w:val="20"/>
          <w:color w:val="auto"/>
        </w:rPr>
      </w:pPr>
    </w:p>
    <w:p>
      <w:pPr>
        <w:ind w:left="1280"/>
        <w:spacing w:after="0"/>
        <w:rPr>
          <w:sz w:val="20"/>
          <w:szCs w:val="20"/>
          <w:color w:val="auto"/>
        </w:rPr>
      </w:pPr>
      <w:r>
        <w:rPr>
          <w:rFonts w:ascii="Arial" w:cs="Arial" w:eastAsia="Arial" w:hAnsi="Arial"/>
          <w:sz w:val="21"/>
          <w:szCs w:val="21"/>
          <w:i w:val="1"/>
          <w:iCs w:val="1"/>
          <w:color w:val="auto"/>
        </w:rPr>
        <w:t>Determining ‘Specified Employees’.</w:t>
      </w:r>
    </w:p>
    <w:p>
      <w:pPr>
        <w:spacing w:after="0" w:line="221" w:lineRule="exact"/>
        <w:rPr>
          <w:sz w:val="20"/>
          <w:szCs w:val="20"/>
          <w:color w:val="auto"/>
        </w:rPr>
      </w:pPr>
    </w:p>
    <w:p>
      <w:pPr>
        <w:jc w:val="both"/>
        <w:ind w:left="1280"/>
        <w:spacing w:after="0" w:line="275" w:lineRule="auto"/>
        <w:rPr>
          <w:sz w:val="20"/>
          <w:szCs w:val="20"/>
          <w:color w:val="auto"/>
        </w:rPr>
      </w:pPr>
      <w:r>
        <w:rPr>
          <w:rFonts w:ascii="Arial" w:cs="Arial" w:eastAsia="Arial" w:hAnsi="Arial"/>
          <w:sz w:val="20"/>
          <w:szCs w:val="20"/>
          <w:color w:val="auto"/>
        </w:rPr>
        <w:t>Whether a Participant is considered to be a key employee or specified employee shall be at all times determined in accordance with Treas. Reg. Section 1.409A-1(i). In accordance with Treas. Reg. Section 1.409A-1(i)(3), the “Specified Employee Identification Date” shall be December 31 of each year. The Specified Employee Identification Date is used to determine all specified employees as of the “Specified Employee Effective Date.”</w:t>
      </w:r>
    </w:p>
    <w:p>
      <w:pPr>
        <w:spacing w:after="0" w:line="161" w:lineRule="exact"/>
        <w:rPr>
          <w:sz w:val="20"/>
          <w:szCs w:val="20"/>
          <w:color w:val="auto"/>
        </w:rPr>
      </w:pPr>
    </w:p>
    <w:p>
      <w:pPr>
        <w:jc w:val="both"/>
        <w:ind w:left="1280"/>
        <w:spacing w:after="0" w:line="275" w:lineRule="auto"/>
        <w:rPr>
          <w:sz w:val="20"/>
          <w:szCs w:val="20"/>
          <w:color w:val="auto"/>
        </w:rPr>
      </w:pPr>
      <w:r>
        <w:rPr>
          <w:rFonts w:ascii="Arial" w:cs="Arial" w:eastAsia="Arial" w:hAnsi="Arial"/>
          <w:sz w:val="21"/>
          <w:szCs w:val="21"/>
          <w:color w:val="auto"/>
        </w:rPr>
        <w:t>In accordance with Treas. Reg. Section 1.409A-1(i)(4), the “Specified Employee Effective Date” shall be April 1 of each year.</w:t>
      </w:r>
    </w:p>
    <w:p>
      <w:pPr>
        <w:spacing w:after="0" w:line="160" w:lineRule="exact"/>
        <w:rPr>
          <w:sz w:val="20"/>
          <w:szCs w:val="20"/>
          <w:color w:val="auto"/>
        </w:rPr>
      </w:pPr>
    </w:p>
    <w:p>
      <w:pPr>
        <w:jc w:val="both"/>
        <w:ind w:left="1280"/>
        <w:spacing w:after="0" w:line="272" w:lineRule="auto"/>
        <w:rPr>
          <w:sz w:val="20"/>
          <w:szCs w:val="20"/>
          <w:color w:val="auto"/>
        </w:rPr>
      </w:pPr>
      <w:r>
        <w:rPr>
          <w:rFonts w:ascii="Arial" w:cs="Arial" w:eastAsia="Arial" w:hAnsi="Arial"/>
          <w:sz w:val="19"/>
          <w:szCs w:val="19"/>
          <w:color w:val="auto"/>
        </w:rPr>
        <w:t>The foregoing rules mean that each year the Company will establish the specified employee list as of December 31. Those individuals who are determined to be specified employees on the Specified Employee Identification Date shall be considered to be specified employees for the period commencing as of the next April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following the Specified Employee Identification Date and shall remain specified employees until the next following March 31.</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21"/>
          <w:szCs w:val="21"/>
          <w:i w:val="1"/>
          <w:iCs w:val="1"/>
          <w:color w:val="auto"/>
        </w:rPr>
        <w:t>Determining Whether a Separation from Service Has Occurred.</w:t>
      </w:r>
    </w:p>
    <w:p>
      <w:pPr>
        <w:spacing w:after="0" w:line="221" w:lineRule="exact"/>
        <w:rPr>
          <w:sz w:val="20"/>
          <w:szCs w:val="20"/>
          <w:color w:val="auto"/>
        </w:rPr>
      </w:pPr>
    </w:p>
    <w:p>
      <w:pPr>
        <w:jc w:val="both"/>
        <w:ind w:left="1280"/>
        <w:spacing w:after="0" w:line="262" w:lineRule="auto"/>
        <w:rPr>
          <w:sz w:val="20"/>
          <w:szCs w:val="20"/>
          <w:color w:val="auto"/>
        </w:rPr>
      </w:pPr>
      <w:r>
        <w:rPr>
          <w:rFonts w:ascii="Arial" w:cs="Arial" w:eastAsia="Arial" w:hAnsi="Arial"/>
          <w:sz w:val="21"/>
          <w:szCs w:val="21"/>
          <w:color w:val="auto"/>
        </w:rPr>
        <w:t>Whether a Separation from Service has occurred is determined in accordance with Treas. Reg. Section 1.409A-1(h). Participants will be deemed to have incurred a Separation from Service in all instances in which a termination of employment has occurred, subject to the rules set out below.</w:t>
      </w:r>
    </w:p>
    <w:p>
      <w:pPr>
        <w:spacing w:after="0" w:line="173" w:lineRule="exact"/>
        <w:rPr>
          <w:sz w:val="20"/>
          <w:szCs w:val="20"/>
          <w:color w:val="auto"/>
        </w:rPr>
      </w:pPr>
    </w:p>
    <w:p>
      <w:pPr>
        <w:jc w:val="both"/>
        <w:ind w:left="1280"/>
        <w:spacing w:after="0" w:line="281" w:lineRule="auto"/>
        <w:rPr>
          <w:sz w:val="20"/>
          <w:szCs w:val="20"/>
          <w:color w:val="auto"/>
        </w:rPr>
      </w:pPr>
      <w:r>
        <w:rPr>
          <w:rFonts w:ascii="Arial" w:cs="Arial" w:eastAsia="Arial" w:hAnsi="Arial"/>
          <w:sz w:val="20"/>
          <w:szCs w:val="20"/>
          <w:color w:val="auto"/>
        </w:rPr>
        <w:t>Participants who terminate service and, as part of such termination, are placed on “garden leave” or some similar status during which no services will be provided to the Company or after which it is not anticipated that the Participant shall return to active service, shall be deemed to have a Separation from Service on the last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10" w:lineRule="exact"/>
        <w:rPr>
          <w:sz w:val="20"/>
          <w:szCs w:val="20"/>
          <w:color w:val="auto"/>
        </w:rPr>
      </w:pPr>
    </w:p>
    <w:p>
      <w:pPr>
        <w:ind w:left="160"/>
        <w:spacing w:after="0"/>
        <w:rPr>
          <w:sz w:val="20"/>
          <w:szCs w:val="20"/>
          <w:color w:val="auto"/>
        </w:rPr>
      </w:pPr>
      <w:r>
        <w:rPr>
          <w:rFonts w:ascii="Arial" w:cs="Arial" w:eastAsia="Arial" w:hAnsi="Arial"/>
          <w:sz w:val="21"/>
          <w:szCs w:val="21"/>
          <w:color w:val="auto"/>
        </w:rPr>
        <w:t>day of active service (i.e., the day preceding the day the garden leave commences).</w:t>
      </w:r>
    </w:p>
    <w:p>
      <w:pPr>
        <w:spacing w:after="0" w:line="221" w:lineRule="exact"/>
        <w:rPr>
          <w:sz w:val="20"/>
          <w:szCs w:val="20"/>
          <w:color w:val="auto"/>
        </w:rPr>
      </w:pPr>
    </w:p>
    <w:p>
      <w:pPr>
        <w:ind w:left="160" w:right="20"/>
        <w:spacing w:after="0" w:line="301" w:lineRule="auto"/>
        <w:rPr>
          <w:sz w:val="20"/>
          <w:szCs w:val="20"/>
          <w:color w:val="auto"/>
        </w:rPr>
      </w:pPr>
      <w:r>
        <w:rPr>
          <w:rFonts w:ascii="Arial" w:cs="Arial" w:eastAsia="Arial" w:hAnsi="Arial"/>
          <w:sz w:val="20"/>
          <w:szCs w:val="20"/>
          <w:color w:val="auto"/>
        </w:rPr>
        <w:t>The following rules shall apply to Participants who terminate employment but agree, as part of such termination, to provide services to the Company (either as a consultant, employee or otherwise) after the termination:</w:t>
      </w:r>
    </w:p>
    <w:p>
      <w:pPr>
        <w:spacing w:after="0" w:line="136" w:lineRule="exact"/>
        <w:rPr>
          <w:sz w:val="20"/>
          <w:szCs w:val="20"/>
          <w:color w:val="auto"/>
        </w:rPr>
      </w:pPr>
    </w:p>
    <w:p>
      <w:pPr>
        <w:jc w:val="both"/>
        <w:ind w:left="780" w:hanging="310"/>
        <w:spacing w:after="0" w:line="258" w:lineRule="auto"/>
        <w:tabs>
          <w:tab w:leader="none" w:pos="775" w:val="left"/>
        </w:tabs>
        <w:numPr>
          <w:ilvl w:val="0"/>
          <w:numId w:val="30"/>
        </w:numPr>
        <w:rPr>
          <w:rFonts w:ascii="Arial" w:cs="Arial" w:eastAsia="Arial" w:hAnsi="Arial"/>
          <w:sz w:val="21"/>
          <w:szCs w:val="21"/>
          <w:color w:val="auto"/>
        </w:rPr>
      </w:pPr>
      <w:r>
        <w:rPr>
          <w:rFonts w:ascii="Arial" w:cs="Arial" w:eastAsia="Arial" w:hAnsi="Arial"/>
          <w:sz w:val="21"/>
          <w:szCs w:val="21"/>
          <w:color w:val="auto"/>
        </w:rPr>
        <w:t>Participants who work less than 20% of the time they worked while “actively employed” (based on the 36-month average preceding the termination date), shall be deemed to have a Separation from Service on the last day of active service (i.e., the last day in which they worked the same number of hours they worked while actively employed);</w:t>
      </w:r>
    </w:p>
    <w:p>
      <w:pPr>
        <w:spacing w:after="0" w:line="176" w:lineRule="exact"/>
        <w:rPr>
          <w:rFonts w:ascii="Arial" w:cs="Arial" w:eastAsia="Arial" w:hAnsi="Arial"/>
          <w:sz w:val="21"/>
          <w:szCs w:val="21"/>
          <w:color w:val="auto"/>
        </w:rPr>
      </w:pPr>
    </w:p>
    <w:p>
      <w:pPr>
        <w:jc w:val="both"/>
        <w:ind w:left="780" w:hanging="310"/>
        <w:spacing w:after="0" w:line="293" w:lineRule="auto"/>
        <w:tabs>
          <w:tab w:leader="none" w:pos="7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Participants who work more than 50% of the time they worked while actively employed (based on the 36-month average preceding the termination date), shall be deemed not to have a Separation from Service on the last day of active service but shall have a Separation from Service on the last day they cease providing services to the Company at a rate of at least 50% of the time they worked while actively employed; and</w:t>
      </w:r>
    </w:p>
    <w:p>
      <w:pPr>
        <w:spacing w:after="0" w:line="147" w:lineRule="exact"/>
        <w:rPr>
          <w:rFonts w:ascii="Arial" w:cs="Arial" w:eastAsia="Arial" w:hAnsi="Arial"/>
          <w:sz w:val="19"/>
          <w:szCs w:val="19"/>
          <w:color w:val="auto"/>
        </w:rPr>
      </w:pPr>
    </w:p>
    <w:p>
      <w:pPr>
        <w:jc w:val="both"/>
        <w:ind w:left="780" w:hanging="310"/>
        <w:spacing w:after="0" w:line="293" w:lineRule="auto"/>
        <w:tabs>
          <w:tab w:leader="none" w:pos="775"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Participants who work more than 20% but less than 51% of the time they worked while actively employed (based on the 36-month average preceding the termination date), there shall be no presumption and the determination of the Separation from Service date shall be made by the Company, in its sole discretion, using a facts and circumstances test consistent with the requirements of Treas. Reg. Section 1.409-1(h).</w:t>
      </w:r>
    </w:p>
    <w:p>
      <w:pPr>
        <w:spacing w:after="0" w:line="148" w:lineRule="exact"/>
        <w:rPr>
          <w:sz w:val="20"/>
          <w:szCs w:val="20"/>
          <w:color w:val="auto"/>
        </w:rPr>
      </w:pPr>
    </w:p>
    <w:p>
      <w:pPr>
        <w:jc w:val="both"/>
        <w:ind w:left="160" w:firstLine="317"/>
        <w:spacing w:after="0" w:line="289" w:lineRule="auto"/>
        <w:rPr>
          <w:sz w:val="20"/>
          <w:szCs w:val="20"/>
          <w:color w:val="auto"/>
        </w:rPr>
      </w:pPr>
      <w:r>
        <w:rPr>
          <w:rFonts w:ascii="Arial" w:cs="Arial" w:eastAsia="Arial" w:hAnsi="Arial"/>
          <w:sz w:val="19"/>
          <w:szCs w:val="19"/>
          <w:color w:val="auto"/>
        </w:rPr>
        <w:t>Any agreement between a terminated Participant and the Company for the provision of post-active service employment or engagement, shall clearly state whether the Participant will be providing services during the post-termination consulting or similar period and an estimate of the number of hours that services will be provided. The Participant is solely responsible for ensuring that the percentages described above are met or observed and for retaining such evidence of such service that the Internal Revenue Service (or other taxing agency) may require.</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1"/>
          <w:szCs w:val="21"/>
          <w:color w:val="auto"/>
        </w:rPr>
        <w:t>The following example illustrates the foregoing:</w:t>
      </w:r>
    </w:p>
    <w:p>
      <w:pPr>
        <w:spacing w:after="0" w:line="221" w:lineRule="exact"/>
        <w:rPr>
          <w:sz w:val="20"/>
          <w:szCs w:val="20"/>
          <w:color w:val="auto"/>
        </w:rPr>
      </w:pPr>
    </w:p>
    <w:p>
      <w:pPr>
        <w:jc w:val="both"/>
        <w:ind w:left="780" w:hanging="310"/>
        <w:spacing w:after="0" w:line="255" w:lineRule="auto"/>
        <w:tabs>
          <w:tab w:leader="none" w:pos="7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Barbara Jones is determined to be a Specified Employee as of December 31, 2020. She will be considered a specified employee from April 1, 2021 until March 31, 2022. On December 31, 2021, it is determined that Barbara Jones is no longer a specified employee. Accordingly, she will remain a specified employee until March 31, 2022 (based on the December 31, 2020 designation) but will not be a Specified Employee during the period April 1, 2022 to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20"/>
          </w:cols>
          <w:pgMar w:left="1440" w:top="1440" w:right="339" w:bottom="1440" w:gutter="0" w:footer="0" w:header="0"/>
        </w:sectPr>
      </w:pPr>
    </w:p>
    <w:bookmarkStart w:id="49" w:name="page50"/>
    <w:bookmarkEnd w:id="49"/>
    <w:p>
      <w:pPr>
        <w:spacing w:after="0" w:line="210" w:lineRule="exact"/>
        <w:rPr>
          <w:sz w:val="20"/>
          <w:szCs w:val="20"/>
          <w:color w:val="auto"/>
        </w:rPr>
      </w:pPr>
    </w:p>
    <w:p>
      <w:pPr>
        <w:jc w:val="both"/>
        <w:ind w:left="1900" w:hanging="310"/>
        <w:spacing w:after="0" w:line="254" w:lineRule="auto"/>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Barbara Jones and the Company have determined that she will terminate her employment on June 1, 2021. As part of their separation agreement, it is agreed that she will provide advice to the Company for 1 day a week for a period of six months following her termination from active service. Because the level of anticipated service is 20%, Ms. Jones’ Separation from Service date will be June 1, 2021. (Note that if Ms. Jones is a specified employee, payments from the Plan will occur or commence six months after the Separation from Service date. See #1 above.)</w:t>
      </w:r>
    </w:p>
    <w:p>
      <w:pPr>
        <w:spacing w:after="0" w:line="183" w:lineRule="exact"/>
        <w:rPr>
          <w:rFonts w:ascii="Arial" w:cs="Arial" w:eastAsia="Arial" w:hAnsi="Arial"/>
          <w:sz w:val="21"/>
          <w:szCs w:val="21"/>
          <w:color w:val="auto"/>
        </w:rPr>
      </w:pPr>
    </w:p>
    <w:p>
      <w:pPr>
        <w:jc w:val="both"/>
        <w:ind w:left="1900" w:hanging="310"/>
        <w:spacing w:after="0" w:line="262" w:lineRule="auto"/>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same facts as set forth in #2 above apply except that Ms. Jones will be providing actual services for more than 50% of the time during the six-month period. As such, her Separation from Service will be at the end of the six-month period that she provides services for purposes of the Plan.</w:t>
      </w:r>
    </w:p>
    <w:p>
      <w:pPr>
        <w:spacing w:after="0" w:line="173" w:lineRule="exact"/>
        <w:rPr>
          <w:rFonts w:ascii="Arial" w:cs="Arial" w:eastAsia="Arial" w:hAnsi="Arial"/>
          <w:sz w:val="21"/>
          <w:szCs w:val="21"/>
          <w:color w:val="auto"/>
        </w:rPr>
      </w:pPr>
    </w:p>
    <w:p>
      <w:pPr>
        <w:jc w:val="both"/>
        <w:ind w:left="1900" w:hanging="310"/>
        <w:spacing w:after="0" w:line="258" w:lineRule="auto"/>
        <w:tabs>
          <w:tab w:leader="none" w:pos="190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same facts as set forth in #2 apply except that it is anticipated that Ms. Jones will be working between 20% and 50% of the time. No presumption will apply with respect to the Separation from Service date. Rather, an analysis will be done to determine whether actual services for which Ms. Jones is compensated are provided at the levels indicated.”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Except as otherwise expressly amended herein, the Plan is ratified and confirmed and shall continue in full force</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and effect.</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Board of Directors of the Company by an appropriate vote in accordance with the Plan’s</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color w:val="auto"/>
        </w:rPr>
        <w:t>Administrative Procedures has caused this Amendment to be effective as of June 01, 2021. The signature of the Chairman of the</w:t>
      </w: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Board of Directors below shall be evidence of such vote.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ANALOG DEVICES, INC.</w:t>
      </w:r>
    </w:p>
    <w:p>
      <w:pPr>
        <w:spacing w:after="0" w:line="293"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21"/>
          <w:szCs w:val="21"/>
          <w:color w:val="auto"/>
        </w:rPr>
        <w:t>By:</w:t>
        <w:tab/>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27940</wp:posOffset>
            </wp:positionV>
            <wp:extent cx="35636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563620" cy="8255"/>
                    </a:xfrm>
                    <a:prstGeom prst="rect">
                      <a:avLst/>
                    </a:prstGeom>
                    <a:noFill/>
                  </pic:spPr>
                </pic:pic>
              </a:graphicData>
            </a:graphic>
          </wp:anchor>
        </w:drawing>
      </w:r>
    </w:p>
    <w:p>
      <w:pPr>
        <w:spacing w:after="0" w:line="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Ray Stata,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57" w:lineRule="exact"/>
        <w:rPr>
          <w:sz w:val="20"/>
          <w:szCs w:val="20"/>
          <w:color w:val="auto"/>
        </w:rPr>
      </w:pPr>
    </w:p>
    <w:p>
      <w:pPr>
        <w:ind w:left="640" w:hanging="317"/>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57" w:lineRule="exact"/>
        <w:rPr>
          <w:rFonts w:ascii="Arial" w:cs="Arial" w:eastAsia="Arial" w:hAnsi="Arial"/>
          <w:sz w:val="18"/>
          <w:szCs w:val="18"/>
          <w:color w:val="auto"/>
        </w:rPr>
      </w:pPr>
    </w:p>
    <w:p>
      <w:pPr>
        <w:jc w:val="both"/>
        <w:ind w:left="640" w:right="360" w:hanging="317"/>
        <w:spacing w:after="0" w:line="25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640" w:right="320" w:hanging="317"/>
        <w:spacing w:after="0" w:line="291"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640" w:right="360" w:hanging="317"/>
        <w:spacing w:after="0" w:line="25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 w:lineRule="exact"/>
        <w:rPr>
          <w:rFonts w:ascii="Arial" w:cs="Arial" w:eastAsia="Arial" w:hAnsi="Arial"/>
          <w:sz w:val="18"/>
          <w:szCs w:val="18"/>
          <w:color w:val="auto"/>
        </w:rPr>
      </w:pPr>
    </w:p>
    <w:p>
      <w:pPr>
        <w:ind w:left="1280" w:right="180" w:hanging="324"/>
        <w:spacing w:after="0" w:line="254" w:lineRule="auto"/>
        <w:tabs>
          <w:tab w:leader="none" w:pos="12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1280" w:right="300" w:hanging="324"/>
        <w:spacing w:after="0" w:line="254"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jc w:val="both"/>
        <w:ind w:left="1280" w:right="460" w:hanging="324"/>
        <w:spacing w:after="0" w:line="330" w:lineRule="auto"/>
        <w:tabs>
          <w:tab w:leader="none" w:pos="1271"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80" w:right="160" w:hanging="324"/>
        <w:spacing w:after="0" w:line="254"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right="260" w:hanging="317"/>
        <w:spacing w:after="0" w:line="330" w:lineRule="auto"/>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1280" w:right="700" w:hanging="324"/>
        <w:spacing w:after="0" w:line="330" w:lineRule="auto"/>
        <w:tabs>
          <w:tab w:leader="none" w:pos="1271" w:val="left"/>
        </w:tabs>
        <w:numPr>
          <w:ilvl w:val="1"/>
          <w:numId w:val="3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1280" w:right="400" w:hanging="324"/>
        <w:spacing w:after="0" w:line="263"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5"/>
          <w:szCs w:val="15"/>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10795</wp:posOffset>
            </wp:positionV>
            <wp:extent cx="32531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0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57" w:lineRule="exact"/>
        <w:rPr>
          <w:sz w:val="20"/>
          <w:szCs w:val="20"/>
          <w:color w:val="auto"/>
        </w:rPr>
      </w:pPr>
    </w:p>
    <w:p>
      <w:pPr>
        <w:ind w:left="640" w:hanging="317"/>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57" w:lineRule="exact"/>
        <w:rPr>
          <w:rFonts w:ascii="Arial" w:cs="Arial" w:eastAsia="Arial" w:hAnsi="Arial"/>
          <w:sz w:val="18"/>
          <w:szCs w:val="18"/>
          <w:color w:val="auto"/>
        </w:rPr>
      </w:pPr>
    </w:p>
    <w:p>
      <w:pPr>
        <w:jc w:val="both"/>
        <w:ind w:left="640" w:right="360" w:hanging="317"/>
        <w:spacing w:after="0" w:line="25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640" w:right="320" w:hanging="317"/>
        <w:spacing w:after="0" w:line="291"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640" w:right="360" w:hanging="317"/>
        <w:spacing w:after="0" w:line="25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 w:lineRule="exact"/>
        <w:rPr>
          <w:rFonts w:ascii="Arial" w:cs="Arial" w:eastAsia="Arial" w:hAnsi="Arial"/>
          <w:sz w:val="18"/>
          <w:szCs w:val="18"/>
          <w:color w:val="auto"/>
        </w:rPr>
      </w:pPr>
    </w:p>
    <w:p>
      <w:pPr>
        <w:ind w:left="1280" w:right="180" w:hanging="324"/>
        <w:spacing w:after="0" w:line="254" w:lineRule="auto"/>
        <w:tabs>
          <w:tab w:leader="none" w:pos="127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1280" w:right="300" w:hanging="324"/>
        <w:spacing w:after="0" w:line="254"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 w:lineRule="exact"/>
        <w:rPr>
          <w:rFonts w:ascii="Arial" w:cs="Arial" w:eastAsia="Arial" w:hAnsi="Arial"/>
          <w:sz w:val="18"/>
          <w:szCs w:val="18"/>
          <w:color w:val="auto"/>
        </w:rPr>
      </w:pPr>
    </w:p>
    <w:p>
      <w:pPr>
        <w:jc w:val="both"/>
        <w:ind w:left="1280" w:right="460" w:hanging="324"/>
        <w:spacing w:after="0" w:line="330" w:lineRule="auto"/>
        <w:tabs>
          <w:tab w:leader="none" w:pos="1271"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80" w:right="160" w:hanging="324"/>
        <w:spacing w:after="0" w:line="254"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640" w:right="260" w:hanging="317"/>
        <w:spacing w:after="0" w:line="330" w:lineRule="auto"/>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1280" w:right="700" w:hanging="324"/>
        <w:spacing w:after="0" w:line="330" w:lineRule="auto"/>
        <w:tabs>
          <w:tab w:leader="none" w:pos="1271" w:val="left"/>
        </w:tabs>
        <w:numPr>
          <w:ilvl w:val="1"/>
          <w:numId w:val="3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1280" w:right="400" w:hanging="324"/>
        <w:spacing w:after="0" w:line="263" w:lineRule="auto"/>
        <w:tabs>
          <w:tab w:leader="none" w:pos="12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5"/>
          <w:szCs w:val="15"/>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10795</wp:posOffset>
            </wp:positionV>
            <wp:extent cx="32531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Finance</w:t>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0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31, 2021 as filed with the Securities and Exchange Commission on the date hereof (the “Report”), the undersigned, Vincent Roche, Chief Executive Officer of the Company, hereby certifies, pursuant to 18 U.S.C. Section 1350, that:</w:t>
      </w:r>
    </w:p>
    <w:p>
      <w:pPr>
        <w:spacing w:after="0" w:line="29" w:lineRule="exact"/>
        <w:rPr>
          <w:sz w:val="20"/>
          <w:szCs w:val="20"/>
          <w:color w:val="auto"/>
        </w:rPr>
      </w:pPr>
    </w:p>
    <w:p>
      <w:pPr>
        <w:ind w:left="640" w:hanging="31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7" w:lineRule="exact"/>
        <w:rPr>
          <w:rFonts w:ascii="Arial" w:cs="Arial" w:eastAsia="Arial" w:hAnsi="Arial"/>
          <w:sz w:val="18"/>
          <w:szCs w:val="18"/>
          <w:color w:val="auto"/>
        </w:rPr>
      </w:pPr>
    </w:p>
    <w:p>
      <w:pPr>
        <w:ind w:left="640" w:hanging="317"/>
        <w:spacing w:after="0"/>
        <w:tabs>
          <w:tab w:leader="none" w:pos="6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5"/>
          <w:szCs w:val="15"/>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10795</wp:posOffset>
            </wp:positionV>
            <wp:extent cx="3068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Vincent Roche</w:t>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06"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July 31, 2021 as filed with the Securities and Exchange Commission on the date hereof (the “Report”), the undersigned, Prashanth Mahendra-Rajah, Chief Financial Officer of the Company, hereby certifies, pursuant to 18 U.S.C. Section 1350, that:</w:t>
      </w:r>
    </w:p>
    <w:p>
      <w:pPr>
        <w:spacing w:after="0" w:line="29" w:lineRule="exact"/>
        <w:rPr>
          <w:sz w:val="20"/>
          <w:szCs w:val="20"/>
          <w:color w:val="auto"/>
        </w:rPr>
      </w:pPr>
    </w:p>
    <w:p>
      <w:pPr>
        <w:ind w:left="640" w:hanging="317"/>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57" w:lineRule="exact"/>
        <w:rPr>
          <w:rFonts w:ascii="Arial" w:cs="Arial" w:eastAsia="Arial" w:hAnsi="Arial"/>
          <w:sz w:val="18"/>
          <w:szCs w:val="18"/>
          <w:color w:val="auto"/>
        </w:rPr>
      </w:pPr>
    </w:p>
    <w:p>
      <w:pPr>
        <w:ind w:left="640" w:hanging="317"/>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8"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August 18, 2021</w:t>
      </w:r>
      <w:r>
        <w:rPr>
          <w:sz w:val="20"/>
          <w:szCs w:val="20"/>
          <w:color w:val="auto"/>
        </w:rPr>
        <w:tab/>
      </w:r>
      <w:r>
        <w:rPr>
          <w:rFonts w:ascii="Arial" w:cs="Arial" w:eastAsia="Arial" w:hAnsi="Arial"/>
          <w:sz w:val="15"/>
          <w:szCs w:val="15"/>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3860800</wp:posOffset>
            </wp:positionH>
            <wp:positionV relativeFrom="paragraph">
              <wp:posOffset>10795</wp:posOffset>
            </wp:positionV>
            <wp:extent cx="30689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1"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Prashanth Mahendra-Rajah</w:t>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decimal"/>
      <w:start w:val="104"/>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decimal"/>
      <w:start w:val="3"/>
    </w:lvl>
  </w:abstractNum>
  <w:abstractNum w:abstractNumId="28">
    <w:nsid w:val="22221A70"/>
    <w:multiLevelType w:val="hybridMultilevel"/>
    <w:lvl w:ilvl="0">
      <w:lvlJc w:val="left"/>
      <w:lvlText w:val="%1."/>
      <w:numFmt w:val="decimal"/>
      <w:start w:val="4"/>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2"/>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0" Type="http://schemas.openxmlformats.org/officeDocument/2006/relationships/hyperlink" Target="http://www.sec.gov/Archives/edgar/data/6281/000119312521197254/d17704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2021-08-18T06:09:09Z</dcterms:created>
  <dcterms:modified xsi:type="dcterms:W3CDTF">2021-08-18T06:09:09Z</dcterms:modified>
</cp:coreProperties>
</file>