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ind w:left="80"/>
        <w:spacing w:after="0"/>
        <w:rPr>
          <w:sz w:val="20"/>
          <w:szCs w:val="20"/>
          <w:color w:val="auto"/>
        </w:rPr>
      </w:pPr>
      <w:r>
        <w:rPr>
          <w:rFonts w:ascii="Arial" w:cs="Arial" w:eastAsia="Arial" w:hAnsi="Arial"/>
          <w:sz w:val="18"/>
          <w:szCs w:val="18"/>
          <w:color w:val="auto"/>
        </w:rPr>
        <w:t>Date of Report (Date of earliest event reported): May 22, 2019</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Massachusetts</w:t>
            </w:r>
          </w:p>
        </w:tc>
        <w:tc>
          <w:tcPr>
            <w:tcW w:w="3540" w:type="dxa"/>
            <w:vAlign w:val="bottom"/>
          </w:tcPr>
          <w:p>
            <w:pPr>
              <w:jc w:val="right"/>
              <w:ind w:right="1430"/>
              <w:spacing w:after="0"/>
              <w:rPr>
                <w:sz w:val="20"/>
                <w:szCs w:val="20"/>
                <w:color w:val="auto"/>
              </w:rPr>
            </w:pPr>
            <w:r>
              <w:rPr>
                <w:rFonts w:ascii="Arial" w:cs="Arial" w:eastAsia="Arial" w:hAnsi="Arial"/>
                <w:sz w:val="18"/>
                <w:szCs w:val="18"/>
                <w:b w:val="1"/>
                <w:bCs w:val="1"/>
                <w:color w:val="auto"/>
              </w:rPr>
              <w:t>1-7819</w:t>
            </w:r>
          </w:p>
        </w:tc>
        <w:tc>
          <w:tcPr>
            <w:tcW w:w="460" w:type="dxa"/>
            <w:vAlign w:val="bottom"/>
          </w:tcPr>
          <w:p>
            <w:pPr>
              <w:spacing w:after="0"/>
              <w:rPr>
                <w:sz w:val="20"/>
                <w:szCs w:val="20"/>
                <w:color w:val="auto"/>
              </w:rPr>
            </w:pPr>
          </w:p>
        </w:tc>
        <w:tc>
          <w:tcPr>
            <w:tcW w:w="3520" w:type="dxa"/>
            <w:vAlign w:val="bottom"/>
          </w:tcPr>
          <w:p>
            <w:pPr>
              <w:jc w:val="right"/>
              <w:ind w:right="1230"/>
              <w:spacing w:after="0"/>
              <w:rPr>
                <w:sz w:val="20"/>
                <w:szCs w:val="20"/>
                <w:color w:val="auto"/>
              </w:rPr>
            </w:pPr>
            <w:r>
              <w:rPr>
                <w:rFonts w:ascii="Arial" w:cs="Arial" w:eastAsia="Arial" w:hAnsi="Arial"/>
                <w:sz w:val="18"/>
                <w:szCs w:val="18"/>
                <w:b w:val="1"/>
                <w:bCs w:val="1"/>
                <w:color w:val="auto"/>
              </w:rPr>
              <w:t>04-2348234</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(State or other jurisdiction</w:t>
            </w:r>
          </w:p>
        </w:tc>
        <w:tc>
          <w:tcPr>
            <w:tcW w:w="4000" w:type="dxa"/>
            <w:vAlign w:val="bottom"/>
            <w:gridSpan w:val="2"/>
          </w:tcPr>
          <w:p>
            <w:pPr>
              <w:ind w:left="1260"/>
              <w:spacing w:after="0"/>
              <w:rPr>
                <w:sz w:val="20"/>
                <w:szCs w:val="20"/>
                <w:color w:val="auto"/>
              </w:rPr>
            </w:pPr>
            <w:r>
              <w:rPr>
                <w:rFonts w:ascii="Arial" w:cs="Arial" w:eastAsia="Arial" w:hAnsi="Arial"/>
                <w:sz w:val="18"/>
                <w:szCs w:val="18"/>
                <w:color w:val="auto"/>
              </w:rPr>
              <w:t>(Commission</w:t>
            </w:r>
          </w:p>
        </w:tc>
        <w:tc>
          <w:tcPr>
            <w:tcW w:w="3520" w:type="dxa"/>
            <w:vAlign w:val="bottom"/>
          </w:tcPr>
          <w:p>
            <w:pPr>
              <w:ind w:left="1180"/>
              <w:spacing w:after="0"/>
              <w:rPr>
                <w:sz w:val="20"/>
                <w:szCs w:val="20"/>
                <w:color w:val="auto"/>
              </w:rPr>
            </w:pPr>
            <w:r>
              <w:rPr>
                <w:rFonts w:ascii="Arial" w:cs="Arial" w:eastAsia="Arial" w:hAnsi="Arial"/>
                <w:sz w:val="18"/>
                <w:szCs w:val="18"/>
                <w:color w:val="auto"/>
              </w:rPr>
              <w:t>(IRS Employer</w:t>
            </w:r>
          </w:p>
        </w:tc>
      </w:tr>
      <w:tr>
        <w:trPr>
          <w:trHeight w:val="230"/>
        </w:trPr>
        <w:tc>
          <w:tcPr>
            <w:tcW w:w="390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of incorporation</w:t>
            </w:r>
          </w:p>
        </w:tc>
        <w:tc>
          <w:tcPr>
            <w:tcW w:w="4000" w:type="dxa"/>
            <w:vAlign w:val="bottom"/>
            <w:gridSpan w:val="2"/>
          </w:tcPr>
          <w:p>
            <w:pPr>
              <w:ind w:left="1280"/>
              <w:spacing w:after="0"/>
              <w:rPr>
                <w:sz w:val="20"/>
                <w:szCs w:val="20"/>
                <w:color w:val="auto"/>
              </w:rPr>
            </w:pPr>
            <w:r>
              <w:rPr>
                <w:rFonts w:ascii="Arial" w:cs="Arial" w:eastAsia="Arial" w:hAnsi="Arial"/>
                <w:sz w:val="18"/>
                <w:szCs w:val="18"/>
                <w:color w:val="auto"/>
              </w:rPr>
              <w:t>File 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200" w:type="dxa"/>
            <w:vAlign w:val="bottom"/>
            <w:gridSpan w:val="3"/>
          </w:tcPr>
          <w:p>
            <w:pPr>
              <w:ind w:left="1340"/>
              <w:spacing w:after="0"/>
              <w:rPr>
                <w:sz w:val="20"/>
                <w:szCs w:val="20"/>
                <w:color w:val="auto"/>
              </w:rPr>
            </w:pPr>
            <w:r>
              <w:rPr>
                <w:rFonts w:ascii="Arial" w:cs="Arial" w:eastAsia="Arial" w:hAnsi="Arial"/>
                <w:sz w:val="18"/>
                <w:szCs w:val="18"/>
                <w:b w:val="1"/>
                <w:bCs w:val="1"/>
                <w:color w:val="auto"/>
              </w:rPr>
              <w:t>One Technology Way, Norwood, MA</w:t>
            </w:r>
          </w:p>
        </w:tc>
        <w:tc>
          <w:tcPr>
            <w:tcW w:w="3220" w:type="dxa"/>
            <w:vAlign w:val="bottom"/>
          </w:tcPr>
          <w:p>
            <w:pPr>
              <w:jc w:val="right"/>
              <w:ind w:right="2410"/>
              <w:spacing w:after="0"/>
              <w:rPr>
                <w:sz w:val="20"/>
                <w:szCs w:val="20"/>
                <w:color w:val="auto"/>
              </w:rPr>
            </w:pPr>
            <w:r>
              <w:rPr>
                <w:rFonts w:ascii="Arial" w:cs="Arial" w:eastAsia="Arial" w:hAnsi="Arial"/>
                <w:sz w:val="18"/>
                <w:szCs w:val="18"/>
                <w:b w:val="1"/>
                <w:bCs w:val="1"/>
                <w:color w:val="auto"/>
              </w:rPr>
              <w:t>02062</w:t>
            </w: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8200" w:type="dxa"/>
            <w:vAlign w:val="bottom"/>
            <w:gridSpan w:val="3"/>
          </w:tcPr>
          <w:p>
            <w:pPr>
              <w:ind w:left="1320"/>
              <w:spacing w:after="0"/>
              <w:rPr>
                <w:sz w:val="20"/>
                <w:szCs w:val="20"/>
                <w:color w:val="auto"/>
              </w:rPr>
            </w:pPr>
            <w:r>
              <w:rPr>
                <w:rFonts w:ascii="Arial" w:cs="Arial" w:eastAsia="Arial" w:hAnsi="Arial"/>
                <w:sz w:val="18"/>
                <w:szCs w:val="18"/>
                <w:color w:val="auto"/>
              </w:rPr>
              <w:t>(Address of principal executive offices)</w:t>
            </w:r>
          </w:p>
        </w:tc>
        <w:tc>
          <w:tcPr>
            <w:tcW w:w="3220" w:type="dxa"/>
            <w:vAlign w:val="bottom"/>
          </w:tcPr>
          <w:p>
            <w:pPr>
              <w:jc w:val="center"/>
              <w:ind w:right="2170"/>
              <w:spacing w:after="0"/>
              <w:rPr>
                <w:sz w:val="20"/>
                <w:szCs w:val="20"/>
                <w:color w:val="auto"/>
              </w:rPr>
            </w:pPr>
            <w:r>
              <w:rPr>
                <w:rFonts w:ascii="Arial" w:cs="Arial" w:eastAsia="Arial" w:hAnsi="Arial"/>
                <w:sz w:val="18"/>
                <w:szCs w:val="18"/>
                <w:color w:val="auto"/>
                <w:w w:val="94"/>
              </w:rPr>
              <w:t>(Zip Code)</w:t>
            </w:r>
          </w:p>
        </w:tc>
      </w:tr>
      <w:tr>
        <w:trPr>
          <w:trHeight w:val="540"/>
        </w:trPr>
        <w:tc>
          <w:tcPr>
            <w:tcW w:w="8200" w:type="dxa"/>
            <w:vAlign w:val="bottom"/>
            <w:gridSpan w:val="3"/>
          </w:tcPr>
          <w:p>
            <w:pPr>
              <w:ind w:left="3220"/>
              <w:spacing w:after="0"/>
              <w:rPr>
                <w:sz w:val="20"/>
                <w:szCs w:val="20"/>
                <w:color w:val="auto"/>
              </w:rPr>
            </w:pPr>
            <w:r>
              <w:rPr>
                <w:rFonts w:ascii="Arial" w:cs="Arial" w:eastAsia="Arial" w:hAnsi="Arial"/>
                <w:sz w:val="18"/>
                <w:szCs w:val="18"/>
                <w:color w:val="auto"/>
                <w:w w:val="91"/>
              </w:rPr>
              <w:t>Registrant's telephone number, including area code: (781) 329-4700</w:t>
            </w:r>
          </w:p>
        </w:tc>
        <w:tc>
          <w:tcPr>
            <w:tcW w:w="32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2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3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420"/>
          </w:cols>
          <w:pgMar w:left="240" w:top="684"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75"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On May 22, 2019, Analog Devices, Inc. (the “Registrant”) announced its financial results for its fiscal second quarter ended May 4, 2019. The full text of the press release issued by the Registrant concerning the foregoing results is furnished herewith as Exhibit 99.1.</w:t>
      </w:r>
    </w:p>
    <w:p>
      <w:pPr>
        <w:spacing w:after="0" w:line="116" w:lineRule="exact"/>
        <w:rPr>
          <w:sz w:val="20"/>
          <w:szCs w:val="20"/>
          <w:color w:val="auto"/>
        </w:rPr>
      </w:pPr>
    </w:p>
    <w:p>
      <w:pPr>
        <w:ind w:firstLine="392"/>
        <w:spacing w:after="0" w:line="302" w:lineRule="auto"/>
        <w:rPr>
          <w:sz w:val="20"/>
          <w:szCs w:val="20"/>
          <w:color w:val="auto"/>
        </w:rPr>
      </w:pPr>
      <w:r>
        <w:rPr>
          <w:rFonts w:ascii="Arial" w:cs="Arial" w:eastAsia="Arial" w:hAnsi="Arial"/>
          <w:sz w:val="16"/>
          <w:szCs w:val="16"/>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9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100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1560" w:type="dxa"/>
            <w:vAlign w:val="bottom"/>
          </w:tcPr>
          <w:p>
            <w:pPr>
              <w:spacing w:after="0"/>
              <w:rPr>
                <w:sz w:val="17"/>
                <w:szCs w:val="17"/>
                <w:color w:val="auto"/>
              </w:rPr>
            </w:pPr>
          </w:p>
        </w:tc>
      </w:tr>
      <w:tr>
        <w:trPr>
          <w:trHeight w:val="520"/>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2400" w:type="dxa"/>
            <w:vAlign w:val="bottom"/>
            <w:tcBorders>
              <w:bottom w:val="single" w:sz="8" w:color="0000FF"/>
            </w:tcBorders>
            <w:gridSpan w:val="2"/>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May 22, 2019</w:t>
              </w:r>
            </w:hyperlink>
          </w:p>
        </w:tc>
      </w:tr>
    </w:tbl>
    <w:p>
      <w:pPr>
        <w:sectPr>
          <w:pgSz w:w="11900" w:h="16838" w:orient="portrait"/>
          <w:cols w:equalWidth="0" w:num="1">
            <w:col w:w="11400"/>
          </w:cols>
          <w:pgMar w:left="240" w:top="661"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200"/>
        <w:spacing w:after="0"/>
        <w:tabs>
          <w:tab w:leader="none" w:pos="740" w:val="left"/>
          <w:tab w:leader="none" w:pos="6180" w:val="left"/>
        </w:tabs>
        <w:rPr>
          <w:sz w:val="20"/>
          <w:szCs w:val="20"/>
          <w:color w:val="auto"/>
        </w:rPr>
      </w:pPr>
      <w:r>
        <w:rPr>
          <w:rFonts w:ascii="Arial" w:cs="Arial" w:eastAsia="Arial" w:hAnsi="Arial"/>
          <w:sz w:val="18"/>
          <w:szCs w:val="18"/>
          <w:color w:val="auto"/>
        </w:rPr>
        <w:t>Date:</w:t>
        <w:tab/>
        <w:t>May 22, 2019</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000"/>
          </w:cols>
          <w:pgMar w:left="240" w:top="665" w:right="6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Analog Devices Reports Second Quarter Fiscal 2019 Results with Revenue and EPS at the High-End of Guidance</w:t>
      </w:r>
    </w:p>
    <w:p>
      <w:pPr>
        <w:spacing w:after="0" w:line="21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Revenue of $1.53 billion led by strong growth in our communication applications across multiple markets</w:t>
      </w:r>
    </w:p>
    <w:p>
      <w:pPr>
        <w:spacing w:after="0" w:line="21"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B2B revenue increased year-over-year for the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consecutive quarter</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Operating Cash Flow of $2.4 billion and Free Cash Flow of $2.1 billion on a trailing twelve months basis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Returned over $300 million to shareholders in the second quarter through dividends and share repurchases</w:t>
      </w:r>
    </w:p>
    <w:p>
      <w:pPr>
        <w:spacing w:after="0" w:line="236"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NORWOOD, Mass.--(BUSINESS WIRE)--May 22, 2019</w:t>
      </w:r>
      <w:r>
        <w:rPr>
          <w:rFonts w:ascii="Arial" w:cs="Arial" w:eastAsia="Arial" w:hAnsi="Arial"/>
          <w:sz w:val="22"/>
          <w:szCs w:val="22"/>
          <w:color w:val="auto"/>
        </w:rPr>
        <w:t>--Analog Devices, Inc. (Nasdaq: ADI), a leading global high-performance analog technology company, today announced financial results for its second quarter of fiscal 2019, which ended May 4, 2019.</w:t>
      </w:r>
    </w:p>
    <w:p>
      <w:pPr>
        <w:spacing w:after="0" w:line="155" w:lineRule="exact"/>
        <w:rPr>
          <w:sz w:val="20"/>
          <w:szCs w:val="20"/>
          <w:color w:val="auto"/>
        </w:rPr>
      </w:pPr>
    </w:p>
    <w:p>
      <w:pPr>
        <w:jc w:val="both"/>
        <w:ind w:right="100"/>
        <w:spacing w:after="0" w:line="260" w:lineRule="auto"/>
        <w:rPr>
          <w:sz w:val="20"/>
          <w:szCs w:val="20"/>
          <w:color w:val="auto"/>
        </w:rPr>
      </w:pPr>
      <w:r>
        <w:rPr>
          <w:rFonts w:ascii="Arial" w:cs="Arial" w:eastAsia="Arial" w:hAnsi="Arial"/>
          <w:sz w:val="22"/>
          <w:szCs w:val="22"/>
          <w:color w:val="auto"/>
        </w:rPr>
        <w:t>“We continue to execute exceptionally well in an uncertain environment,” said Vincent Roche, President and CEO. “Revenue and EPS came in at the high-end of our guidance, led by strong growth in our communication applications across multiple markets. All told, B2B revenue increased year-over-year for the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consecutive quarter.”</w:t>
      </w:r>
    </w:p>
    <w:p>
      <w:pPr>
        <w:spacing w:after="0" w:line="129"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“The world around us remains volatile and uncertain, but when I take a step back and look past the geopolitical noise, I am confident that the macrotrends propelling our markets forward are creating unprecedented demand for the technologies we provide. We remain well-positioned to continue to deliver sustainable profitable growth and strong shareholder returns over the long-term.”</w:t>
      </w:r>
    </w:p>
    <w:p>
      <w:pPr>
        <w:sectPr>
          <w:pgSz w:w="11900" w:h="16838" w:orient="portrait"/>
          <w:cols w:equalWidth="0" w:num="1">
            <w:col w:w="11420"/>
          </w:cols>
          <w:pgMar w:left="240" w:top="585"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Performance for the Second Quarter of Fiscal 2019</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Results Summary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 millions, except per-share amounts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244475</wp:posOffset>
            </wp:positionV>
            <wp:extent cx="3927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w:t>
            </w:r>
          </w:p>
        </w:tc>
        <w:tc>
          <w:tcPr>
            <w:tcW w:w="202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May 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ind w:left="560"/>
              <w:spacing w:after="0"/>
              <w:rPr>
                <w:sz w:val="20"/>
                <w:szCs w:val="20"/>
                <w:color w:val="auto"/>
              </w:rPr>
            </w:pPr>
            <w:r>
              <w:rPr>
                <w:rFonts w:ascii="Arial" w:cs="Arial" w:eastAsia="Arial" w:hAnsi="Arial"/>
                <w:sz w:val="18"/>
                <w:szCs w:val="18"/>
                <w:b w:val="1"/>
                <w:bCs w:val="1"/>
                <w:color w:val="auto"/>
              </w:rPr>
              <w:t>May 5,</w:t>
            </w:r>
          </w:p>
        </w:tc>
        <w:tc>
          <w:tcPr>
            <w:tcW w:w="202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 (1)</w:t>
            </w:r>
          </w:p>
        </w:tc>
        <w:tc>
          <w:tcPr>
            <w:tcW w:w="100" w:type="dxa"/>
            <w:vAlign w:val="bottom"/>
          </w:tcPr>
          <w:p>
            <w:pPr>
              <w:spacing w:after="0"/>
              <w:rPr>
                <w:sz w:val="20"/>
                <w:szCs w:val="20"/>
                <w:color w:val="auto"/>
              </w:rPr>
            </w:pPr>
          </w:p>
        </w:tc>
        <w:tc>
          <w:tcPr>
            <w:tcW w:w="2020" w:type="dxa"/>
            <w:vAlign w:val="bottom"/>
          </w:tcPr>
          <w:p>
            <w:pPr>
              <w:jc w:val="right"/>
              <w:ind w:right="630"/>
              <w:spacing w:after="0"/>
              <w:rPr>
                <w:sz w:val="20"/>
                <w:szCs w:val="20"/>
                <w:color w:val="auto"/>
              </w:rPr>
            </w:pPr>
            <w:r>
              <w:rPr>
                <w:rFonts w:ascii="Arial" w:cs="Arial" w:eastAsia="Arial" w:hAnsi="Arial"/>
                <w:sz w:val="18"/>
                <w:szCs w:val="18"/>
                <w:b w:val="1"/>
                <w:bCs w:val="1"/>
                <w:color w:val="auto"/>
              </w:rPr>
              <w:t>Change</w:t>
            </w:r>
          </w:p>
        </w:tc>
      </w:tr>
      <w:tr>
        <w:trPr>
          <w:trHeight w:val="27"/>
        </w:trPr>
        <w:tc>
          <w:tcPr>
            <w:tcW w:w="5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Revenue</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1,527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Gross margin percentage</w:t>
            </w:r>
          </w:p>
        </w:tc>
        <w:tc>
          <w:tcPr>
            <w:tcW w:w="1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2020" w:type="dxa"/>
            <w:vAlign w:val="bottom"/>
          </w:tcPr>
          <w:p>
            <w:pPr>
              <w:jc w:val="right"/>
              <w:ind w:right="150"/>
              <w:spacing w:after="0"/>
              <w:rPr>
                <w:sz w:val="20"/>
                <w:szCs w:val="20"/>
                <w:color w:val="auto"/>
              </w:rPr>
            </w:pPr>
            <w:r>
              <w:rPr>
                <w:rFonts w:ascii="Arial" w:cs="Arial" w:eastAsia="Arial" w:hAnsi="Arial"/>
                <w:sz w:val="18"/>
                <w:szCs w:val="18"/>
                <w:color w:val="auto"/>
              </w:rPr>
              <w:t>(90 bps)</w:t>
            </w: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1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20" w:type="dxa"/>
            <w:vAlign w:val="bottom"/>
          </w:tcPr>
          <w:p>
            <w:pPr>
              <w:jc w:val="right"/>
              <w:ind w:right="150"/>
              <w:spacing w:after="0"/>
              <w:rPr>
                <w:sz w:val="20"/>
                <w:szCs w:val="20"/>
                <w:color w:val="auto"/>
              </w:rPr>
            </w:pPr>
            <w:r>
              <w:rPr>
                <w:rFonts w:ascii="Arial" w:cs="Arial" w:eastAsia="Arial" w:hAnsi="Arial"/>
                <w:sz w:val="18"/>
                <w:szCs w:val="18"/>
                <w:color w:val="auto"/>
              </w:rPr>
              <w:t>(130 bps)</w:t>
            </w: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200" w:type="dxa"/>
            <w:vAlign w:val="bottom"/>
          </w:tcPr>
          <w:p>
            <w:pPr>
              <w:ind w:left="1940"/>
              <w:spacing w:after="0"/>
              <w:rPr>
                <w:sz w:val="20"/>
                <w:szCs w:val="20"/>
                <w:color w:val="auto"/>
              </w:rPr>
            </w:pPr>
            <w:r>
              <w:rPr>
                <w:rFonts w:ascii="Arial" w:cs="Arial" w:eastAsia="Arial" w:hAnsi="Arial"/>
                <w:sz w:val="18"/>
                <w:szCs w:val="18"/>
                <w:b w:val="1"/>
                <w:bCs w:val="1"/>
                <w:color w:val="auto"/>
              </w:rPr>
              <w:t>Adjusted Results</w:t>
            </w:r>
          </w:p>
        </w:tc>
        <w:tc>
          <w:tcPr>
            <w:tcW w:w="1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gross margin</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Adjusted gross margin percentage</w:t>
            </w:r>
          </w:p>
        </w:tc>
        <w:tc>
          <w:tcPr>
            <w:tcW w:w="1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020" w:type="dxa"/>
            <w:vAlign w:val="bottom"/>
          </w:tcPr>
          <w:p>
            <w:pPr>
              <w:jc w:val="right"/>
              <w:ind w:right="150"/>
              <w:spacing w:after="0"/>
              <w:rPr>
                <w:sz w:val="20"/>
                <w:szCs w:val="20"/>
                <w:color w:val="auto"/>
              </w:rPr>
            </w:pPr>
            <w:r>
              <w:rPr>
                <w:rFonts w:ascii="Arial" w:cs="Arial" w:eastAsia="Arial" w:hAnsi="Arial"/>
                <w:sz w:val="18"/>
                <w:szCs w:val="18"/>
                <w:color w:val="auto"/>
              </w:rPr>
              <w:t>(90 bps)</w:t>
            </w: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Adjusted operating margin</w:t>
            </w:r>
          </w:p>
        </w:tc>
        <w:tc>
          <w:tcPr>
            <w:tcW w:w="1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020" w:type="dxa"/>
            <w:vAlign w:val="bottom"/>
          </w:tcPr>
          <w:p>
            <w:pPr>
              <w:jc w:val="right"/>
              <w:ind w:right="150"/>
              <w:spacing w:after="0"/>
              <w:rPr>
                <w:sz w:val="20"/>
                <w:szCs w:val="20"/>
                <w:color w:val="auto"/>
              </w:rPr>
            </w:pPr>
            <w:r>
              <w:rPr>
                <w:rFonts w:ascii="Arial" w:cs="Arial" w:eastAsia="Arial" w:hAnsi="Arial"/>
                <w:sz w:val="18"/>
                <w:szCs w:val="18"/>
                <w:color w:val="auto"/>
              </w:rPr>
              <w:t>(170 bps)</w:t>
            </w:r>
          </w:p>
        </w:tc>
      </w:tr>
      <w:tr>
        <w:trPr>
          <w:trHeight w:val="27"/>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earnings per share</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Cash Generation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81915</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Trailing Twelve Months</w:t>
            </w:r>
          </w:p>
        </w:tc>
      </w:tr>
      <w:tr>
        <w:trPr>
          <w:trHeight w:val="27"/>
        </w:trPr>
        <w:tc>
          <w:tcPr>
            <w:tcW w:w="7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May 4,</w:t>
            </w:r>
          </w:p>
        </w:tc>
        <w:tc>
          <w:tcPr>
            <w:tcW w:w="400" w:type="dxa"/>
            <w:vAlign w:val="bottom"/>
          </w:tcPr>
          <w:p>
            <w:pPr>
              <w:spacing w:after="0"/>
              <w:rPr>
                <w:sz w:val="18"/>
                <w:szCs w:val="18"/>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May 4,</w:t>
            </w:r>
          </w:p>
        </w:tc>
      </w:t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2,378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revenue (1)</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2,074</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revenue (1)</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Cash Return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81915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Trailing Twelve</w:t>
            </w:r>
          </w:p>
        </w:tc>
      </w:tr>
      <w:tr>
        <w:trPr>
          <w:trHeight w:val="234"/>
        </w:trPr>
        <w:tc>
          <w:tcPr>
            <w:tcW w:w="7660" w:type="dxa"/>
            <w:vAlign w:val="bottom"/>
          </w:tcPr>
          <w:p>
            <w:pPr>
              <w:spacing w:after="0"/>
              <w:rPr>
                <w:sz w:val="20"/>
                <w:szCs w:val="20"/>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0"/>
                <w:szCs w:val="20"/>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Months</w:t>
            </w:r>
          </w:p>
        </w:tc>
      </w:tr>
      <w:tr>
        <w:trPr>
          <w:trHeight w:val="27"/>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7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May 4,</w:t>
            </w: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May 4,</w:t>
            </w:r>
          </w:p>
        </w:tc>
      </w:tr>
      <w:tr>
        <w:trPr>
          <w:trHeight w:val="234"/>
        </w:trPr>
        <w:tc>
          <w:tcPr>
            <w:tcW w:w="7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paid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 repurchases</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returned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7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Prior year balances have been restated to reflect the adoption of the new revenue recognition standard in the first quarter of fiscal 2019.</w:t>
      </w:r>
    </w:p>
    <w:p>
      <w:pPr>
        <w:sectPr>
          <w:pgSz w:w="11900" w:h="16838" w:orient="portrait"/>
          <w:cols w:equalWidth="0" w:num="1">
            <w:col w:w="11420"/>
          </w:cols>
          <w:pgMar w:left="240" w:top="585"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Outlook for the Third Quarter of Fiscal Year 2019</w:t>
      </w:r>
    </w:p>
    <w:p>
      <w:pPr>
        <w:spacing w:after="0" w:line="199" w:lineRule="exact"/>
        <w:rPr>
          <w:sz w:val="20"/>
          <w:szCs w:val="20"/>
          <w:color w:val="auto"/>
        </w:rPr>
      </w:pPr>
    </w:p>
    <w:p>
      <w:pPr>
        <w:jc w:val="both"/>
        <w:ind w:right="100"/>
        <w:spacing w:after="0" w:line="312" w:lineRule="auto"/>
        <w:rPr>
          <w:sz w:val="20"/>
          <w:szCs w:val="20"/>
          <w:color w:val="auto"/>
        </w:rPr>
      </w:pPr>
      <w:r>
        <w:rPr>
          <w:rFonts w:ascii="Arial" w:cs="Arial" w:eastAsia="Arial" w:hAnsi="Arial"/>
          <w:sz w:val="19"/>
          <w:szCs w:val="19"/>
          <w:color w:val="auto"/>
        </w:rPr>
        <w:t>Our third quarter guidance takes into account the estimated impact on ADI from the U.S. Government’s recently announced export restrictions on a large communications company. At this time, we have ceased shipments of products to that company, and we are currently reviewing our ability to resume shipments under the recently announced temporary general license.</w:t>
      </w:r>
    </w:p>
    <w:p>
      <w:pPr>
        <w:spacing w:after="0" w:line="174" w:lineRule="exact"/>
        <w:rPr>
          <w:sz w:val="20"/>
          <w:szCs w:val="20"/>
          <w:color w:val="auto"/>
        </w:rPr>
      </w:pPr>
    </w:p>
    <w:p>
      <w:pPr>
        <w:ind w:right="220"/>
        <w:spacing w:after="0" w:line="312" w:lineRule="auto"/>
        <w:rPr>
          <w:sz w:val="20"/>
          <w:szCs w:val="20"/>
          <w:color w:val="auto"/>
        </w:rPr>
      </w:pPr>
      <w:r>
        <w:rPr>
          <w:rFonts w:ascii="Arial" w:cs="Arial" w:eastAsia="Arial" w:hAnsi="Arial"/>
          <w:sz w:val="19"/>
          <w:szCs w:val="19"/>
          <w:color w:val="auto"/>
        </w:rPr>
        <w:t>For the third quarter of fiscal 2019, we are forecasting revenue of $1.45 billion, +/- $50 million. At the midpoint of this revenue outlook, we expect reported operating margins of approximately 29.7%, and adjusted operating margins of approximately 40.5%. We are planning for reported EPS to be $0.86, +/- $0.07, and adjusted EPS to be $1.22, +/- $0.07.</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Our third quarter fiscal 2019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9"/>
          <w:szCs w:val="19"/>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press release. See also “Non-GAAP Financial Information” section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Dividend Payment</w:t>
      </w:r>
    </w:p>
    <w:p>
      <w:pPr>
        <w:spacing w:after="0" w:line="266"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The ADI Board of Directors has declared a quarterly cash dividend of $0.54 per outstanding share of common stock. The dividend will be paid on June 11, 2019 to all shareholders of record at the close of business on May 31, 2019.</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Scheduled for Today, Wednesday, May 22, 2019 at 10:00 am ET</w:t>
      </w:r>
    </w:p>
    <w:p>
      <w:pPr>
        <w:spacing w:after="0" w:line="266" w:lineRule="exact"/>
        <w:rPr>
          <w:sz w:val="20"/>
          <w:szCs w:val="20"/>
          <w:color w:val="auto"/>
        </w:rPr>
      </w:pPr>
    </w:p>
    <w:p>
      <w:pPr>
        <w:jc w:val="both"/>
        <w:ind w:right="240"/>
        <w:spacing w:after="0" w:line="253" w:lineRule="auto"/>
        <w:rPr>
          <w:sz w:val="20"/>
          <w:szCs w:val="20"/>
          <w:color w:val="auto"/>
        </w:rPr>
      </w:pPr>
      <w:r>
        <w:rPr>
          <w:rFonts w:ascii="Arial" w:cs="Arial" w:eastAsia="Arial" w:hAnsi="Arial"/>
          <w:sz w:val="22"/>
          <w:szCs w:val="22"/>
          <w:color w:val="auto"/>
        </w:rPr>
        <w:t>ADI will host a conference call to discuss our second quarter fiscal 2019 results and short-term outlook today, beginning at 10:00 am ET. Investors may join via webcast, accessible at investor.analog.com, or by telephone (call 706-634-7193 ten minutes before the call begins and provide the password "ADI").</w:t>
      </w:r>
    </w:p>
    <w:p>
      <w:pPr>
        <w:spacing w:after="0" w:line="226" w:lineRule="exact"/>
        <w:rPr>
          <w:sz w:val="20"/>
          <w:szCs w:val="20"/>
          <w:color w:val="auto"/>
        </w:rPr>
      </w:pPr>
    </w:p>
    <w:p>
      <w:pPr>
        <w:ind w:right="320"/>
        <w:spacing w:after="0" w:line="287" w:lineRule="auto"/>
        <w:rPr>
          <w:sz w:val="20"/>
          <w:szCs w:val="20"/>
          <w:color w:val="auto"/>
        </w:rPr>
      </w:pPr>
      <w:r>
        <w:rPr>
          <w:rFonts w:ascii="Arial" w:cs="Arial" w:eastAsia="Arial" w:hAnsi="Arial"/>
          <w:sz w:val="21"/>
          <w:szCs w:val="21"/>
          <w:color w:val="auto"/>
        </w:rPr>
        <w:t>A replay will be available two hours after the completion of the call. The replay may be accessed for up to two weeks by dialing 855-859-2056 (replay only) and providing the conference ID: 4736779, or by visiting investor.analog.com.</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Information</w:t>
      </w:r>
    </w:p>
    <w:p>
      <w:pPr>
        <w:spacing w:after="0" w:line="199"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This release includes non-GAAP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measures to the most directly</w:t>
      </w:r>
    </w:p>
    <w:p>
      <w:pPr>
        <w:sectPr>
          <w:pgSz w:w="11900" w:h="16838" w:orient="portrait"/>
          <w:cols w:equalWidth="0" w:num="1">
            <w:col w:w="11420"/>
          </w:cols>
          <w:pgMar w:left="240" w:top="585" w:right="239" w:bottom="1440" w:gutter="0" w:footer="0" w:header="0"/>
        </w:sectPr>
      </w:pPr>
    </w:p>
    <w:bookmarkStart w:id="6" w:name="page7"/>
    <w:bookmarkEnd w:id="6"/>
    <w:p>
      <w:pPr>
        <w:ind w:right="120"/>
        <w:spacing w:after="0" w:line="263" w:lineRule="auto"/>
        <w:rPr>
          <w:sz w:val="20"/>
          <w:szCs w:val="20"/>
          <w:color w:val="auto"/>
        </w:rPr>
      </w:pPr>
      <w:r>
        <w:rPr>
          <w:rFonts w:ascii="Arial" w:cs="Arial" w:eastAsia="Arial" w:hAnsi="Arial"/>
          <w:sz w:val="22"/>
          <w:szCs w:val="22"/>
          <w:color w:val="auto"/>
        </w:rPr>
        <w:t>comparable financial measures calculated and presented in accordance with GAAP are provided in the financial tables included in this release.</w:t>
      </w:r>
    </w:p>
    <w:p>
      <w:pPr>
        <w:spacing w:after="0" w:line="40" w:lineRule="exact"/>
        <w:rPr>
          <w:sz w:val="20"/>
          <w:szCs w:val="20"/>
          <w:color w:val="auto"/>
        </w:rPr>
      </w:pPr>
    </w:p>
    <w:p>
      <w:pPr>
        <w:ind w:right="140"/>
        <w:spacing w:after="0" w:line="258" w:lineRule="auto"/>
        <w:rPr>
          <w:sz w:val="20"/>
          <w:szCs w:val="20"/>
          <w:color w:val="auto"/>
        </w:rPr>
      </w:pPr>
      <w:r>
        <w:rPr>
          <w:rFonts w:ascii="Arial" w:cs="Arial" w:eastAsia="Arial" w:hAnsi="Arial"/>
          <w:sz w:val="21"/>
          <w:szCs w:val="21"/>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51"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income before income taxes, adjusted provision for income taxes, adjusted tax rate, adjusted diluted earnings per share (EPS), free cash flow, and free cash flow margin.</w:t>
      </w:r>
    </w:p>
    <w:p>
      <w:pPr>
        <w:spacing w:after="0" w:line="53" w:lineRule="exact"/>
        <w:rPr>
          <w:sz w:val="20"/>
          <w:szCs w:val="20"/>
          <w:color w:val="auto"/>
        </w:rPr>
      </w:pPr>
    </w:p>
    <w:p>
      <w:pPr>
        <w:ind w:right="440"/>
        <w:spacing w:after="0" w:line="228" w:lineRule="auto"/>
        <w:rPr>
          <w:sz w:val="20"/>
          <w:szCs w:val="20"/>
          <w:color w:val="auto"/>
        </w:rPr>
      </w:pPr>
      <w:r>
        <w:rPr>
          <w:rFonts w:ascii="Arial" w:cs="Arial" w:eastAsia="Arial" w:hAnsi="Arial"/>
          <w:sz w:val="22"/>
          <w:szCs w:val="22"/>
          <w:color w:val="auto"/>
        </w:rPr>
        <w:t xml:space="preserve">Adjusted gross margin is defined as gross margin, determined in accordance with GAAP, excluding certain </w:t>
      </w:r>
      <w:r>
        <w:rPr>
          <w:rFonts w:ascii="Arial" w:cs="Arial" w:eastAsia="Arial" w:hAnsi="Arial"/>
          <w:sz w:val="22"/>
          <w:szCs w:val="22"/>
          <w:i w:val="1"/>
          <w:iCs w:val="1"/>
          <w:color w:val="auto"/>
        </w:rPr>
        <w:t>acquisition-related</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8"/>
          <w:szCs w:val="28"/>
          <w:color w:val="auto"/>
          <w:vertAlign w:val="superscript"/>
        </w:rPr>
        <w:t>1</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w:t>
      </w:r>
      <w:r>
        <w:rPr>
          <w:rFonts w:ascii="Arial" w:cs="Arial" w:eastAsia="Arial" w:hAnsi="Arial"/>
          <w:sz w:val="22"/>
          <w:szCs w:val="22"/>
          <w:i w:val="1"/>
          <w:iCs w:val="1"/>
          <w:color w:val="auto"/>
        </w:rPr>
        <w:t xml:space="preserve">. </w:t>
      </w:r>
      <w:r>
        <w:rPr>
          <w:rFonts w:ascii="Arial" w:cs="Arial" w:eastAsia="Arial" w:hAnsi="Arial"/>
          <w:sz w:val="22"/>
          <w:szCs w:val="22"/>
          <w:color w:val="auto"/>
        </w:rPr>
        <w:t>Adjusted gross margin percentage represents adjusted gross margin divided by</w:t>
      </w:r>
      <w:r>
        <w:rPr>
          <w:rFonts w:ascii="Arial" w:cs="Arial" w:eastAsia="Arial" w:hAnsi="Arial"/>
          <w:sz w:val="22"/>
          <w:szCs w:val="22"/>
          <w:i w:val="1"/>
          <w:iCs w:val="1"/>
          <w:color w:val="auto"/>
        </w:rPr>
        <w:t xml:space="preserve"> </w:t>
      </w:r>
      <w:r>
        <w:rPr>
          <w:rFonts w:ascii="Arial" w:cs="Arial" w:eastAsia="Arial" w:hAnsi="Arial"/>
          <w:sz w:val="22"/>
          <w:szCs w:val="22"/>
          <w:color w:val="auto"/>
        </w:rPr>
        <w:t>revenue.</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 xml:space="preserve">Adjusted operating expenses is defined as operating expenses, determined in accordance with GAAP, excluding: certain </w:t>
      </w:r>
      <w:r>
        <w:rPr>
          <w:rFonts w:ascii="Arial" w:cs="Arial" w:eastAsia="Arial" w:hAnsi="Arial"/>
          <w:sz w:val="20"/>
          <w:szCs w:val="20"/>
          <w:i w:val="1"/>
          <w:iCs w:val="1"/>
          <w:color w:val="auto"/>
        </w:rPr>
        <w:t>acquisition-related expenses</w:t>
      </w:r>
      <w:r>
        <w:rPr>
          <w:rFonts w:ascii="Arial" w:cs="Arial" w:eastAsia="Arial" w:hAnsi="Arial"/>
          <w:sz w:val="26"/>
          <w:szCs w:val="26"/>
          <w:i w:val="1"/>
          <w:iCs w:val="1"/>
          <w:color w:val="auto"/>
          <w:vertAlign w:val="superscript"/>
        </w:rPr>
        <w:t>1</w:t>
      </w:r>
      <w:r>
        <w:rPr>
          <w:rFonts w:ascii="Arial" w:cs="Arial" w:eastAsia="Arial" w:hAnsi="Arial"/>
          <w:sz w:val="20"/>
          <w:szCs w:val="20"/>
          <w:color w:val="auto"/>
        </w:rPr>
        <w:t>;</w:t>
      </w:r>
      <w:r>
        <w:rPr>
          <w:rFonts w:ascii="Arial" w:cs="Arial" w:eastAsia="Arial" w:hAnsi="Arial"/>
          <w:sz w:val="20"/>
          <w:szCs w:val="20"/>
          <w:i w:val="1"/>
          <w:iCs w:val="1"/>
          <w:color w:val="auto"/>
        </w:rPr>
        <w:t xml:space="preserve"> acquisition-related transaction costs</w:t>
      </w:r>
      <w:r>
        <w:rPr>
          <w:rFonts w:ascii="Arial" w:cs="Arial" w:eastAsia="Arial" w:hAnsi="Arial"/>
          <w:sz w:val="26"/>
          <w:szCs w:val="26"/>
          <w:i w:val="1"/>
          <w:iCs w:val="1"/>
          <w:color w:val="auto"/>
          <w:vertAlign w:val="superscript"/>
        </w:rPr>
        <w:t>2</w:t>
      </w:r>
      <w:r>
        <w:rPr>
          <w:rFonts w:ascii="Arial" w:cs="Arial" w:eastAsia="Arial" w:hAnsi="Arial"/>
          <w:sz w:val="20"/>
          <w:szCs w:val="20"/>
          <w:color w:val="auto"/>
        </w:rPr>
        <w:t>; and</w:t>
      </w:r>
      <w:r>
        <w:rPr>
          <w:rFonts w:ascii="Arial" w:cs="Arial" w:eastAsia="Arial" w:hAnsi="Arial"/>
          <w:sz w:val="20"/>
          <w:szCs w:val="20"/>
          <w:i w:val="1"/>
          <w:iCs w:val="1"/>
          <w:color w:val="auto"/>
        </w:rPr>
        <w:t xml:space="preserve"> restructuring related expense</w:t>
      </w:r>
      <w:r>
        <w:rPr>
          <w:rFonts w:ascii="Arial" w:cs="Arial" w:eastAsia="Arial" w:hAnsi="Arial"/>
          <w:sz w:val="26"/>
          <w:szCs w:val="26"/>
          <w:i w:val="1"/>
          <w:iCs w:val="1"/>
          <w:color w:val="auto"/>
          <w:vertAlign w:val="superscript"/>
        </w:rPr>
        <w:t>3</w:t>
      </w:r>
      <w:r>
        <w:rPr>
          <w:rFonts w:ascii="Arial" w:cs="Arial" w:eastAsia="Arial" w:hAnsi="Arial"/>
          <w:sz w:val="20"/>
          <w:szCs w:val="20"/>
          <w:i w:val="1"/>
          <w:iCs w:val="1"/>
          <w:color w:val="auto"/>
        </w:rPr>
        <w:t xml:space="preserve"> </w:t>
      </w:r>
      <w:r>
        <w:rPr>
          <w:rFonts w:ascii="Arial" w:cs="Arial" w:eastAsia="Arial" w:hAnsi="Arial"/>
          <w:sz w:val="20"/>
          <w:szCs w:val="20"/>
          <w:color w:val="auto"/>
        </w:rPr>
        <w:t>which are described further</w:t>
      </w:r>
      <w:r>
        <w:rPr>
          <w:rFonts w:ascii="Arial" w:cs="Arial" w:eastAsia="Arial" w:hAnsi="Arial"/>
          <w:sz w:val="20"/>
          <w:szCs w:val="20"/>
          <w:i w:val="1"/>
          <w:iCs w:val="1"/>
          <w:color w:val="auto"/>
        </w:rPr>
        <w:t xml:space="preserve"> </w:t>
      </w:r>
      <w:r>
        <w:rPr>
          <w:rFonts w:ascii="Arial" w:cs="Arial" w:eastAsia="Arial" w:hAnsi="Arial"/>
          <w:sz w:val="20"/>
          <w:szCs w:val="20"/>
          <w:color w:val="auto"/>
        </w:rPr>
        <w:t>below. Adjusted operating expenses percentage represents adjusted operating expenses divided by revenue.</w:t>
      </w:r>
    </w:p>
    <w:p>
      <w:pPr>
        <w:spacing w:after="0" w:line="44" w:lineRule="exact"/>
        <w:rPr>
          <w:sz w:val="20"/>
          <w:szCs w:val="20"/>
          <w:color w:val="auto"/>
        </w:rPr>
      </w:pPr>
    </w:p>
    <w:p>
      <w:pPr>
        <w:jc w:val="both"/>
        <w:ind w:right="220"/>
        <w:spacing w:after="0" w:line="228" w:lineRule="auto"/>
        <w:rPr>
          <w:sz w:val="20"/>
          <w:szCs w:val="20"/>
          <w:color w:val="auto"/>
        </w:rPr>
      </w:pPr>
      <w:r>
        <w:rPr>
          <w:rFonts w:ascii="Arial" w:cs="Arial" w:eastAsia="Arial" w:hAnsi="Arial"/>
          <w:sz w:val="22"/>
          <w:szCs w:val="22"/>
          <w:color w:val="auto"/>
        </w:rPr>
        <w:t xml:space="preserve">Adjusted operating income is defined as operating income, determined in accordance with GAAP, excluding: </w:t>
      </w:r>
      <w:r>
        <w:rPr>
          <w:rFonts w:ascii="Arial" w:cs="Arial" w:eastAsia="Arial" w:hAnsi="Arial"/>
          <w:sz w:val="22"/>
          <w:szCs w:val="22"/>
          <w:i w:val="1"/>
          <w:iCs w:val="1"/>
          <w:color w:val="auto"/>
        </w:rPr>
        <w:t>acquisition-related</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w:t>
      </w:r>
      <w:r>
        <w:rPr>
          <w:rFonts w:ascii="Arial" w:cs="Arial" w:eastAsia="Arial" w:hAnsi="Arial"/>
          <w:sz w:val="22"/>
          <w:szCs w:val="22"/>
          <w:i w:val="1"/>
          <w:iCs w:val="1"/>
          <w:color w:val="auto"/>
        </w:rPr>
        <w:t xml:space="preserve"> acquisition-related transaction costs</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 and</w:t>
      </w:r>
      <w:r>
        <w:rPr>
          <w:rFonts w:ascii="Arial" w:cs="Arial" w:eastAsia="Arial" w:hAnsi="Arial"/>
          <w:sz w:val="22"/>
          <w:szCs w:val="22"/>
          <w:i w:val="1"/>
          <w:iCs w:val="1"/>
          <w:color w:val="auto"/>
        </w:rPr>
        <w:t xml:space="preserve"> restructuring related expense</w:t>
      </w:r>
      <w:r>
        <w:rPr>
          <w:rFonts w:ascii="Arial" w:cs="Arial" w:eastAsia="Arial" w:hAnsi="Arial"/>
          <w:sz w:val="28"/>
          <w:szCs w:val="28"/>
          <w:i w:val="1"/>
          <w:iCs w:val="1"/>
          <w:color w:val="auto"/>
          <w:vertAlign w:val="superscript"/>
        </w:rPr>
        <w:t>3</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 Adjusted</w:t>
      </w:r>
      <w:r>
        <w:rPr>
          <w:rFonts w:ascii="Arial" w:cs="Arial" w:eastAsia="Arial" w:hAnsi="Arial"/>
          <w:sz w:val="22"/>
          <w:szCs w:val="22"/>
          <w:i w:val="1"/>
          <w:iCs w:val="1"/>
          <w:color w:val="auto"/>
        </w:rPr>
        <w:t xml:space="preserve"> </w:t>
      </w:r>
      <w:r>
        <w:rPr>
          <w:rFonts w:ascii="Arial" w:cs="Arial" w:eastAsia="Arial" w:hAnsi="Arial"/>
          <w:sz w:val="22"/>
          <w:szCs w:val="22"/>
          <w:color w:val="auto"/>
        </w:rPr>
        <w:t>operating margin represents adjusted operating income divided by revenue.</w:t>
      </w:r>
    </w:p>
    <w:p>
      <w:pPr>
        <w:spacing w:after="0" w:line="64"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 xml:space="preserve">Adjusted income before income taxes is defined as income before income taxes, determined in accordance with GAAP, excluding: </w:t>
      </w:r>
      <w:r>
        <w:rPr>
          <w:rFonts w:ascii="Arial" w:cs="Arial" w:eastAsia="Arial" w:hAnsi="Arial"/>
          <w:sz w:val="22"/>
          <w:szCs w:val="22"/>
          <w:i w:val="1"/>
          <w:iCs w:val="1"/>
          <w:color w:val="auto"/>
        </w:rPr>
        <w:t>acquisition-related 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w:t>
      </w:r>
      <w:r>
        <w:rPr>
          <w:rFonts w:ascii="Arial" w:cs="Arial" w:eastAsia="Arial" w:hAnsi="Arial"/>
          <w:sz w:val="22"/>
          <w:szCs w:val="22"/>
          <w:i w:val="1"/>
          <w:iCs w:val="1"/>
          <w:color w:val="auto"/>
        </w:rPr>
        <w:t xml:space="preserve"> acquisition-related transaction costs</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 and</w:t>
      </w:r>
      <w:r>
        <w:rPr>
          <w:rFonts w:ascii="Arial" w:cs="Arial" w:eastAsia="Arial" w:hAnsi="Arial"/>
          <w:sz w:val="22"/>
          <w:szCs w:val="22"/>
          <w:i w:val="1"/>
          <w:iCs w:val="1"/>
          <w:color w:val="auto"/>
        </w:rPr>
        <w:t xml:space="preserve"> restructuring related expense</w:t>
      </w:r>
      <w:r>
        <w:rPr>
          <w:rFonts w:ascii="Arial" w:cs="Arial" w:eastAsia="Arial" w:hAnsi="Arial"/>
          <w:sz w:val="28"/>
          <w:szCs w:val="28"/>
          <w:i w:val="1"/>
          <w:iCs w:val="1"/>
          <w:color w:val="auto"/>
          <w:vertAlign w:val="superscript"/>
        </w:rPr>
        <w:t>3</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w:t>
      </w:r>
      <w:r>
        <w:rPr>
          <w:rFonts w:ascii="Arial" w:cs="Arial" w:eastAsia="Arial" w:hAnsi="Arial"/>
          <w:sz w:val="22"/>
          <w:szCs w:val="22"/>
          <w:i w:val="1"/>
          <w:iCs w:val="1"/>
          <w:color w:val="auto"/>
        </w:rPr>
        <w:t xml:space="preserve"> </w:t>
      </w:r>
      <w:r>
        <w:rPr>
          <w:rFonts w:ascii="Arial" w:cs="Arial" w:eastAsia="Arial" w:hAnsi="Arial"/>
          <w:sz w:val="22"/>
          <w:szCs w:val="22"/>
          <w:color w:val="auto"/>
        </w:rPr>
        <w:t>below.</w:t>
      </w:r>
    </w:p>
    <w:p>
      <w:pPr>
        <w:spacing w:after="0" w:line="66"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Adjusted provision for income taxes is defined as provision for income taxes, determined in accordance with GAAP, excluding </w:t>
      </w:r>
      <w:r>
        <w:rPr>
          <w:rFonts w:ascii="Arial" w:cs="Arial" w:eastAsia="Arial" w:hAnsi="Arial"/>
          <w:sz w:val="22"/>
          <w:szCs w:val="22"/>
          <w:i w:val="1"/>
          <w:iCs w:val="1"/>
          <w:color w:val="auto"/>
        </w:rPr>
        <w:t>tax</w:t>
      </w:r>
      <w:r>
        <w:rPr>
          <w:rFonts w:ascii="Arial" w:cs="Arial" w:eastAsia="Arial" w:hAnsi="Arial"/>
          <w:sz w:val="22"/>
          <w:szCs w:val="22"/>
          <w:color w:val="auto"/>
        </w:rPr>
        <w:t xml:space="preserve"> </w:t>
      </w:r>
      <w:r>
        <w:rPr>
          <w:rFonts w:ascii="Arial" w:cs="Arial" w:eastAsia="Arial" w:hAnsi="Arial"/>
          <w:sz w:val="22"/>
          <w:szCs w:val="22"/>
          <w:i w:val="1"/>
          <w:iCs w:val="1"/>
          <w:color w:val="auto"/>
        </w:rPr>
        <w:t>related items</w:t>
      </w:r>
      <w:r>
        <w:rPr>
          <w:rFonts w:ascii="Arial" w:cs="Arial" w:eastAsia="Arial" w:hAnsi="Arial"/>
          <w:sz w:val="28"/>
          <w:szCs w:val="28"/>
          <w:color w:val="auto"/>
          <w:vertAlign w:val="superscript"/>
        </w:rPr>
        <w:t>4</w:t>
      </w:r>
      <w:r>
        <w:rPr>
          <w:rFonts w:ascii="Arial" w:cs="Arial" w:eastAsia="Arial" w:hAnsi="Arial"/>
          <w:sz w:val="22"/>
          <w:szCs w:val="22"/>
          <w:i w:val="1"/>
          <w:iCs w:val="1"/>
          <w:color w:val="auto"/>
        </w:rPr>
        <w:t xml:space="preserve"> </w:t>
      </w:r>
      <w:r>
        <w:rPr>
          <w:rFonts w:ascii="Arial" w:cs="Arial" w:eastAsia="Arial" w:hAnsi="Arial"/>
          <w:sz w:val="22"/>
          <w:szCs w:val="22"/>
          <w:color w:val="auto"/>
        </w:rPr>
        <w:t>described further below. Adjusted tax rate represents adjusted provision for income taxes divided by adjusted income</w:t>
      </w:r>
      <w:r>
        <w:rPr>
          <w:rFonts w:ascii="Arial" w:cs="Arial" w:eastAsia="Arial" w:hAnsi="Arial"/>
          <w:sz w:val="22"/>
          <w:szCs w:val="22"/>
          <w:i w:val="1"/>
          <w:iCs w:val="1"/>
          <w:color w:val="auto"/>
        </w:rPr>
        <w:t xml:space="preserve"> </w:t>
      </w:r>
      <w:r>
        <w:rPr>
          <w:rFonts w:ascii="Arial" w:cs="Arial" w:eastAsia="Arial" w:hAnsi="Arial"/>
          <w:sz w:val="22"/>
          <w:szCs w:val="22"/>
          <w:color w:val="auto"/>
        </w:rPr>
        <w:t>before income taxes.</w:t>
      </w:r>
    </w:p>
    <w:p>
      <w:pPr>
        <w:spacing w:after="0" w:line="54" w:lineRule="exact"/>
        <w:rPr>
          <w:sz w:val="20"/>
          <w:szCs w:val="20"/>
          <w:color w:val="auto"/>
        </w:rPr>
      </w:pPr>
    </w:p>
    <w:p>
      <w:pPr>
        <w:ind w:right="240"/>
        <w:spacing w:after="0" w:line="260" w:lineRule="auto"/>
        <w:rPr>
          <w:sz w:val="20"/>
          <w:szCs w:val="20"/>
          <w:color w:val="auto"/>
        </w:rPr>
      </w:pPr>
      <w:r>
        <w:rPr>
          <w:rFonts w:ascii="Arial" w:cs="Arial" w:eastAsia="Arial" w:hAnsi="Arial"/>
          <w:sz w:val="19"/>
          <w:szCs w:val="19"/>
          <w:color w:val="auto"/>
        </w:rPr>
        <w:t xml:space="preserve">Adjusted diluted EPS is defined as diluted EPS, determined in accordance with GAAP, excluding: </w:t>
      </w:r>
      <w:r>
        <w:rPr>
          <w:rFonts w:ascii="Arial" w:cs="Arial" w:eastAsia="Arial" w:hAnsi="Arial"/>
          <w:sz w:val="19"/>
          <w:szCs w:val="19"/>
          <w:i w:val="1"/>
          <w:iCs w:val="1"/>
          <w:color w:val="auto"/>
        </w:rPr>
        <w:t>acquisition-related expenses</w:t>
      </w:r>
      <w:r>
        <w:rPr>
          <w:rFonts w:ascii="Arial" w:cs="Arial" w:eastAsia="Arial" w:hAnsi="Arial"/>
          <w:sz w:val="25"/>
          <w:szCs w:val="25"/>
          <w:i w:val="1"/>
          <w:iCs w:val="1"/>
          <w:color w:val="auto"/>
          <w:vertAlign w:val="superscript"/>
        </w:rPr>
        <w:t>1</w:t>
      </w:r>
      <w:r>
        <w:rPr>
          <w:rFonts w:ascii="Arial" w:cs="Arial" w:eastAsia="Arial" w:hAnsi="Arial"/>
          <w:sz w:val="19"/>
          <w:szCs w:val="19"/>
          <w:color w:val="auto"/>
        </w:rPr>
        <w:t xml:space="preserve">; </w:t>
      </w:r>
      <w:r>
        <w:rPr>
          <w:rFonts w:ascii="Arial" w:cs="Arial" w:eastAsia="Arial" w:hAnsi="Arial"/>
          <w:sz w:val="19"/>
          <w:szCs w:val="19"/>
          <w:i w:val="1"/>
          <w:iCs w:val="1"/>
          <w:color w:val="auto"/>
        </w:rPr>
        <w:t>acquisition-related transaction costs</w:t>
      </w:r>
      <w:r>
        <w:rPr>
          <w:rFonts w:ascii="Arial" w:cs="Arial" w:eastAsia="Arial" w:hAnsi="Arial"/>
          <w:sz w:val="25"/>
          <w:szCs w:val="25"/>
          <w:i w:val="1"/>
          <w:iCs w:val="1"/>
          <w:color w:val="auto"/>
          <w:vertAlign w:val="superscript"/>
        </w:rPr>
        <w:t>2</w:t>
      </w:r>
      <w:r>
        <w:rPr>
          <w:rFonts w:ascii="Arial" w:cs="Arial" w:eastAsia="Arial" w:hAnsi="Arial"/>
          <w:sz w:val="19"/>
          <w:szCs w:val="19"/>
          <w:color w:val="auto"/>
        </w:rPr>
        <w:t>,</w:t>
      </w:r>
      <w:r>
        <w:rPr>
          <w:rFonts w:ascii="Arial" w:cs="Arial" w:eastAsia="Arial" w:hAnsi="Arial"/>
          <w:sz w:val="19"/>
          <w:szCs w:val="19"/>
          <w:i w:val="1"/>
          <w:iCs w:val="1"/>
          <w:color w:val="auto"/>
        </w:rPr>
        <w:t xml:space="preserve"> restructuring related expense</w:t>
      </w:r>
      <w:r>
        <w:rPr>
          <w:rFonts w:ascii="Arial" w:cs="Arial" w:eastAsia="Arial" w:hAnsi="Arial"/>
          <w:sz w:val="25"/>
          <w:szCs w:val="25"/>
          <w:i w:val="1"/>
          <w:iCs w:val="1"/>
          <w:color w:val="auto"/>
          <w:vertAlign w:val="superscript"/>
        </w:rPr>
        <w:t>3</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tax related items</w:t>
      </w:r>
      <w:r>
        <w:rPr>
          <w:rFonts w:ascii="Arial" w:cs="Arial" w:eastAsia="Arial" w:hAnsi="Arial"/>
          <w:sz w:val="25"/>
          <w:szCs w:val="25"/>
          <w:color w:val="auto"/>
          <w:vertAlign w:val="superscript"/>
        </w:rPr>
        <w:t>4</w:t>
      </w:r>
      <w:r>
        <w:rPr>
          <w:rFonts w:ascii="Arial" w:cs="Arial" w:eastAsia="Arial" w:hAnsi="Arial"/>
          <w:sz w:val="19"/>
          <w:szCs w:val="19"/>
          <w:i w:val="1"/>
          <w:iCs w:val="1"/>
          <w:color w:val="auto"/>
        </w:rPr>
        <w:t xml:space="preserve"> </w:t>
      </w:r>
      <w:r>
        <w:rPr>
          <w:rFonts w:ascii="Arial" w:cs="Arial" w:eastAsia="Arial" w:hAnsi="Arial"/>
          <w:sz w:val="19"/>
          <w:szCs w:val="19"/>
          <w:color w:val="auto"/>
        </w:rPr>
        <w:t>which are described further below.</w:t>
      </w:r>
    </w:p>
    <w:p>
      <w:pPr>
        <w:ind w:right="520"/>
        <w:spacing w:after="0" w:line="310" w:lineRule="auto"/>
        <w:rPr>
          <w:sz w:val="20"/>
          <w:szCs w:val="20"/>
          <w:color w:val="auto"/>
        </w:rPr>
      </w:pPr>
      <w:r>
        <w:rPr>
          <w:rFonts w:ascii="Arial" w:cs="Arial" w:eastAsia="Arial" w:hAnsi="Arial"/>
          <w:sz w:val="19"/>
          <w:szCs w:val="19"/>
          <w:color w:val="auto"/>
        </w:rPr>
        <w:t>Free cash flow is defined as net cash provided by operating activities, determined in accordance with GAAP, less additions to property, plant and equipment, net. Free cash flow margin percentage represents free cash flow divided by revenue.</w:t>
      </w:r>
    </w:p>
    <w:p>
      <w:pPr>
        <w:spacing w:after="0" w:line="1" w:lineRule="exact"/>
        <w:rPr>
          <w:sz w:val="20"/>
          <w:szCs w:val="20"/>
          <w:color w:val="auto"/>
        </w:rPr>
      </w:pPr>
    </w:p>
    <w:p>
      <w:pPr>
        <w:ind w:left="660" w:right="100"/>
        <w:spacing w:after="0" w:line="231" w:lineRule="auto"/>
        <w:rPr>
          <w:sz w:val="20"/>
          <w:szCs w:val="20"/>
          <w:color w:val="auto"/>
        </w:rPr>
      </w:pPr>
      <w:r>
        <w:rPr>
          <w:rFonts w:ascii="Arial" w:cs="Arial" w:eastAsia="Arial" w:hAnsi="Arial"/>
          <w:sz w:val="28"/>
          <w:szCs w:val="28"/>
          <w:i w:val="1"/>
          <w:iCs w:val="1"/>
          <w:color w:val="auto"/>
          <w:vertAlign w:val="superscript"/>
        </w:rPr>
        <w:t>1</w:t>
      </w:r>
      <w:r>
        <w:rPr>
          <w:rFonts w:ascii="Arial" w:cs="Arial" w:eastAsia="Arial" w:hAnsi="Arial"/>
          <w:sz w:val="22"/>
          <w:szCs w:val="22"/>
          <w:i w:val="1"/>
          <w:iCs w:val="1"/>
          <w:color w:val="auto"/>
        </w:rPr>
        <w:t>Acquisition-Related Expenses</w:t>
      </w:r>
      <w:r>
        <w:rPr>
          <w:rFonts w:ascii="Arial" w:cs="Arial" w:eastAsia="Arial" w:hAnsi="Arial"/>
          <w:sz w:val="22"/>
          <w:szCs w:val="22"/>
          <w:color w:val="auto"/>
        </w:rPr>
        <w:t>: Expenses incurred as a result of current and prior period acquisitions and primarily include</w:t>
      </w:r>
      <w:r>
        <w:rPr>
          <w:rFonts w:ascii="Arial" w:cs="Arial" w:eastAsia="Arial" w:hAnsi="Arial"/>
          <w:sz w:val="22"/>
          <w:szCs w:val="22"/>
          <w:i w:val="1"/>
          <w:iCs w:val="1"/>
          <w:color w:val="auto"/>
        </w:rPr>
        <w:t xml:space="preserve"> </w:t>
      </w:r>
      <w:r>
        <w:rPr>
          <w:rFonts w:ascii="Arial" w:cs="Arial" w:eastAsia="Arial" w:hAnsi="Arial"/>
          <w:sz w:val="22"/>
          <w:szCs w:val="22"/>
          <w:color w:val="auto"/>
        </w:rPr>
        <w:t>expenses associated with the fair value adjustments to inventory, property, plant and equipment and amortization of acquisition related intangibles, which</w:t>
      </w:r>
    </w:p>
    <w:p>
      <w:pPr>
        <w:sectPr>
          <w:pgSz w:w="11900" w:h="16838" w:orient="portrait"/>
          <w:cols w:equalWidth="0" w:num="1">
            <w:col w:w="11380"/>
          </w:cols>
          <w:pgMar w:left="240" w:top="591" w:right="279" w:bottom="1440" w:gutter="0" w:footer="0" w:header="0"/>
        </w:sectPr>
      </w:pPr>
    </w:p>
    <w:bookmarkStart w:id="7" w:name="page8"/>
    <w:bookmarkEnd w:id="7"/>
    <w:p>
      <w:pPr>
        <w:ind w:left="660" w:right="40"/>
        <w:spacing w:after="0" w:line="265" w:lineRule="auto"/>
        <w:rPr>
          <w:sz w:val="20"/>
          <w:szCs w:val="20"/>
          <w:color w:val="auto"/>
        </w:rPr>
      </w:pPr>
      <w:r>
        <w:rPr>
          <w:rFonts w:ascii="Arial" w:cs="Arial" w:eastAsia="Arial" w:hAnsi="Arial"/>
          <w:sz w:val="21"/>
          <w:szCs w:val="21"/>
          <w:color w:val="auto"/>
        </w:rPr>
        <w:t>include acquired intangibles such as purchased technology and customer relationships. Expenses also include severance payments, equity award accelerations and the fair value adjustment associated with the replacement of share-based awards related to the Linear Technology acquisition. We excluded these costs from our non-GAAP measures because they relate to specific transactions and are not reflective of our ongoing financial performance.</w:t>
      </w:r>
    </w:p>
    <w:p>
      <w:pPr>
        <w:spacing w:after="0" w:line="30" w:lineRule="exact"/>
        <w:rPr>
          <w:sz w:val="20"/>
          <w:szCs w:val="20"/>
          <w:color w:val="auto"/>
        </w:rPr>
      </w:pPr>
    </w:p>
    <w:p>
      <w:pPr>
        <w:ind w:left="660" w:right="240"/>
        <w:spacing w:after="0" w:line="275" w:lineRule="auto"/>
        <w:rPr>
          <w:sz w:val="20"/>
          <w:szCs w:val="20"/>
          <w:color w:val="auto"/>
        </w:rPr>
      </w:pPr>
      <w:r>
        <w:rPr>
          <w:rFonts w:ascii="Arial" w:cs="Arial" w:eastAsia="Arial" w:hAnsi="Arial"/>
          <w:sz w:val="25"/>
          <w:szCs w:val="25"/>
          <w:i w:val="1"/>
          <w:iCs w:val="1"/>
          <w:color w:val="auto"/>
          <w:vertAlign w:val="superscript"/>
        </w:rPr>
        <w:t>2</w:t>
      </w:r>
      <w:r>
        <w:rPr>
          <w:rFonts w:ascii="Arial" w:cs="Arial" w:eastAsia="Arial" w:hAnsi="Arial"/>
          <w:sz w:val="19"/>
          <w:szCs w:val="19"/>
          <w:i w:val="1"/>
          <w:iCs w:val="1"/>
          <w:color w:val="auto"/>
        </w:rPr>
        <w:t>Acquisition-Related Transaction Costs</w:t>
      </w:r>
      <w:r>
        <w:rPr>
          <w:rFonts w:ascii="Arial" w:cs="Arial" w:eastAsia="Arial" w:hAnsi="Arial"/>
          <w:sz w:val="19"/>
          <w:szCs w:val="19"/>
          <w:color w:val="auto"/>
        </w:rPr>
        <w:t>: Costs directly related to the Linear Technology acquisition, including legal,</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and other professional fees, as well as integration-related costs. We excluded these costs from our non-GAAP measures because they relate to a specific transaction and are not reflective of our ongoing financial performance.</w:t>
      </w:r>
    </w:p>
    <w:p>
      <w:pPr>
        <w:spacing w:after="0" w:line="21" w:lineRule="exact"/>
        <w:rPr>
          <w:sz w:val="20"/>
          <w:szCs w:val="20"/>
          <w:color w:val="auto"/>
        </w:rPr>
      </w:pPr>
    </w:p>
    <w:p>
      <w:pPr>
        <w:ind w:left="660" w:right="160"/>
        <w:spacing w:after="0" w:line="234" w:lineRule="auto"/>
        <w:rPr>
          <w:sz w:val="20"/>
          <w:szCs w:val="20"/>
          <w:color w:val="auto"/>
        </w:rPr>
      </w:pPr>
      <w:r>
        <w:rPr>
          <w:rFonts w:ascii="Arial" w:cs="Arial" w:eastAsia="Arial" w:hAnsi="Arial"/>
          <w:sz w:val="28"/>
          <w:szCs w:val="28"/>
          <w:i w:val="1"/>
          <w:iCs w:val="1"/>
          <w:color w:val="auto"/>
          <w:vertAlign w:val="superscript"/>
        </w:rPr>
        <w:t>3</w:t>
      </w:r>
      <w:r>
        <w:rPr>
          <w:rFonts w:ascii="Arial" w:cs="Arial" w:eastAsia="Arial" w:hAnsi="Arial"/>
          <w:sz w:val="22"/>
          <w:szCs w:val="22"/>
          <w:i w:val="1"/>
          <w:iCs w:val="1"/>
          <w:color w:val="auto"/>
        </w:rPr>
        <w:t>Restructuring-Related Expense</w:t>
      </w:r>
      <w:r>
        <w:rPr>
          <w:rFonts w:ascii="Arial" w:cs="Arial" w:eastAsia="Arial" w:hAnsi="Arial"/>
          <w:sz w:val="22"/>
          <w:szCs w:val="22"/>
          <w:color w:val="auto"/>
        </w:rPr>
        <w:t>: Expenses incurred in connection with facility closures, consolidation of manufacturing</w:t>
      </w:r>
      <w:r>
        <w:rPr>
          <w:rFonts w:ascii="Arial" w:cs="Arial" w:eastAsia="Arial" w:hAnsi="Arial"/>
          <w:sz w:val="22"/>
          <w:szCs w:val="22"/>
          <w:i w:val="1"/>
          <w:iCs w:val="1"/>
          <w:color w:val="auto"/>
        </w:rPr>
        <w:t xml:space="preserve"> </w:t>
      </w:r>
      <w:r>
        <w:rPr>
          <w:rFonts w:ascii="Arial" w:cs="Arial" w:eastAsia="Arial" w:hAnsi="Arial"/>
          <w:sz w:val="22"/>
          <w:szCs w:val="22"/>
          <w:color w:val="auto"/>
        </w:rPr>
        <w:t>facilities, severance, and other cost reduction efforts. We excluded these expenses from our non-GAAP measures because apart from ongoing expense savings as a result of such items, these expenses have no direct correlation to the operation of our business in the future.</w:t>
      </w:r>
    </w:p>
    <w:p>
      <w:pPr>
        <w:spacing w:after="0" w:line="54" w:lineRule="exact"/>
        <w:rPr>
          <w:sz w:val="20"/>
          <w:szCs w:val="20"/>
          <w:color w:val="auto"/>
        </w:rPr>
      </w:pPr>
    </w:p>
    <w:p>
      <w:pPr>
        <w:ind w:left="660" w:right="40"/>
        <w:spacing w:after="0" w:line="246" w:lineRule="auto"/>
        <w:rPr>
          <w:sz w:val="20"/>
          <w:szCs w:val="20"/>
          <w:color w:val="auto"/>
        </w:rPr>
      </w:pPr>
      <w:r>
        <w:rPr>
          <w:rFonts w:ascii="Arial" w:cs="Arial" w:eastAsia="Arial" w:hAnsi="Arial"/>
          <w:sz w:val="27"/>
          <w:szCs w:val="27"/>
          <w:i w:val="1"/>
          <w:iCs w:val="1"/>
          <w:color w:val="auto"/>
          <w:vertAlign w:val="superscript"/>
        </w:rPr>
        <w:t>4</w:t>
      </w:r>
      <w:r>
        <w:rPr>
          <w:rFonts w:ascii="Arial" w:cs="Arial" w:eastAsia="Arial" w:hAnsi="Arial"/>
          <w:sz w:val="21"/>
          <w:szCs w:val="21"/>
          <w:i w:val="1"/>
          <w:iCs w:val="1"/>
          <w:color w:val="auto"/>
        </w:rPr>
        <w:t>Tax-Related Items</w:t>
      </w:r>
      <w:r>
        <w:rPr>
          <w:rFonts w:ascii="Arial" w:cs="Arial" w:eastAsia="Arial" w:hAnsi="Arial"/>
          <w:sz w:val="21"/>
          <w:szCs w:val="21"/>
          <w:color w:val="auto"/>
        </w:rPr>
        <w:t>: Tax adjustments associated with the non-GAAP items discussed above, discrete tax items including tax</w:t>
      </w:r>
      <w:r>
        <w:rPr>
          <w:rFonts w:ascii="Arial" w:cs="Arial" w:eastAsia="Arial" w:hAnsi="Arial"/>
          <w:sz w:val="21"/>
          <w:szCs w:val="21"/>
          <w:i w:val="1"/>
          <w:iCs w:val="1"/>
          <w:color w:val="auto"/>
        </w:rPr>
        <w:t xml:space="preserve"> </w:t>
      </w:r>
      <w:r>
        <w:rPr>
          <w:rFonts w:ascii="Arial" w:cs="Arial" w:eastAsia="Arial" w:hAnsi="Arial"/>
          <w:sz w:val="21"/>
          <w:szCs w:val="21"/>
          <w:color w:val="auto"/>
        </w:rPr>
        <w:t>expense or benefit related to prior periods, tax expense or benefit related to the impact of the Tax Cuts and Jobs Act of 2017, and uncertain tax positions. We excluded these tax-related items from our non-GAAP measures because they are not associated with the tax expense on our current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Analog Devices</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266" w:lineRule="exact"/>
        <w:rPr>
          <w:sz w:val="20"/>
          <w:szCs w:val="20"/>
          <w:color w:val="auto"/>
        </w:rPr>
      </w:pPr>
    </w:p>
    <w:p>
      <w:pPr>
        <w:ind w:right="80"/>
        <w:spacing w:after="0" w:line="286" w:lineRule="auto"/>
        <w:rPr>
          <w:sz w:val="20"/>
          <w:szCs w:val="20"/>
          <w:color w:val="auto"/>
        </w:rPr>
      </w:pPr>
      <w:r>
        <w:rPr>
          <w:rFonts w:ascii="Arial" w:cs="Arial" w:eastAsia="Arial" w:hAnsi="Arial"/>
          <w:sz w:val="19"/>
          <w:szCs w:val="19"/>
          <w:i w:val="1"/>
          <w:iCs w:val="1"/>
          <w:color w:val="auto"/>
        </w:rPr>
        <w:t>This press release contains forward-looking statements, which address a variety of subjects including, for example, our statements regarding expected revenue, operating margin, earnings per share, and other financial results, expected market trends, market share gains, operating leverage, production and inventory levels, and expected customer demand and order rates for our products expected product offerings, product development and marketing position.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our estimates of our expected tax rate based on current tax law; higher than expected or unexpected costs associated with or relating to the acquisition of Linear Technology and the integration of the businesses; the risk that expected benefits, synergies and growth prospects of the acquisition may not be fully achieved in a timely manner, or at all; the risk that Linear Technology’s business may not be successfully integrated with Analog Devices’; the risk that we will be unable to retain and hire key personnel; and the risk that disruption resulting from the acquisition may</w:t>
      </w:r>
    </w:p>
    <w:p>
      <w:pPr>
        <w:sectPr>
          <w:pgSz w:w="11900" w:h="16838" w:orient="portrait"/>
          <w:cols w:equalWidth="0" w:num="1">
            <w:col w:w="11360"/>
          </w:cols>
          <w:pgMar w:left="240" w:top="672" w:right="299" w:bottom="1440" w:gutter="0" w:footer="0" w:header="0"/>
        </w:sectPr>
      </w:pPr>
    </w:p>
    <w:bookmarkStart w:id="8" w:name="page9"/>
    <w:bookmarkEnd w:id="8"/>
    <w:p>
      <w:pPr>
        <w:ind w:right="220"/>
        <w:spacing w:after="0" w:line="294" w:lineRule="auto"/>
        <w:rPr>
          <w:sz w:val="20"/>
          <w:szCs w:val="20"/>
          <w:color w:val="auto"/>
        </w:rPr>
      </w:pPr>
      <w:r>
        <w:rPr>
          <w:rFonts w:ascii="Arial" w:cs="Arial" w:eastAsia="Arial" w:hAnsi="Arial"/>
          <w:sz w:val="19"/>
          <w:szCs w:val="19"/>
          <w:i w:val="1"/>
          <w:iCs w:val="1"/>
          <w:color w:val="auto"/>
        </w:rPr>
        <w:t>adversely affect our business and relationships with our customers, suppliers or employees.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Quarterly Report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19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(ADI-WEB)</w:t>
      </w:r>
    </w:p>
    <w:p>
      <w:pPr>
        <w:spacing w:after="0" w:line="254" w:lineRule="exact"/>
        <w:rPr>
          <w:sz w:val="20"/>
          <w:szCs w:val="20"/>
          <w:color w:val="auto"/>
        </w:rPr>
      </w:pPr>
    </w:p>
    <w:p>
      <w:pPr>
        <w:ind w:right="40"/>
        <w:spacing w:after="0" w:line="269" w:lineRule="auto"/>
        <w:rPr>
          <w:sz w:val="20"/>
          <w:szCs w:val="20"/>
          <w:color w:val="auto"/>
        </w:rPr>
      </w:pPr>
      <w:r>
        <w:rPr>
          <w:rFonts w:ascii="Arial" w:cs="Arial" w:eastAsia="Arial" w:hAnsi="Arial"/>
          <w:sz w:val="22"/>
          <w:szCs w:val="22"/>
          <w:b w:val="1"/>
          <w:bCs w:val="1"/>
          <w:color w:val="auto"/>
        </w:rPr>
        <w:t xml:space="preserve">For more information, please contact: </w:t>
      </w:r>
      <w:r>
        <w:rPr>
          <w:rFonts w:ascii="Arial" w:cs="Arial" w:eastAsia="Arial" w:hAnsi="Arial"/>
          <w:sz w:val="22"/>
          <w:szCs w:val="22"/>
          <w:color w:val="auto"/>
        </w:rPr>
        <w:t>Mr. Michael Lucarelli, Director of Investor Relations, Analog Devices, Inc. 781-461-3282</w:t>
      </w:r>
      <w:r>
        <w:rPr>
          <w:rFonts w:ascii="Arial" w:cs="Arial" w:eastAsia="Arial" w:hAnsi="Arial"/>
          <w:sz w:val="22"/>
          <w:szCs w:val="22"/>
          <w:b w:val="1"/>
          <w:bCs w:val="1"/>
          <w:color w:val="auto"/>
        </w:rPr>
        <w:t xml:space="preserve"> </w:t>
      </w:r>
      <w:r>
        <w:rPr>
          <w:rFonts w:ascii="Arial" w:cs="Arial" w:eastAsia="Arial" w:hAnsi="Arial"/>
          <w:sz w:val="22"/>
          <w:szCs w:val="22"/>
          <w:color w:val="auto"/>
        </w:rPr>
        <w:t>(phone); investor.relations@analog.com (email).</w:t>
      </w:r>
    </w:p>
    <w:p>
      <w:pPr>
        <w:sectPr>
          <w:pgSz w:w="11900" w:h="16838" w:orient="portrait"/>
          <w:cols w:equalWidth="0" w:num="1">
            <w:col w:w="11400"/>
          </w:cols>
          <w:pgMar w:left="240" w:top="59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91440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6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1818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5840"/>
        <w:spacing w:after="0"/>
        <w:tabs>
          <w:tab w:leader="none" w:pos="7180" w:val="left"/>
        </w:tabs>
        <w:rPr>
          <w:sz w:val="20"/>
          <w:szCs w:val="20"/>
          <w:color w:val="auto"/>
        </w:rPr>
      </w:pPr>
      <w:r>
        <w:rPr>
          <w:rFonts w:ascii="Arial" w:cs="Arial" w:eastAsia="Arial" w:hAnsi="Arial"/>
          <w:sz w:val="18"/>
          <w:szCs w:val="18"/>
          <w:b w:val="1"/>
          <w:bCs w:val="1"/>
          <w:color w:val="auto"/>
        </w:rPr>
        <w:t>May 4, 2019</w:t>
      </w:r>
      <w:r>
        <w:rPr>
          <w:sz w:val="20"/>
          <w:szCs w:val="20"/>
          <w:color w:val="auto"/>
        </w:rPr>
        <w:tab/>
      </w:r>
      <w:r>
        <w:rPr>
          <w:rFonts w:ascii="Arial" w:cs="Arial" w:eastAsia="Arial" w:hAnsi="Arial"/>
          <w:sz w:val="16"/>
          <w:szCs w:val="16"/>
          <w:b w:val="1"/>
          <w:bCs w:val="1"/>
          <w:color w:val="auto"/>
        </w:rPr>
        <w:t>May 5, 2018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18180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34290</wp:posOffset>
            </wp:positionV>
            <wp:extent cx="18008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May 4, 2019</w:t>
      </w:r>
      <w:r>
        <w:rPr>
          <w:sz w:val="20"/>
          <w:szCs w:val="20"/>
          <w:color w:val="auto"/>
        </w:rPr>
        <w:tab/>
      </w:r>
      <w:r>
        <w:rPr>
          <w:rFonts w:ascii="Arial" w:cs="Arial" w:eastAsia="Arial" w:hAnsi="Arial"/>
          <w:sz w:val="16"/>
          <w:szCs w:val="16"/>
          <w:b w:val="1"/>
          <w:bCs w:val="1"/>
          <w:color w:val="auto"/>
        </w:rPr>
        <w:t>May 5, 2018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34290</wp:posOffset>
            </wp:positionV>
            <wp:extent cx="18008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8380" w:space="420"/>
            <w:col w:w="262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1,526,602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1,563,502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3,067,703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3,130,372</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(1)</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492,510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993,955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986,299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1,034,092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1,072,390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2,073,748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2,144,073</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Research &amp; development (1)</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285,846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289,472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573,228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578,069</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marketing and general and administrative (1)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349,054</w:t>
            </w: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214,585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214,148</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charges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58,407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564,397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569,836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1,148,227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1,199,678</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925,521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944,395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Nonoperating expense (income):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132,822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(4,004)</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37"/>
        </w:trPr>
        <w:tc>
          <w:tcPr>
            <w:tcW w:w="56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61,298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62,429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117,178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128,923</w:t>
            </w: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808,343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815,472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121,904</w:t>
            </w: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367,937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400,328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722,943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693,568</w:t>
            </w: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to compute earnings per share - basic</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370,384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369,685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Shares used to compute earnings per share - diluted</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373,342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374,778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372,912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374,430</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(1) Includes stock-based compensation expense as follows: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8,041</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R&amp;D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19,567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38,492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41,746</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marketing and G&amp;A</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27,657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27,029</w:t>
            </w:r>
          </w:p>
        </w:tc>
      </w:tr>
      <w:tr>
        <w:trPr>
          <w:trHeight w:val="27"/>
        </w:trPr>
        <w:tc>
          <w:tcPr>
            <w:tcW w:w="5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40" w:right="420" w:hanging="5"/>
        <w:spacing w:after="0" w:line="277" w:lineRule="auto"/>
        <w:tabs>
          <w:tab w:leader="none" w:pos="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Balances have been restated to reflect the full retrospective adoption of Accounting Standards Update (ASU) 2014-09, Revenue from Contracts with Customers.</w:t>
      </w:r>
    </w:p>
    <w:p>
      <w:pPr>
        <w:sectPr>
          <w:pgSz w:w="11900" w:h="16838" w:orient="portrait"/>
          <w:cols w:equalWidth="0" w:num="1">
            <w:col w:w="11420"/>
          </w:cols>
          <w:pgMar w:left="240" w:top="580"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b w:val="1"/>
                <w:bCs w:val="1"/>
                <w:color w:val="auto"/>
              </w:rPr>
              <w:t>May 4, 2019</w:t>
            </w:r>
          </w:p>
        </w:tc>
        <w:tc>
          <w:tcPr>
            <w:tcW w:w="220" w:type="dxa"/>
            <w:vAlign w:val="bottom"/>
          </w:tcPr>
          <w:p>
            <w:pPr>
              <w:spacing w:after="0"/>
              <w:rPr>
                <w:sz w:val="20"/>
                <w:szCs w:val="20"/>
                <w:color w:val="auto"/>
              </w:rPr>
            </w:pPr>
          </w:p>
        </w:tc>
        <w:tc>
          <w:tcPr>
            <w:tcW w:w="2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November 3, 2018 (1)</w:t>
            </w:r>
          </w:p>
        </w:tc>
      </w:tr>
      <w:tr>
        <w:trPr>
          <w:trHeight w:val="27"/>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Cash &amp;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713,601</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816,591</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685,978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639,717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608,085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586,760</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69,058</w:t>
            </w:r>
          </w:p>
        </w:tc>
      </w:tr>
      <w:tr>
        <w:trPr>
          <w:trHeight w:val="237"/>
        </w:trPr>
        <w:tc>
          <w:tcPr>
            <w:tcW w:w="674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4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2,080,489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2,112,126</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1,154,328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74,277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68,583</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12,250,370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12,252,604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4,489,182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4,778,192</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60,431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62,868</w:t>
            </w:r>
          </w:p>
        </w:tc>
      </w:tr>
      <w:tr>
        <w:trPr>
          <w:trHeight w:val="27"/>
        </w:trPr>
        <w:tc>
          <w:tcPr>
            <w:tcW w:w="6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21,776,325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20,438,366</w:t>
            </w: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990,870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984,748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current</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374,165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67,000</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5,612,365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6,265,674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2,228,822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990,409</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827,845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862,362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11,742,258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11,268,173</w:t>
            </w:r>
          </w:p>
        </w:tc>
      </w:tr>
      <w:tr>
        <w:trPr>
          <w:trHeight w:val="27"/>
        </w:trPr>
        <w:tc>
          <w:tcPr>
            <w:tcW w:w="6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&amp;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21,776,325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20,438,366</w:t>
            </w: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0" w:right="420" w:hanging="5"/>
        <w:spacing w:after="0" w:line="277" w:lineRule="auto"/>
        <w:tabs>
          <w:tab w:leader="none" w:pos="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Balances have been restated to reflect the full retrospective adoption of Accounting Standards Update (ASU) 2014-09, Revenue from Contracts with Customers.</w:t>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91440</wp:posOffset>
            </wp:positionV>
            <wp:extent cx="3833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1878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5620"/>
        <w:spacing w:after="0"/>
        <w:tabs>
          <w:tab w:leader="none" w:pos="7020" w:val="left"/>
        </w:tabs>
        <w:rPr>
          <w:sz w:val="20"/>
          <w:szCs w:val="20"/>
          <w:color w:val="auto"/>
        </w:rPr>
      </w:pPr>
      <w:r>
        <w:rPr>
          <w:rFonts w:ascii="Arial" w:cs="Arial" w:eastAsia="Arial" w:hAnsi="Arial"/>
          <w:sz w:val="18"/>
          <w:szCs w:val="18"/>
          <w:b w:val="1"/>
          <w:bCs w:val="1"/>
          <w:color w:val="auto"/>
        </w:rPr>
        <w:t>May 4, 2019</w:t>
      </w:r>
      <w:r>
        <w:rPr>
          <w:sz w:val="20"/>
          <w:szCs w:val="20"/>
          <w:color w:val="auto"/>
        </w:rPr>
        <w:tab/>
      </w:r>
      <w:r>
        <w:rPr>
          <w:rFonts w:ascii="Arial" w:cs="Arial" w:eastAsia="Arial" w:hAnsi="Arial"/>
          <w:sz w:val="16"/>
          <w:szCs w:val="16"/>
          <w:b w:val="1"/>
          <w:bCs w:val="1"/>
          <w:color w:val="auto"/>
        </w:rPr>
        <w:t>May 5, 2018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1878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34290</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May 4, 2019</w:t>
      </w:r>
      <w:r>
        <w:rPr>
          <w:sz w:val="20"/>
          <w:szCs w:val="20"/>
          <w:color w:val="auto"/>
        </w:rPr>
        <w:tab/>
      </w:r>
      <w:r>
        <w:rPr>
          <w:rFonts w:ascii="Arial" w:cs="Arial" w:eastAsia="Arial" w:hAnsi="Arial"/>
          <w:sz w:val="16"/>
          <w:szCs w:val="16"/>
          <w:b w:val="1"/>
          <w:bCs w:val="1"/>
          <w:color w:val="auto"/>
        </w:rPr>
        <w:t>May 5, 2018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34290</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8220" w:space="480"/>
            <w:col w:w="272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53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367,937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400,328</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722,943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693,568</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1"/>
              </w:rPr>
              <w:t>Adjustments to reconcile net income to net cash provided by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59,142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56,589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117,435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113,004</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285,004</w:t>
            </w:r>
          </w:p>
        </w:tc>
      </w:tr>
      <w:tr>
        <w:trPr>
          <w:trHeight w:val="243"/>
        </w:trPr>
        <w:tc>
          <w:tcPr>
            <w:tcW w:w="53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40,229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38,914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76,622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76,816</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Non-cash portion of special charge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(37,495)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(28,037)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(705,640)</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non-cash activity</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10,104</w:t>
            </w:r>
          </w:p>
        </w:tc>
      </w:tr>
      <w:tr>
        <w:trPr>
          <w:trHeight w:val="243"/>
        </w:trPr>
        <w:tc>
          <w:tcPr>
            <w:tcW w:w="53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87,100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104,404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634,326</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adjustments</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302,945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318,166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319,706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413,614</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670,882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718,494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1,042,649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1,107,182</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Percent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(117,122)</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Payments for acquisitions, net of cash acquired</w:t>
            </w:r>
          </w:p>
        </w:tc>
        <w:tc>
          <w:tcPr>
            <w:tcW w:w="36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(52,339)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(52,339)</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(74,572)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(105,990)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(170,787)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(170,490)</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53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743,778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743,778</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Proceeds from revolver</w:t>
            </w:r>
          </w:p>
        </w:tc>
        <w:tc>
          <w:tcPr>
            <w:tcW w:w="36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on revolver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Debt repayments</w:t>
            </w: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(1,620,000)</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 payments to shareholders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(199,501)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(178,282)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(345,001)</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(101,522)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(21,978)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(328,615)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(29,908)</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67,678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86,907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65,557</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Contingent consideration payment</w:t>
            </w: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(542)</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other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7,945</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(488,920)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(630,145)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(975,069)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(1,178,171)</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w:t>
            </w:r>
          </w:p>
        </w:tc>
      </w:tr>
      <w:tr>
        <w:trPr>
          <w:trHeight w:val="318"/>
        </w:trPr>
        <w:tc>
          <w:tcPr>
            <w:tcW w:w="53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(241,321)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605,864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827,550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816,591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1,047,838</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713,601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806,517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713,601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806,517</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0" w:right="420" w:hanging="5"/>
        <w:spacing w:after="0" w:line="277" w:lineRule="auto"/>
        <w:tabs>
          <w:tab w:leader="none" w:pos="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Balances have been restated to reflect the full retrospective adoption of Accounting Standards Update (ASU) 2014-09, Revenue from Contracts with Customers.</w:t>
      </w:r>
    </w:p>
    <w:p>
      <w:pPr>
        <w:sectPr>
          <w:pgSz w:w="11900" w:h="16838" w:orient="portrait"/>
          <w:cols w:equalWidth="0" w:num="1">
            <w:col w:w="11420"/>
          </w:cols>
          <w:pgMar w:left="240" w:top="580"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TRENDS BY END MARKET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77470</wp:posOffset>
            </wp:positionV>
            <wp:extent cx="5574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2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3"/>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May 4, 2019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gridSpan w:val="3"/>
          </w:tcPr>
          <w:p>
            <w:pPr>
              <w:ind w:left="900"/>
              <w:spacing w:after="0"/>
              <w:rPr>
                <w:sz w:val="20"/>
                <w:szCs w:val="20"/>
                <w:color w:val="auto"/>
              </w:rPr>
            </w:pPr>
            <w:r>
              <w:rPr>
                <w:rFonts w:ascii="Arial" w:cs="Arial" w:eastAsia="Arial" w:hAnsi="Arial"/>
                <w:sz w:val="18"/>
                <w:szCs w:val="18"/>
                <w:b w:val="1"/>
                <w:bCs w:val="1"/>
                <w:color w:val="auto"/>
              </w:rPr>
              <w:t>May 5, 2018 (1)</w:t>
            </w:r>
          </w:p>
        </w:tc>
      </w:tr>
      <w:tr>
        <w:trPr>
          <w:trHeight w:val="27"/>
        </w:trPr>
        <w:tc>
          <w:tcPr>
            <w:tcW w:w="2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b w:val="1"/>
                <w:bCs w:val="1"/>
                <w:color w:val="auto"/>
              </w:rPr>
              <w:t>Revenue</w:t>
            </w:r>
          </w:p>
        </w:tc>
        <w:tc>
          <w:tcPr>
            <w:tcW w:w="1540" w:type="dxa"/>
            <w:vAlign w:val="bottom"/>
          </w:tcPr>
          <w:p>
            <w:pPr>
              <w:ind w:left="360"/>
              <w:spacing w:after="0"/>
              <w:rPr>
                <w:sz w:val="20"/>
                <w:szCs w:val="20"/>
                <w:color w:val="auto"/>
              </w:rPr>
            </w:pPr>
            <w:r>
              <w:rPr>
                <w:rFonts w:ascii="Arial" w:cs="Arial" w:eastAsia="Arial" w:hAnsi="Arial"/>
                <w:sz w:val="18"/>
                <w:szCs w:val="18"/>
                <w:b w:val="1"/>
                <w:bCs w:val="1"/>
                <w:color w:val="auto"/>
                <w:w w:val="97"/>
              </w:rPr>
              <w:t>% of revenue*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Y/Y %</w:t>
            </w:r>
          </w:p>
        </w:tc>
        <w:tc>
          <w:tcPr>
            <w:tcW w:w="400" w:type="dxa"/>
            <w:vAlign w:val="bottom"/>
          </w:tcPr>
          <w:p>
            <w:pPr>
              <w:spacing w:after="0"/>
              <w:rPr>
                <w:sz w:val="20"/>
                <w:szCs w:val="20"/>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Revenue</w:t>
            </w:r>
          </w:p>
        </w:tc>
        <w:tc>
          <w:tcPr>
            <w:tcW w:w="1820" w:type="dxa"/>
            <w:vAlign w:val="bottom"/>
          </w:tcPr>
          <w:p>
            <w:pPr>
              <w:ind w:left="360"/>
              <w:spacing w:after="0"/>
              <w:rPr>
                <w:sz w:val="20"/>
                <w:szCs w:val="20"/>
                <w:color w:val="auto"/>
              </w:rPr>
            </w:pPr>
            <w:r>
              <w:rPr>
                <w:rFonts w:ascii="Arial" w:cs="Arial" w:eastAsia="Arial" w:hAnsi="Arial"/>
                <w:sz w:val="18"/>
                <w:szCs w:val="18"/>
                <w:b w:val="1"/>
                <w:bCs w:val="1"/>
                <w:color w:val="auto"/>
              </w:rPr>
              <w:t>% of revenue*</w:t>
            </w:r>
          </w:p>
        </w:tc>
      </w:tr>
      <w:tr>
        <w:trPr>
          <w:trHeight w:val="27"/>
        </w:trPr>
        <w:tc>
          <w:tcPr>
            <w:tcW w:w="2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763,455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50%</w:t>
            </w:r>
          </w:p>
        </w:tc>
        <w:tc>
          <w:tcPr>
            <w:tcW w:w="1420" w:type="dxa"/>
            <w:vAlign w:val="bottom"/>
            <w:tcBorders>
              <w:bottom w:val="single" w:sz="8" w:color="CCEEFF"/>
            </w:tcBorders>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94"/>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810,732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3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249,765</w:t>
            </w:r>
          </w:p>
        </w:tc>
        <w:tc>
          <w:tcPr>
            <w:tcW w:w="100" w:type="dxa"/>
            <w:vAlign w:val="bottom"/>
          </w:tcPr>
          <w:p>
            <w:pPr>
              <w:spacing w:after="0"/>
              <w:rPr>
                <w:sz w:val="21"/>
                <w:szCs w:val="21"/>
                <w:color w:val="auto"/>
              </w:rPr>
            </w:pP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94"/>
              </w:rPr>
              <w:t>16%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4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250,919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16%</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153,745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10%</w:t>
            </w:r>
          </w:p>
        </w:tc>
        <w:tc>
          <w:tcPr>
            <w:tcW w:w="1420" w:type="dxa"/>
            <w:vAlign w:val="bottom"/>
            <w:tcBorders>
              <w:bottom w:val="single" w:sz="8" w:color="CCEEFF"/>
            </w:tcBorders>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91"/>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227,077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3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359,637</w:t>
            </w:r>
          </w:p>
        </w:tc>
        <w:tc>
          <w:tcPr>
            <w:tcW w:w="100" w:type="dxa"/>
            <w:vAlign w:val="bottom"/>
          </w:tcPr>
          <w:p>
            <w:pPr>
              <w:spacing w:after="0"/>
              <w:rPr>
                <w:sz w:val="21"/>
                <w:szCs w:val="21"/>
                <w:color w:val="auto"/>
              </w:rPr>
            </w:pP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94"/>
              </w:rPr>
              <w:t>24%</w:t>
            </w:r>
          </w:p>
        </w:tc>
        <w:tc>
          <w:tcPr>
            <w:tcW w:w="142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274,774</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18%</w:t>
            </w:r>
          </w:p>
        </w:tc>
      </w:tr>
      <w:tr>
        <w:trPr>
          <w:trHeight w:val="27"/>
        </w:trPr>
        <w:tc>
          <w:tcPr>
            <w:tcW w:w="2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1,526,602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1,563,502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100%</w:t>
            </w:r>
          </w:p>
        </w:tc>
      </w:tr>
      <w:tr>
        <w:trPr>
          <w:trHeight w:val="20"/>
        </w:trPr>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11"/>
        </w:trPr>
        <w:tc>
          <w:tcPr>
            <w:tcW w:w="264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r>
      <w:tr>
        <w:trPr>
          <w:trHeight w:val="237"/>
        </w:trPr>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2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0"/>
              </w:rPr>
              <w:t>Six Months Ended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3"/>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May 4, 2019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gridSpan w:val="3"/>
          </w:tcPr>
          <w:p>
            <w:pPr>
              <w:ind w:left="900"/>
              <w:spacing w:after="0"/>
              <w:rPr>
                <w:sz w:val="20"/>
                <w:szCs w:val="20"/>
                <w:color w:val="auto"/>
              </w:rPr>
            </w:pPr>
            <w:r>
              <w:rPr>
                <w:rFonts w:ascii="Arial" w:cs="Arial" w:eastAsia="Arial" w:hAnsi="Arial"/>
                <w:sz w:val="18"/>
                <w:szCs w:val="18"/>
                <w:b w:val="1"/>
                <w:bCs w:val="1"/>
                <w:color w:val="auto"/>
              </w:rPr>
              <w:t>May 5, 2018 (1)</w:t>
            </w:r>
          </w:p>
        </w:tc>
      </w:tr>
      <w:tr>
        <w:trPr>
          <w:trHeight w:val="27"/>
        </w:trPr>
        <w:tc>
          <w:tcPr>
            <w:tcW w:w="2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b w:val="1"/>
                <w:bCs w:val="1"/>
                <w:color w:val="auto"/>
              </w:rPr>
              <w:t>Revenue</w:t>
            </w:r>
          </w:p>
        </w:tc>
        <w:tc>
          <w:tcPr>
            <w:tcW w:w="1540" w:type="dxa"/>
            <w:vAlign w:val="bottom"/>
          </w:tcPr>
          <w:p>
            <w:pPr>
              <w:ind w:left="360"/>
              <w:spacing w:after="0"/>
              <w:rPr>
                <w:sz w:val="20"/>
                <w:szCs w:val="20"/>
                <w:color w:val="auto"/>
              </w:rPr>
            </w:pPr>
            <w:r>
              <w:rPr>
                <w:rFonts w:ascii="Arial" w:cs="Arial" w:eastAsia="Arial" w:hAnsi="Arial"/>
                <w:sz w:val="18"/>
                <w:szCs w:val="18"/>
                <w:b w:val="1"/>
                <w:bCs w:val="1"/>
                <w:color w:val="auto"/>
                <w:w w:val="97"/>
              </w:rPr>
              <w:t>% of revenue*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Y/Y %</w:t>
            </w:r>
          </w:p>
        </w:tc>
        <w:tc>
          <w:tcPr>
            <w:tcW w:w="400" w:type="dxa"/>
            <w:vAlign w:val="bottom"/>
          </w:tcPr>
          <w:p>
            <w:pPr>
              <w:spacing w:after="0"/>
              <w:rPr>
                <w:sz w:val="20"/>
                <w:szCs w:val="20"/>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Revenue</w:t>
            </w:r>
          </w:p>
        </w:tc>
        <w:tc>
          <w:tcPr>
            <w:tcW w:w="1820" w:type="dxa"/>
            <w:vAlign w:val="bottom"/>
          </w:tcPr>
          <w:p>
            <w:pPr>
              <w:ind w:left="360"/>
              <w:spacing w:after="0"/>
              <w:rPr>
                <w:sz w:val="20"/>
                <w:szCs w:val="20"/>
                <w:color w:val="auto"/>
              </w:rPr>
            </w:pPr>
            <w:r>
              <w:rPr>
                <w:rFonts w:ascii="Arial" w:cs="Arial" w:eastAsia="Arial" w:hAnsi="Arial"/>
                <w:sz w:val="18"/>
                <w:szCs w:val="18"/>
                <w:b w:val="1"/>
                <w:bCs w:val="1"/>
                <w:color w:val="auto"/>
              </w:rPr>
              <w:t>% of revenue*</w:t>
            </w:r>
          </w:p>
        </w:tc>
      </w:tr>
      <w:tr>
        <w:trPr>
          <w:trHeight w:val="27"/>
        </w:trPr>
        <w:tc>
          <w:tcPr>
            <w:tcW w:w="2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1,488,077</w:t>
            </w:r>
          </w:p>
        </w:tc>
        <w:tc>
          <w:tcPr>
            <w:tcW w:w="100" w:type="dxa"/>
            <w:vAlign w:val="bottom"/>
          </w:tcPr>
          <w:p>
            <w:pPr>
              <w:spacing w:after="0"/>
              <w:rPr>
                <w:sz w:val="20"/>
                <w:szCs w:val="20"/>
                <w:color w:val="auto"/>
              </w:rPr>
            </w:pP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94"/>
              </w:rPr>
              <w:t>49%</w:t>
            </w:r>
          </w:p>
        </w:tc>
        <w:tc>
          <w:tcPr>
            <w:tcW w:w="142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1,590,445</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51%</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511,319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17%</w:t>
            </w:r>
          </w:p>
        </w:tc>
        <w:tc>
          <w:tcPr>
            <w:tcW w:w="1420" w:type="dxa"/>
            <w:vAlign w:val="bottom"/>
            <w:tcBorders>
              <w:bottom w:val="single" w:sz="8" w:color="CCEEFF"/>
            </w:tcBorders>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515,791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Consumer</w:t>
            </w:r>
          </w:p>
        </w:tc>
        <w:tc>
          <w:tcPr>
            <w:tcW w:w="3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362,966</w:t>
            </w:r>
          </w:p>
        </w:tc>
        <w:tc>
          <w:tcPr>
            <w:tcW w:w="100" w:type="dxa"/>
            <w:vAlign w:val="bottom"/>
          </w:tcPr>
          <w:p>
            <w:pPr>
              <w:spacing w:after="0"/>
              <w:rPr>
                <w:sz w:val="21"/>
                <w:szCs w:val="21"/>
                <w:color w:val="auto"/>
              </w:rPr>
            </w:pP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94"/>
              </w:rPr>
              <w:t>12%</w:t>
            </w:r>
          </w:p>
        </w:tc>
        <w:tc>
          <w:tcPr>
            <w:tcW w:w="14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491,711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16%</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705,341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23%</w:t>
            </w:r>
          </w:p>
        </w:tc>
        <w:tc>
          <w:tcPr>
            <w:tcW w:w="1420" w:type="dxa"/>
            <w:vAlign w:val="bottom"/>
            <w:tcBorders>
              <w:bottom w:val="single" w:sz="8" w:color="CCEEFF"/>
            </w:tcBorders>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88"/>
              </w:rPr>
              <w:t>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532,425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17%</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3,067,703</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3,130,372</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r>
      <w:tr>
        <w:trPr>
          <w:trHeight w:val="20"/>
        </w:trPr>
        <w:tc>
          <w:tcPr>
            <w:tcW w:w="2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right="420" w:hanging="5"/>
        <w:spacing w:after="0" w:line="277" w:lineRule="auto"/>
        <w:tabs>
          <w:tab w:leader="none" w:pos="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Balances have been restated to reflect the full retrospective adoption of Accounting Standards Update (ASU) 2014-09, Revenue from Contracts with Customers.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sum of the individual percentages may not equal the total due to rounding.</w:t>
      </w:r>
    </w:p>
    <w:p>
      <w:pPr>
        <w:sectPr>
          <w:pgSz w:w="11900" w:h="16838" w:orient="portrait"/>
          <w:cols w:equalWidth="0" w:num="1">
            <w:col w:w="11420"/>
          </w:cols>
          <w:pgMar w:left="240" w:top="58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RECONCILIATION OF GAAP TO NON-GAAP RESULTS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91440</wp:posOffset>
            </wp:positionV>
            <wp:extent cx="4605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ectPr>
          <w:pgSz w:w="11900" w:h="16838" w:orient="portrait"/>
          <w:cols w:equalWidth="0" w:num="1">
            <w:col w:w="11420"/>
          </w:cols>
          <w:pgMar w:left="240" w:top="580" w:right="239" w:bottom="1071" w:gutter="0" w:footer="0" w:header="0"/>
        </w:sectPr>
      </w:pP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37465</wp:posOffset>
            </wp:positionV>
            <wp:extent cx="2263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0" w:lineRule="exact"/>
        <w:rPr>
          <w:sz w:val="20"/>
          <w:szCs w:val="20"/>
          <w:color w:val="auto"/>
        </w:rPr>
      </w:pPr>
    </w:p>
    <w:p>
      <w:pPr>
        <w:ind w:left="4620"/>
        <w:spacing w:after="0"/>
        <w:tabs>
          <w:tab w:leader="none" w:pos="6320" w:val="left"/>
        </w:tabs>
        <w:rPr>
          <w:sz w:val="20"/>
          <w:szCs w:val="20"/>
          <w:color w:val="auto"/>
        </w:rPr>
      </w:pPr>
      <w:r>
        <w:rPr>
          <w:rFonts w:ascii="Arial" w:cs="Arial" w:eastAsia="Arial" w:hAnsi="Arial"/>
          <w:sz w:val="16"/>
          <w:szCs w:val="16"/>
          <w:b w:val="1"/>
          <w:bCs w:val="1"/>
          <w:color w:val="auto"/>
        </w:rPr>
        <w:t>May 4, 2019</w:t>
      </w:r>
      <w:r>
        <w:rPr>
          <w:sz w:val="20"/>
          <w:szCs w:val="20"/>
          <w:color w:val="auto"/>
        </w:rPr>
        <w:tab/>
      </w:r>
      <w:r>
        <w:rPr>
          <w:rFonts w:ascii="Arial" w:cs="Arial" w:eastAsia="Arial" w:hAnsi="Arial"/>
          <w:sz w:val="15"/>
          <w:szCs w:val="15"/>
          <w:b w:val="1"/>
          <w:bCs w:val="1"/>
          <w:color w:val="auto"/>
        </w:rPr>
        <w:t>May 5, 2018 (1)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37465</wp:posOffset>
            </wp:positionV>
            <wp:extent cx="22726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720" w:val="left"/>
        </w:tabs>
        <w:rPr>
          <w:sz w:val="20"/>
          <w:szCs w:val="20"/>
          <w:color w:val="auto"/>
        </w:rPr>
      </w:pPr>
      <w:r>
        <w:rPr>
          <w:rFonts w:ascii="Arial" w:cs="Arial" w:eastAsia="Arial" w:hAnsi="Arial"/>
          <w:sz w:val="16"/>
          <w:szCs w:val="16"/>
          <w:b w:val="1"/>
          <w:bCs w:val="1"/>
          <w:color w:val="auto"/>
        </w:rPr>
        <w:t>May 4, 2019</w:t>
      </w:r>
      <w:r>
        <w:rPr>
          <w:sz w:val="20"/>
          <w:szCs w:val="20"/>
          <w:color w:val="auto"/>
        </w:rPr>
        <w:tab/>
      </w:r>
      <w:r>
        <w:rPr>
          <w:rFonts w:ascii="Arial" w:cs="Arial" w:eastAsia="Arial" w:hAnsi="Arial"/>
          <w:sz w:val="15"/>
          <w:szCs w:val="15"/>
          <w:b w:val="1"/>
          <w:bCs w:val="1"/>
          <w:color w:val="auto"/>
        </w:rPr>
        <w:t>May 5, 2018 (1)</w:t>
      </w:r>
    </w:p>
    <w:p>
      <w:pPr>
        <w:spacing w:after="0" w:line="39" w:lineRule="exact"/>
        <w:rPr>
          <w:sz w:val="20"/>
          <w:szCs w:val="20"/>
          <w:color w:val="auto"/>
        </w:rPr>
      </w:pPr>
    </w:p>
    <w:p>
      <w:pPr>
        <w:sectPr>
          <w:pgSz w:w="11900" w:h="16838" w:orient="portrait"/>
          <w:cols w:equalWidth="0" w:num="2">
            <w:col w:w="7560" w:space="720"/>
            <w:col w:w="3140"/>
          </w:cols>
          <w:pgMar w:left="240" w:top="580" w:right="239" w:bottom="1071"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52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1,034,092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1,072,390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2,073,748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2,144,073</w:t>
            </w:r>
          </w:p>
        </w:tc>
      </w:tr>
      <w:tr>
        <w:trPr>
          <w:trHeight w:val="237"/>
        </w:trPr>
        <w:tc>
          <w:tcPr>
            <w:tcW w:w="4160" w:type="dxa"/>
            <w:vAlign w:val="bottom"/>
          </w:tcPr>
          <w:p>
            <w:pPr>
              <w:ind w:left="120"/>
              <w:spacing w:after="0"/>
              <w:rPr>
                <w:sz w:val="20"/>
                <w:szCs w:val="20"/>
                <w:color w:val="auto"/>
              </w:rPr>
            </w:pPr>
            <w:r>
              <w:rPr>
                <w:rFonts w:ascii="Arial" w:cs="Arial" w:eastAsia="Arial" w:hAnsi="Arial"/>
                <w:sz w:val="16"/>
                <w:szCs w:val="16"/>
                <w:color w:val="auto"/>
              </w:rPr>
              <w:t>Gross margin percentage</w:t>
            </w: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43,255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44,743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88,750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88,519</w:t>
            </w:r>
          </w:p>
        </w:tc>
      </w:tr>
      <w:tr>
        <w:trPr>
          <w:trHeight w:val="28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gross margin</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1,077,347</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1,117,133</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2,162,498</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2,232,592</w:t>
            </w:r>
          </w:p>
        </w:tc>
      </w:tr>
      <w:tr>
        <w:trPr>
          <w:trHeight w:val="224"/>
        </w:trPr>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Adjusted gross margin percentage</w:t>
            </w: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r>
      <w:tr>
        <w:trPr>
          <w:trHeight w:val="122"/>
        </w:trPr>
        <w:tc>
          <w:tcPr>
            <w:tcW w:w="4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564,397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569,836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1,148,227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1,199,678</w:t>
            </w:r>
          </w:p>
        </w:tc>
      </w:tr>
      <w:tr>
        <w:trPr>
          <w:trHeight w:val="237"/>
        </w:trPr>
        <w:tc>
          <w:tcPr>
            <w:tcW w:w="4160" w:type="dxa"/>
            <w:vAlign w:val="bottom"/>
          </w:tcPr>
          <w:p>
            <w:pPr>
              <w:ind w:left="120"/>
              <w:spacing w:after="0"/>
              <w:rPr>
                <w:sz w:val="20"/>
                <w:szCs w:val="20"/>
                <w:color w:val="auto"/>
              </w:rPr>
            </w:pPr>
            <w:r>
              <w:rPr>
                <w:rFonts w:ascii="Arial" w:cs="Arial" w:eastAsia="Arial" w:hAnsi="Arial"/>
                <w:sz w:val="16"/>
                <w:szCs w:val="16"/>
                <w:color w:val="auto"/>
              </w:rPr>
              <w:t>Percent of revenue</w:t>
            </w: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(112,824)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(123,196)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(222,656)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(241,174)</w:t>
            </w:r>
          </w:p>
        </w:tc>
      </w:tr>
      <w:tr>
        <w:trPr>
          <w:trHeight w:val="237"/>
        </w:trPr>
        <w:tc>
          <w:tcPr>
            <w:tcW w:w="4160" w:type="dxa"/>
            <w:vAlign w:val="bottom"/>
          </w:tcPr>
          <w:p>
            <w:pPr>
              <w:ind w:left="260"/>
              <w:spacing w:after="0"/>
              <w:rPr>
                <w:sz w:val="20"/>
                <w:szCs w:val="20"/>
                <w:color w:val="auto"/>
              </w:rPr>
            </w:pPr>
            <w:r>
              <w:rPr>
                <w:rFonts w:ascii="Arial" w:cs="Arial" w:eastAsia="Arial" w:hAnsi="Arial"/>
                <w:sz w:val="16"/>
                <w:szCs w:val="16"/>
                <w:color w:val="auto"/>
              </w:rPr>
              <w:t>Acquisition related transaction costs</w:t>
            </w: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(3,871)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(12,607)</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related expense</w:t>
            </w: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(29,944)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(58,407)</w:t>
            </w:r>
          </w:p>
        </w:tc>
      </w:tr>
      <w:tr>
        <w:trPr>
          <w:trHeight w:val="28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expenses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443,411</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441,680</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895,627</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887,490</w:t>
            </w:r>
          </w:p>
        </w:tc>
      </w:tr>
      <w:tr>
        <w:trPr>
          <w:trHeight w:val="224"/>
        </w:trPr>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Adjusted operating expenses percentage</w:t>
            </w: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122"/>
        </w:trPr>
        <w:tc>
          <w:tcPr>
            <w:tcW w:w="4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469,695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502,554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925,521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944,395</w:t>
            </w:r>
          </w:p>
        </w:tc>
      </w:tr>
      <w:tr>
        <w:trPr>
          <w:trHeight w:val="237"/>
        </w:trPr>
        <w:tc>
          <w:tcPr>
            <w:tcW w:w="4160" w:type="dxa"/>
            <w:vAlign w:val="bottom"/>
          </w:tcPr>
          <w:p>
            <w:pPr>
              <w:ind w:left="120"/>
              <w:spacing w:after="0"/>
              <w:rPr>
                <w:sz w:val="20"/>
                <w:szCs w:val="20"/>
                <w:color w:val="auto"/>
              </w:rPr>
            </w:pPr>
            <w:r>
              <w:rPr>
                <w:rFonts w:ascii="Arial" w:cs="Arial" w:eastAsia="Arial" w:hAnsi="Arial"/>
                <w:sz w:val="16"/>
                <w:szCs w:val="16"/>
                <w:color w:val="auto"/>
              </w:rPr>
              <w:t>Operating margin</w:t>
            </w: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156,079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167,939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311,406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329,693</w:t>
            </w:r>
          </w:p>
        </w:tc>
      </w:tr>
      <w:tr>
        <w:trPr>
          <w:trHeight w:val="237"/>
        </w:trPr>
        <w:tc>
          <w:tcPr>
            <w:tcW w:w="4160" w:type="dxa"/>
            <w:vAlign w:val="bottom"/>
          </w:tcPr>
          <w:p>
            <w:pPr>
              <w:ind w:left="260"/>
              <w:spacing w:after="0"/>
              <w:rPr>
                <w:sz w:val="20"/>
                <w:szCs w:val="20"/>
                <w:color w:val="auto"/>
              </w:rPr>
            </w:pPr>
            <w:r>
              <w:rPr>
                <w:rFonts w:ascii="Arial" w:cs="Arial" w:eastAsia="Arial" w:hAnsi="Arial"/>
                <w:sz w:val="16"/>
                <w:szCs w:val="16"/>
                <w:color w:val="auto"/>
              </w:rPr>
              <w:t>Acquisition related transaction costs</w:t>
            </w: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3,871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12,607</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related expense</w:t>
            </w: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8,162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29,944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58,407</w:t>
            </w:r>
          </w:p>
        </w:tc>
      </w:tr>
      <w:tr>
        <w:trPr>
          <w:trHeight w:val="28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income</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633,936</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675,453</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1,266,871</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1,345,102</w:t>
            </w:r>
          </w:p>
        </w:tc>
      </w:tr>
      <w:tr>
        <w:trPr>
          <w:trHeight w:val="224"/>
        </w:trPr>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Adjusted operating margin</w:t>
            </w: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122"/>
        </w:trPr>
        <w:tc>
          <w:tcPr>
            <w:tcW w:w="4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40,460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85,400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121,904</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Income tax on non discrete tax items above</w:t>
            </w: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22,740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5,163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47,640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17,144</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on prior period tax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Income tax of uncertain tax positions</w:t>
            </w: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3,750</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one time transitional tax</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(687,061)</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Income tax on deferred tax recalibration</w:t>
            </w: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639,698</w:t>
            </w:r>
          </w:p>
        </w:tc>
      </w:tr>
      <w:tr>
        <w:trPr>
          <w:trHeight w:val="33"/>
        </w:trPr>
        <w:tc>
          <w:tcPr>
            <w:tcW w:w="4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provision for income taxes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48,086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145,600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94,811</w:t>
            </w:r>
          </w:p>
        </w:tc>
      </w:tr>
      <w:tr>
        <w:trPr>
          <w:trHeight w:val="20"/>
        </w:trPr>
        <w:tc>
          <w:tcPr>
            <w:tcW w:w="4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9"/>
        </w:trPr>
        <w:tc>
          <w:tcPr>
            <w:tcW w:w="4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408,397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440,125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808,343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815,472</w:t>
            </w:r>
          </w:p>
        </w:tc>
      </w:tr>
      <w:tr>
        <w:trPr>
          <w:trHeight w:val="237"/>
        </w:trPr>
        <w:tc>
          <w:tcPr>
            <w:tcW w:w="4160" w:type="dxa"/>
            <w:vAlign w:val="bottom"/>
          </w:tcPr>
          <w:p>
            <w:pPr>
              <w:ind w:left="120"/>
              <w:spacing w:after="0"/>
              <w:rPr>
                <w:sz w:val="20"/>
                <w:szCs w:val="20"/>
                <w:color w:val="auto"/>
              </w:rPr>
            </w:pPr>
            <w:r>
              <w:rPr>
                <w:rFonts w:ascii="Arial" w:cs="Arial" w:eastAsia="Arial" w:hAnsi="Arial"/>
                <w:sz w:val="16"/>
                <w:szCs w:val="16"/>
                <w:color w:val="auto"/>
              </w:rPr>
              <w:t>Effective tax rate</w:t>
            </w: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156,079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167,939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311,406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329,693</w:t>
            </w:r>
          </w:p>
        </w:tc>
      </w:tr>
      <w:tr>
        <w:trPr>
          <w:trHeight w:val="237"/>
        </w:trPr>
        <w:tc>
          <w:tcPr>
            <w:tcW w:w="4160" w:type="dxa"/>
            <w:vAlign w:val="bottom"/>
          </w:tcPr>
          <w:p>
            <w:pPr>
              <w:ind w:left="260"/>
              <w:spacing w:after="0"/>
              <w:rPr>
                <w:sz w:val="20"/>
                <w:szCs w:val="20"/>
                <w:color w:val="auto"/>
              </w:rPr>
            </w:pPr>
            <w:r>
              <w:rPr>
                <w:rFonts w:ascii="Arial" w:cs="Arial" w:eastAsia="Arial" w:hAnsi="Arial"/>
                <w:sz w:val="16"/>
                <w:szCs w:val="16"/>
                <w:color w:val="auto"/>
              </w:rPr>
              <w:t>Acquisition related transaction costs</w:t>
            </w: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3,871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12,607</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related expense</w:t>
            </w: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8,162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29,944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58,407</w:t>
            </w:r>
          </w:p>
        </w:tc>
      </w:tr>
      <w:tr>
        <w:trPr>
          <w:trHeight w:val="28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income before income taxes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572,638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613,024</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1,149,693</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1,216,179</w:t>
            </w:r>
          </w:p>
        </w:tc>
      </w:tr>
      <w:tr>
        <w:trPr>
          <w:trHeight w:val="224"/>
        </w:trPr>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Adjusted tax rate</w:t>
            </w: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122"/>
        </w:trPr>
        <w:tc>
          <w:tcPr>
            <w:tcW w:w="4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EPS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w:t>
            </w:r>
          </w:p>
        </w:tc>
      </w:tr>
      <w:tr>
        <w:trPr>
          <w:trHeight w:val="237"/>
        </w:trPr>
        <w:tc>
          <w:tcPr>
            <w:tcW w:w="4160" w:type="dxa"/>
            <w:vAlign w:val="bottom"/>
          </w:tcPr>
          <w:p>
            <w:pPr>
              <w:ind w:left="260"/>
              <w:spacing w:after="0"/>
              <w:rPr>
                <w:sz w:val="20"/>
                <w:szCs w:val="20"/>
                <w:color w:val="auto"/>
              </w:rPr>
            </w:pPr>
            <w:r>
              <w:rPr>
                <w:rFonts w:ascii="Arial" w:cs="Arial" w:eastAsia="Arial" w:hAnsi="Arial"/>
                <w:sz w:val="16"/>
                <w:szCs w:val="16"/>
                <w:color w:val="auto"/>
              </w:rPr>
              <w:t>Acquisition related expenses</w:t>
            </w: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0.88</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transaction costs</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0.03</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Restructuring related expense</w:t>
            </w: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0.16</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on non discrete tax items above</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Income on prior period tax liabilities</w:t>
            </w: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of uncertain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Income tax one time transitional tax</w:t>
            </w: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1.83</w:t>
            </w:r>
          </w:p>
        </w:tc>
      </w:tr>
      <w:tr>
        <w:trPr>
          <w:trHeight w:val="33"/>
        </w:trPr>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on deferred tax recalibration</w:t>
            </w:r>
          </w:p>
        </w:tc>
        <w:tc>
          <w:tcPr>
            <w:tcW w:w="5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31"/>
        </w:trPr>
        <w:tc>
          <w:tcPr>
            <w:tcW w:w="4160" w:type="dxa"/>
            <w:vAlign w:val="bottom"/>
          </w:tcPr>
          <w:p>
            <w:pPr>
              <w:ind w:left="40"/>
              <w:spacing w:after="0"/>
              <w:rPr>
                <w:sz w:val="20"/>
                <w:szCs w:val="20"/>
                <w:color w:val="auto"/>
              </w:rPr>
            </w:pPr>
            <w:r>
              <w:rPr>
                <w:rFonts w:ascii="Arial" w:cs="Arial" w:eastAsia="Arial" w:hAnsi="Arial"/>
                <w:sz w:val="16"/>
                <w:szCs w:val="16"/>
                <w:color w:val="auto"/>
              </w:rPr>
              <w:t>Adjusted diluted EPS (2)</w:t>
            </w: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12700</wp:posOffset>
            </wp:positionV>
            <wp:extent cx="4605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ectPr>
          <w:pgSz w:w="11900" w:h="16838" w:orient="portrait"/>
          <w:cols w:equalWidth="0" w:num="1">
            <w:col w:w="11420"/>
          </w:cols>
          <w:pgMar w:left="240" w:top="580" w:right="239" w:bottom="1071" w:gutter="0" w:footer="0" w:header="0"/>
          <w:type w:val="continuous"/>
        </w:sectPr>
      </w:pPr>
    </w:p>
    <w:p>
      <w:pPr>
        <w:spacing w:after="0" w:line="46" w:lineRule="exact"/>
        <w:rPr>
          <w:sz w:val="20"/>
          <w:szCs w:val="20"/>
          <w:color w:val="auto"/>
        </w:rPr>
      </w:pPr>
    </w:p>
    <w:p>
      <w:pPr>
        <w:ind w:right="460" w:firstLine="8"/>
        <w:spacing w:after="0" w:line="258"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Balances have been restated to reflect the full retrospective adoption of Accounting Standards Update (ASU) 2014-09, Revenue from Contracts with Customers.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individual per share amounts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-414020</wp:posOffset>
            </wp:positionV>
            <wp:extent cx="4605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ectPr>
          <w:pgSz w:w="11900" w:h="16838" w:orient="portrait"/>
          <w:cols w:equalWidth="0" w:num="1">
            <w:col w:w="11420"/>
          </w:cols>
          <w:pgMar w:left="240" w:top="580" w:right="239" w:bottom="1071"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91440</wp:posOffset>
            </wp:positionV>
            <wp:extent cx="4776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Trailing Twelve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Months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May 4,</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4,</w:t>
            </w: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Feb 2,</w:t>
            </w: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Nov 3,</w:t>
            </w:r>
          </w:p>
        </w:tc>
        <w:tc>
          <w:tcPr>
            <w:tcW w:w="28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Aug. 4,</w:t>
            </w:r>
          </w:p>
        </w:tc>
      </w:tr>
      <w:tr>
        <w:trPr>
          <w:trHeight w:val="234"/>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6,162,020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1,526,602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1,541,101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1,536,128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1,558,189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2,377,828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670,882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371,767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714,441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620,738</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(303,956)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(75,209)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(90,993)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(86,004)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(51,750)</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2,073,872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595,673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280,774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628,437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568,988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3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right="420" w:hanging="5"/>
        <w:spacing w:after="0" w:line="277"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Balances have been restated to reflect the full retrospective adoption of Accounting Standards Update (ASU) 2014-09, Revenue from Contracts with Customers.</w:t>
      </w:r>
    </w:p>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PROJECTED GAAP TO NON-GAAP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91440</wp:posOffset>
            </wp:positionV>
            <wp:extent cx="42710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6720" w:type="dxa"/>
            <w:vAlign w:val="bottom"/>
            <w:gridSpan w:val="3"/>
          </w:tcPr>
          <w:p>
            <w:pPr>
              <w:ind w:left="2020"/>
              <w:spacing w:after="0"/>
              <w:rPr>
                <w:sz w:val="20"/>
                <w:szCs w:val="20"/>
                <w:color w:val="auto"/>
              </w:rPr>
            </w:pPr>
            <w:r>
              <w:rPr>
                <w:rFonts w:ascii="Arial" w:cs="Arial" w:eastAsia="Arial" w:hAnsi="Arial"/>
                <w:sz w:val="18"/>
                <w:szCs w:val="18"/>
                <w:b w:val="1"/>
                <w:bCs w:val="1"/>
                <w:color w:val="auto"/>
              </w:rPr>
              <w:t>Three Months Ending Aug. 3, 2019</w:t>
            </w:r>
          </w:p>
        </w:tc>
      </w:tr>
      <w:tr>
        <w:trPr>
          <w:trHeight w:val="27"/>
        </w:trPr>
        <w:tc>
          <w:tcPr>
            <w:tcW w:w="4700" w:type="dxa"/>
            <w:vAlign w:val="bottom"/>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Reported</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r>
      <w:tr>
        <w:trPr>
          <w:trHeight w:val="27"/>
        </w:trPr>
        <w:tc>
          <w:tcPr>
            <w:tcW w:w="470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$1.45 Billion</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$1.45 Billion</w:t>
            </w:r>
          </w:p>
        </w:tc>
      </w:tr>
      <w:tr>
        <w:trPr>
          <w:trHeight w:val="243"/>
        </w:trPr>
        <w:tc>
          <w:tcPr>
            <w:tcW w:w="4700" w:type="dxa"/>
            <w:vAlign w:val="bottom"/>
          </w:tcPr>
          <w:p>
            <w:pPr>
              <w:spacing w:after="0"/>
              <w:rPr>
                <w:sz w:val="21"/>
                <w:szCs w:val="21"/>
                <w:color w:val="auto"/>
              </w:rPr>
            </w:pPr>
          </w:p>
        </w:tc>
        <w:tc>
          <w:tcPr>
            <w:tcW w:w="3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 $50 Million)</w:t>
            </w: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 $50 Million)</w:t>
            </w:r>
          </w:p>
        </w:tc>
      </w:tr>
      <w:tr>
        <w:trPr>
          <w:trHeight w:val="27"/>
        </w:trPr>
        <w:tc>
          <w:tcPr>
            <w:tcW w:w="47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40.5% (1)</w:t>
            </w:r>
          </w:p>
        </w:tc>
      </w:tr>
      <w:tr>
        <w:trPr>
          <w:trHeight w:val="243"/>
        </w:trPr>
        <w:tc>
          <w:tcPr>
            <w:tcW w:w="4700" w:type="dxa"/>
            <w:vAlign w:val="bottom"/>
          </w:tcPr>
          <w:p>
            <w:pPr>
              <w:spacing w:after="0"/>
              <w:rPr>
                <w:sz w:val="21"/>
                <w:szCs w:val="21"/>
                <w:color w:val="auto"/>
              </w:rPr>
            </w:pPr>
          </w:p>
        </w:tc>
        <w:tc>
          <w:tcPr>
            <w:tcW w:w="3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(+/-100 bps)</w:t>
            </w: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(+/-70 bps)</w:t>
            </w:r>
          </w:p>
        </w:tc>
      </w:tr>
      <w:tr>
        <w:trPr>
          <w:trHeight w:val="27"/>
        </w:trPr>
        <w:tc>
          <w:tcPr>
            <w:tcW w:w="47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rate</w:t>
            </w:r>
          </w:p>
        </w:tc>
        <w:tc>
          <w:tcPr>
            <w:tcW w:w="3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13% to 15%</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13% to 15% (2)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$0.86</w:t>
            </w:r>
          </w:p>
        </w:tc>
        <w:tc>
          <w:tcPr>
            <w:tcW w:w="120" w:type="dxa"/>
            <w:vAlign w:val="bottom"/>
          </w:tcPr>
          <w:p>
            <w:pPr>
              <w:spacing w:after="0"/>
              <w:rPr>
                <w:sz w:val="21"/>
                <w:szCs w:val="21"/>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$1.22 (3)</w:t>
            </w:r>
          </w:p>
        </w:tc>
      </w:tr>
      <w:tr>
        <w:trPr>
          <w:trHeight w:val="27"/>
        </w:trPr>
        <w:tc>
          <w:tcPr>
            <w:tcW w:w="47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4700" w:type="dxa"/>
            <w:vAlign w:val="bottom"/>
            <w:shd w:val="clear" w:color="auto" w:fill="CCEEFF"/>
          </w:tcPr>
          <w:p>
            <w:pPr>
              <w:spacing w:after="0"/>
              <w:rPr>
                <w:sz w:val="21"/>
                <w:szCs w:val="21"/>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$0.07)</w:t>
            </w:r>
          </w:p>
        </w:tc>
        <w:tc>
          <w:tcPr>
            <w:tcW w:w="120" w:type="dxa"/>
            <w:vAlign w:val="bottom"/>
            <w:shd w:val="clear" w:color="auto" w:fill="CCEEFF"/>
          </w:tcPr>
          <w:p>
            <w:pPr>
              <w:spacing w:after="0"/>
              <w:rPr>
                <w:sz w:val="21"/>
                <w:szCs w:val="21"/>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$0.07)</w:t>
            </w:r>
          </w:p>
        </w:tc>
      </w:tr>
      <w:tr>
        <w:trPr>
          <w:trHeight w:val="27"/>
        </w:trPr>
        <w:tc>
          <w:tcPr>
            <w:tcW w:w="470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8"/>
        <w:spacing w:after="0" w:line="258"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$157 million of adjustments related to acquisition related expenses as previously defined in the Non-GAAP Financial Information section of this press release.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$22 million of tax effects associated with the adjustment for acquisition related expenses above.</w:t>
      </w:r>
    </w:p>
    <w:p>
      <w:pPr>
        <w:spacing w:after="0" w:line="9" w:lineRule="exact"/>
        <w:rPr>
          <w:rFonts w:ascii="Arial" w:cs="Arial" w:eastAsia="Arial" w:hAnsi="Arial"/>
          <w:sz w:val="18"/>
          <w:szCs w:val="18"/>
          <w:color w:val="auto"/>
        </w:rPr>
      </w:pPr>
    </w:p>
    <w:p>
      <w:pPr>
        <w:ind w:right="56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$0.36 of adjustments related to the net impact of $0.42 of acquisition related expenses and $0.06 of tax effects on those acquisition related expenses.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Mr. Michael Lucarelli, 781-461-3282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Director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investor.relations@analog.com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2019-12-28T11:39:10Z</dcterms:created>
  <dcterms:modified xsi:type="dcterms:W3CDTF">2019-12-28T11:39:10Z</dcterms:modified>
</cp:coreProperties>
</file>