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1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July 30, 2005</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from___to ___</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1-7819</w:t>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43" w:lineRule="exact"/>
        <w:rPr>
          <w:sz w:val="20"/>
          <w:szCs w:val="20"/>
          <w:color w:val="auto"/>
        </w:rPr>
      </w:pPr>
    </w:p>
    <w:p>
      <w:pPr>
        <w:ind w:left="220" w:right="1620" w:firstLine="10"/>
        <w:spacing w:after="0" w:line="294" w:lineRule="exact"/>
        <w:rPr>
          <w:sz w:val="20"/>
          <w:szCs w:val="20"/>
          <w:color w:val="auto"/>
        </w:rPr>
      </w:pPr>
      <w:r>
        <w:rPr>
          <w:rFonts w:ascii="Arial" w:cs="Arial" w:eastAsia="Arial" w:hAnsi="Arial"/>
          <w:sz w:val="17"/>
          <w:szCs w:val="17"/>
          <w:color w:val="auto"/>
        </w:rPr>
        <w:t xml:space="preserve">Indicate by check mark whether the registrant is an accelerated filer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 As of July 30, 2005 there were 372,402,963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0">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1. Legal Proceedings</w:t>
        </w:r>
      </w:hyperlink>
    </w:p>
    <w:p>
      <w:pPr>
        <w:ind w:left="320" w:right="3299"/>
        <w:spacing w:after="0" w:line="230"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31">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32">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0"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2"/>
                <w:szCs w:val="12"/>
                <w:color w:val="auto"/>
              </w:rPr>
            </w:pPr>
          </w:p>
        </w:tc>
        <w:tc>
          <w:tcPr>
            <w:tcW w:w="12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960" w:type="dxa"/>
            <w:vAlign w:val="bottom"/>
            <w:tcBorders>
              <w:right w:val="single" w:sz="8" w:color="CCEEFF"/>
            </w:tcBorders>
            <w:gridSpan w:val="2"/>
            <w:shd w:val="clear" w:color="auto" w:fill="CCEEFF"/>
          </w:tcPr>
          <w:p>
            <w:pPr>
              <w:ind w:left="38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582,416</w:t>
            </w:r>
          </w:p>
        </w:tc>
        <w:tc>
          <w:tcPr>
            <w:tcW w:w="86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717,793</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244,178</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287,271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338,238</w:t>
            </w: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430,522</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119,217</w:t>
            </w: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133,536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84,407</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89,162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203,624</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222,698</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134,614</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207,824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jc w:val="center"/>
              <w:ind w:right="2330"/>
              <w:spacing w:after="0"/>
              <w:rPr>
                <w:sz w:val="20"/>
                <w:szCs w:val="20"/>
                <w:color w:val="auto"/>
              </w:rPr>
            </w:pPr>
            <w:r>
              <w:rPr>
                <w:rFonts w:ascii="Arial" w:cs="Arial" w:eastAsia="Arial" w:hAnsi="Arial"/>
                <w:sz w:val="18"/>
                <w:szCs w:val="18"/>
                <w:color w:val="auto"/>
                <w:w w:val="90"/>
              </w:rPr>
              <w:t>Interest income</w:t>
            </w: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(19,156)</w:t>
            </w: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jc w:val="center"/>
              <w:ind w:right="2330"/>
              <w:spacing w:after="0"/>
              <w:rPr>
                <w:sz w:val="20"/>
                <w:szCs w:val="20"/>
                <w:color w:val="auto"/>
              </w:rPr>
            </w:pPr>
            <w:r>
              <w:rPr>
                <w:rFonts w:ascii="Arial" w:cs="Arial" w:eastAsia="Arial" w:hAnsi="Arial"/>
                <w:sz w:val="18"/>
                <w:szCs w:val="18"/>
                <w:color w:val="auto"/>
                <w:w w:val="89"/>
              </w:rPr>
              <w:t>Other, net</w:t>
            </w: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(19,062)</w:t>
            </w: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153,676</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216,731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32,272</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47,681</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96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960" w:type="dxa"/>
            <w:vAlign w:val="bottom"/>
            <w:gridSpan w:val="2"/>
          </w:tcPr>
          <w:p>
            <w:pPr>
              <w:ind w:left="38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121,404</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169,050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360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370,985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377,144</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382,830</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394,203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3960" w:type="dxa"/>
            <w:vAlign w:val="bottom"/>
            <w:tcBorders>
              <w:right w:val="single" w:sz="8" w:color="CCEEFF"/>
            </w:tcBorders>
            <w:gridSpan w:val="2"/>
            <w:shd w:val="clear" w:color="auto" w:fill="CCEEFF"/>
          </w:tcPr>
          <w:p>
            <w:pPr>
              <w:ind w:left="38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0.33</w:t>
            </w:r>
          </w:p>
        </w:tc>
        <w:tc>
          <w:tcPr>
            <w:tcW w:w="86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3960" w:type="dxa"/>
            <w:vAlign w:val="bottom"/>
            <w:gridSpan w:val="2"/>
          </w:tcPr>
          <w:p>
            <w:pPr>
              <w:ind w:left="38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0.32</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3960" w:type="dxa"/>
            <w:vAlign w:val="bottom"/>
            <w:tcBorders>
              <w:right w:val="single" w:sz="8" w:color="CCEEFF"/>
            </w:tcBorders>
            <w:gridSpan w:val="2"/>
            <w:shd w:val="clear" w:color="auto" w:fill="CCEEFF"/>
          </w:tcPr>
          <w:p>
            <w:pPr>
              <w:ind w:left="38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0.10</w:t>
            </w:r>
          </w:p>
        </w:tc>
        <w:tc>
          <w:tcPr>
            <w:tcW w:w="860" w:type="dxa"/>
            <w:vAlign w:val="bottom"/>
            <w:tcBorders>
              <w:right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2"/>
            <w:vMerge w:val="continue"/>
          </w:tcPr>
          <w:p>
            <w:pPr>
              <w:spacing w:after="0"/>
              <w:rPr>
                <w:sz w:val="24"/>
                <w:szCs w:val="24"/>
                <w:color w:val="auto"/>
              </w:rPr>
            </w:pPr>
          </w:p>
        </w:tc>
        <w:tc>
          <w:tcPr>
            <w:tcW w:w="3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600" w:type="dxa"/>
            <w:vAlign w:val="bottom"/>
          </w:tcPr>
          <w:p>
            <w:pPr>
              <w:jc w:val="right"/>
              <w:ind w:right="2522"/>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10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4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rPr>
              <w:t>July 30, 2005</w:t>
            </w:r>
          </w:p>
        </w:tc>
        <w:tc>
          <w:tcPr>
            <w:tcW w:w="500" w:type="dxa"/>
            <w:vAlign w:val="bottom"/>
          </w:tcPr>
          <w:p>
            <w:pPr>
              <w:spacing w:after="0"/>
              <w:rPr>
                <w:sz w:val="12"/>
                <w:szCs w:val="12"/>
                <w:color w:val="auto"/>
              </w:rPr>
            </w:pPr>
          </w:p>
        </w:tc>
        <w:tc>
          <w:tcPr>
            <w:tcW w:w="1360" w:type="dxa"/>
            <w:vAlign w:val="bottom"/>
            <w:tcBorders>
              <w:bottom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1,766,678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2,001,676</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746,513</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824,167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1,020,165</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1,177,509</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w:t>
            </w: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373,393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382,644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w:t>
            </w: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253,561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253,682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626,954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636,326</w:t>
            </w:r>
          </w:p>
        </w:tc>
        <w:tc>
          <w:tcPr>
            <w:tcW w:w="0" w:type="dxa"/>
            <w:vAlign w:val="bottom"/>
          </w:tcPr>
          <w:p>
            <w:pPr>
              <w:spacing w:after="0"/>
              <w:rPr>
                <w:sz w:val="1"/>
                <w:szCs w:val="1"/>
                <w:color w:val="auto"/>
              </w:rPr>
            </w:pPr>
          </w:p>
        </w:tc>
      </w:tr>
      <w:tr>
        <w:trPr>
          <w:trHeight w:val="432"/>
        </w:trPr>
        <w:tc>
          <w:tcPr>
            <w:tcW w:w="4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393,211</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541,183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Nonoperating (income) expenses:</w:t>
            </w: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(50,403)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(49,813)</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(20,336)</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443,024</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561,519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123,047</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780" w:type="dxa"/>
            <w:vAlign w:val="bottom"/>
            <w:tcBorders>
              <w:right w:val="single" w:sz="8" w:color="auto"/>
            </w:tcBorders>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346,446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438,472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34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372,407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374,687</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384,425</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394,053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3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76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3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0.90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3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2"/>
            <w:vMerge w:val="continue"/>
          </w:tcPr>
          <w:p>
            <w:pPr>
              <w:spacing w:after="0"/>
              <w:rPr>
                <w:sz w:val="24"/>
                <w:szCs w:val="24"/>
                <w:color w:val="auto"/>
              </w:rPr>
            </w:pPr>
          </w:p>
        </w:tc>
        <w:tc>
          <w:tcPr>
            <w:tcW w:w="3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60" w:type="dxa"/>
            <w:vAlign w:val="bottom"/>
          </w:tcPr>
          <w:p>
            <w:pPr>
              <w:jc w:val="right"/>
              <w:ind w:right="237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9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July 30, 2005</w:t>
            </w:r>
          </w:p>
        </w:tc>
        <w:tc>
          <w:tcPr>
            <w:tcW w:w="540" w:type="dxa"/>
            <w:vAlign w:val="bottom"/>
          </w:tcPr>
          <w:p>
            <w:pPr>
              <w:spacing w:after="0"/>
              <w:rPr>
                <w:sz w:val="14"/>
                <w:szCs w:val="14"/>
                <w:color w:val="auto"/>
              </w:rPr>
            </w:pPr>
          </w:p>
        </w:tc>
        <w:tc>
          <w:tcPr>
            <w:tcW w:w="1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October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248,053</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518,940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2,535,833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2,166,030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296,080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Raw materials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13,022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Work in process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242,751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Finished goods</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343,688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108,000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3,594,358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3,528,611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Land and buildings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335,526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319,128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1,316,342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1,300,185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Office equipment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84,027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89,205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107,932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106,826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1,843,827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1,815,344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1,226,789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1,147,565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Net property, plant and equipment</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617,038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667,779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280,601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163,373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other assets</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480,109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523,693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4,691,505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4,720,083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July 30, 2005</w:t>
            </w:r>
          </w:p>
        </w:tc>
        <w:tc>
          <w:tcPr>
            <w:tcW w:w="540" w:type="dxa"/>
            <w:vAlign w:val="bottom"/>
          </w:tcPr>
          <w:p>
            <w:pPr>
              <w:spacing w:after="0"/>
              <w:rPr>
                <w:sz w:val="14"/>
                <w:szCs w:val="14"/>
                <w:color w:val="auto"/>
              </w:rPr>
            </w:pPr>
          </w:p>
        </w:tc>
        <w:tc>
          <w:tcPr>
            <w:tcW w:w="1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w w:val="96"/>
              </w:rPr>
              <w:t>October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113,750</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127,068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193,652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157,511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107,863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542,333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282,628</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21,825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non-current liabilities</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314,453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353,509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372,402,963 shares issued and outstanding</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(375,840,444 on October 30, 2004)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62,068</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62,641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551,847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759,551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3,238,207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2,973,631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3,834,719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3,799,572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4,691,505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4,720,083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right"/>
              <w:ind w:right="10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rPr>
              <w:t>July 30, 2005</w:t>
            </w:r>
          </w:p>
        </w:tc>
        <w:tc>
          <w:tcPr>
            <w:tcW w:w="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w w:val="91"/>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346,446</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438,472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115,127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Loss on sale of investment</w:t>
            </w:r>
          </w:p>
        </w:tc>
        <w:tc>
          <w:tcPr>
            <w:tcW w:w="3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00"/>
              <w:spacing w:after="0"/>
              <w:rPr>
                <w:sz w:val="20"/>
                <w:szCs w:val="20"/>
                <w:color w:val="auto"/>
              </w:rPr>
            </w:pPr>
            <w:r>
              <w:rPr>
                <w:rFonts w:ascii="Arial" w:cs="Arial" w:eastAsia="Arial" w:hAnsi="Arial"/>
                <w:sz w:val="18"/>
                <w:szCs w:val="18"/>
                <w:color w:val="auto"/>
              </w:rPr>
              <w:t>Other non-cash expense</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4,539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Total adjustments</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125,939</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157,437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472,385</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595,909</w:t>
            </w:r>
          </w:p>
        </w:tc>
        <w:tc>
          <w:tcPr>
            <w:tcW w:w="0" w:type="dxa"/>
            <w:vAlign w:val="bottom"/>
          </w:tcPr>
          <w:p>
            <w:pPr>
              <w:spacing w:after="0"/>
              <w:rPr>
                <w:sz w:val="1"/>
                <w:szCs w:val="1"/>
                <w:color w:val="auto"/>
              </w:rPr>
            </w:pPr>
          </w:p>
        </w:tc>
      </w:tr>
      <w:tr>
        <w:trPr>
          <w:trHeight w:val="439"/>
        </w:trPr>
        <w:tc>
          <w:tcPr>
            <w:tcW w:w="8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short-term available-for-sale investments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(2,581,828)</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(3,330,670)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Maturities of short-term available-for-sale investments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2,195,129</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2,612,201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investment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Additions to property, plant and equipment, net</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(64,428)</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(107,949)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other assets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(449,459)</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(788,146)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(284,697)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proceeds from employee stock plans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72,398</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00"/>
              <w:spacing w:after="0"/>
              <w:rPr>
                <w:sz w:val="20"/>
                <w:szCs w:val="20"/>
                <w:color w:val="auto"/>
              </w:rPr>
            </w:pPr>
            <w:r>
              <w:rPr>
                <w:rFonts w:ascii="Arial" w:cs="Arial" w:eastAsia="Arial" w:hAnsi="Arial"/>
                <w:sz w:val="18"/>
                <w:szCs w:val="18"/>
                <w:color w:val="auto"/>
              </w:rPr>
              <w:t>Dividend payments to shareholders</w:t>
            </w:r>
          </w:p>
        </w:tc>
        <w:tc>
          <w:tcPr>
            <w:tcW w:w="3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(81,870)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(52,441)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provided by financing activities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(294,169)</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56,355</w:t>
            </w:r>
          </w:p>
        </w:tc>
        <w:tc>
          <w:tcPr>
            <w:tcW w:w="0" w:type="dxa"/>
            <w:vAlign w:val="bottom"/>
          </w:tcPr>
          <w:p>
            <w:pPr>
              <w:spacing w:after="0"/>
              <w:rPr>
                <w:sz w:val="1"/>
                <w:szCs w:val="1"/>
                <w:color w:val="auto"/>
              </w:rPr>
            </w:pPr>
          </w:p>
        </w:tc>
      </w:tr>
      <w:tr>
        <w:trPr>
          <w:trHeight w:val="223"/>
        </w:trPr>
        <w:tc>
          <w:tcPr>
            <w:tcW w:w="812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(270,887)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518,940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517,874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248,053</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383,315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JULY 30,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30, 2004 and related notes. The results of operations for the interim periods shown in this report are not necessarily indicative of the results that may be expected for the fiscal year ending October 29, 2005 or any future period.</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2005 and fiscal 2004 are 52-week fiscal years.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Certain amounts reported in previous years have been reclassified to conform to the fiscal 2005 presentation. Such reclassifications were immaterial.</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As permitted by Statement of Financial Accounting Standards (SFAS) 148 and SFAS 123, the Company applies the accounting provisions of Accounting Principle Board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and related interpretations, with regard to the measurement of compensation cost for options granted under the Company’s equity compensation plans, consisting of the 2001 Broad-Based Stock Option Plan, the 1998 Stock Option Plan, the Restated 1994 Director Option Plan, the Restated 1988 Stock Option Plan, the 1992 Employee Stock Purchase Plan and the 1998 International Employee Stock Purchase Plan.</w:t>
      </w:r>
    </w:p>
    <w:p>
      <w:pPr>
        <w:spacing w:after="0" w:line="8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On March 29, 2005 the SEC released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(SAB 107), which interpreted SFAS 123(R). Based on this regulatory guidance the company has reevaluated the methods and assumptions used to estimate the value of employee stock options granted in fiscal 2005. Management believes that implied volatility more accurately measures expected volatility due to the fact that it is generally reflective of both historical volatility and expectations of how future volatility will differ from historical volatility. Management believes that estimations of the value of employee stock options granted using implied volatility will result in the best estimate of expected volatility. The fair value of the Company’s stock-based awards to employees was estimated using the following weighted average assumptions: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4"/>
                <w:szCs w:val="14"/>
                <w:color w:val="auto"/>
              </w:rPr>
              <w:t>Nine Months Ended</w:t>
            </w:r>
          </w:p>
        </w:tc>
      </w:tr>
      <w:tr>
        <w:trPr>
          <w:trHeight w:val="142"/>
        </w:trPr>
        <w:tc>
          <w:tcPr>
            <w:tcW w:w="40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color w:val="auto"/>
                <w:w w:val="91"/>
              </w:rPr>
              <w:t>July 30, 2005</w:t>
            </w:r>
          </w:p>
        </w:tc>
        <w:tc>
          <w:tcPr>
            <w:tcW w:w="10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July 31, 2004</w:t>
            </w:r>
          </w:p>
        </w:tc>
        <w:tc>
          <w:tcPr>
            <w:tcW w:w="160" w:type="dxa"/>
            <w:vAlign w:val="bottom"/>
          </w:tcPr>
          <w:p>
            <w:pPr>
              <w:spacing w:after="0"/>
              <w:rPr>
                <w:sz w:val="12"/>
                <w:szCs w:val="12"/>
                <w:color w:val="auto"/>
              </w:rPr>
            </w:pPr>
          </w:p>
        </w:tc>
      </w:tr>
      <w:tr>
        <w:trPr>
          <w:trHeight w:val="21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term (in years)</w:t>
            </w:r>
          </w:p>
        </w:tc>
        <w:tc>
          <w:tcPr>
            <w:tcW w:w="49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ind w:left="220"/>
              <w:spacing w:after="0"/>
              <w:rPr>
                <w:sz w:val="20"/>
                <w:szCs w:val="20"/>
                <w:color w:val="auto"/>
              </w:rPr>
            </w:pPr>
            <w:r>
              <w:rPr>
                <w:rFonts w:ascii="Arial" w:cs="Arial" w:eastAsia="Arial" w:hAnsi="Arial"/>
                <w:sz w:val="18"/>
                <w:szCs w:val="18"/>
                <w:color w:val="auto"/>
              </w:rPr>
              <w:t>Risk free interest rate</w:t>
            </w:r>
          </w:p>
        </w:tc>
        <w:tc>
          <w:tcPr>
            <w:tcW w:w="616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r>
      <w:tr>
        <w:trPr>
          <w:trHeight w:val="216"/>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stock price volatility</w:t>
            </w:r>
          </w:p>
        </w:tc>
        <w:tc>
          <w:tcPr>
            <w:tcW w:w="6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69.2%</w:t>
            </w: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rPr>
              <w:t>Expected dividend yield</w:t>
            </w:r>
          </w:p>
        </w:tc>
        <w:tc>
          <w:tcPr>
            <w:tcW w:w="6160" w:type="dxa"/>
            <w:vAlign w:val="bottom"/>
            <w:gridSpan w:val="3"/>
          </w:tcPr>
          <w:p>
            <w:pPr>
              <w:jc w:val="right"/>
              <w:ind w:right="280"/>
              <w:spacing w:after="0"/>
              <w:rPr>
                <w:sz w:val="20"/>
                <w:szCs w:val="20"/>
                <w:color w:val="auto"/>
              </w:rPr>
            </w:pPr>
            <w:r>
              <w:rPr>
                <w:rFonts w:ascii="Arial" w:cs="Arial" w:eastAsia="Arial" w:hAnsi="Arial"/>
                <w:sz w:val="18"/>
                <w:szCs w:val="18"/>
                <w:color w:val="auto"/>
              </w:rPr>
              <w:t>0.7%</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0.4%</w:t>
            </w:r>
          </w:p>
        </w:tc>
      </w:tr>
      <w:tr>
        <w:trPr>
          <w:trHeight w:val="391"/>
        </w:trPr>
        <w:tc>
          <w:tcPr>
            <w:tcW w:w="4040" w:type="dxa"/>
            <w:vAlign w:val="bottom"/>
          </w:tcPr>
          <w:p>
            <w:pPr>
              <w:spacing w:after="0"/>
              <w:rPr>
                <w:sz w:val="24"/>
                <w:szCs w:val="24"/>
                <w:color w:val="auto"/>
              </w:rPr>
            </w:pPr>
          </w:p>
        </w:tc>
        <w:tc>
          <w:tcPr>
            <w:tcW w:w="4960" w:type="dxa"/>
            <w:vAlign w:val="bottom"/>
          </w:tcPr>
          <w:p>
            <w:pPr>
              <w:jc w:val="right"/>
              <w:ind w:right="3150"/>
              <w:spacing w:after="0"/>
              <w:rPr>
                <w:sz w:val="20"/>
                <w:szCs w:val="20"/>
                <w:color w:val="auto"/>
              </w:rPr>
            </w:pPr>
            <w:r>
              <w:rPr>
                <w:rFonts w:ascii="Arial" w:cs="Arial" w:eastAsia="Arial" w:hAnsi="Arial"/>
                <w:sz w:val="18"/>
                <w:szCs w:val="18"/>
                <w:color w:val="auto"/>
              </w:rPr>
              <w:t>7</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Had expense been recognized using the fair value method described in SFAS 123, using the Black-Scholes option-pricing model, the Company would have reported the following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left="512"/>
              <w:spacing w:after="0"/>
              <w:rPr>
                <w:sz w:val="20"/>
                <w:szCs w:val="20"/>
                <w:color w:val="auto"/>
              </w:rPr>
            </w:pPr>
            <w:r>
              <w:rPr>
                <w:rFonts w:ascii="Arial" w:cs="Arial" w:eastAsia="Arial" w:hAnsi="Arial"/>
                <w:sz w:val="14"/>
                <w:szCs w:val="14"/>
                <w:color w:val="auto"/>
                <w:w w:val="93"/>
              </w:rPr>
              <w:t>Three Months Ended</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2"/>
                <w:szCs w:val="12"/>
                <w:color w:val="auto"/>
              </w:rPr>
            </w:pPr>
          </w:p>
        </w:tc>
        <w:tc>
          <w:tcPr>
            <w:tcW w:w="1280" w:type="dxa"/>
            <w:vAlign w:val="bottom"/>
            <w:tcBorders>
              <w:bottom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$ 121,404</w:t>
            </w:r>
          </w:p>
        </w:tc>
        <w:tc>
          <w:tcPr>
            <w:tcW w:w="18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$ 169,050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5"/>
              </w:rPr>
              <w:t>Add: stock-based employee compensation expense included in reported net income, net of related tax effects</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1,029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compensation expense determined under the fair value based method for all</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(49,793)</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(55,394)</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72,640</w:t>
            </w:r>
          </w:p>
        </w:tc>
        <w:tc>
          <w:tcPr>
            <w:tcW w:w="300" w:type="dxa"/>
            <w:vAlign w:val="bottom"/>
          </w:tcPr>
          <w:p>
            <w:pPr>
              <w:spacing w:after="0"/>
              <w:rPr>
                <w:sz w:val="24"/>
                <w:szCs w:val="24"/>
                <w:color w:val="auto"/>
              </w:rPr>
            </w:pPr>
          </w:p>
        </w:tc>
        <w:tc>
          <w:tcPr>
            <w:tcW w:w="1800" w:type="dxa"/>
            <w:vAlign w:val="bottom"/>
            <w:gridSpan w:val="5"/>
          </w:tcPr>
          <w:p>
            <w:pPr>
              <w:jc w:val="right"/>
              <w:ind w:right="320"/>
              <w:spacing w:after="0"/>
              <w:rPr>
                <w:sz w:val="20"/>
                <w:szCs w:val="20"/>
                <w:color w:val="auto"/>
              </w:rPr>
            </w:pPr>
            <w:r>
              <w:rPr>
                <w:rFonts w:ascii="Arial" w:cs="Arial" w:eastAsia="Arial" w:hAnsi="Arial"/>
                <w:sz w:val="18"/>
                <w:szCs w:val="18"/>
                <w:color w:val="auto"/>
              </w:rPr>
              <w:t>$ 115,334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Basic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0.33</w:t>
            </w:r>
          </w:p>
        </w:tc>
        <w:tc>
          <w:tcPr>
            <w:tcW w:w="9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 pro forma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Diluted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9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 pro forma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left="492"/>
              <w:spacing w:after="0"/>
              <w:rPr>
                <w:sz w:val="20"/>
                <w:szCs w:val="20"/>
                <w:color w:val="auto"/>
              </w:rPr>
            </w:pPr>
            <w:r>
              <w:rPr>
                <w:rFonts w:ascii="Arial" w:cs="Arial" w:eastAsia="Arial" w:hAnsi="Arial"/>
                <w:sz w:val="14"/>
                <w:szCs w:val="14"/>
                <w:color w:val="auto"/>
                <w:w w:val="94"/>
              </w:rPr>
              <w:t>Nine Months Ended</w:t>
            </w: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6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2"/>
                <w:szCs w:val="12"/>
                <w:color w:val="auto"/>
              </w:rPr>
            </w:pPr>
          </w:p>
        </w:tc>
        <w:tc>
          <w:tcPr>
            <w:tcW w:w="1280" w:type="dxa"/>
            <w:vAlign w:val="bottom"/>
            <w:tcBorders>
              <w:bottom w:val="single" w:sz="8" w:color="auto"/>
            </w:tcBorders>
            <w:gridSpan w:val="4"/>
          </w:tcPr>
          <w:p>
            <w:pPr>
              <w:ind w:left="24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$ 346,446</w:t>
            </w:r>
          </w:p>
        </w:tc>
        <w:tc>
          <w:tcPr>
            <w:tcW w:w="18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$ 438,472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w w:val="95"/>
              </w:rPr>
              <w:t>Add: stock-based employee compensation expense included in reported net income, net of related tax effects</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3,033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Deduct: total stock-based compensation expense determined under the fair value based method for all</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net of related tax effects</w:t>
            </w: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(136,434)</w:t>
            </w:r>
          </w:p>
        </w:tc>
        <w:tc>
          <w:tcPr>
            <w:tcW w:w="18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(158,204)</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6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1260" w:type="dxa"/>
            <w:vAlign w:val="bottom"/>
            <w:gridSpan w:val="3"/>
          </w:tcPr>
          <w:p>
            <w:pPr>
              <w:jc w:val="right"/>
              <w:ind w:right="300"/>
              <w:spacing w:after="0"/>
              <w:rPr>
                <w:sz w:val="20"/>
                <w:szCs w:val="20"/>
                <w:color w:val="auto"/>
              </w:rPr>
            </w:pPr>
            <w:r>
              <w:rPr>
                <w:rFonts w:ascii="Arial" w:cs="Arial" w:eastAsia="Arial" w:hAnsi="Arial"/>
                <w:sz w:val="18"/>
                <w:szCs w:val="18"/>
                <w:color w:val="auto"/>
              </w:rPr>
              <w:t>$ 213,045</w:t>
            </w:r>
          </w:p>
        </w:tc>
        <w:tc>
          <w:tcPr>
            <w:tcW w:w="1800" w:type="dxa"/>
            <w:vAlign w:val="bottom"/>
            <w:gridSpan w:val="5"/>
          </w:tcPr>
          <w:p>
            <w:pPr>
              <w:jc w:val="right"/>
              <w:ind w:right="320"/>
              <w:spacing w:after="0"/>
              <w:rPr>
                <w:sz w:val="20"/>
                <w:szCs w:val="20"/>
                <w:color w:val="auto"/>
              </w:rPr>
            </w:pPr>
            <w:r>
              <w:rPr>
                <w:rFonts w:ascii="Arial" w:cs="Arial" w:eastAsia="Arial" w:hAnsi="Arial"/>
                <w:sz w:val="18"/>
                <w:szCs w:val="18"/>
                <w:color w:val="auto"/>
              </w:rPr>
              <w:t>$ 284,732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Basic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0.93</w:t>
            </w:r>
          </w:p>
        </w:tc>
        <w:tc>
          <w:tcPr>
            <w:tcW w:w="9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 pro forma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Diluted — as reported</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0.90</w:t>
            </w:r>
          </w:p>
        </w:tc>
        <w:tc>
          <w:tcPr>
            <w:tcW w:w="90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 pro forma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0.55</w:t>
            </w:r>
          </w:p>
        </w:tc>
        <w:tc>
          <w:tcPr>
            <w:tcW w:w="9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jc w:val="right"/>
              <w:ind w:right="251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2"/>
                <w:szCs w:val="12"/>
                <w:color w:val="auto"/>
              </w:rPr>
            </w:pPr>
          </w:p>
        </w:tc>
        <w:tc>
          <w:tcPr>
            <w:tcW w:w="12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$121,404</w:t>
            </w:r>
          </w:p>
        </w:tc>
        <w:tc>
          <w:tcPr>
            <w:tcW w:w="17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$169,050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gridSpan w:val="3"/>
          </w:tcPr>
          <w:p>
            <w:pPr>
              <w:jc w:val="right"/>
              <w:ind w:right="208"/>
              <w:spacing w:after="0"/>
              <w:rPr>
                <w:sz w:val="20"/>
                <w:szCs w:val="20"/>
                <w:color w:val="auto"/>
              </w:rPr>
            </w:pPr>
            <w:r>
              <w:rPr>
                <w:rFonts w:ascii="Arial" w:cs="Arial" w:eastAsia="Arial" w:hAnsi="Arial"/>
                <w:sz w:val="18"/>
                <w:szCs w:val="18"/>
                <w:color w:val="auto"/>
              </w:rPr>
              <w:t>(1,549)</w:t>
            </w:r>
          </w:p>
        </w:tc>
        <w:tc>
          <w:tcPr>
            <w:tcW w:w="1780" w:type="dxa"/>
            <w:vAlign w:val="bottom"/>
            <w:gridSpan w:val="4"/>
          </w:tcPr>
          <w:p>
            <w:pPr>
              <w:jc w:val="right"/>
              <w:ind w:right="2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Unrealized holding losses (net of taxes of $783 and $958, respectively) on securities classified as</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Short-term Investments</w:t>
            </w:r>
          </w:p>
        </w:tc>
        <w:tc>
          <w:tcPr>
            <w:tcW w:w="12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(1,456)</w:t>
            </w:r>
          </w:p>
        </w:tc>
        <w:tc>
          <w:tcPr>
            <w:tcW w:w="1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w w:val="97"/>
              </w:rPr>
              <w:t>Unrealized holding gains (losses) (net of taxes of $0 and $667, respectively) on securities classified as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Other Investments</w:t>
            </w:r>
          </w:p>
        </w:tc>
        <w:tc>
          <w:tcPr>
            <w:tcW w:w="1280" w:type="dxa"/>
            <w:vAlign w:val="bottom"/>
            <w:gridSpan w:val="3"/>
          </w:tcPr>
          <w:p>
            <w:pPr>
              <w:jc w:val="right"/>
              <w:ind w:right="268"/>
              <w:spacing w:after="0"/>
              <w:rPr>
                <w:sz w:val="20"/>
                <w:szCs w:val="20"/>
                <w:color w:val="auto"/>
              </w:rPr>
            </w:pPr>
            <w:r>
              <w:rPr>
                <w:rFonts w:ascii="Arial" w:cs="Arial" w:eastAsia="Arial" w:hAnsi="Arial"/>
                <w:sz w:val="18"/>
                <w:szCs w:val="18"/>
                <w:color w:val="auto"/>
              </w:rPr>
              <w:t>2</w:t>
            </w:r>
          </w:p>
        </w:tc>
        <w:tc>
          <w:tcPr>
            <w:tcW w:w="1780" w:type="dxa"/>
            <w:vAlign w:val="bottom"/>
            <w:gridSpan w:val="4"/>
          </w:tcPr>
          <w:p>
            <w:pPr>
              <w:jc w:val="right"/>
              <w:ind w:right="28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 in unrealized losses on derivative instruments designated as cash flow hedges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(7,652)</w:t>
            </w:r>
          </w:p>
        </w:tc>
        <w:tc>
          <w:tcPr>
            <w:tcW w:w="1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0"/>
        </w:trPr>
        <w:tc>
          <w:tcPr>
            <w:tcW w:w="8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340" w:type="dxa"/>
            <w:vAlign w:val="bottom"/>
          </w:tcPr>
          <w:p>
            <w:pPr>
              <w:spacing w:after="0"/>
              <w:rPr>
                <w:sz w:val="24"/>
                <w:szCs w:val="24"/>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8"/>
                <w:szCs w:val="18"/>
                <w:color w:val="auto"/>
                <w:w w:val="95"/>
              </w:rPr>
              <w:t>(10,655)</w:t>
            </w:r>
          </w:p>
        </w:tc>
        <w:tc>
          <w:tcPr>
            <w:tcW w:w="1780" w:type="dxa"/>
            <w:vAlign w:val="bottom"/>
            <w:gridSpan w:val="4"/>
          </w:tcPr>
          <w:p>
            <w:pPr>
              <w:jc w:val="right"/>
              <w:ind w:right="280"/>
              <w:spacing w:after="0"/>
              <w:rPr>
                <w:sz w:val="20"/>
                <w:szCs w:val="20"/>
                <w:color w:val="auto"/>
              </w:rPr>
            </w:pPr>
            <w:r>
              <w:rPr>
                <w:rFonts w:ascii="Arial" w:cs="Arial" w:eastAsia="Arial" w:hAnsi="Arial"/>
                <w:sz w:val="18"/>
                <w:szCs w:val="18"/>
                <w:color w:val="auto"/>
              </w:rPr>
              <w:t>(5,917)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$110,749</w:t>
            </w:r>
          </w:p>
        </w:tc>
        <w:tc>
          <w:tcPr>
            <w:tcW w:w="17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2"/>
                <w:szCs w:val="12"/>
                <w:color w:val="auto"/>
              </w:rPr>
            </w:pPr>
          </w:p>
        </w:tc>
        <w:tc>
          <w:tcPr>
            <w:tcW w:w="12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$346,446</w:t>
            </w:r>
          </w:p>
        </w:tc>
        <w:tc>
          <w:tcPr>
            <w:tcW w:w="17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$438,472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gridSpan w:val="3"/>
          </w:tcPr>
          <w:p>
            <w:pPr>
              <w:jc w:val="right"/>
              <w:ind w:right="208"/>
              <w:spacing w:after="0"/>
              <w:rPr>
                <w:sz w:val="20"/>
                <w:szCs w:val="20"/>
                <w:color w:val="auto"/>
              </w:rPr>
            </w:pPr>
            <w:r>
              <w:rPr>
                <w:rFonts w:ascii="Arial" w:cs="Arial" w:eastAsia="Arial" w:hAnsi="Arial"/>
                <w:sz w:val="18"/>
                <w:szCs w:val="18"/>
                <w:color w:val="auto"/>
              </w:rPr>
              <w:t>(886)</w:t>
            </w:r>
          </w:p>
        </w:tc>
        <w:tc>
          <w:tcPr>
            <w:tcW w:w="1780" w:type="dxa"/>
            <w:vAlign w:val="bottom"/>
            <w:gridSpan w:val="4"/>
          </w:tcPr>
          <w:p>
            <w:pPr>
              <w:jc w:val="right"/>
              <w:ind w:right="3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Unrealized holding losses (net of taxes of $5,913 and $4,252, respectively) on securities classified as</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Short-term Investments</w:t>
            </w:r>
          </w:p>
        </w:tc>
        <w:tc>
          <w:tcPr>
            <w:tcW w:w="12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(10,983)</w:t>
            </w:r>
          </w:p>
        </w:tc>
        <w:tc>
          <w:tcPr>
            <w:tcW w:w="1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Change in unrealized (losses) gains on securities classified as Other Investments: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Unrealized holding (losses) gains (net of taxes of $295 and $528, respectively) on securities</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classified as Other Investments</w:t>
            </w:r>
          </w:p>
        </w:tc>
        <w:tc>
          <w:tcPr>
            <w:tcW w:w="12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(547)</w:t>
            </w:r>
          </w:p>
        </w:tc>
        <w:tc>
          <w:tcPr>
            <w:tcW w:w="17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600"/>
              <w:spacing w:after="0"/>
              <w:rPr>
                <w:sz w:val="20"/>
                <w:szCs w:val="20"/>
                <w:color w:val="auto"/>
              </w:rPr>
            </w:pPr>
            <w:r>
              <w:rPr>
                <w:rFonts w:ascii="Arial" w:cs="Arial" w:eastAsia="Arial" w:hAnsi="Arial"/>
                <w:sz w:val="18"/>
                <w:szCs w:val="18"/>
                <w:color w:val="auto"/>
              </w:rPr>
              <w:t>Less: reclassification adjustment for loss included in net income</w:t>
            </w: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unrealized holding (losses) gains on securities classified as Other Investments</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(547)</w:t>
            </w:r>
          </w:p>
        </w:tc>
        <w:tc>
          <w:tcPr>
            <w:tcW w:w="17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Change in unrealized losses on derivative instruments designated as cash flow hedges</w:t>
            </w:r>
          </w:p>
        </w:tc>
        <w:tc>
          <w:tcPr>
            <w:tcW w:w="340" w:type="dxa"/>
            <w:vAlign w:val="bottom"/>
          </w:tcPr>
          <w:p>
            <w:pPr>
              <w:spacing w:after="0"/>
              <w:rPr>
                <w:sz w:val="24"/>
                <w:szCs w:val="24"/>
                <w:color w:val="auto"/>
              </w:rPr>
            </w:pPr>
          </w:p>
        </w:tc>
        <w:tc>
          <w:tcPr>
            <w:tcW w:w="940" w:type="dxa"/>
            <w:vAlign w:val="bottom"/>
            <w:gridSpan w:val="2"/>
          </w:tcPr>
          <w:p>
            <w:pPr>
              <w:jc w:val="right"/>
              <w:ind w:right="208"/>
              <w:spacing w:after="0"/>
              <w:rPr>
                <w:sz w:val="20"/>
                <w:szCs w:val="20"/>
                <w:color w:val="auto"/>
              </w:rPr>
            </w:pPr>
            <w:r>
              <w:rPr>
                <w:rFonts w:ascii="Arial" w:cs="Arial" w:eastAsia="Arial" w:hAnsi="Arial"/>
                <w:sz w:val="18"/>
                <w:szCs w:val="18"/>
                <w:color w:val="auto"/>
              </w:rPr>
              <w:t>(8,736)</w:t>
            </w:r>
          </w:p>
        </w:tc>
        <w:tc>
          <w:tcPr>
            <w:tcW w:w="1780" w:type="dxa"/>
            <w:vAlign w:val="bottom"/>
            <w:gridSpan w:val="4"/>
          </w:tcPr>
          <w:p>
            <w:pPr>
              <w:jc w:val="right"/>
              <w:ind w:right="28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(21,152)</w:t>
            </w:r>
          </w:p>
        </w:tc>
        <w:tc>
          <w:tcPr>
            <w:tcW w:w="1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325,294</w:t>
            </w:r>
          </w:p>
        </w:tc>
        <w:tc>
          <w:tcPr>
            <w:tcW w:w="340" w:type="dxa"/>
            <w:vAlign w:val="bottom"/>
          </w:tcPr>
          <w:p>
            <w:pPr>
              <w:spacing w:after="0"/>
              <w:rPr>
                <w:sz w:val="19"/>
                <w:szCs w:val="19"/>
                <w:color w:val="auto"/>
              </w:rPr>
            </w:pPr>
          </w:p>
        </w:tc>
        <w:tc>
          <w:tcPr>
            <w:tcW w:w="84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429,685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jc w:val="right"/>
              <w:ind w:right="25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income at July 30, 2005 and October 30, 2004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20" w:type="dxa"/>
            <w:vAlign w:val="bottom"/>
          </w:tcPr>
          <w:p>
            <w:pPr>
              <w:spacing w:after="0"/>
              <w:rPr>
                <w:sz w:val="14"/>
                <w:szCs w:val="14"/>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October 30, 2004</w:t>
            </w: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gains on available-for-sale securities</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$(11,441)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Unrealized (losses) gains on derivative instruments</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(6,641)</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2,095</w:t>
            </w: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 adjustment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(3,606)</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(3,606)</w:t>
            </w: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4,285</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5,171</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accumulated other comprehensive (loss) income</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$(17,403)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3,749</w:t>
            </w:r>
          </w:p>
        </w:tc>
      </w:tr>
      <w:tr>
        <w:trPr>
          <w:trHeight w:val="20"/>
        </w:trPr>
        <w:tc>
          <w:tcPr>
            <w:tcW w:w="8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Short-term investments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short-term investments are adjusted to fair market value at the end of each quarter. Unrealized gains and losses, net of tax, on these securities are included in accumulated other comprehensive (loss) income, which is a separate component of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Basic earnings per share is computed using only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In calculating diluted earnings per share, the dilutive effect of stock options is computed using the average market price for the respective period. Potential shares related to certain of the Company’s outstanding stock options were excluded because they were anti-dilutive. Those potential shares related to the Company’s outstanding stock options could be dilutive in the future. The following table sets forth the computation of basic and diluted earnings per share: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2"/>
                <w:szCs w:val="12"/>
                <w:color w:val="auto"/>
              </w:rPr>
            </w:pPr>
          </w:p>
        </w:tc>
        <w:tc>
          <w:tcPr>
            <w:tcW w:w="12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580" w:type="dxa"/>
            <w:vAlign w:val="bottom"/>
            <w:gridSpan w:val="2"/>
          </w:tcPr>
          <w:p>
            <w:pPr>
              <w:ind w:left="34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121,404</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169,050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shares outstanding</w:t>
            </w:r>
          </w:p>
        </w:tc>
        <w:tc>
          <w:tcPr>
            <w:tcW w:w="3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370,985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377,144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580" w:type="dxa"/>
            <w:vAlign w:val="bottom"/>
            <w:gridSpan w:val="2"/>
          </w:tcPr>
          <w:p>
            <w:pPr>
              <w:ind w:left="34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0.33</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580" w:type="dxa"/>
            <w:vAlign w:val="bottom"/>
            <w:gridSpan w:val="2"/>
          </w:tcPr>
          <w:p>
            <w:pPr>
              <w:ind w:left="34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121,404</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169,050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shares outstanding</w:t>
            </w:r>
          </w:p>
        </w:tc>
        <w:tc>
          <w:tcPr>
            <w:tcW w:w="3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370,985</w:t>
            </w: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377,144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Assumed exercise of common stock equivalents</w:t>
            </w:r>
          </w:p>
        </w:tc>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11,845</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17,059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8"/>
              </w:rPr>
              <w:t>Weighted average common and common equivalent shares</w:t>
            </w:r>
          </w:p>
        </w:tc>
        <w:tc>
          <w:tcPr>
            <w:tcW w:w="3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382,830</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394,203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580" w:type="dxa"/>
            <w:vAlign w:val="bottom"/>
            <w:gridSpan w:val="2"/>
          </w:tcPr>
          <w:p>
            <w:pPr>
              <w:ind w:left="348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0.32</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Anti-dilutive common stock equivalents related to:</w:t>
            </w:r>
          </w:p>
        </w:tc>
        <w:tc>
          <w:tcPr>
            <w:tcW w:w="32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Outstanding stock options</w:t>
            </w:r>
          </w:p>
        </w:tc>
        <w:tc>
          <w:tcPr>
            <w:tcW w:w="3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37,998</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14,171</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220" w:type="dxa"/>
            <w:vAlign w:val="bottom"/>
          </w:tcPr>
          <w:p>
            <w:pPr>
              <w:jc w:val="right"/>
              <w:ind w:right="2482"/>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w w:val="92"/>
              </w:rPr>
              <w:t>Nine Months Ended</w:t>
            </w: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color w:val="auto"/>
              </w:rPr>
              <w:t>July 30, 2005</w:t>
            </w:r>
          </w:p>
        </w:tc>
        <w:tc>
          <w:tcPr>
            <w:tcW w:w="520" w:type="dxa"/>
            <w:vAlign w:val="bottom"/>
          </w:tcPr>
          <w:p>
            <w:pPr>
              <w:spacing w:after="0"/>
              <w:rPr>
                <w:sz w:val="12"/>
                <w:szCs w:val="12"/>
                <w:color w:val="auto"/>
              </w:rPr>
            </w:pPr>
          </w:p>
        </w:tc>
        <w:tc>
          <w:tcPr>
            <w:tcW w:w="126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color w:val="auto"/>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w w:val="86"/>
              </w:rPr>
              <w:t>346,446</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438,472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shares outstanding</w:t>
            </w: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372,407</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374,687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0.93</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w w:val="86"/>
              </w:rPr>
              <w:t>346,446</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438,472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shares outstanding</w:t>
            </w:r>
          </w:p>
        </w:tc>
        <w:tc>
          <w:tcPr>
            <w:tcW w:w="36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6"/>
              </w:rPr>
              <w:t>372,407</w:t>
            </w: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374,687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Assumed exercise of common stock equivalents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12,018</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Weighted average common and common equivalent shares</w:t>
            </w: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384,425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394,053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0.90</w:t>
            </w:r>
          </w:p>
        </w:tc>
        <w:tc>
          <w:tcPr>
            <w:tcW w:w="860" w:type="dxa"/>
            <w:vAlign w:val="bottom"/>
            <w:gridSpan w:val="2"/>
          </w:tcPr>
          <w:p>
            <w:pPr>
              <w:ind w:left="76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Anti-dilutive common stock equivalents related to:</w:t>
            </w: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Arial" w:cs="Arial" w:eastAsia="Arial" w:hAnsi="Arial"/>
                <w:sz w:val="18"/>
                <w:szCs w:val="18"/>
                <w:color w:val="auto"/>
              </w:rPr>
              <w:t>Outstanding stock options</w:t>
            </w:r>
          </w:p>
        </w:tc>
        <w:tc>
          <w:tcPr>
            <w:tcW w:w="360" w:type="dxa"/>
            <w:vAlign w:val="bottom"/>
          </w:tcPr>
          <w:p>
            <w:pPr>
              <w:spacing w:after="0"/>
              <w:rPr>
                <w:sz w:val="20"/>
                <w:szCs w:val="20"/>
                <w:color w:val="auto"/>
              </w:rPr>
            </w:pPr>
          </w:p>
        </w:tc>
        <w:tc>
          <w:tcPr>
            <w:tcW w:w="920" w:type="dxa"/>
            <w:vAlign w:val="bottom"/>
            <w:gridSpan w:val="2"/>
          </w:tcPr>
          <w:p>
            <w:pPr>
              <w:jc w:val="right"/>
              <w:ind w:right="268"/>
              <w:spacing w:after="0"/>
              <w:rPr>
                <w:sz w:val="20"/>
                <w:szCs w:val="20"/>
                <w:color w:val="auto"/>
              </w:rPr>
            </w:pPr>
            <w:r>
              <w:rPr>
                <w:rFonts w:ascii="Arial" w:cs="Arial" w:eastAsia="Arial" w:hAnsi="Arial"/>
                <w:sz w:val="18"/>
                <w:szCs w:val="18"/>
                <w:color w:val="auto"/>
              </w:rPr>
              <w:t>45,037</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Statement of Financial Accounting Standards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May 2005, the Financial Accounting Standards Board (FASB) issued Statement of Financial Accounting Standards (SFAS) SFAS No. 154,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Changes and Error Corrections </w:t>
      </w:r>
      <w:r>
        <w:rPr>
          <w:rFonts w:ascii="Arial" w:cs="Arial" w:eastAsia="Arial" w:hAnsi="Arial"/>
          <w:sz w:val="16"/>
          <w:szCs w:val="16"/>
          <w:color w:val="auto"/>
        </w:rPr>
        <w:t>(“SFAS 154”) which supersedes APB Opinion No. 20,</w:t>
      </w:r>
      <w:r>
        <w:rPr>
          <w:rFonts w:ascii="Arial" w:cs="Arial" w:eastAsia="Arial" w:hAnsi="Arial"/>
          <w:sz w:val="16"/>
          <w:szCs w:val="16"/>
          <w:i w:val="1"/>
          <w:iCs w:val="1"/>
          <w:color w:val="auto"/>
        </w:rPr>
        <w:t xml:space="preserve"> Accounting Changes </w:t>
      </w:r>
      <w:r>
        <w:rPr>
          <w:rFonts w:ascii="Arial" w:cs="Arial" w:eastAsia="Arial" w:hAnsi="Arial"/>
          <w:sz w:val="16"/>
          <w:szCs w:val="16"/>
          <w:color w:val="auto"/>
        </w:rPr>
        <w:t>and SFAS No. 3,</w:t>
      </w:r>
      <w:r>
        <w:rPr>
          <w:rFonts w:ascii="Arial" w:cs="Arial" w:eastAsia="Arial" w:hAnsi="Arial"/>
          <w:sz w:val="16"/>
          <w:szCs w:val="16"/>
          <w:i w:val="1"/>
          <w:iCs w:val="1"/>
          <w:color w:val="auto"/>
        </w:rPr>
        <w:t xml:space="preserve"> Reporting Accounting Changes in Interim Financial Statements. </w:t>
      </w:r>
      <w:r>
        <w:rPr>
          <w:rFonts w:ascii="Arial" w:cs="Arial" w:eastAsia="Arial" w:hAnsi="Arial"/>
          <w:sz w:val="16"/>
          <w:szCs w:val="16"/>
          <w:color w:val="auto"/>
        </w:rPr>
        <w:t>SFAS 154 provides guidance on the accounting for and reporting of accounting changes and error corrections. It establishes,</w:t>
      </w:r>
      <w:r>
        <w:rPr>
          <w:rFonts w:ascii="Arial" w:cs="Arial" w:eastAsia="Arial" w:hAnsi="Arial"/>
          <w:sz w:val="16"/>
          <w:szCs w:val="16"/>
          <w:i w:val="1"/>
          <w:iCs w:val="1"/>
          <w:color w:val="auto"/>
        </w:rPr>
        <w:t xml:space="preserve"> </w:t>
      </w:r>
      <w:r>
        <w:rPr>
          <w:rFonts w:ascii="Arial" w:cs="Arial" w:eastAsia="Arial" w:hAnsi="Arial"/>
          <w:sz w:val="16"/>
          <w:szCs w:val="16"/>
          <w:color w:val="auto"/>
        </w:rPr>
        <w:t>unless 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The Company does not expect the adoption of SFAS 154 to have a material impact on its consolidated results of operations and financial condition.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In March 2005, the FASB issued FASB Interpretation No. 47 (FIN 47), </w:t>
      </w:r>
      <w:r>
        <w:rPr>
          <w:rFonts w:ascii="Arial" w:cs="Arial" w:eastAsia="Arial" w:hAnsi="Arial"/>
          <w:sz w:val="17"/>
          <w:szCs w:val="17"/>
          <w:i w:val="1"/>
          <w:iCs w:val="1"/>
          <w:color w:val="auto"/>
        </w:rPr>
        <w:t>Accounting for Conditional Asset Retirement Obligations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143. </w:t>
      </w:r>
      <w:r>
        <w:rPr>
          <w:rFonts w:ascii="Arial" w:cs="Arial" w:eastAsia="Arial" w:hAnsi="Arial"/>
          <w:sz w:val="17"/>
          <w:szCs w:val="17"/>
          <w:color w:val="auto"/>
        </w:rPr>
        <w:t>FIN 47 clarifies that the term conditional asset retirement obligation as used in SFAS No. 143,</w:t>
      </w:r>
      <w:r>
        <w:rPr>
          <w:rFonts w:ascii="Arial" w:cs="Arial" w:eastAsia="Arial" w:hAnsi="Arial"/>
          <w:sz w:val="17"/>
          <w:szCs w:val="17"/>
          <w:i w:val="1"/>
          <w:iCs w:val="1"/>
          <w:color w:val="auto"/>
        </w:rPr>
        <w:t xml:space="preserve"> Accounting for Asset Retirement Obligations, </w:t>
      </w:r>
      <w:r>
        <w:rPr>
          <w:rFonts w:ascii="Arial" w:cs="Arial" w:eastAsia="Arial" w:hAnsi="Arial"/>
          <w:sz w:val="17"/>
          <w:szCs w:val="17"/>
          <w:color w:val="auto"/>
        </w:rPr>
        <w:t>refers to a legal obligation to perform an asset retirement activity in which the timing and (or) method of settlement are conditional on a future</w:t>
      </w:r>
      <w:r>
        <w:rPr>
          <w:rFonts w:ascii="Arial" w:cs="Arial" w:eastAsia="Arial" w:hAnsi="Arial"/>
          <w:sz w:val="17"/>
          <w:szCs w:val="17"/>
          <w:i w:val="1"/>
          <w:iCs w:val="1"/>
          <w:color w:val="auto"/>
        </w:rPr>
        <w:t xml:space="preserve"> </w:t>
      </w:r>
      <w:r>
        <w:rPr>
          <w:rFonts w:ascii="Arial" w:cs="Arial" w:eastAsia="Arial" w:hAnsi="Arial"/>
          <w:sz w:val="17"/>
          <w:szCs w:val="17"/>
          <w:color w:val="auto"/>
        </w:rPr>
        <w:t>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The Company is currently analyzing FIN 47 and believes the adoption of FIN 47 will not have a material impact on the Company’s financial condition, results of operations or liquidity.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Nonmonetary Assets</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 xml:space="preserve">In December 2004, the FASB issued SFAS No. 153, </w:t>
      </w:r>
      <w:r>
        <w:rPr>
          <w:rFonts w:ascii="Arial" w:cs="Arial" w:eastAsia="Arial" w:hAnsi="Arial"/>
          <w:sz w:val="18"/>
          <w:szCs w:val="18"/>
          <w:i w:val="1"/>
          <w:iCs w:val="1"/>
          <w:color w:val="auto"/>
        </w:rPr>
        <w:t>Exchanges of Nonmonetary Assets – an amendment of APB Opinion No. 29</w:t>
      </w:r>
      <w:r>
        <w:rPr>
          <w:rFonts w:ascii="Arial" w:cs="Arial" w:eastAsia="Arial" w:hAnsi="Arial"/>
          <w:sz w:val="18"/>
          <w:szCs w:val="18"/>
          <w:color w:val="auto"/>
        </w:rPr>
        <w:t xml:space="preserve"> (SFAS 153). SFAS 153 is based on the principle that exchanges of nonmonetary assets should be measured based on the fair value of the assets exchanged. SFAS 153 eliminates the exception for nonmonetary exchanges of similar productive assets and replaces it with a general exception for exchanges of nonmonetary assets that do not have commercial substance. SFAS 153 is effective for nonmonetary asset exchanges in fiscal periods beginning after June 15, 2005. The Company is currently evaluating the provisions of SFAS 153 and does not believe that its adoption will have a material impact on the Company’s financial condition, results of operations or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In November 2004, the FASB issued SFAS No. 151, </w:t>
      </w:r>
      <w:r>
        <w:rPr>
          <w:rFonts w:ascii="Arial" w:cs="Arial" w:eastAsia="Arial" w:hAnsi="Arial"/>
          <w:sz w:val="17"/>
          <w:szCs w:val="17"/>
          <w:i w:val="1"/>
          <w:iCs w:val="1"/>
          <w:color w:val="auto"/>
        </w:rPr>
        <w:t>Inventory Costs, an amendment of Accounting Research Bulletin (ARB) No. 43, Chapter 4</w:t>
      </w:r>
      <w:r>
        <w:rPr>
          <w:rFonts w:ascii="Arial" w:cs="Arial" w:eastAsia="Arial" w:hAnsi="Arial"/>
          <w:sz w:val="17"/>
          <w:szCs w:val="17"/>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Company is currently evaluating the provisions of SFAS 151 and does not believe that its adoption will have a material impact on the Company’s financial condition, results of operations or liquidity.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December 16, 2004, the FASB issued SFAS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is a revision of SFAS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(SFAS 123(R)). SFAS 123(R) supersedes APB Opinion No. 25,</w:t>
      </w:r>
      <w:r>
        <w:rPr>
          <w:rFonts w:ascii="Arial" w:cs="Arial" w:eastAsia="Arial" w:hAnsi="Arial"/>
          <w:sz w:val="18"/>
          <w:szCs w:val="18"/>
          <w:i w:val="1"/>
          <w:iCs w:val="1"/>
          <w:color w:val="auto"/>
        </w:rPr>
        <w:t xml:space="preserve"> Accounting for Stock Issued to Employees</w:t>
      </w:r>
      <w:r>
        <w:rPr>
          <w:rFonts w:ascii="Arial" w:cs="Arial" w:eastAsia="Arial" w:hAnsi="Arial"/>
          <w:sz w:val="18"/>
          <w:szCs w:val="18"/>
          <w:color w:val="auto"/>
        </w:rPr>
        <w:t>, and amends SFAS No. 95,</w:t>
      </w:r>
      <w:r>
        <w:rPr>
          <w:rFonts w:ascii="Arial" w:cs="Arial" w:eastAsia="Arial" w:hAnsi="Arial"/>
          <w:sz w:val="18"/>
          <w:szCs w:val="18"/>
          <w:i w:val="1"/>
          <w:iCs w:val="1"/>
          <w:color w:val="auto"/>
        </w:rPr>
        <w:t xml:space="preserve"> Statement of Cash Flows</w:t>
      </w:r>
      <w:r>
        <w:rPr>
          <w:rFonts w:ascii="Arial" w:cs="Arial" w:eastAsia="Arial" w:hAnsi="Arial"/>
          <w:sz w:val="18"/>
          <w:szCs w:val="18"/>
          <w:color w:val="auto"/>
        </w:rPr>
        <w:t>. Generally, the approach in SFAS 123(R) is similar to the approach described in SFAS 123. However, SFAS 123(R) requires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payments to employees, including grants of employee stock options, to be recognized in the income statement based on their fair values at the date of grant. Pro forma disclosure is no longer an alternative.</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SFAS 123(R) permits public companies to adopt its requirements using one of two methods. The “modified prospective” method in which compensation cost is recognized beginning with the effective date (a) based on the requirements of SFAS 123(R) for all share-based payments granted after the effective date and</w:t>
      </w:r>
    </w:p>
    <w:p>
      <w:pPr>
        <w:ind w:firstLine="8"/>
        <w:spacing w:after="0" w:line="29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the requirements of SFAS 123 for all awards granted to employees prior to the effective date of SFAS 123(R) that remain unvested on the effective date. The “modified retrospective” method includes the requirements of the modified prospective method described above, but also permits entities to restate their historical financial statements based on the amounts previously recognized under SFAS 123 for purposes of pro forma disclosures either (a) all prior periods presented or (b) prior interim periods of the year of adoption. The Company has yet to determine which method to use in adopting SFAS 123(R).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permitted by SFAS 123, the Company currently accounts for share-based payments to employees using APB Opinion No. 25’s intrinsic value method and, as such, generally recognizes no compensation cost for employee stock options. Accordingly, the adoption of SFAS 123(R)’s fair value method will have a significant impact on the Company’s results of operations, although it will have no impact on the Company’s overall financial position. The Company is evaluating SFAS 123(R) and has not yet determined the amount of stock option expense that will be incurred in future periods.</w:t>
      </w:r>
    </w:p>
    <w:p>
      <w:pPr>
        <w:spacing w:after="0" w:line="4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April 14, 2005, the Securities and Exchange Commission announced the adoption of a new rule that amends the compliance dates for SFAS 123(R). The new rule allows companies to implement SFAS 123(R) at the beginning of their next fiscal year, instead of the next reporting period, that begins after June 15, 2005. The Company expects to adopt SFAS 123(R) beginning in fiscal year 2006 on October 30, 2005, its first fiscal quarter.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accordance with SFAS No. 142</w:t>
      </w:r>
      <w:r>
        <w:rPr>
          <w:rFonts w:ascii="Arial" w:cs="Arial" w:eastAsia="Arial" w:hAnsi="Arial"/>
          <w:sz w:val="16"/>
          <w:szCs w:val="16"/>
          <w:i w:val="1"/>
          <w:iCs w:val="1"/>
          <w:color w:val="auto"/>
        </w:rPr>
        <w:t>, Goodwill and Other Intangible Assets</w:t>
      </w:r>
      <w:r>
        <w:rPr>
          <w:rFonts w:ascii="Arial" w:cs="Arial" w:eastAsia="Arial" w:hAnsi="Arial"/>
          <w:sz w:val="16"/>
          <w:szCs w:val="16"/>
          <w:color w:val="auto"/>
        </w:rPr>
        <w:t>, the Company annually evaluates goodwill for impairment, or earlier if indicators of potential impairment exist and suggest that the carrying value of goodwill may not be recoverable.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2004. The Company’s next impairment assessment is scheduled for the fourth quarter of fiscal 2005.</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which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color w:val="auto"/>
                <w:w w:val="91"/>
              </w:rPr>
              <w:t>July 30, 2005</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color w:val="auto"/>
                <w:w w:val="94"/>
              </w:rPr>
              <w:t>October 30, 2004</w:t>
            </w:r>
          </w:p>
        </w:tc>
      </w:tr>
      <w:tr>
        <w:trPr>
          <w:trHeight w:val="123"/>
        </w:trPr>
        <w:tc>
          <w:tcPr>
            <w:tcW w:w="5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5"/>
          </w:tcPr>
          <w:p>
            <w:pPr>
              <w:jc w:val="center"/>
              <w:ind w:right="1000"/>
              <w:spacing w:after="0" w:line="123" w:lineRule="exact"/>
              <w:rPr>
                <w:sz w:val="20"/>
                <w:szCs w:val="20"/>
                <w:color w:val="auto"/>
              </w:rPr>
            </w:pPr>
            <w:r>
              <w:rPr>
                <w:rFonts w:ascii="Arial" w:cs="Arial" w:eastAsia="Arial" w:hAnsi="Arial"/>
                <w:sz w:val="14"/>
                <w:szCs w:val="14"/>
                <w:color w:val="auto"/>
                <w:w w:val="90"/>
              </w:rPr>
              <w:t>Gross</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gridSpan w:val="2"/>
          </w:tcPr>
          <w:p>
            <w:pPr>
              <w:jc w:val="center"/>
              <w:ind w:right="40"/>
              <w:spacing w:after="0" w:line="123" w:lineRule="exact"/>
              <w:rPr>
                <w:sz w:val="20"/>
                <w:szCs w:val="20"/>
                <w:color w:val="auto"/>
              </w:rPr>
            </w:pPr>
            <w:r>
              <w:rPr>
                <w:rFonts w:ascii="Arial" w:cs="Arial" w:eastAsia="Arial" w:hAnsi="Arial"/>
                <w:sz w:val="14"/>
                <w:szCs w:val="14"/>
                <w:color w:val="auto"/>
                <w:w w:val="90"/>
              </w:rPr>
              <w:t>Gross</w:t>
            </w: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9"/>
        </w:trPr>
        <w:tc>
          <w:tcPr>
            <w:tcW w:w="5480" w:type="dxa"/>
            <w:vAlign w:val="bottom"/>
          </w:tcPr>
          <w:p>
            <w:pPr>
              <w:spacing w:after="0"/>
              <w:rPr>
                <w:sz w:val="12"/>
                <w:szCs w:val="12"/>
                <w:color w:val="auto"/>
              </w:rPr>
            </w:pPr>
          </w:p>
        </w:tc>
        <w:tc>
          <w:tcPr>
            <w:tcW w:w="1760" w:type="dxa"/>
            <w:vAlign w:val="bottom"/>
            <w:gridSpan w:val="6"/>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480" w:type="dxa"/>
            <w:vAlign w:val="bottom"/>
          </w:tcPr>
          <w:p>
            <w:pPr>
              <w:spacing w:after="0"/>
              <w:rPr>
                <w:sz w:val="12"/>
                <w:szCs w:val="12"/>
                <w:color w:val="auto"/>
              </w:rPr>
            </w:pPr>
          </w:p>
        </w:tc>
        <w:tc>
          <w:tcPr>
            <w:tcW w:w="840" w:type="dxa"/>
            <w:vAlign w:val="bottom"/>
            <w:gridSpan w:val="3"/>
          </w:tcPr>
          <w:p>
            <w:pPr>
              <w:jc w:val="center"/>
              <w:ind w:left="168"/>
              <w:spacing w:after="0" w:line="149" w:lineRule="exact"/>
              <w:rPr>
                <w:sz w:val="20"/>
                <w:szCs w:val="20"/>
                <w:color w:val="auto"/>
              </w:rPr>
            </w:pPr>
            <w:r>
              <w:rPr>
                <w:rFonts w:ascii="Arial" w:cs="Arial" w:eastAsia="Arial" w:hAnsi="Arial"/>
                <w:sz w:val="14"/>
                <w:szCs w:val="14"/>
                <w:color w:val="auto"/>
                <w:w w:val="98"/>
              </w:rPr>
              <w:t>Carrying</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5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w w:val="99"/>
              </w:rPr>
              <w:t>Amount</w:t>
            </w: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color w:val="auto"/>
                <w:w w:val="97"/>
              </w:rPr>
              <w:t>Amortization</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99"/>
              </w:rPr>
              <w:t>Amount</w:t>
            </w:r>
          </w:p>
        </w:tc>
        <w:tc>
          <w:tcPr>
            <w:tcW w:w="2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Amortization</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$16,923</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2"/>
              </w:rPr>
              <w:t>$13,270</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$16,923</w:t>
            </w:r>
          </w:p>
        </w:tc>
        <w:tc>
          <w:tcPr>
            <w:tcW w:w="19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$11,387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Tradename</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1,167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789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1,167</w:t>
            </w:r>
          </w:p>
        </w:tc>
        <w:tc>
          <w:tcPr>
            <w:tcW w:w="40" w:type="dxa"/>
            <w:vAlign w:val="bottom"/>
          </w:tcPr>
          <w:p>
            <w:pPr>
              <w:spacing w:after="0"/>
              <w:rPr>
                <w:sz w:val="18"/>
                <w:szCs w:val="18"/>
                <w:color w:val="auto"/>
              </w:rPr>
            </w:pPr>
          </w:p>
        </w:tc>
        <w:tc>
          <w:tcPr>
            <w:tcW w:w="1900" w:type="dxa"/>
            <w:vAlign w:val="bottom"/>
            <w:gridSpan w:val="5"/>
          </w:tcPr>
          <w:p>
            <w:pPr>
              <w:jc w:val="right"/>
              <w:ind w:right="340"/>
              <w:spacing w:after="0"/>
              <w:rPr>
                <w:sz w:val="20"/>
                <w:szCs w:val="20"/>
                <w:color w:val="auto"/>
              </w:rPr>
            </w:pPr>
            <w:r>
              <w:rPr>
                <w:rFonts w:ascii="Arial" w:cs="Arial" w:eastAsia="Arial" w:hAnsi="Arial"/>
                <w:sz w:val="18"/>
                <w:szCs w:val="18"/>
                <w:color w:val="auto"/>
              </w:rPr>
              <w:t>696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6,147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6,147</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4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6,145</w:t>
            </w:r>
          </w:p>
        </w:tc>
      </w:tr>
      <w:tr>
        <w:trPr>
          <w:trHeight w:val="223"/>
        </w:trPr>
        <w:tc>
          <w:tcPr>
            <w:tcW w:w="5480" w:type="dxa"/>
            <w:vAlign w:val="bottom"/>
          </w:tcPr>
          <w:p>
            <w:pPr>
              <w:ind w:left="42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24,237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20,206</w:t>
            </w:r>
          </w:p>
        </w:tc>
        <w:tc>
          <w:tcPr>
            <w:tcW w:w="3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24,237</w:t>
            </w:r>
          </w:p>
        </w:tc>
        <w:tc>
          <w:tcPr>
            <w:tcW w:w="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18,228</w:t>
            </w:r>
          </w:p>
        </w:tc>
        <w:tc>
          <w:tcPr>
            <w:tcW w:w="34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Intangible assets are amortized on a straight-line basis over their estimated useful lives, which range from five to ten years. Amortization expense related to intangibles was $0.7 million for each of the three month periods ended July 30, 2005 and July 31, 2004, respectively, and $2.0 million for each of the nine month periods ended July 30, 2005 and July 31, 2004,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auto"/>
              </w:rPr>
              <w:t>Fiscal</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color w:val="auto"/>
              </w:rPr>
              <w:t>Amortization</w:t>
            </w: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Years</w:t>
            </w:r>
          </w:p>
        </w:tc>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222"/>
              <w:spacing w:after="0"/>
              <w:rPr>
                <w:sz w:val="20"/>
                <w:szCs w:val="20"/>
                <w:color w:val="auto"/>
              </w:rPr>
            </w:pPr>
            <w:r>
              <w:rPr>
                <w:rFonts w:ascii="Arial" w:cs="Arial" w:eastAsia="Arial" w:hAnsi="Arial"/>
                <w:sz w:val="14"/>
                <w:szCs w:val="14"/>
                <w:color w:val="auto"/>
              </w:rPr>
              <w:t>Expense</w:t>
            </w:r>
          </w:p>
        </w:tc>
      </w:tr>
      <w:tr>
        <w:trPr>
          <w:trHeight w:val="210"/>
        </w:trPr>
        <w:tc>
          <w:tcPr>
            <w:tcW w:w="2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2005</w:t>
            </w:r>
          </w:p>
        </w:tc>
        <w:tc>
          <w:tcPr>
            <w:tcW w:w="62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8"/>
                <w:szCs w:val="18"/>
                <w:color w:val="auto"/>
              </w:rPr>
              <w:t>$  328</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2006</w:t>
            </w:r>
          </w:p>
        </w:tc>
        <w:tc>
          <w:tcPr>
            <w:tcW w:w="7900" w:type="dxa"/>
            <w:vAlign w:val="bottom"/>
            <w:gridSpan w:val="3"/>
          </w:tcPr>
          <w:p>
            <w:pPr>
              <w:jc w:val="right"/>
              <w:ind w:right="262"/>
              <w:spacing w:after="0"/>
              <w:rPr>
                <w:sz w:val="20"/>
                <w:szCs w:val="20"/>
                <w:color w:val="auto"/>
              </w:rPr>
            </w:pPr>
            <w:r>
              <w:rPr>
                <w:rFonts w:ascii="Arial" w:cs="Arial" w:eastAsia="Arial" w:hAnsi="Arial"/>
                <w:sz w:val="18"/>
                <w:szCs w:val="18"/>
                <w:color w:val="auto"/>
              </w:rPr>
              <w:t>1,312</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90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1,312</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2008</w:t>
            </w:r>
          </w:p>
        </w:tc>
        <w:tc>
          <w:tcPr>
            <w:tcW w:w="7900" w:type="dxa"/>
            <w:vAlign w:val="bottom"/>
            <w:gridSpan w:val="3"/>
          </w:tcPr>
          <w:p>
            <w:pPr>
              <w:jc w:val="right"/>
              <w:ind w:right="262"/>
              <w:spacing w:after="0"/>
              <w:rPr>
                <w:sz w:val="20"/>
                <w:szCs w:val="20"/>
                <w:color w:val="auto"/>
              </w:rPr>
            </w:pPr>
            <w:r>
              <w:rPr>
                <w:rFonts w:ascii="Arial" w:cs="Arial" w:eastAsia="Arial" w:hAnsi="Arial"/>
                <w:sz w:val="18"/>
                <w:szCs w:val="18"/>
                <w:color w:val="auto"/>
              </w:rPr>
              <w:t>938</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90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141</w:t>
            </w:r>
          </w:p>
        </w:tc>
      </w:tr>
      <w:tr>
        <w:trPr>
          <w:trHeight w:val="40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260" w:type="dxa"/>
            <w:vAlign w:val="bottom"/>
          </w:tcPr>
          <w:p>
            <w:pPr>
              <w:jc w:val="right"/>
              <w:ind w:right="389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color w:val="auto"/>
              </w:rPr>
              <w:t>Three Months Ended</w:t>
            </w:r>
          </w:p>
        </w:tc>
      </w:tr>
      <w:tr>
        <w:trPr>
          <w:trHeight w:val="142"/>
        </w:trPr>
        <w:tc>
          <w:tcPr>
            <w:tcW w:w="860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108"/>
              <w:spacing w:after="0" w:line="142" w:lineRule="exact"/>
              <w:rPr>
                <w:sz w:val="20"/>
                <w:szCs w:val="20"/>
                <w:color w:val="auto"/>
              </w:rPr>
            </w:pPr>
            <w:r>
              <w:rPr>
                <w:rFonts w:ascii="Arial" w:cs="Arial" w:eastAsia="Arial" w:hAnsi="Arial"/>
                <w:sz w:val="14"/>
                <w:szCs w:val="14"/>
                <w:color w:val="auto"/>
              </w:rPr>
              <w:t>July 30, 2005</w:t>
            </w:r>
          </w:p>
        </w:tc>
        <w:tc>
          <w:tcPr>
            <w:tcW w:w="54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color w:val="auto"/>
              </w:rPr>
              <w:t>July 31, 2004</w:t>
            </w: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$ 2,020</w:t>
            </w: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$ 1,767</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cost</w:t>
            </w:r>
          </w:p>
        </w:tc>
        <w:tc>
          <w:tcPr>
            <w:tcW w:w="1140" w:type="dxa"/>
            <w:vAlign w:val="bottom"/>
            <w:gridSpan w:val="3"/>
          </w:tcPr>
          <w:p>
            <w:pPr>
              <w:jc w:val="right"/>
              <w:ind w:right="268"/>
              <w:spacing w:after="0"/>
              <w:rPr>
                <w:sz w:val="20"/>
                <w:szCs w:val="20"/>
                <w:color w:val="auto"/>
              </w:rPr>
            </w:pPr>
            <w:r>
              <w:rPr>
                <w:rFonts w:ascii="Arial" w:cs="Arial" w:eastAsia="Arial" w:hAnsi="Arial"/>
                <w:sz w:val="18"/>
                <w:szCs w:val="18"/>
                <w:color w:val="auto"/>
              </w:rPr>
              <w:t>1,586</w:t>
            </w:r>
          </w:p>
        </w:tc>
        <w:tc>
          <w:tcPr>
            <w:tcW w:w="1680" w:type="dxa"/>
            <w:vAlign w:val="bottom"/>
            <w:gridSpan w:val="4"/>
          </w:tcPr>
          <w:p>
            <w:pPr>
              <w:jc w:val="right"/>
              <w:ind w:right="340"/>
              <w:spacing w:after="0"/>
              <w:rPr>
                <w:sz w:val="20"/>
                <w:szCs w:val="20"/>
                <w:color w:val="auto"/>
              </w:rPr>
            </w:pPr>
            <w:r>
              <w:rPr>
                <w:rFonts w:ascii="Arial" w:cs="Arial" w:eastAsia="Arial" w:hAnsi="Arial"/>
                <w:sz w:val="18"/>
                <w:szCs w:val="18"/>
                <w:color w:val="auto"/>
              </w:rPr>
              <w:t>1,414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(1,776)</w:t>
            </w:r>
          </w:p>
        </w:tc>
        <w:tc>
          <w:tcPr>
            <w:tcW w:w="1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(1,618)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8"/>
                <w:szCs w:val="18"/>
                <w:color w:val="auto"/>
              </w:rPr>
              <w:t>44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obligation or (asset)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34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158</w:t>
            </w:r>
          </w:p>
        </w:tc>
        <w:tc>
          <w:tcPr>
            <w:tcW w:w="1680" w:type="dxa"/>
            <w:vAlign w:val="bottom"/>
            <w:gridSpan w:val="4"/>
          </w:tcPr>
          <w:p>
            <w:pPr>
              <w:jc w:val="right"/>
              <w:ind w:right="340"/>
              <w:spacing w:after="0"/>
              <w:rPr>
                <w:sz w:val="20"/>
                <w:szCs w:val="20"/>
                <w:color w:val="auto"/>
              </w:rPr>
            </w:pPr>
            <w:r>
              <w:rPr>
                <w:rFonts w:ascii="Arial" w:cs="Arial" w:eastAsia="Arial" w:hAnsi="Arial"/>
                <w:sz w:val="18"/>
                <w:szCs w:val="18"/>
                <w:color w:val="auto"/>
              </w:rPr>
              <w:t>88</w:t>
            </w:r>
          </w:p>
        </w:tc>
      </w:tr>
      <w:tr>
        <w:trPr>
          <w:trHeight w:val="27"/>
        </w:trPr>
        <w:tc>
          <w:tcPr>
            <w:tcW w:w="8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periodic pension cost</w:t>
            </w:r>
          </w:p>
        </w:tc>
        <w:tc>
          <w:tcPr>
            <w:tcW w:w="11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$ 2,050</w:t>
            </w: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$ 1,685</w:t>
            </w:r>
          </w:p>
        </w:tc>
      </w:tr>
      <w:tr>
        <w:trPr>
          <w:trHeight w:val="20"/>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59"/>
        </w:trPr>
        <w:tc>
          <w:tcPr>
            <w:tcW w:w="8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color w:val="auto"/>
                <w:w w:val="94"/>
              </w:rPr>
              <w:t>Nine Months Ended</w:t>
            </w:r>
          </w:p>
        </w:tc>
      </w:tr>
      <w:tr>
        <w:trPr>
          <w:trHeight w:val="142"/>
        </w:trPr>
        <w:tc>
          <w:tcPr>
            <w:tcW w:w="860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108"/>
              <w:spacing w:after="0" w:line="142" w:lineRule="exact"/>
              <w:rPr>
                <w:sz w:val="20"/>
                <w:szCs w:val="20"/>
                <w:color w:val="auto"/>
              </w:rPr>
            </w:pPr>
            <w:r>
              <w:rPr>
                <w:rFonts w:ascii="Arial" w:cs="Arial" w:eastAsia="Arial" w:hAnsi="Arial"/>
                <w:sz w:val="14"/>
                <w:szCs w:val="14"/>
                <w:color w:val="auto"/>
              </w:rPr>
              <w:t>July 30, 2005</w:t>
            </w:r>
          </w:p>
        </w:tc>
        <w:tc>
          <w:tcPr>
            <w:tcW w:w="54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color w:val="auto"/>
              </w:rPr>
              <w:t>July 31, 2004</w:t>
            </w: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$ 6,280</w:t>
            </w: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$ 5,311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cost</w:t>
            </w:r>
          </w:p>
        </w:tc>
        <w:tc>
          <w:tcPr>
            <w:tcW w:w="1140" w:type="dxa"/>
            <w:vAlign w:val="bottom"/>
            <w:gridSpan w:val="3"/>
          </w:tcPr>
          <w:p>
            <w:pPr>
              <w:jc w:val="right"/>
              <w:ind w:right="268"/>
              <w:spacing w:after="0"/>
              <w:rPr>
                <w:sz w:val="20"/>
                <w:szCs w:val="20"/>
                <w:color w:val="auto"/>
              </w:rPr>
            </w:pPr>
            <w:r>
              <w:rPr>
                <w:rFonts w:ascii="Arial" w:cs="Arial" w:eastAsia="Arial" w:hAnsi="Arial"/>
                <w:sz w:val="18"/>
                <w:szCs w:val="18"/>
                <w:color w:val="auto"/>
              </w:rPr>
              <w:t>4,944</w:t>
            </w:r>
          </w:p>
        </w:tc>
        <w:tc>
          <w:tcPr>
            <w:tcW w:w="1680" w:type="dxa"/>
            <w:vAlign w:val="bottom"/>
            <w:gridSpan w:val="4"/>
          </w:tcPr>
          <w:p>
            <w:pPr>
              <w:jc w:val="right"/>
              <w:ind w:right="340"/>
              <w:spacing w:after="0"/>
              <w:rPr>
                <w:sz w:val="20"/>
                <w:szCs w:val="20"/>
                <w:color w:val="auto"/>
              </w:rPr>
            </w:pPr>
            <w:r>
              <w:rPr>
                <w:rFonts w:ascii="Arial" w:cs="Arial" w:eastAsia="Arial" w:hAnsi="Arial"/>
                <w:sz w:val="18"/>
                <w:szCs w:val="18"/>
                <w:color w:val="auto"/>
              </w:rPr>
              <w:t>4,250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(5,540)</w:t>
            </w:r>
          </w:p>
        </w:tc>
        <w:tc>
          <w:tcPr>
            <w:tcW w:w="1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(4,868)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140" w:type="dxa"/>
            <w:vAlign w:val="bottom"/>
            <w:gridSpan w:val="3"/>
          </w:tcPr>
          <w:p>
            <w:pPr>
              <w:jc w:val="right"/>
              <w:ind w:right="268"/>
              <w:spacing w:after="0"/>
              <w:rPr>
                <w:sz w:val="20"/>
                <w:szCs w:val="20"/>
                <w:color w:val="auto"/>
              </w:rPr>
            </w:pPr>
            <w:r>
              <w:rPr>
                <w:rFonts w:ascii="Arial" w:cs="Arial" w:eastAsia="Arial" w:hAnsi="Arial"/>
                <w:sz w:val="18"/>
                <w:szCs w:val="18"/>
                <w:color w:val="auto"/>
              </w:rPr>
              <w:t>141</w:t>
            </w:r>
          </w:p>
        </w:tc>
        <w:tc>
          <w:tcPr>
            <w:tcW w:w="1680" w:type="dxa"/>
            <w:vAlign w:val="bottom"/>
            <w:gridSpan w:val="4"/>
          </w:tcPr>
          <w:p>
            <w:pPr>
              <w:jc w:val="right"/>
              <w:ind w:right="340"/>
              <w:spacing w:after="0"/>
              <w:rPr>
                <w:sz w:val="20"/>
                <w:szCs w:val="20"/>
                <w:color w:val="auto"/>
              </w:rPr>
            </w:pPr>
            <w:r>
              <w:rPr>
                <w:rFonts w:ascii="Arial" w:cs="Arial" w:eastAsia="Arial" w:hAnsi="Arial"/>
                <w:sz w:val="18"/>
                <w:szCs w:val="18"/>
                <w:color w:val="auto"/>
              </w:rPr>
              <w:t>134</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obligation or (asset)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340" w:type="dxa"/>
            <w:vAlign w:val="bottom"/>
          </w:tcPr>
          <w:p>
            <w:pPr>
              <w:spacing w:after="0"/>
              <w:rPr>
                <w:sz w:val="18"/>
                <w:szCs w:val="18"/>
                <w:color w:val="auto"/>
              </w:rPr>
            </w:pPr>
          </w:p>
        </w:tc>
        <w:tc>
          <w:tcPr>
            <w:tcW w:w="800" w:type="dxa"/>
            <w:vAlign w:val="bottom"/>
            <w:gridSpan w:val="2"/>
          </w:tcPr>
          <w:p>
            <w:pPr>
              <w:jc w:val="right"/>
              <w:ind w:right="268"/>
              <w:spacing w:after="0"/>
              <w:rPr>
                <w:sz w:val="20"/>
                <w:szCs w:val="20"/>
                <w:color w:val="auto"/>
              </w:rPr>
            </w:pPr>
            <w:r>
              <w:rPr>
                <w:rFonts w:ascii="Arial" w:cs="Arial" w:eastAsia="Arial" w:hAnsi="Arial"/>
                <w:sz w:val="18"/>
                <w:szCs w:val="18"/>
                <w:color w:val="auto"/>
              </w:rPr>
              <w:t>490</w:t>
            </w:r>
          </w:p>
        </w:tc>
        <w:tc>
          <w:tcPr>
            <w:tcW w:w="1680" w:type="dxa"/>
            <w:vAlign w:val="bottom"/>
            <w:gridSpan w:val="4"/>
          </w:tcPr>
          <w:p>
            <w:pPr>
              <w:jc w:val="right"/>
              <w:ind w:right="340"/>
              <w:spacing w:after="0"/>
              <w:rPr>
                <w:sz w:val="20"/>
                <w:szCs w:val="20"/>
                <w:color w:val="auto"/>
              </w:rPr>
            </w:pPr>
            <w:r>
              <w:rPr>
                <w:rFonts w:ascii="Arial" w:cs="Arial" w:eastAsia="Arial" w:hAnsi="Arial"/>
                <w:sz w:val="18"/>
                <w:szCs w:val="18"/>
                <w:color w:val="auto"/>
              </w:rPr>
              <w:t>260</w:t>
            </w:r>
          </w:p>
        </w:tc>
      </w:tr>
      <w:tr>
        <w:trPr>
          <w:trHeight w:val="27"/>
        </w:trPr>
        <w:tc>
          <w:tcPr>
            <w:tcW w:w="8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periodic pension cost</w:t>
            </w:r>
          </w:p>
        </w:tc>
        <w:tc>
          <w:tcPr>
            <w:tcW w:w="11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$ 6,367</w:t>
            </w: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$ 5,061</w:t>
            </w:r>
          </w:p>
        </w:tc>
      </w:tr>
      <w:tr>
        <w:trPr>
          <w:trHeight w:val="20"/>
        </w:trPr>
        <w:tc>
          <w:tcPr>
            <w:tcW w:w="8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Contributions of $1.6 million and $5.2 million have been made by the Company during the three and nine months ended July 30, 2005, respectively. The Company presently anticipates contributing an additional $2.2 million to fund its defined benefit pension plans in fiscal year 2005 for a total of $7.4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Product Warranties</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the three and nine month periods ended July 30, 2005 and July 31, 2004.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21"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On June 14, 2005, Biax Corporation filed its first amended complaint for patent infringement in the United States District Court for the Eastern District of Texas against the Company and Intel Corporation, alleging that the Company infringed three patents owned by Biax relating to parallel processors. Prior to the filing of the first amended complaint, the Company was unaware of Biax or this action. The first amended complaint seeks injunctive relief, unspecified damages, as well as its costs, expenses and fees. On August 3, 2005, the Company filed an answer and counterclaimed against Biax. In the counterclaim, the Company seeks rulings that the patents are not infringed, are invalid and are unenforceable. The case has not yet entered the discovery phase. The Company intends to vigorously defend against these allegations. The Company is unable at this time to predict the outcome of this litigation.</w:t>
      </w:r>
    </w:p>
    <w:p>
      <w:pPr>
        <w:spacing w:after="0" w:line="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November 6, 2003, Enron Corporation commenced a proceeding in the United States Bankruptcy Court for the Southern District of New York. On December 1, 2003, Enron filed an amended complaint to add the Company as a defendant in such proceeding. The amended complaint alleges that transfers made by Enron in satisfaction of obligations it had under commercial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paper are recoverable as preferential transfers and fraudulent transfers and are subject to avoidance under the United States Bankruptcy Code. It is alleged that payments made in premature satisfaction of obligations under commercial paper totaling approximately $20 million are recoverable from J.P. Morgan Securities, Inc., Fleet Capital Markets, Fleet National Bank and/or the Company. The Company sold $20 million of Enron commercial paper to Fleet and did not enter into any direct transactions with Enron. The Company filed a motion to dismiss the adversary proceeding. The motion to dismiss was denied by order dated June 30, 2005. The Company intends to vigorously defend against these claims. Although the Company believes it has meritorious defenses to the asserted claims, it is unable at this time to predict the outcome of this proceeding.</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currently under routine audit by the United States Internal Revenue Service (the “IRS”) for fiscal years 2001, 2002 and 2003. The audit has not been completed and the IRS has not issued a report on its audit.</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 is conducting an investigation into the Company’s granting of stock options from 1999 to 2003 to officers and directors. The Company believes that the SEC is also investigating the granting of stock options at other companies. Each year, the Company grants stock options to a broad base of employees (including officers and directors) and in some years those grants have occurred shortly before Analog’s issuance of favorable financial results. The SEC has requested information regarding Analog’s stock option grants, and the Company is cooperating with the SEC. The Company is unable to predict the outcome of this matter.</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does not believe that any of these matters above will have a material adverse effect on the Company’s consolidated results of operations or financial position, although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Stock Repurchase</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August 12, 2004, the Company’s Board of Directors approved the repurchase of up to an aggregate of $500 million of common stock. On May 11, 2005, the Company’s Board of Directors amended the stock repurchase program by increasing the total amount of the Company’s common stock the Company can repurchase from $500 million to $1 billion of common stock.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 made no purchases of shares of its common stock during the third quarter of fiscal 2005. The Company repurchased a total of 7.9 million shares for approximately $285 million during the first nine months of fiscal 2005. As of July 30, 2005, the Company had purchased 11.8 million shares of its common stock for approximately $421.8 million under this program. The repurchased shares are held as authorized but unissued shares of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Certain of the Company’s directors are affiliated with companies that sell products to the Company. One of the Company’s directors, who has been a director since 1988, became a director of Taiwan Semiconductor Manufacturing Company, or TSMC, in fiscal 2002 and currently serves as a director. The Company purchased approximately $52 million and $100 million of products from TSMC during the three month periods ended July 30, 2005 and July 31, 2004, respectively, and $174 million and $259 million during the nine month periods ended July 30, 2005 and July 31, 2004, respectively. Approximately</w:t>
      </w:r>
    </w:p>
    <w:p>
      <w:pPr>
        <w:spacing w:after="0" w:line="2"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$25 million and $15 million was payable to TSMC as of July 30, 2005 and October 30, 2004, respectively. The Company anticipates that it will make significant purchases from TSMC in the remaining quarter of fiscal year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October 22, 2004, the American Jobs Creation Act of 2004 (“AJCA”) was signed into law. The AJCA created a temporary incentive for US multinational corporations to repatriate accumulated income abroad by providing an 85% dividends received deduction for certain dividends from controlled foreign corporations. In December 2004, the FASB issued Financial Staff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Position (FSP) No. FAS 109-2, </w:t>
      </w:r>
      <w:r>
        <w:rPr>
          <w:rFonts w:ascii="Arial" w:cs="Arial" w:eastAsia="Arial" w:hAnsi="Arial"/>
          <w:sz w:val="18"/>
          <w:szCs w:val="18"/>
          <w:i w:val="1"/>
          <w:iCs w:val="1"/>
          <w:color w:val="auto"/>
        </w:rPr>
        <w:t>Accounting and Disclosure Guidance for the Foreign Earnings Repatriation Provision within the American Jobs Creation 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w:t>
      </w:r>
      <w:r>
        <w:rPr>
          <w:rFonts w:ascii="Arial" w:cs="Arial" w:eastAsia="Arial" w:hAnsi="Arial"/>
          <w:sz w:val="18"/>
          <w:szCs w:val="18"/>
          <w:color w:val="auto"/>
        </w:rPr>
        <w:t>2004 (FSP 109-2). FSP 109-2 is effective immediately and provides accounting and disclosure guidance for the repatriation provision. FSP 109-2 allows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companies additional time to evaluate the effects of the law on its unremitted earnings for the purpose of applying the “indefinite reversal criteria” under APB 23, </w:t>
      </w:r>
      <w:r>
        <w:rPr>
          <w:rFonts w:ascii="Arial" w:cs="Arial" w:eastAsia="Arial" w:hAnsi="Arial"/>
          <w:sz w:val="18"/>
          <w:szCs w:val="18"/>
          <w:i w:val="1"/>
          <w:iCs w:val="1"/>
          <w:color w:val="auto"/>
        </w:rPr>
        <w:t>Accounting for Income Taxes-Special Areas,</w:t>
      </w:r>
      <w:r>
        <w:rPr>
          <w:rFonts w:ascii="Arial" w:cs="Arial" w:eastAsia="Arial" w:hAnsi="Arial"/>
          <w:sz w:val="18"/>
          <w:szCs w:val="18"/>
          <w:color w:val="auto"/>
        </w:rPr>
        <w:t xml:space="preserve"> and requires explanatory disclosures from companies that have not yet completed the evaluation. On May 9, 2005, the Treasury issued Notice 2005-38, which clarified some of the new rules. The Company is currently evaluating the effects of the repatriation provision and their impact on the consolidated financial statements. The minimum amount of dividend distribution of foreign earnings that could potentially be subject to the provisions of the AJCA would be $0 and the maximum would be $1,055 million, which is the amount reported as indefinitely reinvested earnings on the Company’s 2002 Annual Report on Form 10-K. The range of income tax expense on these amounts would be $0 to approximately $50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August 10, 2005, the Company’s Board of Directors declared a cash dividend of $0.10 per outstanding share of common stock. The dividend will be paid on September 14, 2005 to all shareholders of record at the close of business on August 26, 2005.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30, 2004.</w:t>
      </w:r>
    </w:p>
    <w:p>
      <w:pPr>
        <w:spacing w:after="0" w:line="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This Quarterly Report on Form 10-Q, including the section entitled “Outlook,” contains or incorporates forward-looking statements within the meaning of section 27A of the Securities Act of 1933 and section 21E of the Securities Exchange Act of 1934. These forward-looking statements are based on current expectations, estimates, forecasts and projections about the industry and markets in which we operate and management’s beliefs and assumptions. In addition, other written or oral statements that constitute forward-looking statements may be made by or on our behalf. Words such as “expect,” “anticipate,” “intend,” “plan,” “believe,” “seek,” “estimate,” variations of such words and similar expressions are intended to identify such forward-looking statements. These statements are not guarantees of future performance and involve certain risks, uncertainties and assumptions that are difficult to predict. We have included important factors in the cautionary statements below under the heading “Factors That May Affect Future Results” that we believe could cause our actual results to differ materially from the forward-looking statements we make. We do not intend to update publicly any forward-looking statements, whether as a result of new information, future events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3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120" w:type="dxa"/>
            <w:vAlign w:val="bottom"/>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16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July 31, 2004</w:t>
            </w:r>
          </w:p>
        </w:tc>
        <w:tc>
          <w:tcPr>
            <w:tcW w:w="46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53"/>
              <w:spacing w:after="0" w:line="142" w:lineRule="exact"/>
              <w:rPr>
                <w:sz w:val="20"/>
                <w:szCs w:val="20"/>
                <w:color w:val="auto"/>
              </w:rPr>
            </w:pPr>
            <w:r>
              <w:rPr>
                <w:rFonts w:ascii="Arial" w:cs="Arial" w:eastAsia="Arial" w:hAnsi="Arial"/>
                <w:sz w:val="14"/>
                <w:szCs w:val="14"/>
                <w:b w:val="1"/>
                <w:bCs w:val="1"/>
                <w:color w:val="auto"/>
              </w:rPr>
              <w:t>July 30, 2005</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July 31, 2004</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9"/>
              </w:rPr>
              <w:t>582,416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89"/>
              </w:rPr>
              <w:t>717,793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1,766,678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2,001,676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58.1%</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60.0%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57.7%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58.8%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0.32</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3"/>
              <w:spacing w:after="0"/>
              <w:rPr>
                <w:sz w:val="20"/>
                <w:szCs w:val="20"/>
                <w:color w:val="auto"/>
              </w:rPr>
            </w:pPr>
            <w:r>
              <w:rPr>
                <w:rFonts w:ascii="Arial" w:cs="Arial" w:eastAsia="Arial" w:hAnsi="Arial"/>
                <w:sz w:val="18"/>
                <w:szCs w:val="18"/>
                <w:color w:val="auto"/>
                <w:w w:val="89"/>
              </w:rPr>
              <w:t>121,404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w w:val="89"/>
              </w:rPr>
              <w:t>169,050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346,446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438,472</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a % of Sales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19.6%</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Net sales in the third quarter of fiscal 2005 declined by $135.4 million or 19% from the amount recorded in the third quarter of fiscal 2004 and declined by $235.0 million or 12% in the nine months ended July 30, 2005 from the nine months ended July 31, 2004. For both the three and nine month periods, the year-to-year decreases in net sales were primarily the result of decreases in orders for products used in communications applications due to continuing weakness in the wireless handset end markets and to a lesser extent, decreases in revenue from products used in automatic test equipment and computer applications.</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Approximately 84% and 81% of our net sales were from analog products in the three and nine months ended July 30, 2005, respectively, as compared to 79% for each of the comparable periods of fiscal 2004. Approximately 16% and 19% of our net sales were from digital signal processing, or DSP, products in the three and nine months ended July 30, 2005, respectively, as compared to 21% for each of the comparable periods of fiscal 2004. Our analog product sales were lower by 15% and 9% in the three and nine months ended July 30, 2005, respectively, as compared to the same periods of fiscal 2004. Our DSP product sales were lower by 35% and 20% for the three and nine month periods ended July 30, 2005, respectively, from the comparable periods of fiscal 2004.</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percentage of sales by geographic region, based upon point of sale, for the three and nine month periods ended July 30, 2005 and July 31, 2004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Region</w:t>
            </w:r>
          </w:p>
        </w:tc>
        <w:tc>
          <w:tcPr>
            <w:tcW w:w="22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6300" w:type="dxa"/>
            <w:vAlign w:val="bottom"/>
            <w:gridSpan w:val="3"/>
            <w:vMerge w:val="continue"/>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July 30, 2005</w:t>
            </w:r>
          </w:p>
        </w:tc>
        <w:tc>
          <w:tcPr>
            <w:tcW w:w="5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July 31, 2004</w:t>
            </w:r>
          </w:p>
        </w:tc>
        <w:tc>
          <w:tcPr>
            <w:tcW w:w="5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July 30, 2005</w:t>
            </w:r>
          </w:p>
        </w:tc>
        <w:tc>
          <w:tcPr>
            <w:tcW w:w="5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July 31,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5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26%</w:t>
            </w:r>
          </w:p>
        </w:tc>
        <w:tc>
          <w:tcPr>
            <w:tcW w:w="5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Europe</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99"/>
              <w:spacing w:after="0"/>
              <w:rPr>
                <w:sz w:val="20"/>
                <w:szCs w:val="20"/>
                <w:color w:val="auto"/>
              </w:rPr>
            </w:pPr>
            <w:r>
              <w:rPr>
                <w:rFonts w:ascii="Arial" w:cs="Arial" w:eastAsia="Arial" w:hAnsi="Arial"/>
                <w:sz w:val="18"/>
                <w:szCs w:val="18"/>
                <w:color w:val="auto"/>
              </w:rPr>
              <w:t>19%</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9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Japan</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19%</w:t>
            </w:r>
          </w:p>
        </w:tc>
        <w:tc>
          <w:tcPr>
            <w:tcW w:w="14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19%</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10%</w:t>
            </w:r>
          </w:p>
        </w:tc>
        <w:tc>
          <w:tcPr>
            <w:tcW w:w="1420" w:type="dxa"/>
            <w:vAlign w:val="bottom"/>
            <w:gridSpan w:val="2"/>
          </w:tcPr>
          <w:p>
            <w:pPr>
              <w:jc w:val="right"/>
              <w:ind w:right="99"/>
              <w:spacing w:after="0"/>
              <w:rPr>
                <w:sz w:val="20"/>
                <w:szCs w:val="20"/>
                <w:color w:val="auto"/>
              </w:rPr>
            </w:pPr>
            <w:r>
              <w:rPr>
                <w:rFonts w:ascii="Arial" w:cs="Arial" w:eastAsia="Arial" w:hAnsi="Arial"/>
                <w:sz w:val="18"/>
                <w:szCs w:val="18"/>
                <w:color w:val="auto"/>
              </w:rPr>
              <w:t>16%</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99"/>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Asia</w:t>
            </w:r>
          </w:p>
        </w:tc>
        <w:tc>
          <w:tcPr>
            <w:tcW w:w="8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22%</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21%</w:t>
            </w:r>
          </w:p>
        </w:tc>
        <w:tc>
          <w:tcPr>
            <w:tcW w:w="14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22%</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sales in dollars in the third quarter of fiscal 2005 compared to the third quarter of fiscal 2004 decreased in all geographic regions. The decrease in net sales in dollars for the nine months ended July 30, 2005 as compared to the same period of fiscal 2004 related to a decrease in sales in China, Japan, Rest of Asia and North America, partially offset by an increase in net sales in Europe.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Gross margin declined in the third quarter of fiscal 2005 to 58.1% of net sales, down 190 basis points from the third quarter of fiscal 2004, when gross margin was 60.0% of net sales. For the first nine months of fiscal 2005, gross margin declined to 57.7% of net sales from 58.8% of net sales for the first nine months of fiscal 2004. For both the three and nine month periods ended July 30, 2005, the decline in gross margin was primarily the result of the effect of fixed costs allocated across lower levels of production and the mix of products we sold during those periods in fiscal 2005 as compared to fiscal 2004.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26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July 31, 2004</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July 31, 2004</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18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$119,217</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$133,536</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$373,393</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$382,644</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R&amp;D Expenses as a % of Net Sales</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20.5%</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18.6%</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21.1%</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Research and development, or R&amp;D, expenses decreased $14.3 million or 11% in the third quarter of fiscal 2005 as compared to the third quarter of fiscal 2004. R&amp;D expenses decreased $9.3 million or 2% in the first nine months of fiscal 2005 from the amount recorded in the comparable period of fiscal 2004. The decrease in R&amp;D expenses for the three and nine month periods ended July 30, 2005 as compared to the same periods in fiscal year 2004 was the result of a tight control of expenses along with lower employee bonus expenses and licensing fees, partially offset by an increase in salary expenses. R&amp;D expense as a percentage of net sales will fluctuate from quarter to quarter depending on the amount of net sales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expect to continue to make significant R&amp;D investments in the future.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2"/>
        </w:trPr>
        <w:tc>
          <w:tcPr>
            <w:tcW w:w="528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1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July 31, 2004</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July 31, 2004</w:t>
            </w:r>
          </w:p>
        </w:tc>
        <w:tc>
          <w:tcPr>
            <w:tcW w:w="0" w:type="dxa"/>
            <w:vAlign w:val="bottom"/>
          </w:tcPr>
          <w:p>
            <w:pPr>
              <w:spacing w:after="0"/>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118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$84,407</w:t>
            </w:r>
          </w:p>
        </w:tc>
        <w:tc>
          <w:tcPr>
            <w:tcW w:w="460" w:type="dxa"/>
            <w:vAlign w:val="bottom"/>
          </w:tcPr>
          <w:p>
            <w:pPr>
              <w:spacing w:after="0"/>
              <w:rPr>
                <w:sz w:val="16"/>
                <w:szCs w:val="16"/>
                <w:color w:val="auto"/>
              </w:rPr>
            </w:pPr>
          </w:p>
        </w:tc>
        <w:tc>
          <w:tcPr>
            <w:tcW w:w="118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$89,162</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$253,561</w:t>
            </w:r>
          </w:p>
        </w:tc>
        <w:tc>
          <w:tcPr>
            <w:tcW w:w="460" w:type="dxa"/>
            <w:vAlign w:val="bottom"/>
          </w:tcPr>
          <w:p>
            <w:pPr>
              <w:spacing w:after="0"/>
              <w:rPr>
                <w:sz w:val="16"/>
                <w:szCs w:val="16"/>
                <w:color w:val="auto"/>
              </w:rPr>
            </w:pPr>
          </w:p>
        </w:tc>
        <w:tc>
          <w:tcPr>
            <w:tcW w:w="12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$253,682</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SMG&amp;A Expenses as a % of Net Sales</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14.5%</w:t>
            </w:r>
          </w:p>
        </w:tc>
        <w:tc>
          <w:tcPr>
            <w:tcW w:w="1640" w:type="dxa"/>
            <w:vAlign w:val="bottom"/>
            <w:gridSpan w:val="2"/>
          </w:tcPr>
          <w:p>
            <w:pPr>
              <w:jc w:val="right"/>
              <w:ind w:right="99"/>
              <w:spacing w:after="0"/>
              <w:rPr>
                <w:sz w:val="20"/>
                <w:szCs w:val="20"/>
                <w:color w:val="auto"/>
              </w:rPr>
            </w:pPr>
            <w:r>
              <w:rPr>
                <w:rFonts w:ascii="Arial" w:cs="Arial" w:eastAsia="Arial" w:hAnsi="Arial"/>
                <w:sz w:val="18"/>
                <w:szCs w:val="18"/>
                <w:color w:val="auto"/>
              </w:rPr>
              <w:t>12.4%</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14.4%</w:t>
            </w:r>
          </w:p>
        </w:tc>
        <w:tc>
          <w:tcPr>
            <w:tcW w:w="1660" w:type="dxa"/>
            <w:vAlign w:val="bottom"/>
            <w:gridSpan w:val="2"/>
          </w:tcPr>
          <w:p>
            <w:pPr>
              <w:jc w:val="right"/>
              <w:ind w:right="79"/>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Selling, marketing, general and administrative, or SMG&amp;A, expenses decreased $4.8 million or 5% in the third quarter of fiscal 2005 as compared to the third quarter of fiscal 2004. The decrease in SMG&amp;A expenses in dollars in the three month period ended July 30, 2005 compared to the same period in the prior year was primarily the result of a tight control of expenses along with lower employee bonus expenses, partially offset by increased salary expenses. SMG&amp;A expenses were relatively flat in the first nine months of fiscal 2005 from the amount recorded in the comparable period of fiscal 2004. This was the result of a decrease in expenses as a result of a tight control of expenses offset by increased salary expenses. These factors, combined with the decrease in net sales, were the reason for the increase in SMG&amp;A as a percentage of sales in the three and nine month periods ended July 30, 2005 as compared to the same periods in the prior year.</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income was $19.2 million and $50.4 million in the three and nine months ended July 30, 2005 compared to $9.6 million and $23.3 million in the same periods in the prior year. The increase in interest income was primarily attributable to higher interest rates during fiscal 2005 as compared to the comparable periods of fiscal 2004.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 Our effective income tax rate was 21.8% for the nine months ended July 30, 2005 and 21.9% for the nine months ended July 31, 2004.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5240" w:type="dxa"/>
            <w:vAlign w:val="bottom"/>
          </w:tcPr>
          <w:p>
            <w:pPr>
              <w:spacing w:after="0"/>
              <w:rPr>
                <w:sz w:val="12"/>
                <w:szCs w:val="12"/>
                <w:color w:val="auto"/>
              </w:rPr>
            </w:pPr>
          </w:p>
        </w:tc>
        <w:tc>
          <w:tcPr>
            <w:tcW w:w="12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2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July 31, 2004</w:t>
            </w:r>
          </w:p>
        </w:tc>
        <w:tc>
          <w:tcPr>
            <w:tcW w:w="460" w:type="dxa"/>
            <w:vAlign w:val="bottom"/>
          </w:tcPr>
          <w:p>
            <w:pPr>
              <w:spacing w:after="0"/>
              <w:rPr>
                <w:sz w:val="12"/>
                <w:szCs w:val="12"/>
                <w:color w:val="auto"/>
              </w:rPr>
            </w:pPr>
          </w:p>
        </w:tc>
        <w:tc>
          <w:tcPr>
            <w:tcW w:w="12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July 30, 2005</w:t>
            </w:r>
          </w:p>
        </w:tc>
        <w:tc>
          <w:tcPr>
            <w:tcW w:w="460" w:type="dxa"/>
            <w:vAlign w:val="bottom"/>
          </w:tcPr>
          <w:p>
            <w:pPr>
              <w:spacing w:after="0"/>
              <w:rPr>
                <w:sz w:val="12"/>
                <w:szCs w:val="12"/>
                <w:color w:val="auto"/>
              </w:rPr>
            </w:pPr>
          </w:p>
        </w:tc>
        <w:tc>
          <w:tcPr>
            <w:tcW w:w="120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July 31, 2004</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121,404</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169,050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6"/>
              </w:rPr>
              <w:t>346,446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86"/>
              </w:rPr>
              <w:t>438,472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Income as a % of Net Sales</w:t>
            </w:r>
          </w:p>
        </w:tc>
        <w:tc>
          <w:tcPr>
            <w:tcW w:w="30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20.8%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23.6%</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19.6%</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21.9%</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0.32</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0.43</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0.90</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1.11</w:t>
            </w: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income in the third quarter of fiscal 2005 was lower than the third quarter of fiscal 2004 by approximately $47.6 million primarily as the result of the 19% decline in net sales between these periods. For the nine month period ended July 30, 2005, net income was lower than the same period in the prior year by approximately $92.0 million primarily as the result of the 12% decline in net sales between these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While it is difficult to forecast revenue in the semiconductor industry, we are currently planning for revenue in the fourth quarter of fiscal 2005 to be between 1% and 4% above the level recorded in the third quarter of fiscal 2005. If revenue is within this anticipated range, and depending on the mix of products sold, we expect gross margin as a percentage of net sales to slightly improve in the last quarter of fiscal 2005. We are planning for operating expenses in the fourth quarter of fiscal 2005 to be slightly higher than the level recorded in the third quarter of fiscal 2005. Based on these assumptions, our plan is for diluted EPS to be in the range of $0.32 to $0.34 for the fourth quarter of fiscal 2005.</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One of our directors, who has been a director since 1988, became a director of Taiwan Semiconductor Manufacturing Company, or TSMC, in fiscal 2002 and currently serves as a director. We purchased approximately $52 million and $100 million of products from TSMC during the three month periods ended July 30, 2005 and July 31, 2004, respectively, and $174 million and $259 million during the nine month periods ended July 30, 2005 and July 31, 2004, respectively. Approximately $25 million and $15 million was payable to TSMC as of July 30, 2005 and October 30, 2004. We anticipate that we will make significant purchases from TSMC in the remaining quarter of fiscal year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July 30, 2005, cash, cash equivalents and short-term investments totaled $2,784 million, a increase of $98.9 million from the fourth quarter of fiscal 2004. The primary sources of funds for the first nine months of fiscal 2005 were net cash generated from operating activities of $472.4 million and proceeds of $72.4 million from our various employee stock plans. The principal uses of funds for the first nine months of fiscal 2005 were the repurchase of $284.7 million of our common stock, dividend payments of $81.9 million, and capital expenditures of $64.4 million.</w:t>
      </w:r>
    </w:p>
    <w:p>
      <w:pPr>
        <w:spacing w:after="0" w:line="7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Accounts receivable of $296.1 million at the end of the third quarter of fiscal 2005 decreased $33.4 million, or 10.1%, from $329.5 million at the end of the fourth quarter of fiscal 2004. The decrease in accounts receivable in the third quarter of fiscal 2005 from the fourth quarter of fiscal 2004 was primarily the result of the decrease in net sales. Days sales outstanding at July 30, 2005 was 46, which was down from the 48 days at October 30, 2004.</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Inventories decreased by $2.2 million, or 0.6%, from $345.9 million at the end of fiscal 2004, to $343.7 million at the end of the third quarter of fiscal 2005.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Days cost of sales in inventory was 128 days at July 30, 2005 compared to 123 days at October 30, 2004.</w:t>
      </w:r>
    </w:p>
    <w:p>
      <w:pPr>
        <w:spacing w:after="0" w:line="10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Current liabilities decreased to $542.3 million at the end of the third quarter of fiscal 2005, a decrease of $24.7 million, or 4.4%, from the $567.0 million at the end of fiscal 2004. The decrease in current liabilities was primarily the result of a $30.9 million decrease in deferred income on shipments to distributors as a result of a reduction in inventory in the distribution channel, a $16.8 million decrease in accrued liabilities primarily as the result of a decrease in employee bonus accrual, and a $13.1 million decrease in accounts payable caused principally by a decrease in manufacturing spending and a decrease in capital expenditures. These decreases were partially offset by a $36.1 million increase to income taxes payable.</w:t>
      </w:r>
    </w:p>
    <w:p>
      <w:pPr>
        <w:spacing w:after="0" w:line="5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additions to property, plant and equipment were $64.4 million in the first nine months of fiscal 2005 and were funded with a combination of cash on hand and cash generated from operations. Fiscal 2005 capital expenditures are expected to be approximately $90 million to $100 million.</w:t>
      </w:r>
    </w:p>
    <w:p>
      <w:pPr>
        <w:spacing w:after="0" w:line="3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August 10, 2005, our Board of Directors declared a cash dividend of $0.10 per outstanding share of our common stock. The dividend is payable on September 14, 2005 to shareholders of record on August 26, 2005 and is expected to be approximately $37 million. The payment of future dividends, if any, will be based on our future financial performance.</w:t>
      </w:r>
    </w:p>
    <w:p>
      <w:pPr>
        <w:spacing w:after="0" w:line="7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During the first nine months of fiscal 2005, we distributed $64 million from our amended and restated deferred compensation plan (the “Deferred Compensation Plan”) as a result of participant terminations or at the direction of the participants. This amount represented compensation and/or stock option gains previously deferred by those participants pursuant to the terms of our Deferred Compensation Plan. As a result of the adoption of certain provisions of the American Jobs Creation Act, participants have the opportunity until December 31, 2005, to elect to withdraw amounts previously deferred. As a result of withdrawals pursuant to elections under these provisions or upon termination, participants have withdrawn approximately $58 million of deferred compensation which was previously reflected in the “More than 5 Years” column of the contractual obligations table contained in the section entitled “Management’s Discussion and Analysis of Financial Condition and Results of Operations” of the Analog Devices Annual Report on Form 10-K for the fiscal year ended October 30, 2004.</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July 30, 2005, our principal source of liquidity was $2,784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and purchases of stock under our stock repurchase program for at least the next twelve months and thereafter for the foreseeable future.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Changes and Error Corrections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which supersedes APB Opinion No. 20,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Changes </w:t>
      </w:r>
      <w:r>
        <w:rPr>
          <w:rFonts w:ascii="Arial" w:cs="Arial" w:eastAsia="Arial" w:hAnsi="Arial"/>
          <w:sz w:val="17"/>
          <w:szCs w:val="17"/>
          <w:color w:val="auto"/>
        </w:rPr>
        <w:t>and SFAS No. 3,</w:t>
      </w:r>
      <w:r>
        <w:rPr>
          <w:rFonts w:ascii="Arial" w:cs="Arial" w:eastAsia="Arial" w:hAnsi="Arial"/>
          <w:sz w:val="17"/>
          <w:szCs w:val="17"/>
          <w:i w:val="1"/>
          <w:iCs w:val="1"/>
          <w:color w:val="auto"/>
        </w:rPr>
        <w:t xml:space="preserve"> Reporting Accounting Changes in Interim Financial Statements. </w:t>
      </w:r>
      <w:r>
        <w:rPr>
          <w:rFonts w:ascii="Arial" w:cs="Arial" w:eastAsia="Arial" w:hAnsi="Arial"/>
          <w:sz w:val="17"/>
          <w:szCs w:val="17"/>
          <w:color w:val="auto"/>
        </w:rPr>
        <w:t>SFAS 154 provides guidance on the accounting for and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We do not expect the adoption of SFAS 154 to have a material impact on our consolidated results of operations and financial condition.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March 2005, the FASB issued FASB Interpretation No. 47 (FIN 47), </w:t>
      </w:r>
      <w:r>
        <w:rPr>
          <w:rFonts w:ascii="Arial" w:cs="Arial" w:eastAsia="Arial" w:hAnsi="Arial"/>
          <w:sz w:val="18"/>
          <w:szCs w:val="18"/>
          <w:i w:val="1"/>
          <w:iCs w:val="1"/>
          <w:color w:val="auto"/>
        </w:rPr>
        <w:t>Accounting for Conditional Asset Retirement Obligations – an interpretation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143. </w:t>
      </w:r>
      <w:r>
        <w:rPr>
          <w:rFonts w:ascii="Arial" w:cs="Arial" w:eastAsia="Arial" w:hAnsi="Arial"/>
          <w:sz w:val="18"/>
          <w:szCs w:val="18"/>
          <w:color w:val="auto"/>
        </w:rPr>
        <w:t>FIN 47 clarifies that the term conditional asset retirement obligation as used in FASB Statement No. 143,</w:t>
      </w:r>
      <w:r>
        <w:rPr>
          <w:rFonts w:ascii="Arial" w:cs="Arial" w:eastAsia="Arial" w:hAnsi="Arial"/>
          <w:sz w:val="18"/>
          <w:szCs w:val="18"/>
          <w:i w:val="1"/>
          <w:iCs w:val="1"/>
          <w:color w:val="auto"/>
        </w:rPr>
        <w:t xml:space="preserve"> Accounting for Asset Retirement Obligations, </w:t>
      </w:r>
      <w:r>
        <w:rPr>
          <w:rFonts w:ascii="Arial" w:cs="Arial" w:eastAsia="Arial" w:hAnsi="Arial"/>
          <w:sz w:val="18"/>
          <w:szCs w:val="18"/>
          <w:color w:val="auto"/>
        </w:rPr>
        <w:t>refers to a legal obligation to perform an asset retirement activity in which the timing and (or) method of settlement are conditional on a future</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that may or may not be within the control of the entity. The obligation to perform the asset retirement activity is unconditional even though uncertainty exists about the timing and (or) method of settlement. Uncertainty about the timing and (or) method of settlement of a conditional asset retirement obligation should be factored into the measurement of the liability when sufficient information exists. FIN 47 also clarifies when an entity would have sufficient information to reasonably estimate the fair value of an asset retirement obligation. FIN 47 is effective no later than the end of fiscal years ending after December 15, 2005. We are currently analyzing FIN 47 and believe the adoption of FIN 47 will not have a material impact on our financial condition, results of operations or liquidity.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Nonmonetary Assets</w:t>
      </w:r>
    </w:p>
    <w:p>
      <w:pPr>
        <w:spacing w:after="0" w:line="11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December 2004, the FASB issued SFAS No. 153, </w:t>
      </w:r>
      <w:r>
        <w:rPr>
          <w:rFonts w:ascii="Arial" w:cs="Arial" w:eastAsia="Arial" w:hAnsi="Arial"/>
          <w:sz w:val="18"/>
          <w:szCs w:val="18"/>
          <w:i w:val="1"/>
          <w:iCs w:val="1"/>
          <w:color w:val="auto"/>
        </w:rPr>
        <w:t>Exchanges of Nonmonetary Assets – an amendment of APB Opinion No. 29,</w:t>
      </w:r>
      <w:r>
        <w:rPr>
          <w:rFonts w:ascii="Arial" w:cs="Arial" w:eastAsia="Arial" w:hAnsi="Arial"/>
          <w:sz w:val="18"/>
          <w:szCs w:val="18"/>
          <w:color w:val="auto"/>
        </w:rPr>
        <w:t xml:space="preserve"> (SFAS 153). SFAS 153 is based on the principle that exchanges of nonmonetary assets should be measured based on the fair value of the assets exchanged. SFAS 153 eliminates the exception for nonmonetary exchanges of similar productive assets and replaces it with a general exception for exchanges of nonmonetary assets that do not have commercial substance. SFAS 153 is effective for nonmonetary asset exchanges in fiscal periods beginning after June 15, 2005. We are currently evaluating the provisions of SFAS 153 and do not believe that its adoption will have a material impact on our financial condition, results of operations or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Costs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 an amendment of Accounting Research Bulletin (ARB) No. 43, Chapter 4</w:t>
      </w:r>
      <w:r>
        <w:rPr>
          <w:rFonts w:ascii="Arial" w:cs="Arial" w:eastAsia="Arial" w:hAnsi="Arial"/>
          <w:sz w:val="18"/>
          <w:szCs w:val="18"/>
          <w:color w:val="auto"/>
        </w:rPr>
        <w:t xml:space="preserve"> (SFAS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We are currently evaluating the provisions of SFAS 151 and do not believe that its adoption will have a material impact on our financial condition, results of operations or liquidity.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December 16, 2004, the FASB issued SFAS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which is a revision of SFAS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(SFAS 123(R)). SFAS 123(R) supersedes APB Opinion No. 25,</w:t>
      </w:r>
      <w:r>
        <w:rPr>
          <w:rFonts w:ascii="Arial" w:cs="Arial" w:eastAsia="Arial" w:hAnsi="Arial"/>
          <w:sz w:val="18"/>
          <w:szCs w:val="18"/>
          <w:i w:val="1"/>
          <w:iCs w:val="1"/>
          <w:color w:val="auto"/>
        </w:rPr>
        <w:t xml:space="preserve"> Accounting for Stock Issued to Employees</w:t>
      </w:r>
      <w:r>
        <w:rPr>
          <w:rFonts w:ascii="Arial" w:cs="Arial" w:eastAsia="Arial" w:hAnsi="Arial"/>
          <w:sz w:val="18"/>
          <w:szCs w:val="18"/>
          <w:color w:val="auto"/>
        </w:rPr>
        <w:t>, and amends SFAS No. 95,</w:t>
      </w:r>
      <w:r>
        <w:rPr>
          <w:rFonts w:ascii="Arial" w:cs="Arial" w:eastAsia="Arial" w:hAnsi="Arial"/>
          <w:sz w:val="18"/>
          <w:szCs w:val="18"/>
          <w:i w:val="1"/>
          <w:iCs w:val="1"/>
          <w:color w:val="auto"/>
        </w:rPr>
        <w:t xml:space="preserve"> Statement of Cash Flows</w:t>
      </w:r>
      <w:r>
        <w:rPr>
          <w:rFonts w:ascii="Arial" w:cs="Arial" w:eastAsia="Arial" w:hAnsi="Arial"/>
          <w:sz w:val="18"/>
          <w:szCs w:val="18"/>
          <w:color w:val="auto"/>
        </w:rPr>
        <w:t>. Generally, the approach in SFAS 123(R) is similar to the approach described in SFAS 123. However, SFAS 123(R) requires all</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payments to employees, including grants of employee stock options, to be recognized in the income statement based on their fair values at the date of grant. Pro forma disclosure is no longer an alternative.</w:t>
      </w:r>
    </w:p>
    <w:p>
      <w:pPr>
        <w:spacing w:after="0" w:line="8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SFAS 123(R) permits public companies to adopt its requirements using one of two methods. A “modified prospective” method in which compensation cost is recognized beginning with the effective date (a) based on the requirements of SFAS 123(R) for all share-based payments granted after the effective date and</w:t>
      </w:r>
    </w:p>
    <w:p>
      <w:pPr>
        <w:ind w:right="60" w:firstLine="8"/>
        <w:spacing w:after="0" w:line="295"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the requirements of SFAS 123 for all awards granted to employees prior to the effective date of SFAS 123(R) that remain unvested on the effective date. A “modified retrospective” method includes the requirements of the modified prospective method described above, but also permits entities to restate their historical financial statements based on the amounts previously recognized under SFAS 123 for purposes of pro forma disclosures either (a) all prior periods presented or (b) prior interim periods of the year of adoption. We have yet to determine which method to use in adopting SFAS 123(R).</w:t>
      </w:r>
    </w:p>
    <w:p>
      <w:pPr>
        <w:spacing w:after="0" w:line="5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permitted by SFAS 123, we currently account for share-based payments to employees using APB Opinion No. 25’s intrinsic value method and, as such, generally recognize no compensation cost for employee stock options. Accordingly, the adoption of SFAS 123(R)’s fair value method will have a significant impact on our results of operations, although it will have no impact on our overall financial position. We are evaluating SFAS 123(R) and have not yet determined the amount of stock option expense that will be incurred in future periods.</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April 14, 2005, the Securities and Exchange Commission announced the adoption of a new rule that amends the compliance dates for FASB SFAS 123(R). The new rule allows companies to implement SFAS 123(R) at the beginning of their next fiscal year, instead of the next reporting period, that begins after June 15, 2005. We expect to adopt SFAS 123(R) beginning in fiscal year 2006 on October 30, 2005, our first fiscal quarter.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estimates or judgments that are difficult or subjective.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review property, plant, and equipment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life.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 analyses.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In accordance with Statement of Financial Accounting Standards No. 142, or 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we annually assess goodwill for impairment, or earlier if indicators of potential impairment exist and suggest that the carrying value of goodwill may not be recoverable. Because we have one reporting segment under FAS 142, we utilize the entity-wide approach to assess goodwill for impairment and compare our market value to our net book value to determine if an impairment exists. These assessments may result in impairment losses that could have a material adverse impact on our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account for income taxes in accordance with Statement of Financial Accounting Standards No. 109, or 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which requires that deferred tax assets and liabilities be recognized using enacted tax rates for the effect of temporary differences between the book and tax bases of recorded assets and liabilities. FAS 109 also requires that deferred tax assets be reduced by a valuation allowance if it is more likely than not that some portion or all of the deferred tax asset will not be realized. We evaluate the realizability of our deferred tax assets quarterly. At July 30, 2005, we had gross deferred tax assets of $141 million primarily resulting from temporary differences between the book and tax bases of assets and liabilities. We have conducted an assessment of the likelihood of realization of those deferred tax assets and concluded that a $33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such determinations are made.</w:t>
      </w:r>
    </w:p>
    <w:p>
      <w:pPr>
        <w:spacing w:after="0" w:line="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addition, we have provided for potential liabilities due in various jurisdictions. Judgment is required in determining our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such determinations are made.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Statement of Financial Accounting Standards No. 5, or 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Should a loss be probable and reasonably capable of being estimated, we record a contingent loss in accordance with FAS 5. In determining the amount of a contingent loss, we consider advice received from experts in the specific matter, current status of legal proceedings, settlement negotiations that may be ongoing, prior case history and other factors. Should the judgments and estimates made by us be incorrect, we may need to record additional contingent losses that could materially adversely impact our results of operations. See Note 11 to our Consolidated Financial Statements contained in Item 1 of this Quarterly Report on Form 10-Q.</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difficult to predict and may materially fluctuate.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future operating results are difficult to predict and may be materially affected by a number of factors, including the timing of new product announcements or introductions by us or our competitors, competitive pricing pressures, fluctuations in manufacturing yields, adequate availability of wafers and manufacturing capacity, the risk that our backlog could decline significantly, our ability to hire, retain and motivate adequate numbers of engineers and other qualified employees to meet the demands of our customers, changes in product mix, and the effect of adverse changes in economic conditions in the United States and international markets. 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cancelations or delays in orders for our products could adversely affect our operating results.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are subject to the risk of cancelation of orders leading to a sharp fall-off of sales and backlog. Further, those orders may be for products that meet the customer’s unique requirements so that those canceled orders would, in addition, result in an inventory of unsaleable products, resulting in potential inventory write-offs. As a result of lengthy manufacturing cycles for certain of the products subject to these uncertainties, the amount of unsaleable product could be substantial. Reductions, cancelations or delays in orders for our products could adversely affect our operating results.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success depends upon our ability to develop and market new products and enter new markets.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success significantly depends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the semiconductor industry in the future.</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Many other companies offer products that compete with our products. Some have greater financial, manufacturing, technical and marketing resources than we have. Additionally, some formerly independent competitors have been purchased by larger companies. Our competitors also include emerging companies selling specialized products to markets we serve. There can be no assurance that we will be able to compete successfully in the future against existing or new competitors, or that our operating results will not be adversely affected by increased price competition.</w:t>
      </w:r>
    </w:p>
    <w:p>
      <w:pPr>
        <w:spacing w:after="0" w:line="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6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delivery schedules, manufacturing yields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If these sole-source suppliers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We, and the semiconductor industry generally, expand production facilities and access to third-party foundries in response to these periods of increased demand. These capacity expansions by us and other semiconductor manufacturers could lead to overcapacity in our target markets, which could lead to price erosion that would adversely impact our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the semiconductor industry enter a period of reduced customer demand, our financial position and results of operations could be adversely impacted as a result of underutilization of capacity or asset impairment charges.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rely primarily upon know-how, rather than on patents, to develop and maintain our competitive position. There can be no assurance that others will not develop or patent similar technology or reverse engineer our products or that the confidentiality agreements upon which we rely will be adequate to protect our interests. Other companies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 Moreover, the laws of foreign countries in which we design, manufacture and market our products may afford little or no effective protection of our proprietary technology.</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are involved in frequent litigation regarding intellectual property rights, which could be costly to defend and could require us to redesign products or pay significant royalties.</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There can be no assurance that any patent will issue on pending applications or that any patent issued will provide substantive protection for the technology or product covered by it. We believe that patent and mask set protection is of less significance in our business than experience, innovation and management skill. There also can be no assurance that others will not develop or patent similar technology, or reverse engineer our products, or that our confidentiality agreements with employees, consultants, silicon foundries and other suppliers and vendors will be adequate to protect our interests.</w:t>
      </w:r>
    </w:p>
    <w:p>
      <w:pPr>
        <w:spacing w:after="0" w:line="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indemnification of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See Note 11 in the Notes to our Consolidated Financial Statements contained in Item 1 of this Quarterly Report on Form 10-Q for information concerning pending litigation that involves us. An adverse outcome in this or other litigation could have a material adverse effect on our consolidated financial position or on our consolidated results of operations or cash flows in the period in which the litigation is resolved.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r>
        <w:rPr>
          <w:rFonts w:ascii="Arial" w:cs="Arial" w:eastAsia="Arial" w:hAnsi="Arial"/>
          <w:sz w:val="18"/>
          <w:szCs w:val="18"/>
          <w:color w:val="auto"/>
        </w:rPr>
        <w: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and many companies in the semiconductor industry, rely on internal manufacturing capacity located in California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as a result of fire, natural disaster, unavailability of electric power or otherwise, would have a material adverse effect on our results of operations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economic, political and other risks through our significant worldwide operations.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first nine months of fiscal 2005, approximately 75% of our revenues were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These risks include air transportation disruptions, expropriation, currency controls, currency exchange rate movement, and additional costs related to tax, tariff and freight rate increases.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11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on pages 29-30 of our Annual Report on Form 10-K for the year ended October 30,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87"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Our management, with the participation of our Chief Executive Officer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the effectiveness of Analog’s disclosure controls and procedures as of July 30, 2005.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30, 2005, our Chief Executive Officer and Chief Financial Officer concluded that, as of such date, our disclosure controls and procedures were effective at the reasonable assurance level.</w:t>
      </w:r>
    </w:p>
    <w:p>
      <w:pPr>
        <w:spacing w:after="0" w:line="64" w:lineRule="exact"/>
        <w:rPr>
          <w:rFonts w:ascii="Arial" w:cs="Arial" w:eastAsia="Arial" w:hAnsi="Arial"/>
          <w:sz w:val="16"/>
          <w:szCs w:val="16"/>
          <w:color w:val="auto"/>
        </w:rPr>
      </w:pPr>
    </w:p>
    <w:p>
      <w:pPr>
        <w:ind w:right="100" w:firstLine="8"/>
        <w:spacing w:after="0" w:line="264"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No change in our internal control over financial reporting (as defined in Rules 13a-15(f) and 15d-15(f)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occurred during the third quarter ended July 30, 2005 that has materially affected, or is reasonably likely to materially affect, our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June 14, 2005, Biax Corporation filed its first amended complaint for patent infringement in the United States District Court for the Eastern District of Texas against Analog Devices, Inc. and Intel Corporation, alleging that we infringed three patents owned by Biax relating to parallel processors. Prior to the filing of the first amended complaint, we were unaware of Biax or this action. The first amended complaint seeks injunctive relief, unspecified damages, as well as its costs, expenses and fees. On August 3, 2005, we filed an answer and counterclaimed against Biax. In the counterclaim, we seek rulings that the patents are not infringed, are invalid and are unenforceable. The case has not yet entered the discovery phase. We intend to vigorously defend against these allegations. We are unable at this time to predict the outcome of this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July 30, 2005, we did not repurchase any shares of our common stock or any other equity securities that are registered by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12 of the Exchange Act. Since the start of our share repurchase program, publicly announced on August 12, 2004 and amended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11, 2005, we have repurchased shares for an aggregate purchase price of $462,780,187 pursuant to this plan. We are currently authorized to repurchase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for an additional $537,219,813 under this plan. Unless earlier terminated by resolution of our Board of Directors, the repurchase program will expire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when we have repurchased all shares authorized under the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31" w:lineRule="exact"/>
        <w:rPr>
          <w:sz w:val="20"/>
          <w:szCs w:val="20"/>
          <w:color w:val="auto"/>
        </w:rPr>
      </w:pPr>
    </w:p>
    <w:p>
      <w:pPr>
        <w:ind w:left="320" w:right="8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Items 3, 4 and 5 of PART II are not applicable and have been omitted.</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August 17,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August 17,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Accounting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No.</w:t>
            </w:r>
          </w:p>
        </w:tc>
        <w:tc>
          <w:tcPr>
            <w:tcW w:w="580" w:type="dxa"/>
            <w:vAlign w:val="bottom"/>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00" w:type="dxa"/>
            <w:vAlign w:val="bottom"/>
          </w:tcPr>
          <w:p>
            <w:pPr>
              <w:jc w:val="right"/>
              <w:ind w:right="522"/>
              <w:spacing w:after="0" w:line="195" w:lineRule="exact"/>
              <w:rPr>
                <w:sz w:val="20"/>
                <w:szCs w:val="20"/>
                <w:color w:val="auto"/>
              </w:rPr>
            </w:pPr>
            <w:r>
              <w:rPr>
                <w:rFonts w:ascii="Arial" w:cs="Arial" w:eastAsia="Arial" w:hAnsi="Arial"/>
                <w:sz w:val="18"/>
                <w:szCs w:val="18"/>
                <w:color w:val="auto"/>
                <w:w w:val="79"/>
              </w:rPr>
              <w:t>31.1</w:t>
            </w:r>
          </w:p>
        </w:tc>
        <w:tc>
          <w:tcPr>
            <w:tcW w:w="580" w:type="dxa"/>
            <w:vAlign w:val="bottom"/>
          </w:tcPr>
          <w:p>
            <w:pPr>
              <w:spacing w:after="0"/>
              <w:rPr>
                <w:sz w:val="16"/>
                <w:szCs w:val="16"/>
                <w:color w:val="auto"/>
              </w:rPr>
            </w:pPr>
          </w:p>
        </w:tc>
        <w:tc>
          <w:tcPr>
            <w:tcW w:w="9920" w:type="dxa"/>
            <w:vAlign w:val="bottom"/>
            <w:gridSpan w:val="3"/>
          </w:tcPr>
          <w:p>
            <w:pPr>
              <w:spacing w:after="0" w:line="195" w:lineRule="exact"/>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4"/>
          </w:tcPr>
          <w:p>
            <w:pPr>
              <w:ind w:left="580"/>
              <w:spacing w:after="0"/>
              <w:rPr>
                <w:sz w:val="20"/>
                <w:szCs w:val="20"/>
                <w:color w:val="auto"/>
              </w:rPr>
            </w:pPr>
            <w:r>
              <w:rPr>
                <w:rFonts w:ascii="Arial" w:cs="Arial" w:eastAsia="Arial" w:hAnsi="Arial"/>
                <w:sz w:val="18"/>
                <w:szCs w:val="18"/>
                <w:color w:val="auto"/>
              </w:rPr>
              <w:t>Sarbanes-Oxley Act of 2002 (Chief Executive Officer).</w:t>
            </w:r>
          </w:p>
        </w:tc>
        <w:tc>
          <w:tcPr>
            <w:tcW w:w="0" w:type="dxa"/>
            <w:vAlign w:val="bottom"/>
          </w:tcPr>
          <w:p>
            <w:pPr>
              <w:spacing w:after="0"/>
              <w:rPr>
                <w:sz w:val="1"/>
                <w:szCs w:val="1"/>
                <w:color w:val="auto"/>
              </w:rPr>
            </w:pPr>
          </w:p>
        </w:tc>
      </w:tr>
      <w:tr>
        <w:trPr>
          <w:trHeight w:val="418"/>
        </w:trPr>
        <w:tc>
          <w:tcPr>
            <w:tcW w:w="920" w:type="dxa"/>
            <w:vAlign w:val="bottom"/>
            <w:gridSpan w:val="2"/>
          </w:tcPr>
          <w:p>
            <w:pPr>
              <w:jc w:val="right"/>
              <w:ind w:right="522"/>
              <w:spacing w:after="0"/>
              <w:rPr>
                <w:sz w:val="20"/>
                <w:szCs w:val="20"/>
                <w:color w:val="auto"/>
              </w:rPr>
            </w:pPr>
            <w:r>
              <w:rPr>
                <w:rFonts w:ascii="Arial" w:cs="Arial" w:eastAsia="Arial" w:hAnsi="Arial"/>
                <w:sz w:val="18"/>
                <w:szCs w:val="18"/>
                <w:color w:val="auto"/>
                <w:w w:val="85"/>
              </w:rPr>
              <w:t>31.2</w:t>
            </w:r>
          </w:p>
        </w:tc>
        <w:tc>
          <w:tcPr>
            <w:tcW w:w="10500" w:type="dxa"/>
            <w:vAlign w:val="bottom"/>
            <w:gridSpan w:val="4"/>
          </w:tcPr>
          <w:p>
            <w:pPr>
              <w:ind w:left="580"/>
              <w:spacing w:after="0"/>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4"/>
          </w:tcPr>
          <w:p>
            <w:pPr>
              <w:ind w:left="580"/>
              <w:spacing w:after="0"/>
              <w:rPr>
                <w:sz w:val="20"/>
                <w:szCs w:val="20"/>
                <w:color w:val="auto"/>
              </w:rPr>
            </w:pPr>
            <w:r>
              <w:rPr>
                <w:rFonts w:ascii="Arial" w:cs="Arial" w:eastAsia="Arial" w:hAnsi="Arial"/>
                <w:sz w:val="18"/>
                <w:szCs w:val="18"/>
                <w:color w:val="auto"/>
              </w:rPr>
              <w:t>Sarbanes-Oxley Act of 2002 (Chief Financial Officer).</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522"/>
              <w:spacing w:after="0"/>
              <w:rPr>
                <w:sz w:val="20"/>
                <w:szCs w:val="20"/>
                <w:color w:val="auto"/>
              </w:rPr>
            </w:pPr>
            <w:r>
              <w:rPr>
                <w:rFonts w:ascii="Arial" w:cs="Arial" w:eastAsia="Arial" w:hAnsi="Arial"/>
                <w:sz w:val="18"/>
                <w:szCs w:val="18"/>
                <w:color w:val="auto"/>
                <w:w w:val="85"/>
              </w:rPr>
              <w:t>32.1</w:t>
            </w:r>
          </w:p>
        </w:tc>
        <w:tc>
          <w:tcPr>
            <w:tcW w:w="10500" w:type="dxa"/>
            <w:vAlign w:val="bottom"/>
            <w:gridSpan w:val="4"/>
          </w:tcPr>
          <w:p>
            <w:pPr>
              <w:ind w:left="58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432"/>
        </w:trPr>
        <w:tc>
          <w:tcPr>
            <w:tcW w:w="920" w:type="dxa"/>
            <w:vAlign w:val="bottom"/>
            <w:gridSpan w:val="2"/>
          </w:tcPr>
          <w:p>
            <w:pPr>
              <w:jc w:val="right"/>
              <w:ind w:right="522"/>
              <w:spacing w:after="0"/>
              <w:rPr>
                <w:sz w:val="20"/>
                <w:szCs w:val="20"/>
                <w:color w:val="auto"/>
              </w:rPr>
            </w:pPr>
            <w:r>
              <w:rPr>
                <w:rFonts w:ascii="Arial" w:cs="Arial" w:eastAsia="Arial" w:hAnsi="Arial"/>
                <w:sz w:val="18"/>
                <w:szCs w:val="18"/>
                <w:color w:val="auto"/>
                <w:w w:val="85"/>
              </w:rPr>
              <w:t>32.2</w:t>
            </w:r>
          </w:p>
        </w:tc>
        <w:tc>
          <w:tcPr>
            <w:tcW w:w="10500" w:type="dxa"/>
            <w:vAlign w:val="bottom"/>
            <w:gridSpan w:val="4"/>
          </w:tcPr>
          <w:p>
            <w:pPr>
              <w:ind w:left="58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20" w:type="dxa"/>
            <w:vAlign w:val="bottom"/>
            <w:gridSpan w:val="3"/>
          </w:tcPr>
          <w:p>
            <w:pPr>
              <w:ind w:left="4700"/>
              <w:spacing w:after="0"/>
              <w:rPr>
                <w:sz w:val="20"/>
                <w:szCs w:val="20"/>
                <w:color w:val="auto"/>
              </w:rPr>
            </w:pPr>
            <w:r>
              <w:rPr>
                <w:rFonts w:ascii="Arial" w:cs="Arial" w:eastAsia="Arial" w:hAnsi="Arial"/>
                <w:sz w:val="18"/>
                <w:szCs w:val="18"/>
                <w:color w:val="auto"/>
              </w:rPr>
              <w:t>31</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Jerald G. Fishman, certify that:</w:t>
      </w:r>
    </w:p>
    <w:p>
      <w:pPr>
        <w:spacing w:after="0" w:line="207" w:lineRule="exact"/>
        <w:rPr>
          <w:sz w:val="20"/>
          <w:szCs w:val="20"/>
          <w:color w:val="auto"/>
        </w:rPr>
      </w:pPr>
    </w:p>
    <w:p>
      <w:pPr>
        <w:ind w:left="1280" w:right="2619" w:hanging="640"/>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1280" w:right="2319" w:hanging="640"/>
        <w:spacing w:after="0" w:line="23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540" w:right="1779" w:hanging="636"/>
        <w:spacing w:after="0" w:line="273" w:lineRule="auto"/>
        <w:tabs>
          <w:tab w:leader="none" w:pos="254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943"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17, 2005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Executive Officer)</w:t>
      </w:r>
    </w:p>
    <w:p>
      <w:pPr>
        <w:sectPr>
          <w:pgSz w:w="11900" w:h="16838" w:orient="portrait"/>
          <w:cols w:equalWidth="0" w:num="2">
            <w:col w:w="3820" w:space="720"/>
            <w:col w:w="5679"/>
          </w:cols>
          <w:pgMar w:left="240" w:top="541" w:right="1440" w:bottom="943" w:gutter="0" w:footer="0" w:header="0"/>
          <w:type w:val="continuous"/>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Joseph E. McDonough, certify that:</w:t>
      </w:r>
    </w:p>
    <w:p>
      <w:pPr>
        <w:spacing w:after="0" w:line="207" w:lineRule="exact"/>
        <w:rPr>
          <w:sz w:val="20"/>
          <w:szCs w:val="20"/>
          <w:color w:val="auto"/>
        </w:rPr>
      </w:pPr>
    </w:p>
    <w:p>
      <w:pPr>
        <w:ind w:left="1280" w:right="2619" w:hanging="640"/>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Analog Devices, Inc.;</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Courier New" w:cs="Courier New" w:eastAsia="Courier New" w:hAnsi="Courier New"/>
          <w:sz w:val="16"/>
          <w:szCs w:val="16"/>
          <w:color w:val="auto"/>
        </w:rPr>
      </w:pPr>
    </w:p>
    <w:p>
      <w:pPr>
        <w:ind w:left="2540" w:hanging="636"/>
        <w:spacing w:after="0"/>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2540" w:right="1779" w:hanging="636"/>
        <w:spacing w:after="0" w:line="237" w:lineRule="auto"/>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540" w:right="1779" w:hanging="636"/>
        <w:spacing w:after="0" w:line="271" w:lineRule="auto"/>
        <w:tabs>
          <w:tab w:leader="none" w:pos="25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1280" w:right="2319" w:hanging="640"/>
        <w:spacing w:after="0" w:line="23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540" w:right="1779" w:hanging="636"/>
        <w:spacing w:after="0" w:line="273" w:lineRule="auto"/>
        <w:tabs>
          <w:tab w:leader="none" w:pos="25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Courier New" w:cs="Courier New" w:eastAsia="Courier New" w:hAnsi="Courier New"/>
          <w:sz w:val="16"/>
          <w:szCs w:val="16"/>
          <w:color w:val="auto"/>
        </w:rPr>
      </w:pPr>
    </w:p>
    <w:p>
      <w:pPr>
        <w:ind w:left="2540" w:right="1779" w:hanging="636"/>
        <w:spacing w:after="0" w:line="237" w:lineRule="auto"/>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541" w:right="1440" w:bottom="757"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17, 2005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Vice President-Finance</w:t>
      </w:r>
    </w:p>
    <w:p>
      <w:pPr>
        <w:spacing w:after="0"/>
        <w:rPr>
          <w:sz w:val="20"/>
          <w:szCs w:val="20"/>
          <w:color w:val="auto"/>
        </w:rPr>
      </w:pPr>
      <w:r>
        <w:rPr>
          <w:rFonts w:ascii="Courier New" w:cs="Courier New" w:eastAsia="Courier New" w:hAnsi="Courier New"/>
          <w:sz w:val="18"/>
          <w:szCs w:val="18"/>
          <w:color w:val="auto"/>
        </w:rPr>
        <w:t>and Chief Financial Officer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 and Accounting Officer)</w:t>
      </w:r>
    </w:p>
    <w:p>
      <w:pPr>
        <w:sectPr>
          <w:pgSz w:w="11900" w:h="16838" w:orient="portrait"/>
          <w:cols w:equalWidth="0" w:num="2">
            <w:col w:w="3080" w:space="720"/>
            <w:col w:w="6419"/>
          </w:cols>
          <w:pgMar w:left="240" w:top="541" w:right="1440" w:bottom="757" w:gutter="0" w:footer="0" w:header="0"/>
          <w:type w:val="continuous"/>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July 30, 2005 as filed with the Securities and Exchange Commission on the date hereof (the "Report"), the undersigned, Jerald G. Fishman, Chief Executive Officer of the Company, hereby certifies, pursuant to 18 U.S.C. Section 1350, that:</w:t>
      </w:r>
    </w:p>
    <w:p>
      <w:pPr>
        <w:spacing w:after="0" w:line="209" w:lineRule="exact"/>
        <w:rPr>
          <w:sz w:val="20"/>
          <w:szCs w:val="20"/>
          <w:color w:val="auto"/>
        </w:rPr>
      </w:pPr>
    </w:p>
    <w:p>
      <w:pPr>
        <w:ind w:left="1280" w:right="1879" w:hanging="640"/>
        <w:spacing w:after="0" w:line="235"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17,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w:t>
      </w:r>
    </w:p>
    <w:p>
      <w:pPr>
        <w:sectPr>
          <w:pgSz w:w="11900" w:h="16838" w:orient="portrait"/>
          <w:cols w:equalWidth="0" w:num="2">
            <w:col w:w="5300" w:space="720"/>
            <w:col w:w="4199"/>
          </w:cols>
          <w:pgMar w:left="240" w:top="541" w:right="1440" w:bottom="1440" w:gutter="0" w:footer="0" w:header="0"/>
          <w:type w:val="continuous"/>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18 U.S.C. SECTION 1350,</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ADOPTED PURSUANT TO</w:t>
      </w:r>
    </w:p>
    <w:p>
      <w:pPr>
        <w:jc w:val="center"/>
        <w:ind w:right="1659"/>
        <w:spacing w:after="0"/>
        <w:rPr>
          <w:sz w:val="20"/>
          <w:szCs w:val="20"/>
          <w:color w:val="auto"/>
        </w:rPr>
      </w:pPr>
      <w:r>
        <w:rPr>
          <w:rFonts w:ascii="Courier New" w:cs="Courier New" w:eastAsia="Courier New" w:hAnsi="Courier New"/>
          <w:sz w:val="18"/>
          <w:szCs w:val="18"/>
          <w:color w:val="auto"/>
        </w:rPr>
        <w:t>SECTION 906 OF THE SARBANES-OXLEY ACT OF 2002</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connection with the Quarterly Report on Form 10-Q of Analog Devices, Inc. (the "Company") for the period ended July 30, 2005 as filed with the Securities and Exchange Commission on the date hereof (the "Report"), the undersigned, Joseph E. McDonough, Chief Financial Officer of the Company, hereby certifies, pursuant to 18 U.S.C. Section 1350, that:</w:t>
      </w:r>
    </w:p>
    <w:p>
      <w:pPr>
        <w:spacing w:after="0" w:line="209" w:lineRule="exact"/>
        <w:rPr>
          <w:sz w:val="20"/>
          <w:szCs w:val="20"/>
          <w:color w:val="auto"/>
        </w:rPr>
      </w:pPr>
    </w:p>
    <w:p>
      <w:pPr>
        <w:ind w:left="1280" w:right="1879" w:hanging="640"/>
        <w:spacing w:after="0" w:line="235"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280" w:right="1779" w:hanging="640"/>
        <w:spacing w:after="0" w:line="236" w:lineRule="auto"/>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541"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August 17, 2005</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E. McDonough</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5080" w:space="720"/>
        <w:col w:w="44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2019-12-12T08:36:24Z</dcterms:created>
  <dcterms:modified xsi:type="dcterms:W3CDTF">2019-12-12T08:36:24Z</dcterms:modified>
</cp:coreProperties>
</file>