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142240</wp:posOffset>
            </wp:positionH>
            <wp:positionV relativeFrom="page">
              <wp:posOffset>149225</wp:posOffset>
            </wp:positionV>
            <wp:extent cx="72764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182880</wp:posOffset>
            </wp:positionV>
            <wp:extent cx="72764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6985"/>
                    </a:xfrm>
                    <a:prstGeom prst="rect">
                      <a:avLst/>
                    </a:prstGeom>
                    <a:noFill/>
                  </pic:spPr>
                </pic:pic>
              </a:graphicData>
            </a:graphic>
          </wp:anchor>
        </w:drawing>
        <w:t>UNITED STATES</w:t>
      </w:r>
    </w:p>
    <w:p>
      <w:pPr>
        <w:spacing w:after="0" w:line="24"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3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2877185</wp:posOffset>
            </wp:positionH>
            <wp:positionV relativeFrom="paragraph">
              <wp:posOffset>179070</wp:posOffset>
            </wp:positionV>
            <wp:extent cx="15278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7810" cy="698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2877185</wp:posOffset>
            </wp:positionH>
            <wp:positionV relativeFrom="paragraph">
              <wp:posOffset>193040</wp:posOffset>
            </wp:positionV>
            <wp:extent cx="15278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7810" cy="698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CURRENT REPORT</w:t>
      </w:r>
    </w:p>
    <w:p>
      <w:pPr>
        <w:spacing w:after="0" w:line="7"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Pursuant to Section 13 or 15(d)</w:t>
      </w:r>
    </w:p>
    <w:p>
      <w:pPr>
        <w:jc w:val="center"/>
        <w:ind w:right="-33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45" w:lineRule="exact"/>
        <w:rPr>
          <w:sz w:val="24"/>
          <w:szCs w:val="24"/>
          <w:color w:val="auto"/>
        </w:rPr>
      </w:pPr>
    </w:p>
    <w:p>
      <w:pPr>
        <w:jc w:val="center"/>
        <w:ind w:right="-339"/>
        <w:spacing w:after="0"/>
        <w:rPr>
          <w:sz w:val="20"/>
          <w:szCs w:val="20"/>
          <w:color w:val="auto"/>
        </w:rPr>
      </w:pPr>
      <w:r>
        <w:rPr>
          <w:rFonts w:ascii="Arial" w:cs="Arial" w:eastAsia="Arial" w:hAnsi="Arial"/>
          <w:sz w:val="17"/>
          <w:szCs w:val="17"/>
          <w:b w:val="1"/>
          <w:bCs w:val="1"/>
          <w:color w:val="auto"/>
        </w:rPr>
        <w:t>Date of Report (Date of earliest event reported): June 9,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2877185</wp:posOffset>
            </wp:positionH>
            <wp:positionV relativeFrom="paragraph">
              <wp:posOffset>184150</wp:posOffset>
            </wp:positionV>
            <wp:extent cx="15278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7810" cy="698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339"/>
        <w:spacing w:after="0"/>
        <w:rPr>
          <w:sz w:val="20"/>
          <w:szCs w:val="20"/>
          <w:color w:val="auto"/>
        </w:rPr>
      </w:pPr>
      <w:r>
        <w:rPr>
          <w:rFonts w:ascii="Arial" w:cs="Arial" w:eastAsia="Arial" w:hAnsi="Arial"/>
          <w:sz w:val="34"/>
          <w:szCs w:val="34"/>
          <w:b w:val="1"/>
          <w:bCs w:val="1"/>
          <w:color w:val="auto"/>
        </w:rPr>
        <w:t>Analog Devices, Inc.</w:t>
      </w:r>
    </w:p>
    <w:p>
      <w:pPr>
        <w:spacing w:after="0" w:line="34" w:lineRule="exact"/>
        <w:rPr>
          <w:sz w:val="24"/>
          <w:szCs w:val="24"/>
          <w:color w:val="auto"/>
        </w:rPr>
      </w:pPr>
    </w:p>
    <w:p>
      <w:pPr>
        <w:jc w:val="center"/>
        <w:ind w:right="-33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2877185</wp:posOffset>
            </wp:positionH>
            <wp:positionV relativeFrom="paragraph">
              <wp:posOffset>184785</wp:posOffset>
            </wp:positionV>
            <wp:extent cx="15278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7810" cy="6985"/>
                    </a:xfrm>
                    <a:prstGeom prst="rect">
                      <a:avLst/>
                    </a:prstGeom>
                    <a:noFill/>
                  </pic:spPr>
                </pic:pic>
              </a:graphicData>
            </a:graphic>
          </wp:anchor>
        </w:drawing>
      </w:r>
    </w:p>
    <w:p>
      <w:pPr>
        <w:sectPr>
          <w:pgSz w:w="11900" w:h="16838" w:orient="portrait"/>
          <w:cols w:equalWidth="0" w:num="1">
            <w:col w:w="11120"/>
          </w:cols>
          <w:pgMar w:left="220" w:top="318" w:right="559" w:bottom="1440" w:gutter="0" w:footer="0" w:header="0"/>
        </w:sectPr>
      </w:pPr>
    </w:p>
    <w:p>
      <w:pPr>
        <w:spacing w:after="0" w:line="200" w:lineRule="exact"/>
        <w:rPr>
          <w:sz w:val="24"/>
          <w:szCs w:val="24"/>
          <w:color w:val="auto"/>
        </w:rPr>
      </w:pPr>
    </w:p>
    <w:p>
      <w:pPr>
        <w:spacing w:after="0" w:line="298" w:lineRule="exact"/>
        <w:rPr>
          <w:sz w:val="24"/>
          <w:szCs w:val="24"/>
          <w:color w:val="auto"/>
        </w:rPr>
      </w:pPr>
    </w:p>
    <w:p>
      <w:pPr>
        <w:ind w:left="1520"/>
        <w:spacing w:after="0"/>
        <w:rPr>
          <w:sz w:val="20"/>
          <w:szCs w:val="20"/>
          <w:color w:val="auto"/>
        </w:rPr>
      </w:pPr>
      <w:r>
        <w:rPr>
          <w:rFonts w:ascii="Arial" w:cs="Arial" w:eastAsia="Arial" w:hAnsi="Arial"/>
          <w:sz w:val="11"/>
          <w:szCs w:val="11"/>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jc w:val="center"/>
        <w:ind w:right="2520"/>
        <w:spacing w:after="0"/>
        <w:rPr>
          <w:sz w:val="20"/>
          <w:szCs w:val="20"/>
          <w:color w:val="auto"/>
        </w:rPr>
      </w:pPr>
      <w:r>
        <w:rPr>
          <w:rFonts w:ascii="Arial" w:cs="Arial" w:eastAsia="Arial" w:hAnsi="Arial"/>
          <w:sz w:val="12"/>
          <w:szCs w:val="12"/>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04-2348234</w:t>
      </w:r>
    </w:p>
    <w:p>
      <w:pPr>
        <w:spacing w:after="0" w:line="30" w:lineRule="exact"/>
        <w:rPr>
          <w:sz w:val="24"/>
          <w:szCs w:val="24"/>
          <w:color w:val="auto"/>
        </w:rPr>
      </w:pPr>
    </w:p>
    <w:p>
      <w:pPr>
        <w:sectPr>
          <w:pgSz w:w="11900" w:h="16838" w:orient="portrait"/>
          <w:cols w:equalWidth="0" w:num="3">
            <w:col w:w="4940" w:space="720"/>
            <w:col w:w="2920" w:space="720"/>
            <w:col w:w="1820"/>
          </w:cols>
          <w:pgMar w:left="220" w:top="318" w:right="559" w:bottom="1440" w:gutter="0" w:footer="0" w:header="0"/>
          <w:type w:val="continuous"/>
        </w:sectPr>
      </w:pPr>
    </w:p>
    <w:p>
      <w:pPr>
        <w:spacing w:after="0" w:line="11" w:lineRule="exact"/>
        <w:rPr>
          <w:sz w:val="24"/>
          <w:szCs w:val="24"/>
          <w:color w:val="auto"/>
        </w:rPr>
      </w:pPr>
    </w:p>
    <w:p>
      <w:pPr>
        <w:jc w:val="center"/>
        <w:ind w:right="920"/>
        <w:spacing w:after="0"/>
        <w:rPr>
          <w:sz w:val="20"/>
          <w:szCs w:val="20"/>
          <w:color w:val="auto"/>
        </w:rPr>
      </w:pPr>
      <w:r>
        <w:rPr>
          <w:rFonts w:ascii="Arial" w:cs="Arial" w:eastAsia="Arial" w:hAnsi="Arial"/>
          <w:sz w:val="10"/>
          <w:szCs w:val="10"/>
          <w:b w:val="1"/>
          <w:bCs w:val="1"/>
          <w:color w:val="auto"/>
        </w:rPr>
        <w:t>(State or Other Jurisdiction</w:t>
      </w:r>
    </w:p>
    <w:p>
      <w:pPr>
        <w:jc w:val="center"/>
        <w:ind w:right="920"/>
        <w:spacing w:after="0"/>
        <w:rPr>
          <w:sz w:val="20"/>
          <w:szCs w:val="20"/>
          <w:color w:val="auto"/>
        </w:rPr>
      </w:pPr>
      <w:r>
        <w:rPr>
          <w:rFonts w:ascii="Arial" w:cs="Arial" w:eastAsia="Arial" w:hAnsi="Arial"/>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9"/>
          <w:szCs w:val="9"/>
          <w:b w:val="1"/>
          <w:bCs w:val="1"/>
          <w:color w:val="auto"/>
        </w:rPr>
        <w:t>(Commission</w:t>
      </w:r>
    </w:p>
    <w:p>
      <w:pPr>
        <w:spacing w:after="0" w:line="8"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1"/>
          <w:szCs w:val="11"/>
          <w:b w:val="1"/>
          <w:bCs w:val="1"/>
          <w:color w:val="auto"/>
        </w:rPr>
        <w:t>(IRS Employer</w:t>
      </w:r>
    </w:p>
    <w:p>
      <w:pPr>
        <w:jc w:val="center"/>
        <w:ind w:right="1040"/>
        <w:spacing w:after="0"/>
        <w:rPr>
          <w:sz w:val="20"/>
          <w:szCs w:val="20"/>
          <w:color w:val="auto"/>
        </w:rPr>
      </w:pPr>
      <w:r>
        <w:rPr>
          <w:rFonts w:ascii="Arial" w:cs="Arial" w:eastAsia="Arial" w:hAnsi="Arial"/>
          <w:sz w:val="10"/>
          <w:szCs w:val="10"/>
          <w:b w:val="1"/>
          <w:bCs w:val="1"/>
          <w:color w:val="auto"/>
        </w:rPr>
        <w:t>Identification No.)</w:t>
      </w:r>
    </w:p>
    <w:p>
      <w:pPr>
        <w:spacing w:after="0" w:line="192" w:lineRule="exact"/>
        <w:rPr>
          <w:sz w:val="24"/>
          <w:szCs w:val="24"/>
          <w:color w:val="auto"/>
        </w:rPr>
      </w:pPr>
    </w:p>
    <w:p>
      <w:pPr>
        <w:sectPr>
          <w:pgSz w:w="11900" w:h="16838" w:orient="portrait"/>
          <w:cols w:equalWidth="0" w:num="3">
            <w:col w:w="4820" w:space="720"/>
            <w:col w:w="2940" w:space="720"/>
            <w:col w:w="1920"/>
          </w:cols>
          <w:pgMar w:left="220" w:top="318" w:right="559" w:bottom="1440" w:gutter="0" w:footer="0" w:header="0"/>
          <w:type w:val="continuous"/>
        </w:sectPr>
      </w:pPr>
    </w:p>
    <w:p>
      <w:pPr>
        <w:ind w:left="1480"/>
        <w:spacing w:after="0"/>
        <w:rPr>
          <w:sz w:val="20"/>
          <w:szCs w:val="20"/>
          <w:color w:val="auto"/>
        </w:rPr>
      </w:pPr>
      <w:r>
        <w:rPr>
          <w:rFonts w:ascii="Arial" w:cs="Arial" w:eastAsia="Arial" w:hAnsi="Arial"/>
          <w:sz w:val="12"/>
          <w:szCs w:val="12"/>
          <w:b w:val="1"/>
          <w:bCs w:val="1"/>
          <w:color w:val="auto"/>
        </w:rPr>
        <w:t>One Technology Way, Norwood,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02062</w:t>
      </w:r>
    </w:p>
    <w:p>
      <w:pPr>
        <w:spacing w:after="0" w:line="45" w:lineRule="exact"/>
        <w:rPr>
          <w:sz w:val="24"/>
          <w:szCs w:val="24"/>
          <w:color w:val="auto"/>
        </w:rPr>
      </w:pPr>
    </w:p>
    <w:p>
      <w:pPr>
        <w:sectPr>
          <w:pgSz w:w="11900" w:h="16838" w:orient="portrait"/>
          <w:cols w:equalWidth="0" w:num="2">
            <w:col w:w="7780" w:space="720"/>
            <w:col w:w="2620"/>
          </w:cols>
          <w:pgMar w:left="220" w:top="318" w:right="559" w:bottom="1440" w:gutter="0" w:footer="0" w:header="0"/>
          <w:type w:val="continuous"/>
        </w:sectPr>
      </w:pPr>
    </w:p>
    <w:p>
      <w:pPr>
        <w:ind w:left="194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155" w:lineRule="exact"/>
        <w:rPr>
          <w:sz w:val="24"/>
          <w:szCs w:val="24"/>
          <w:color w:val="auto"/>
        </w:rPr>
      </w:pPr>
    </w:p>
    <w:p>
      <w:pPr>
        <w:sectPr>
          <w:pgSz w:w="11900" w:h="16838" w:orient="portrait"/>
          <w:cols w:equalWidth="0" w:num="2">
            <w:col w:w="7700" w:space="720"/>
            <w:col w:w="2700"/>
          </w:cols>
          <w:pgMar w:left="220" w:top="318" w:right="559" w:bottom="1440" w:gutter="0" w:footer="0" w:header="0"/>
          <w:type w:val="continuous"/>
        </w:sectPr>
      </w:pPr>
    </w:p>
    <w:p>
      <w:pPr>
        <w:jc w:val="center"/>
        <w:ind w:right="-359"/>
        <w:spacing w:after="0"/>
        <w:rPr>
          <w:sz w:val="20"/>
          <w:szCs w:val="20"/>
          <w:color w:val="auto"/>
        </w:rPr>
      </w:pPr>
      <w:r>
        <w:rPr>
          <w:rFonts w:ascii="Arial" w:cs="Arial" w:eastAsia="Arial" w:hAnsi="Arial"/>
          <w:sz w:val="14"/>
          <w:szCs w:val="14"/>
          <w:b w:val="1"/>
          <w:bCs w:val="1"/>
          <w:color w:val="auto"/>
        </w:rPr>
        <w:t>Registrant’s telephone number, including area code: (781) 329-4700</w:t>
      </w:r>
    </w:p>
    <w:p>
      <w:pPr>
        <w:spacing w:after="0" w:line="343" w:lineRule="exact"/>
        <w:rPr>
          <w:sz w:val="24"/>
          <w:szCs w:val="24"/>
          <w:color w:val="auto"/>
        </w:rPr>
      </w:pPr>
    </w:p>
    <w:p>
      <w:pPr>
        <w:jc w:val="center"/>
        <w:ind w:right="-359"/>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2877185</wp:posOffset>
            </wp:positionH>
            <wp:positionV relativeFrom="paragraph">
              <wp:posOffset>185420</wp:posOffset>
            </wp:positionV>
            <wp:extent cx="15278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7810" cy="698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General Instruction A.2.</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92"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2" w:lineRule="exact"/>
        <w:rPr>
          <w:rFonts w:ascii="MS PGothic" w:cs="MS PGothic" w:eastAsia="MS PGothic" w:hAnsi="MS PGothic"/>
          <w:sz w:val="14"/>
          <w:szCs w:val="14"/>
          <w:color w:val="auto"/>
        </w:rPr>
      </w:pPr>
    </w:p>
    <w:p>
      <w:pPr>
        <w:ind w:left="460" w:hanging="45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3" w:lineRule="exact"/>
        <w:rPr>
          <w:sz w:val="24"/>
          <w:szCs w:val="24"/>
          <w:color w:val="auto"/>
        </w:rPr>
      </w:pPr>
    </w:p>
    <w:p>
      <w:pPr>
        <w:ind w:left="460" w:hanging="456"/>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3" w:lineRule="exact"/>
        <w:rPr>
          <w:sz w:val="24"/>
          <w:szCs w:val="24"/>
          <w:color w:val="auto"/>
        </w:rPr>
      </w:pPr>
    </w:p>
    <w:p>
      <w:pPr>
        <w:ind w:left="460" w:hanging="456"/>
        <w:spacing w:after="0"/>
        <w:tabs>
          <w:tab w:leader="none" w:pos="4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764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159385</wp:posOffset>
            </wp:positionV>
            <wp:extent cx="727646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120"/>
          </w:cols>
          <w:pgMar w:left="220" w:top="318" w:right="5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5200" cy="33020"/>
                    </a:xfrm>
                    <a:prstGeom prst="rect">
                      <a:avLst/>
                    </a:prstGeom>
                    <a:noFill/>
                  </pic:spPr>
                </pic:pic>
              </a:graphicData>
            </a:graphic>
          </wp:anchor>
        </w:drawing>
        <w:t>Item 8.01.</w:t>
      </w:r>
      <w:r>
        <w:rPr>
          <w:sz w:val="20"/>
          <w:szCs w:val="20"/>
          <w:color w:val="auto"/>
        </w:rPr>
        <w:tab/>
      </w:r>
      <w:r>
        <w:rPr>
          <w:rFonts w:ascii="Arial" w:cs="Arial" w:eastAsia="Arial" w:hAnsi="Arial"/>
          <w:sz w:val="12"/>
          <w:szCs w:val="12"/>
          <w:b w:val="1"/>
          <w:bCs w:val="1"/>
          <w:color w:val="auto"/>
        </w:rPr>
        <w:t>Other Events.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color w:val="auto"/>
        </w:rPr>
        <w:t>On June 9, 2014, Analog Devices, Inc. (the “Company”) made available the investor presentation filed as Exhibit 99.1 to this Current Report on Form 8-K, which is incorporated herein by reference.</w:t>
      </w:r>
    </w:p>
    <w:p>
      <w:pPr>
        <w:spacing w:after="0" w:line="300"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07" w:lineRule="exact"/>
        <w:rPr>
          <w:sz w:val="20"/>
          <w:szCs w:val="20"/>
          <w:color w:val="auto"/>
        </w:rPr>
      </w:pPr>
    </w:p>
    <w:p>
      <w:pPr>
        <w:ind w:left="460" w:hanging="456"/>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Exhibits.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See the Exhibit Index attached to this Current Report on Form 8-K, which is incorporated herein by reference.</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Important Additional Information Will Be Filed with the Securities and Exchange Commission</w:t>
      </w:r>
    </w:p>
    <w:p>
      <w:pPr>
        <w:spacing w:after="0" w:line="96" w:lineRule="exact"/>
        <w:rPr>
          <w:sz w:val="20"/>
          <w:szCs w:val="20"/>
          <w:color w:val="auto"/>
        </w:rPr>
      </w:pPr>
    </w:p>
    <w:p>
      <w:pPr>
        <w:ind w:right="40"/>
        <w:spacing w:after="0" w:line="277" w:lineRule="auto"/>
        <w:rPr>
          <w:sz w:val="20"/>
          <w:szCs w:val="20"/>
          <w:color w:val="auto"/>
        </w:rPr>
      </w:pPr>
      <w:r>
        <w:rPr>
          <w:rFonts w:ascii="Arial" w:cs="Arial" w:eastAsia="Arial" w:hAnsi="Arial"/>
          <w:sz w:val="13"/>
          <w:szCs w:val="13"/>
          <w:color w:val="auto"/>
        </w:rPr>
        <w:t>This Current Report on Form 8-K is neither an offer to purchase nor a solicitation of an offer to sell shares of common stock of Hittite Microwave Corporation (“Hittite”). At the time the Company commences its offer to purchase shares of Hittite common stock (the “Offer”), the Company will file with the Securities and Exchange Commission (“SEC”) and mail to Hittite stockholders a Tender Offer Statement and Hittite will file with the SEC and mail to its stockholders a Tender Offer Solicitation/Recommendation Statement in connection with the Offer. These documents will contain important information about the Company, Hittite, the Offer and related matters. Investors and security holders are urged to read each of these documents carefully when they are available. Investors and security holders will be able to obtain free copies of the Tender Offer Statement, the Tender Offer Solicitation/Recommendation Statement and other documents filed with the SEC by the Company and Hittite through the website maintained by the SEC at www.sec.gov. In addition, investors and security holders will be able to obtain free copies of these documents from the Company by contacting the Company’s Director of Investor Relations at Analog Devices, Inc., One Technology Way, Norwood, Massachusetts 02062; telephone: 781-461-3282 or by contacting Hittite’s Chief Financial Officer at Hittite Microwave Corporation, 2 Elizabeth Drive, Chelmsford, Massachusetts 01824; telephone: 978-250-3343.</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96"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This Current Report on Form 8-K contains forward-looking statements, which address a variety of subjects including, for example, the expected timetable for the closing of the transaction between the Company and Hittite, the expected benefits and synergies of the transaction, including the effect of the transaction on the Company’s non-GAAP earnings, the Company’s expected product development and technical advances resulting from the transaction, the availability of debt financing for the transaction and the Company’s guidance for the remainder of fiscal year 2014. Statements that are not historical facts, including statements about the Company’s beliefs and expectations, are forward-looking statements. Such statements are based on the Company’s current expectations and are subject to a number of factors and uncertainties, which could cause actual results to differ materially from those described in these forward-looking statements. The following important factors and uncertainties, among others, could cause</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20" w:top="241" w:right="279" w:bottom="1440" w:gutter="0" w:footer="0" w:header="0"/>
        </w:sectPr>
      </w:pPr>
    </w:p>
    <w:bookmarkStart w:id="2" w:name="page3"/>
    <w:bookmarkEnd w:id="2"/>
    <w:p>
      <w:pPr>
        <w:spacing w:after="0" w:line="25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5200" cy="33020"/>
                    </a:xfrm>
                    <a:prstGeom prst="rect">
                      <a:avLst/>
                    </a:prstGeom>
                    <a:noFill/>
                  </pic:spPr>
                </pic:pic>
              </a:graphicData>
            </a:graphic>
          </wp:anchor>
        </w:drawing>
        <w:t>actual results to differ materially from those described in these forward-looking statements: the closing of the transaction is subject to the tender of shares by Hittite stockholders representing at least a majority of the outstanding shares (assuming that shares issuable in respect of vested Hittite restricted stock units and options are outstanding); the receipt of regulatory approvals, and other closing conditions, the non-satisfaction of which may delay or prevent the closing of the transaction; the transaction may involve unexpected costs; the expected benefits of the transaction may not be achieved in a timely manner, or at all; Hittite’s business may not be successfully integrated with the Company’s following the closing; and disruption from the transaction may adversely affect Hittite’s relationships with its customers, suppliers or employees. For additional information about factors that could cause actual results to differ materially from those described in the forward-looking statements, please refer to both the Company’s and Hittite’s filings with the SEC, including the risk factors contained in each of the Company’s and Hittite’s most recent Quarterly Reports on Form 10-Q. Forward-looking statements represent management’s current expectations and are inherently uncertain. Except as required by law, the Company does not undertake any obligation to update forward-looking statements made by it.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20" w:top="245" w:right="259" w:bottom="1440" w:gutter="0" w:footer="0" w:header="0"/>
        </w:sectPr>
      </w:pPr>
    </w:p>
    <w:bookmarkStart w:id="3" w:name="page4"/>
    <w:bookmarkEnd w:id="3"/>
    <w:p>
      <w:pPr>
        <w:jc w:val="center"/>
        <w:ind w:right="-7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5200" cy="33020"/>
                    </a:xfrm>
                    <a:prstGeom prst="rect">
                      <a:avLst/>
                    </a:prstGeom>
                    <a:noFill/>
                  </pic:spPr>
                </pic:pic>
              </a:graphicData>
            </a:graphic>
          </wp:anchor>
        </w:drawing>
        <w:t>SIGNATURE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ANALOG DEVICES, INC.</w:t>
      </w:r>
    </w:p>
    <w:p>
      <w:pPr>
        <w:spacing w:after="0" w:line="177" w:lineRule="exact"/>
        <w:rPr>
          <w:sz w:val="20"/>
          <w:szCs w:val="20"/>
          <w:color w:val="auto"/>
        </w:rPr>
      </w:pPr>
    </w:p>
    <w:p>
      <w:pPr>
        <w:spacing w:after="0"/>
        <w:tabs>
          <w:tab w:leader="none" w:pos="5580" w:val="left"/>
          <w:tab w:leader="none" w:pos="5940" w:val="left"/>
        </w:tabs>
        <w:rPr>
          <w:sz w:val="20"/>
          <w:szCs w:val="20"/>
          <w:color w:val="auto"/>
        </w:rPr>
      </w:pPr>
      <w:r>
        <w:rPr>
          <w:rFonts w:ascii="Arial" w:cs="Arial" w:eastAsia="Arial" w:hAnsi="Arial"/>
          <w:sz w:val="14"/>
          <w:szCs w:val="14"/>
          <w:color w:val="auto"/>
        </w:rPr>
        <w:t>Date: June 9, 2014</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12065</wp:posOffset>
            </wp:positionV>
            <wp:extent cx="349059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90595" cy="6985"/>
                    </a:xfrm>
                    <a:prstGeom prst="rect">
                      <a:avLst/>
                    </a:prstGeom>
                    <a:noFill/>
                  </pic:spPr>
                </pic:pic>
              </a:graphicData>
            </a:graphic>
          </wp:anchor>
        </w:drawing>
      </w:r>
    </w:p>
    <w:p>
      <w:pPr>
        <w:spacing w:after="0" w:line="19"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David A. Zinsner</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Vice President, Finance and Chief</w:t>
      </w:r>
    </w:p>
    <w:p>
      <w:pPr>
        <w:spacing w:after="0" w:line="8"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Financial Officer</w:t>
      </w:r>
    </w:p>
    <w:p>
      <w:pPr>
        <w:spacing w:after="0" w:line="113"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740"/>
          </w:cols>
          <w:pgMar w:left="220" w:top="241" w:right="939" w:bottom="1440" w:gutter="0" w:footer="0" w:header="0"/>
        </w:sectPr>
      </w:pPr>
    </w:p>
    <w:bookmarkStart w:id="4" w:name="page5"/>
    <w:bookmarkEnd w:id="4"/>
    <w:p>
      <w:pPr>
        <w:jc w:val="right"/>
        <w:ind w:right="3979"/>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5200" cy="33020"/>
                    </a:xfrm>
                    <a:prstGeom prst="rect">
                      <a:avLst/>
                    </a:prstGeom>
                    <a:noFill/>
                  </pic:spPr>
                </pic:pic>
              </a:graphicData>
            </a:graphic>
          </wp:anchor>
        </w:drawing>
        <w:t>EXHIBIT INDEX</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Exhibit</w:t>
      </w:r>
    </w:p>
    <w:p>
      <w:pPr>
        <w:ind w:left="100"/>
        <w:spacing w:after="0"/>
        <w:tabs>
          <w:tab w:leader="none" w:pos="900" w:val="left"/>
        </w:tabs>
        <w:rPr>
          <w:sz w:val="20"/>
          <w:szCs w:val="20"/>
          <w:color w:val="auto"/>
        </w:rPr>
      </w:pPr>
      <w:r>
        <w:rPr>
          <w:rFonts w:ascii="Arial" w:cs="Arial" w:eastAsia="Arial" w:hAnsi="Arial"/>
          <w:sz w:val="11"/>
          <w:szCs w:val="11"/>
          <w:color w:val="auto"/>
        </w:rPr>
        <w:t>No.</w:t>
      </w:r>
      <w:r>
        <w:rPr>
          <w:sz w:val="20"/>
          <w:szCs w:val="20"/>
          <w:color w:val="auto"/>
        </w:rPr>
        <w:tab/>
      </w:r>
      <w:r>
        <w:rPr>
          <w:rFonts w:ascii="Arial" w:cs="Arial" w:eastAsia="Arial" w:hAnsi="Arial"/>
          <w:sz w:val="11"/>
          <w:szCs w:val="1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-2540</wp:posOffset>
            </wp:positionV>
            <wp:extent cx="20764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645" cy="6985"/>
                    </a:xfrm>
                    <a:prstGeom prst="rect">
                      <a:avLst/>
                    </a:prstGeom>
                    <a:noFill/>
                  </pic:spPr>
                </pic:pic>
              </a:graphicData>
            </a:graphic>
          </wp:anchor>
        </w:drawing>
      </w:r>
    </w:p>
    <w:p>
      <w:pPr>
        <w:spacing w:after="0" w:line="59"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2"/>
          <w:szCs w:val="12"/>
          <w:color w:val="auto"/>
        </w:rPr>
        <w:t>Investor presentation made available by the Company on June 9, 2014</w:t>
      </w:r>
    </w:p>
    <w:p>
      <w:pPr>
        <w:spacing w:after="0" w:line="124"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239"/>
          </w:cols>
          <w:pgMar w:left="220" w:top="245" w:right="1440" w:bottom="1440" w:gutter="0" w:footer="0" w:header="0"/>
        </w:sectPr>
      </w:pPr>
    </w:p>
    <w:bookmarkStart w:id="5" w:name="page6"/>
    <w:bookmarkEnd w:id="5"/>
    <w:p>
      <w:pPr>
        <w:ind w:left="77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209550</wp:posOffset>
            </wp:positionH>
            <wp:positionV relativeFrom="page">
              <wp:posOffset>156210</wp:posOffset>
            </wp:positionV>
            <wp:extent cx="6438900" cy="4831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438900" cy="483108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179"/>
        <w:spacing w:after="0"/>
        <w:rPr>
          <w:sz w:val="20"/>
          <w:szCs w:val="20"/>
          <w:color w:val="auto"/>
        </w:rPr>
      </w:pPr>
      <w:r>
        <w:rPr>
          <w:rFonts w:ascii="Arial" w:cs="Arial" w:eastAsia="Arial" w:hAnsi="Arial"/>
          <w:sz w:val="22"/>
          <w:szCs w:val="22"/>
          <w:color w:val="auto"/>
        </w:rPr>
        <w:t>TheWorldLeaderinHighPerformanceSignalProcessingSolutions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40"/>
        <w:spacing w:after="0"/>
        <w:rPr>
          <w:sz w:val="20"/>
          <w:szCs w:val="20"/>
          <w:color w:val="auto"/>
        </w:rPr>
      </w:pPr>
      <w:r>
        <w:rPr>
          <w:rFonts w:ascii="Arial" w:cs="Arial" w:eastAsia="Arial" w:hAnsi="Arial"/>
          <w:sz w:val="47"/>
          <w:szCs w:val="47"/>
          <w:color w:val="38579B"/>
        </w:rPr>
        <w:t>ADI to Acquire Hittite</w:t>
      </w:r>
    </w:p>
    <w:p>
      <w:pPr>
        <w:ind w:left="920"/>
        <w:spacing w:after="0"/>
        <w:rPr>
          <w:sz w:val="20"/>
          <w:szCs w:val="20"/>
          <w:color w:val="auto"/>
        </w:rPr>
      </w:pPr>
      <w:r>
        <w:rPr>
          <w:rFonts w:ascii="Arial" w:cs="Arial" w:eastAsia="Arial" w:hAnsi="Arial"/>
          <w:sz w:val="47"/>
          <w:szCs w:val="47"/>
          <w:color w:val="38579B"/>
        </w:rPr>
        <w:t>Microwave Corporation</w:t>
      </w:r>
    </w:p>
    <w:p>
      <w:pPr>
        <w:spacing w:after="0" w:line="200" w:lineRule="exact"/>
        <w:rPr>
          <w:sz w:val="20"/>
          <w:szCs w:val="20"/>
          <w:color w:val="auto"/>
        </w:rPr>
      </w:pPr>
    </w:p>
    <w:p>
      <w:pPr>
        <w:spacing w:after="0" w:line="344" w:lineRule="exact"/>
        <w:rPr>
          <w:sz w:val="20"/>
          <w:szCs w:val="20"/>
          <w:color w:val="auto"/>
        </w:rPr>
      </w:pPr>
    </w:p>
    <w:p>
      <w:pPr>
        <w:ind w:left="2880"/>
        <w:spacing w:after="0"/>
        <w:rPr>
          <w:sz w:val="20"/>
          <w:szCs w:val="20"/>
          <w:color w:val="auto"/>
        </w:rPr>
      </w:pPr>
      <w:r>
        <w:rPr>
          <w:rFonts w:ascii="Arial" w:cs="Arial" w:eastAsia="Arial" w:hAnsi="Arial"/>
          <w:sz w:val="34"/>
          <w:szCs w:val="34"/>
          <w:b w:val="1"/>
          <w:bCs w:val="1"/>
          <w:color w:val="auto"/>
        </w:rPr>
        <w:t>June 9, 2014</w:t>
      </w:r>
    </w:p>
    <w:p>
      <w:pPr>
        <w:sectPr>
          <w:pgSz w:w="11900" w:h="16838" w:orient="portrait"/>
          <w:cols w:equalWidth="0" w:num="1">
            <w:col w:w="9019"/>
          </w:cols>
          <w:pgMar w:left="1440" w:top="389" w:right="1440"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Forward-Looking Statements</w:t>
      </w:r>
    </w:p>
    <w:p>
      <w:pPr>
        <w:spacing w:after="0" w:line="58" w:lineRule="exact"/>
        <w:rPr>
          <w:sz w:val="20"/>
          <w:szCs w:val="20"/>
          <w:color w:val="auto"/>
        </w:rPr>
      </w:pPr>
    </w:p>
    <w:p>
      <w:pPr>
        <w:ind w:left="20" w:right="839"/>
        <w:spacing w:after="0"/>
        <w:rPr>
          <w:sz w:val="20"/>
          <w:szCs w:val="20"/>
          <w:color w:val="auto"/>
        </w:rPr>
      </w:pPr>
      <w:r>
        <w:rPr>
          <w:rFonts w:ascii="Arial" w:cs="Arial" w:eastAsia="Arial" w:hAnsi="Arial"/>
          <w:sz w:val="14"/>
          <w:szCs w:val="14"/>
          <w:i w:val="1"/>
          <w:iCs w:val="1"/>
          <w:color w:val="auto"/>
        </w:rPr>
        <w:t>This presentation contains forward-looking statements, which address a variety of subjects including, for example, the expected timetable for closing of the transaction between ADI and Hittite Microwave Corporation, the expected benefits and synergies of the transaction,</w:t>
      </w:r>
    </w:p>
    <w:p>
      <w:pPr>
        <w:ind w:left="20" w:right="759"/>
        <w:spacing w:after="0" w:line="235" w:lineRule="auto"/>
        <w:rPr>
          <w:sz w:val="20"/>
          <w:szCs w:val="20"/>
          <w:color w:val="auto"/>
        </w:rPr>
      </w:pPr>
      <w:r>
        <w:rPr>
          <w:rFonts w:ascii="Arial" w:cs="Arial" w:eastAsia="Arial" w:hAnsi="Arial"/>
          <w:sz w:val="14"/>
          <w:szCs w:val="14"/>
          <w:i w:val="1"/>
          <w:iCs w:val="1"/>
          <w:color w:val="auto"/>
        </w:rPr>
        <w:t>including the effect of the transaction on ADI’s non-GAAP earnings, ADI’s expected product development and technical advances resulting from the transaction, the availability of debt financing for the transaction and ADI’s guidance for its third and fourth quarters of fiscal year 2014. Statements that are not historical facts, including statements about our beliefs and expectations, are forward-looking statements.</w:t>
      </w:r>
    </w:p>
    <w:p>
      <w:pPr>
        <w:spacing w:after="0" w:line="2" w:lineRule="exact"/>
        <w:rPr>
          <w:sz w:val="20"/>
          <w:szCs w:val="20"/>
          <w:color w:val="auto"/>
        </w:rPr>
      </w:pPr>
    </w:p>
    <w:p>
      <w:pPr>
        <w:ind w:left="20" w:right="719"/>
        <w:spacing w:after="0" w:line="228" w:lineRule="auto"/>
        <w:rPr>
          <w:sz w:val="20"/>
          <w:szCs w:val="20"/>
          <w:color w:val="auto"/>
        </w:rPr>
      </w:pPr>
      <w:r>
        <w:rPr>
          <w:rFonts w:ascii="Arial" w:cs="Arial" w:eastAsia="Arial" w:hAnsi="Arial"/>
          <w:sz w:val="14"/>
          <w:szCs w:val="14"/>
          <w:i w:val="1"/>
          <w:iCs w:val="1"/>
          <w:color w:val="auto"/>
        </w:rPr>
        <w:t>Such statements are based on our current expectations and are subject to a number of factors and uncertainties, which could cause actual results to differ materially from those described in the forward-looking statements. The following important factors and uncertainties, among</w:t>
      </w:r>
    </w:p>
    <w:p>
      <w:pPr>
        <w:ind w:left="20" w:right="699"/>
        <w:spacing w:after="0" w:line="235" w:lineRule="auto"/>
        <w:rPr>
          <w:sz w:val="20"/>
          <w:szCs w:val="20"/>
          <w:color w:val="auto"/>
        </w:rPr>
      </w:pPr>
      <w:r>
        <w:rPr>
          <w:rFonts w:ascii="Arial" w:cs="Arial" w:eastAsia="Arial" w:hAnsi="Arial"/>
          <w:sz w:val="14"/>
          <w:szCs w:val="14"/>
          <w:i w:val="1"/>
          <w:iCs w:val="1"/>
          <w:color w:val="auto"/>
        </w:rPr>
        <w:t>others, could cause actual results to differ materially from those described in these forward-looking statements: the closing of the transaction is subject to the tender of shares by Hittite Microwave Corporation stockholders representing at least a majority of the outstanding fully-diluted shares; the receipt of regulatory approvals, and other closing conditions, the non-satisfaction of which may delay or</w:t>
      </w:r>
    </w:p>
    <w:p>
      <w:pPr>
        <w:spacing w:after="0" w:line="2" w:lineRule="exact"/>
        <w:rPr>
          <w:sz w:val="20"/>
          <w:szCs w:val="20"/>
          <w:color w:val="auto"/>
        </w:rPr>
      </w:pPr>
    </w:p>
    <w:p>
      <w:pPr>
        <w:ind w:left="20" w:right="699"/>
        <w:spacing w:after="0" w:line="212" w:lineRule="auto"/>
        <w:rPr>
          <w:sz w:val="20"/>
          <w:szCs w:val="20"/>
          <w:color w:val="auto"/>
        </w:rPr>
      </w:pPr>
      <w:r>
        <w:rPr>
          <w:rFonts w:ascii="Arial" w:cs="Arial" w:eastAsia="Arial" w:hAnsi="Arial"/>
          <w:sz w:val="15"/>
          <w:szCs w:val="15"/>
          <w:i w:val="1"/>
          <w:iCs w:val="1"/>
          <w:color w:val="auto"/>
        </w:rPr>
        <w:t>prevent the closing of the transaction; higher than expected or unexpected costs associated with or relating to the transaction; the expected benefits, synergies and growth prospects of the transaction may not be achieved in a timely manner, or at all; Hittite Microwave</w:t>
      </w:r>
    </w:p>
    <w:p>
      <w:pPr>
        <w:spacing w:after="0" w:line="1" w:lineRule="exact"/>
        <w:rPr>
          <w:sz w:val="20"/>
          <w:szCs w:val="20"/>
          <w:color w:val="auto"/>
        </w:rPr>
      </w:pPr>
    </w:p>
    <w:p>
      <w:pPr>
        <w:ind w:left="20" w:right="819"/>
        <w:spacing w:after="0" w:line="235" w:lineRule="auto"/>
        <w:rPr>
          <w:sz w:val="20"/>
          <w:szCs w:val="20"/>
          <w:color w:val="auto"/>
        </w:rPr>
      </w:pPr>
      <w:r>
        <w:rPr>
          <w:rFonts w:ascii="Arial" w:cs="Arial" w:eastAsia="Arial" w:hAnsi="Arial"/>
          <w:sz w:val="14"/>
          <w:szCs w:val="14"/>
          <w:i w:val="1"/>
          <w:iCs w:val="1"/>
          <w:color w:val="auto"/>
        </w:rPr>
        <w:t>Corporation’s business may not be successfully integrated with ADI’s following the closing; and disruption from the transaction may adversely affect Hittite Microwave Corporation’s relationships with its customers, suppliers or employees. For additional information about</w:t>
      </w:r>
    </w:p>
    <w:p>
      <w:pPr>
        <w:spacing w:after="0" w:line="1" w:lineRule="exact"/>
        <w:rPr>
          <w:sz w:val="20"/>
          <w:szCs w:val="20"/>
          <w:color w:val="auto"/>
        </w:rPr>
      </w:pPr>
    </w:p>
    <w:p>
      <w:pPr>
        <w:ind w:left="20" w:right="739"/>
        <w:spacing w:after="0" w:line="228" w:lineRule="auto"/>
        <w:rPr>
          <w:sz w:val="20"/>
          <w:szCs w:val="20"/>
          <w:color w:val="auto"/>
        </w:rPr>
      </w:pPr>
      <w:r>
        <w:rPr>
          <w:rFonts w:ascii="Arial" w:cs="Arial" w:eastAsia="Arial" w:hAnsi="Arial"/>
          <w:sz w:val="14"/>
          <w:szCs w:val="14"/>
          <w:i w:val="1"/>
          <w:iCs w:val="1"/>
          <w:color w:val="auto"/>
        </w:rPr>
        <w:t>factors that could cause actual results to differ materially from those described in the forward-looking statements, please refer to both ADI’s and Hittite Microwave Corporation’s filings with the Securities and Exchange Commission, including the risk factors contained in each of</w:t>
      </w:r>
    </w:p>
    <w:p>
      <w:pPr>
        <w:ind w:left="20" w:right="779"/>
        <w:spacing w:after="0" w:line="229" w:lineRule="auto"/>
        <w:rPr>
          <w:sz w:val="20"/>
          <w:szCs w:val="20"/>
          <w:color w:val="auto"/>
        </w:rPr>
      </w:pPr>
      <w:r>
        <w:rPr>
          <w:rFonts w:ascii="Arial" w:cs="Arial" w:eastAsia="Arial" w:hAnsi="Arial"/>
          <w:sz w:val="15"/>
          <w:szCs w:val="15"/>
          <w:i w:val="1"/>
          <w:iCs w:val="1"/>
          <w:color w:val="auto"/>
        </w:rPr>
        <w:t>ADI’s and Hittite Microwave Corporation’s most recent Quarterly Reports on Form 10-Q.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21"/>
          <w:szCs w:val="21"/>
          <w:b w:val="1"/>
          <w:bCs w:val="1"/>
          <w:color w:val="38579B"/>
        </w:rPr>
        <w:t>Important Additional Information Will Be Filed with the Securities and Exchange Commission</w:t>
      </w:r>
    </w:p>
    <w:p>
      <w:pPr>
        <w:spacing w:after="0" w:line="38" w:lineRule="exact"/>
        <w:rPr>
          <w:sz w:val="20"/>
          <w:szCs w:val="20"/>
          <w:color w:val="auto"/>
        </w:rPr>
      </w:pPr>
    </w:p>
    <w:p>
      <w:pPr>
        <w:ind w:left="20" w:right="719"/>
        <w:spacing w:after="0" w:line="238" w:lineRule="auto"/>
        <w:rPr>
          <w:sz w:val="20"/>
          <w:szCs w:val="20"/>
          <w:color w:val="auto"/>
        </w:rPr>
      </w:pPr>
      <w:r>
        <w:rPr>
          <w:rFonts w:ascii="Arial" w:cs="Arial" w:eastAsia="Arial" w:hAnsi="Arial"/>
          <w:sz w:val="14"/>
          <w:szCs w:val="14"/>
          <w:i w:val="1"/>
          <w:iCs w:val="1"/>
          <w:color w:val="auto"/>
        </w:rPr>
        <w:t>This presentation is neither an offer to purchase nor a solicitation of an offer to sell shares of Hittite Microwave Corporation. At the time the tender offer is commenced, ADI will file with the Securities and Exchange Commission (“SEC”) and mail to Hittite Microwave Corporation’s stockholders a Tender Offer Statement and Hittite Microwave Corporation will file with the SEC and mail to its stockholders a Tender Offer Solicitation/Recommendation Statement in connection with the transaction. These documents will contain important information about ADI, Hittite Microwave Corporation, the transaction and other related matters. Investors and security holders are urged to read each of these documents carefully when they are available. Investors and security holders will be able to obtain free copies of the Tender Offer Statement, the Tender Offer Solicitation/Recommendation Statement and other documents filed with the SEC by ADI and Hittite Microwave Corporation through the website maintained by the SEC at www.sec.gov. In addition, investors and security holders will be able to obtain free copies of these documents from ADI or Hittite Microwave Corporation by contacting ADI’s Director of Investor Relations at Analog Devices, Inc., One Technology Way, Norwood, Massachusetts 02062; telephone: 781-461-3282 or by contacting Hittite Microwave Corporation’s Chief Financial Officer at Hittite Microwave Corporation, 2 Elizabeth Drive Chelmsford, Massachusetts 01824; telephone:</w:t>
      </w:r>
    </w:p>
    <w:p>
      <w:pPr>
        <w:ind w:left="20"/>
        <w:spacing w:after="0"/>
        <w:rPr>
          <w:sz w:val="20"/>
          <w:szCs w:val="20"/>
          <w:color w:val="auto"/>
        </w:rPr>
      </w:pPr>
      <w:r>
        <w:rPr>
          <w:rFonts w:ascii="Arial" w:cs="Arial" w:eastAsia="Arial" w:hAnsi="Arial"/>
          <w:sz w:val="15"/>
          <w:szCs w:val="15"/>
          <w:i w:val="1"/>
          <w:iCs w:val="1"/>
          <w:color w:val="auto"/>
        </w:rPr>
        <w:t>978-250-3343.</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9819"/>
          </w:cols>
          <w:pgMar w:left="640" w:top="1253"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39"/>
          <w:szCs w:val="39"/>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Today’s Announcement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28"/>
          <w:szCs w:val="28"/>
          <w:color w:val="auto"/>
        </w:rPr>
        <w:t>ADI signs definitive agreement to acquire Hittite Microwave Corporation</w:t>
      </w:r>
    </w:p>
    <w:p>
      <w:pPr>
        <w:spacing w:after="0" w:line="200" w:lineRule="exact"/>
        <w:rPr>
          <w:sz w:val="20"/>
          <w:szCs w:val="20"/>
          <w:color w:val="auto"/>
        </w:rPr>
      </w:pPr>
    </w:p>
    <w:p>
      <w:pPr>
        <w:spacing w:after="0" w:line="238" w:lineRule="exact"/>
        <w:rPr>
          <w:sz w:val="20"/>
          <w:szCs w:val="20"/>
          <w:color w:val="auto"/>
        </w:rPr>
      </w:pPr>
    </w:p>
    <w:p>
      <w:pPr>
        <w:ind w:left="320" w:right="3839"/>
        <w:spacing w:after="0" w:line="267" w:lineRule="auto"/>
        <w:rPr>
          <w:sz w:val="20"/>
          <w:szCs w:val="20"/>
          <w:color w:val="auto"/>
        </w:rPr>
      </w:pPr>
      <w:r>
        <w:rPr>
          <w:rFonts w:ascii="Arial" w:cs="Arial" w:eastAsia="Arial" w:hAnsi="Arial"/>
          <w:sz w:val="28"/>
          <w:szCs w:val="28"/>
          <w:color w:val="auto"/>
        </w:rPr>
        <w:t>Offer price for Hittite of $78.00 per share; Enterprise value of approximately $2.0 billion</w:t>
      </w:r>
    </w:p>
    <w:p>
      <w:pPr>
        <w:spacing w:after="0" w:line="381" w:lineRule="exact"/>
        <w:rPr>
          <w:sz w:val="20"/>
          <w:szCs w:val="20"/>
          <w:color w:val="auto"/>
        </w:rPr>
      </w:pPr>
    </w:p>
    <w:p>
      <w:pPr>
        <w:ind w:left="320"/>
        <w:spacing w:after="0"/>
        <w:rPr>
          <w:sz w:val="20"/>
          <w:szCs w:val="20"/>
          <w:color w:val="auto"/>
        </w:rPr>
      </w:pPr>
      <w:r>
        <w:rPr>
          <w:rFonts w:ascii="Arial" w:cs="Arial" w:eastAsia="Arial" w:hAnsi="Arial"/>
          <w:sz w:val="28"/>
          <w:szCs w:val="28"/>
          <w:color w:val="auto"/>
        </w:rPr>
        <w:t>Expected to be accretive on a non-GAAP basis</w:t>
      </w: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Arial" w:cs="Arial" w:eastAsia="Arial" w:hAnsi="Arial"/>
          <w:sz w:val="28"/>
          <w:szCs w:val="28"/>
          <w:color w:val="auto"/>
        </w:rPr>
        <w:t>Expected to close near the end of ADI’s third fiscal quarter,</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28"/>
          <w:szCs w:val="28"/>
          <w:color w:val="auto"/>
        </w:rPr>
        <w:t>subject to regulatory clearance and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9819"/>
          </w:cols>
          <w:pgMar w:left="640" w:top="979"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39"/>
          <w:szCs w:val="39"/>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ADI Strategy</w:t>
      </w:r>
    </w:p>
    <w:p>
      <w:pPr>
        <w:sectPr>
          <w:pgSz w:w="11900" w:h="16838" w:orient="portrait"/>
          <w:cols w:equalWidth="0" w:num="1">
            <w:col w:w="9819"/>
          </w:cols>
          <w:pgMar w:left="640" w:top="979" w:right="1440" w:bottom="1440" w:gutter="0" w:footer="0" w:header="0"/>
        </w:sectPr>
      </w:pPr>
    </w:p>
    <w:p>
      <w:pPr>
        <w:spacing w:after="0" w:line="275" w:lineRule="exact"/>
        <w:rPr>
          <w:sz w:val="20"/>
          <w:szCs w:val="20"/>
          <w:color w:val="auto"/>
        </w:rPr>
      </w:pPr>
    </w:p>
    <w:p>
      <w:pPr>
        <w:ind w:left="740"/>
        <w:spacing w:after="0"/>
        <w:rPr>
          <w:sz w:val="20"/>
          <w:szCs w:val="20"/>
          <w:color w:val="auto"/>
        </w:rPr>
      </w:pPr>
      <w:r>
        <w:rPr>
          <w:rFonts w:ascii="Arial" w:cs="Arial" w:eastAsia="Arial" w:hAnsi="Arial"/>
          <w:sz w:val="28"/>
          <w:szCs w:val="28"/>
          <w:color w:val="404040"/>
        </w:rPr>
        <w:t>Lead in Signal</w:t>
      </w:r>
    </w:p>
    <w:p>
      <w:pPr>
        <w:ind w:left="940"/>
        <w:spacing w:after="0" w:line="212" w:lineRule="auto"/>
        <w:rPr>
          <w:sz w:val="20"/>
          <w:szCs w:val="20"/>
          <w:color w:val="auto"/>
        </w:rPr>
      </w:pPr>
      <w:r>
        <w:rPr>
          <w:rFonts w:ascii="Arial" w:cs="Arial" w:eastAsia="Arial" w:hAnsi="Arial"/>
          <w:sz w:val="28"/>
          <w:szCs w:val="28"/>
          <w:color w:val="404040"/>
        </w:rPr>
        <w:t>Processing</w:t>
      </w:r>
    </w:p>
    <w:p>
      <w:pPr>
        <w:ind w:left="900"/>
        <w:spacing w:after="0"/>
        <w:rPr>
          <w:sz w:val="20"/>
          <w:szCs w:val="20"/>
          <w:color w:val="auto"/>
        </w:rPr>
      </w:pPr>
      <w:r>
        <w:rPr>
          <w:rFonts w:ascii="Arial" w:cs="Arial" w:eastAsia="Arial" w:hAnsi="Arial"/>
          <w:sz w:val="28"/>
          <w:szCs w:val="28"/>
          <w:color w:val="404040"/>
        </w:rPr>
        <w:t>Technology</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spacing w:after="0" w:line="223" w:lineRule="auto"/>
        <w:rPr>
          <w:sz w:val="20"/>
          <w:szCs w:val="20"/>
          <w:color w:val="auto"/>
        </w:rPr>
      </w:pPr>
      <w:r>
        <w:rPr>
          <w:rFonts w:ascii="Arial" w:cs="Arial" w:eastAsia="Arial" w:hAnsi="Arial"/>
          <w:sz w:val="28"/>
          <w:szCs w:val="28"/>
          <w:color w:val="404040"/>
        </w:rPr>
        <w:t>Diversify Across Industrial, Communications &amp; Automotive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jc w:val="center"/>
        <w:ind w:right="499"/>
        <w:spacing w:after="0" w:line="226" w:lineRule="auto"/>
        <w:rPr>
          <w:sz w:val="20"/>
          <w:szCs w:val="20"/>
          <w:color w:val="auto"/>
        </w:rPr>
      </w:pPr>
      <w:r>
        <w:rPr>
          <w:rFonts w:ascii="Arial" w:cs="Arial" w:eastAsia="Arial" w:hAnsi="Arial"/>
          <w:sz w:val="28"/>
          <w:szCs w:val="28"/>
          <w:color w:val="404040"/>
        </w:rPr>
        <w:t>Sustain Growth, High Profits &amp; Strong Balance Sheet</w:t>
      </w:r>
    </w:p>
    <w:p>
      <w:pPr>
        <w:spacing w:after="0" w:line="438" w:lineRule="exact"/>
        <w:rPr>
          <w:sz w:val="20"/>
          <w:szCs w:val="20"/>
          <w:color w:val="auto"/>
        </w:rPr>
      </w:pPr>
    </w:p>
    <w:p>
      <w:pPr>
        <w:sectPr>
          <w:pgSz w:w="11900" w:h="16838" w:orient="portrait"/>
          <w:cols w:equalWidth="0" w:num="3">
            <w:col w:w="2940" w:space="720"/>
            <w:col w:w="2400" w:space="600"/>
            <w:col w:w="3159"/>
          </w:cols>
          <w:pgMar w:left="640" w:top="979" w:right="1440" w:bottom="1440" w:gutter="0" w:footer="0" w:header="0"/>
          <w:type w:val="continuous"/>
        </w:sectPr>
      </w:pPr>
    </w:p>
    <w:p>
      <w:pPr>
        <w:jc w:val="right"/>
        <w:ind w:right="7399"/>
        <w:spacing w:after="0"/>
        <w:rPr>
          <w:sz w:val="20"/>
          <w:szCs w:val="20"/>
          <w:color w:val="auto"/>
        </w:rPr>
      </w:pPr>
      <w:r>
        <w:rPr>
          <w:rFonts w:ascii="Arial" w:cs="Arial" w:eastAsia="Arial" w:hAnsi="Arial"/>
          <w:sz w:val="25"/>
          <w:szCs w:val="25"/>
          <w:color w:val="38579B"/>
        </w:rPr>
        <w:t>Converter</w:t>
      </w:r>
    </w:p>
    <w:p>
      <w:pPr>
        <w:spacing w:after="0" w:line="19" w:lineRule="exact"/>
        <w:rPr>
          <w:sz w:val="20"/>
          <w:szCs w:val="20"/>
          <w:color w:val="auto"/>
        </w:rPr>
      </w:pPr>
    </w:p>
    <w:p>
      <w:pPr>
        <w:jc w:val="right"/>
        <w:ind w:right="7459"/>
        <w:spacing w:after="0"/>
        <w:rPr>
          <w:sz w:val="20"/>
          <w:szCs w:val="20"/>
          <w:color w:val="auto"/>
        </w:rPr>
      </w:pPr>
      <w:r>
        <w:rPr>
          <w:rFonts w:ascii="Arial" w:cs="Arial" w:eastAsia="Arial" w:hAnsi="Arial"/>
          <w:sz w:val="25"/>
          <w:szCs w:val="25"/>
          <w:color w:val="38579B"/>
        </w:rPr>
        <w:t>Leader</w:t>
      </w:r>
    </w:p>
    <w:p>
      <w:pPr>
        <w:sectPr>
          <w:pgSz w:w="11900" w:h="16838" w:orient="portrait"/>
          <w:cols w:equalWidth="0" w:num="1">
            <w:col w:w="9819"/>
          </w:cols>
          <w:pgMar w:left="640" w:top="9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760"/>
        <w:spacing w:after="0"/>
        <w:rPr>
          <w:sz w:val="20"/>
          <w:szCs w:val="20"/>
          <w:color w:val="auto"/>
        </w:rPr>
      </w:pPr>
      <w:r>
        <w:rPr>
          <w:rFonts w:ascii="Arial" w:cs="Arial" w:eastAsia="Arial" w:hAnsi="Arial"/>
          <w:sz w:val="16"/>
          <w:szCs w:val="16"/>
          <w:color w:val="C00000"/>
        </w:rPr>
        <w:t>High Performance</w:t>
      </w:r>
    </w:p>
    <w:p>
      <w:pPr>
        <w:jc w:val="right"/>
        <w:ind w:right="6759"/>
        <w:spacing w:after="0"/>
        <w:rPr>
          <w:sz w:val="20"/>
          <w:szCs w:val="20"/>
          <w:color w:val="auto"/>
        </w:rPr>
      </w:pPr>
      <w:r>
        <w:rPr>
          <w:rFonts w:ascii="Arial" w:cs="Arial" w:eastAsia="Arial" w:hAnsi="Arial"/>
          <w:sz w:val="25"/>
          <w:szCs w:val="25"/>
          <w:color w:val="C00000"/>
        </w:rPr>
        <w:t>Amplifier</w:t>
      </w:r>
    </w:p>
    <w:p>
      <w:pPr>
        <w:spacing w:after="0" w:line="19" w:lineRule="exact"/>
        <w:rPr>
          <w:sz w:val="20"/>
          <w:szCs w:val="20"/>
          <w:color w:val="auto"/>
        </w:rPr>
      </w:pPr>
    </w:p>
    <w:p>
      <w:pPr>
        <w:jc w:val="right"/>
        <w:ind w:right="6799"/>
        <w:spacing w:after="0"/>
        <w:rPr>
          <w:sz w:val="20"/>
          <w:szCs w:val="20"/>
          <w:color w:val="auto"/>
        </w:rPr>
      </w:pPr>
      <w:r>
        <w:rPr>
          <w:rFonts w:ascii="Arial" w:cs="Arial" w:eastAsia="Arial" w:hAnsi="Arial"/>
          <w:sz w:val="25"/>
          <w:szCs w:val="25"/>
          <w:color w:val="C00000"/>
        </w:rPr>
        <w:t>Leader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9819"/>
          </w:cols>
          <w:pgMar w:left="640" w:top="979" w:right="1440" w:bottom="1440" w:gutter="0" w:footer="0" w:header="0"/>
          <w:type w:val="continuous"/>
        </w:sectPr>
      </w:pPr>
    </w:p>
    <w:bookmarkStart w:id="9" w:name="page10"/>
    <w:bookmarkEnd w:id="9"/>
    <w:p>
      <w:pPr>
        <w:ind w:left="54"/>
        <w:spacing w:after="0"/>
        <w:rPr>
          <w:sz w:val="20"/>
          <w:szCs w:val="20"/>
          <w:color w:val="auto"/>
        </w:rPr>
      </w:pPr>
      <w:r>
        <w:rPr>
          <w:rFonts w:ascii="Arial" w:cs="Arial" w:eastAsia="Arial" w:hAnsi="Arial"/>
          <w:sz w:val="38"/>
          <w:szCs w:val="38"/>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ADI Acquisition of Hittite</w:t>
      </w:r>
    </w:p>
    <w:p>
      <w:pPr>
        <w:sectPr>
          <w:pgSz w:w="11900" w:h="16838" w:orient="portrait"/>
          <w:cols w:equalWidth="0" w:num="1">
            <w:col w:w="9813"/>
          </w:cols>
          <w:pgMar w:left="646" w:top="979" w:right="1440" w:bottom="1440" w:gutter="0" w:footer="0" w:header="0"/>
        </w:sectPr>
      </w:pPr>
    </w:p>
    <w:p>
      <w:pPr>
        <w:spacing w:after="0" w:line="286" w:lineRule="exact"/>
        <w:rPr>
          <w:sz w:val="20"/>
          <w:szCs w:val="20"/>
          <w:color w:val="auto"/>
        </w:rPr>
      </w:pPr>
    </w:p>
    <w:p>
      <w:pPr>
        <w:jc w:val="center"/>
        <w:ind w:left="354"/>
        <w:spacing w:after="0"/>
        <w:rPr>
          <w:sz w:val="20"/>
          <w:szCs w:val="20"/>
          <w:color w:val="auto"/>
        </w:rPr>
      </w:pPr>
      <w:r>
        <w:rPr>
          <w:rFonts w:ascii="Arial" w:cs="Arial" w:eastAsia="Arial" w:hAnsi="Arial"/>
          <w:sz w:val="28"/>
          <w:szCs w:val="28"/>
          <w:color w:val="404040"/>
        </w:rPr>
        <w:t>Advances Our</w:t>
      </w:r>
    </w:p>
    <w:p>
      <w:pPr>
        <w:jc w:val="center"/>
        <w:ind w:left="334"/>
        <w:spacing w:after="0"/>
        <w:rPr>
          <w:sz w:val="20"/>
          <w:szCs w:val="20"/>
          <w:color w:val="auto"/>
        </w:rPr>
      </w:pPr>
      <w:r>
        <w:rPr>
          <w:rFonts w:ascii="Arial" w:cs="Arial" w:eastAsia="Arial" w:hAnsi="Arial"/>
          <w:sz w:val="27"/>
          <w:szCs w:val="27"/>
          <w:color w:val="404040"/>
        </w:rPr>
        <w:t>Technology Position</w:t>
      </w:r>
    </w:p>
    <w:p>
      <w:pPr>
        <w:spacing w:after="0" w:line="161" w:lineRule="exact"/>
        <w:rPr>
          <w:sz w:val="20"/>
          <w:szCs w:val="20"/>
          <w:color w:val="auto"/>
        </w:rPr>
      </w:pPr>
    </w:p>
    <w:p>
      <w:pPr>
        <w:jc w:val="both"/>
        <w:ind w:left="554" w:right="20"/>
        <w:spacing w:after="0" w:line="237" w:lineRule="auto"/>
        <w:rPr>
          <w:sz w:val="20"/>
          <w:szCs w:val="20"/>
          <w:color w:val="auto"/>
        </w:rPr>
      </w:pPr>
      <w:r>
        <w:rPr>
          <w:rFonts w:ascii="Arial" w:cs="Arial" w:eastAsia="Arial" w:hAnsi="Arial"/>
          <w:sz w:val="25"/>
          <w:szCs w:val="25"/>
          <w:color w:val="auto"/>
        </w:rPr>
        <w:t>Gives ADI the ability to convert the entire frequency spectrum</w:t>
      </w:r>
    </w:p>
    <w:p>
      <w:pPr>
        <w:spacing w:after="0" w:line="35" w:lineRule="exact"/>
        <w:rPr>
          <w:sz w:val="20"/>
          <w:szCs w:val="20"/>
          <w:color w:val="auto"/>
        </w:rPr>
      </w:pPr>
    </w:p>
    <w:p>
      <w:pPr>
        <w:ind w:left="554" w:right="400"/>
        <w:spacing w:after="0" w:line="237" w:lineRule="auto"/>
        <w:rPr>
          <w:sz w:val="20"/>
          <w:szCs w:val="20"/>
          <w:color w:val="auto"/>
        </w:rPr>
      </w:pPr>
      <w:r>
        <w:rPr>
          <w:rFonts w:ascii="Arial" w:cs="Arial" w:eastAsia="Arial" w:hAnsi="Arial"/>
          <w:sz w:val="25"/>
          <w:szCs w:val="25"/>
          <w:color w:val="auto"/>
        </w:rPr>
        <w:t>Strengthens ADI position as a strategic supplier</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22"/>
        </w:trPr>
        <w:tc>
          <w:tcPr>
            <w:tcW w:w="2840" w:type="dxa"/>
            <w:vAlign w:val="bottom"/>
          </w:tcPr>
          <w:p>
            <w:pPr>
              <w:spacing w:after="0"/>
              <w:rPr>
                <w:sz w:val="20"/>
                <w:szCs w:val="20"/>
                <w:color w:val="auto"/>
              </w:rPr>
            </w:pPr>
            <w:r>
              <w:rPr>
                <w:rFonts w:ascii="Arial" w:cs="Arial" w:eastAsia="Arial" w:hAnsi="Arial"/>
                <w:sz w:val="28"/>
                <w:szCs w:val="28"/>
                <w:color w:val="404040"/>
              </w:rPr>
              <w:t>Expands Our Market</w:t>
            </w:r>
          </w:p>
        </w:tc>
        <w:tc>
          <w:tcPr>
            <w:tcW w:w="2980" w:type="dxa"/>
            <w:vAlign w:val="bottom"/>
          </w:tcPr>
          <w:p>
            <w:pPr>
              <w:jc w:val="center"/>
              <w:ind w:left="87"/>
              <w:spacing w:after="0"/>
              <w:rPr>
                <w:sz w:val="20"/>
                <w:szCs w:val="20"/>
                <w:color w:val="auto"/>
              </w:rPr>
            </w:pPr>
            <w:r>
              <w:rPr>
                <w:rFonts w:ascii="Arial" w:cs="Arial" w:eastAsia="Arial" w:hAnsi="Arial"/>
                <w:sz w:val="28"/>
                <w:szCs w:val="28"/>
                <w:color w:val="404040"/>
              </w:rPr>
              <w:t>Strengthens ADI’s</w:t>
            </w:r>
          </w:p>
        </w:tc>
        <w:tc>
          <w:tcPr>
            <w:tcW w:w="0" w:type="dxa"/>
            <w:vAlign w:val="bottom"/>
          </w:tcPr>
          <w:p>
            <w:pPr>
              <w:spacing w:after="0"/>
              <w:rPr>
                <w:sz w:val="1"/>
                <w:szCs w:val="1"/>
                <w:color w:val="auto"/>
              </w:rPr>
            </w:pPr>
          </w:p>
        </w:tc>
      </w:tr>
      <w:tr>
        <w:trPr>
          <w:trHeight w:val="285"/>
        </w:trPr>
        <w:tc>
          <w:tcPr>
            <w:tcW w:w="2840" w:type="dxa"/>
            <w:vAlign w:val="bottom"/>
          </w:tcPr>
          <w:p>
            <w:pPr>
              <w:ind w:left="560"/>
              <w:spacing w:after="0" w:line="285" w:lineRule="exact"/>
              <w:rPr>
                <w:sz w:val="20"/>
                <w:szCs w:val="20"/>
                <w:color w:val="auto"/>
              </w:rPr>
            </w:pPr>
            <w:r>
              <w:rPr>
                <w:rFonts w:ascii="Arial" w:cs="Arial" w:eastAsia="Arial" w:hAnsi="Arial"/>
                <w:sz w:val="28"/>
                <w:szCs w:val="28"/>
                <w:color w:val="404040"/>
              </w:rPr>
              <w:t>Opportunity</w:t>
            </w:r>
          </w:p>
        </w:tc>
        <w:tc>
          <w:tcPr>
            <w:tcW w:w="2980" w:type="dxa"/>
            <w:vAlign w:val="bottom"/>
          </w:tcPr>
          <w:p>
            <w:pPr>
              <w:jc w:val="center"/>
              <w:ind w:left="87"/>
              <w:spacing w:after="0" w:line="285" w:lineRule="exact"/>
              <w:rPr>
                <w:sz w:val="20"/>
                <w:szCs w:val="20"/>
                <w:color w:val="auto"/>
              </w:rPr>
            </w:pPr>
            <w:r>
              <w:rPr>
                <w:rFonts w:ascii="Arial" w:cs="Arial" w:eastAsia="Arial" w:hAnsi="Arial"/>
                <w:sz w:val="28"/>
                <w:szCs w:val="28"/>
                <w:color w:val="404040"/>
              </w:rPr>
              <w:t>Outstanding Financial</w:t>
            </w:r>
          </w:p>
        </w:tc>
        <w:tc>
          <w:tcPr>
            <w:tcW w:w="0" w:type="dxa"/>
            <w:vAlign w:val="bottom"/>
          </w:tcPr>
          <w:p>
            <w:pPr>
              <w:spacing w:after="0"/>
              <w:rPr>
                <w:sz w:val="1"/>
                <w:szCs w:val="1"/>
                <w:color w:val="auto"/>
              </w:rPr>
            </w:pPr>
          </w:p>
        </w:tc>
      </w:tr>
      <w:tr>
        <w:trPr>
          <w:trHeight w:val="344"/>
        </w:trPr>
        <w:tc>
          <w:tcPr>
            <w:tcW w:w="2840" w:type="dxa"/>
            <w:vAlign w:val="bottom"/>
            <w:vMerge w:val="restart"/>
          </w:tcPr>
          <w:p>
            <w:pPr>
              <w:ind w:left="220"/>
              <w:spacing w:after="0"/>
              <w:rPr>
                <w:sz w:val="20"/>
                <w:szCs w:val="20"/>
                <w:color w:val="auto"/>
              </w:rPr>
            </w:pPr>
            <w:r>
              <w:rPr>
                <w:rFonts w:ascii="Arial" w:cs="Arial" w:eastAsia="Arial" w:hAnsi="Arial"/>
                <w:sz w:val="25"/>
                <w:szCs w:val="25"/>
                <w:color w:val="auto"/>
              </w:rPr>
              <w:t>Accelerates growth</w:t>
            </w:r>
          </w:p>
        </w:tc>
        <w:tc>
          <w:tcPr>
            <w:tcW w:w="2980" w:type="dxa"/>
            <w:vAlign w:val="bottom"/>
          </w:tcPr>
          <w:p>
            <w:pPr>
              <w:jc w:val="center"/>
              <w:ind w:left="87"/>
              <w:spacing w:after="0"/>
              <w:rPr>
                <w:sz w:val="20"/>
                <w:szCs w:val="20"/>
                <w:color w:val="auto"/>
              </w:rPr>
            </w:pPr>
            <w:r>
              <w:rPr>
                <w:rFonts w:ascii="Arial" w:cs="Arial" w:eastAsia="Arial" w:hAnsi="Arial"/>
                <w:sz w:val="28"/>
                <w:szCs w:val="28"/>
                <w:color w:val="404040"/>
              </w:rPr>
              <w:t>Performance</w:t>
            </w:r>
          </w:p>
        </w:tc>
        <w:tc>
          <w:tcPr>
            <w:tcW w:w="0" w:type="dxa"/>
            <w:vAlign w:val="bottom"/>
          </w:tcPr>
          <w:p>
            <w:pPr>
              <w:spacing w:after="0"/>
              <w:rPr>
                <w:sz w:val="1"/>
                <w:szCs w:val="1"/>
                <w:color w:val="auto"/>
              </w:rPr>
            </w:pPr>
          </w:p>
        </w:tc>
      </w:tr>
      <w:tr>
        <w:trPr>
          <w:trHeight w:val="117"/>
        </w:trPr>
        <w:tc>
          <w:tcPr>
            <w:tcW w:w="2840" w:type="dxa"/>
            <w:vAlign w:val="bottom"/>
            <w:vMerge w:val="continue"/>
          </w:tcPr>
          <w:p>
            <w:pPr>
              <w:spacing w:after="0"/>
              <w:rPr>
                <w:sz w:val="10"/>
                <w:szCs w:val="10"/>
                <w:color w:val="auto"/>
              </w:rPr>
            </w:pPr>
          </w:p>
        </w:tc>
        <w:tc>
          <w:tcPr>
            <w:tcW w:w="2980" w:type="dxa"/>
            <w:vAlign w:val="bottom"/>
            <w:vMerge w:val="restart"/>
          </w:tcPr>
          <w:p>
            <w:pPr>
              <w:ind w:left="520"/>
              <w:spacing w:after="0"/>
              <w:rPr>
                <w:sz w:val="20"/>
                <w:szCs w:val="20"/>
                <w:color w:val="auto"/>
              </w:rPr>
            </w:pPr>
            <w:r>
              <w:rPr>
                <w:rFonts w:ascii="Arial" w:cs="Arial" w:eastAsia="Arial" w:hAnsi="Arial"/>
                <w:sz w:val="25"/>
                <w:szCs w:val="25"/>
                <w:color w:val="auto"/>
              </w:rPr>
              <w:t>Expected to be</w:t>
            </w:r>
          </w:p>
        </w:tc>
        <w:tc>
          <w:tcPr>
            <w:tcW w:w="0" w:type="dxa"/>
            <w:vAlign w:val="bottom"/>
          </w:tcPr>
          <w:p>
            <w:pPr>
              <w:spacing w:after="0"/>
              <w:rPr>
                <w:sz w:val="1"/>
                <w:szCs w:val="1"/>
                <w:color w:val="auto"/>
              </w:rPr>
            </w:pPr>
          </w:p>
        </w:tc>
      </w:tr>
      <w:tr>
        <w:trPr>
          <w:trHeight w:val="229"/>
        </w:trPr>
        <w:tc>
          <w:tcPr>
            <w:tcW w:w="2840" w:type="dxa"/>
            <w:vAlign w:val="bottom"/>
          </w:tcPr>
          <w:p>
            <w:pPr>
              <w:ind w:left="220"/>
              <w:spacing w:after="0" w:line="229" w:lineRule="exact"/>
              <w:rPr>
                <w:sz w:val="20"/>
                <w:szCs w:val="20"/>
                <w:color w:val="auto"/>
              </w:rPr>
            </w:pPr>
            <w:r>
              <w:rPr>
                <w:rFonts w:ascii="Arial" w:cs="Arial" w:eastAsia="Arial" w:hAnsi="Arial"/>
                <w:sz w:val="25"/>
                <w:szCs w:val="25"/>
                <w:color w:val="auto"/>
              </w:rPr>
              <w:t>by expanding market</w:t>
            </w:r>
          </w:p>
        </w:tc>
        <w:tc>
          <w:tcPr>
            <w:tcW w:w="2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840" w:type="dxa"/>
            <w:vAlign w:val="bottom"/>
          </w:tcPr>
          <w:p>
            <w:pPr>
              <w:ind w:left="220"/>
              <w:spacing w:after="0" w:line="246" w:lineRule="exact"/>
              <w:rPr>
                <w:sz w:val="20"/>
                <w:szCs w:val="20"/>
                <w:color w:val="auto"/>
              </w:rPr>
            </w:pPr>
            <w:r>
              <w:rPr>
                <w:rFonts w:ascii="Arial" w:cs="Arial" w:eastAsia="Arial" w:hAnsi="Arial"/>
                <w:sz w:val="25"/>
                <w:szCs w:val="25"/>
                <w:color w:val="auto"/>
              </w:rPr>
              <w:t>in ADI’s core</w:t>
            </w:r>
          </w:p>
        </w:tc>
        <w:tc>
          <w:tcPr>
            <w:tcW w:w="2980" w:type="dxa"/>
            <w:vAlign w:val="bottom"/>
          </w:tcPr>
          <w:p>
            <w:pPr>
              <w:ind w:left="520"/>
              <w:spacing w:after="0" w:line="246" w:lineRule="exact"/>
              <w:rPr>
                <w:sz w:val="20"/>
                <w:szCs w:val="20"/>
                <w:color w:val="auto"/>
              </w:rPr>
            </w:pPr>
            <w:r>
              <w:rPr>
                <w:rFonts w:ascii="Arial" w:cs="Arial" w:eastAsia="Arial" w:hAnsi="Arial"/>
                <w:sz w:val="25"/>
                <w:szCs w:val="25"/>
                <w:color w:val="auto"/>
              </w:rPr>
              <w:t>accretive* to gross</w:t>
            </w:r>
          </w:p>
        </w:tc>
        <w:tc>
          <w:tcPr>
            <w:tcW w:w="0" w:type="dxa"/>
            <w:vAlign w:val="bottom"/>
          </w:tcPr>
          <w:p>
            <w:pPr>
              <w:spacing w:after="0"/>
              <w:rPr>
                <w:sz w:val="1"/>
                <w:szCs w:val="1"/>
                <w:color w:val="auto"/>
              </w:rPr>
            </w:pPr>
          </w:p>
        </w:tc>
      </w:tr>
      <w:tr>
        <w:trPr>
          <w:trHeight w:val="303"/>
        </w:trPr>
        <w:tc>
          <w:tcPr>
            <w:tcW w:w="2840" w:type="dxa"/>
            <w:vAlign w:val="bottom"/>
          </w:tcPr>
          <w:p>
            <w:pPr>
              <w:ind w:left="220"/>
              <w:spacing w:after="0"/>
              <w:rPr>
                <w:sz w:val="20"/>
                <w:szCs w:val="20"/>
                <w:color w:val="auto"/>
              </w:rPr>
            </w:pPr>
            <w:r>
              <w:rPr>
                <w:rFonts w:ascii="Arial" w:cs="Arial" w:eastAsia="Arial" w:hAnsi="Arial"/>
                <w:sz w:val="25"/>
                <w:szCs w:val="25"/>
                <w:color w:val="auto"/>
              </w:rPr>
              <w:t>businesses of</w:t>
            </w:r>
          </w:p>
        </w:tc>
        <w:tc>
          <w:tcPr>
            <w:tcW w:w="2980" w:type="dxa"/>
            <w:vAlign w:val="bottom"/>
          </w:tcPr>
          <w:p>
            <w:pPr>
              <w:ind w:left="520"/>
              <w:spacing w:after="0"/>
              <w:rPr>
                <w:sz w:val="20"/>
                <w:szCs w:val="20"/>
                <w:color w:val="auto"/>
              </w:rPr>
            </w:pPr>
            <w:r>
              <w:rPr>
                <w:rFonts w:ascii="Arial" w:cs="Arial" w:eastAsia="Arial" w:hAnsi="Arial"/>
                <w:sz w:val="25"/>
                <w:szCs w:val="25"/>
                <w:color w:val="auto"/>
              </w:rPr>
              <w:t>margins, operating</w:t>
            </w:r>
          </w:p>
        </w:tc>
        <w:tc>
          <w:tcPr>
            <w:tcW w:w="0" w:type="dxa"/>
            <w:vAlign w:val="bottom"/>
          </w:tcPr>
          <w:p>
            <w:pPr>
              <w:spacing w:after="0"/>
              <w:rPr>
                <w:sz w:val="1"/>
                <w:szCs w:val="1"/>
                <w:color w:val="auto"/>
              </w:rPr>
            </w:pPr>
          </w:p>
        </w:tc>
      </w:tr>
      <w:tr>
        <w:trPr>
          <w:trHeight w:val="320"/>
        </w:trPr>
        <w:tc>
          <w:tcPr>
            <w:tcW w:w="2840" w:type="dxa"/>
            <w:vAlign w:val="bottom"/>
          </w:tcPr>
          <w:p>
            <w:pPr>
              <w:ind w:left="220"/>
              <w:spacing w:after="0"/>
              <w:rPr>
                <w:sz w:val="20"/>
                <w:szCs w:val="20"/>
                <w:color w:val="auto"/>
              </w:rPr>
            </w:pPr>
            <w:r>
              <w:rPr>
                <w:rFonts w:ascii="Arial" w:cs="Arial" w:eastAsia="Arial" w:hAnsi="Arial"/>
                <w:sz w:val="25"/>
                <w:szCs w:val="25"/>
                <w:color w:val="auto"/>
              </w:rPr>
              <w:t>industrial, comms</w:t>
            </w:r>
          </w:p>
        </w:tc>
        <w:tc>
          <w:tcPr>
            <w:tcW w:w="2980" w:type="dxa"/>
            <w:vAlign w:val="bottom"/>
          </w:tcPr>
          <w:p>
            <w:pPr>
              <w:ind w:left="520"/>
              <w:spacing w:after="0"/>
              <w:rPr>
                <w:sz w:val="20"/>
                <w:szCs w:val="20"/>
                <w:color w:val="auto"/>
              </w:rPr>
            </w:pPr>
            <w:r>
              <w:rPr>
                <w:rFonts w:ascii="Arial" w:cs="Arial" w:eastAsia="Arial" w:hAnsi="Arial"/>
                <w:sz w:val="25"/>
                <w:szCs w:val="25"/>
                <w:color w:val="auto"/>
              </w:rPr>
              <w:t>profits and EPS</w:t>
            </w:r>
          </w:p>
        </w:tc>
        <w:tc>
          <w:tcPr>
            <w:tcW w:w="0" w:type="dxa"/>
            <w:vAlign w:val="bottom"/>
          </w:tcPr>
          <w:p>
            <w:pPr>
              <w:spacing w:after="0"/>
              <w:rPr>
                <w:sz w:val="1"/>
                <w:szCs w:val="1"/>
                <w:color w:val="auto"/>
              </w:rPr>
            </w:pPr>
          </w:p>
        </w:tc>
      </w:tr>
      <w:tr>
        <w:trPr>
          <w:trHeight w:val="274"/>
        </w:trPr>
        <w:tc>
          <w:tcPr>
            <w:tcW w:w="2840" w:type="dxa"/>
            <w:vAlign w:val="bottom"/>
          </w:tcPr>
          <w:p>
            <w:pPr>
              <w:ind w:left="220"/>
              <w:spacing w:after="0" w:line="275" w:lineRule="exact"/>
              <w:rPr>
                <w:sz w:val="20"/>
                <w:szCs w:val="20"/>
                <w:color w:val="auto"/>
              </w:rPr>
            </w:pPr>
            <w:r>
              <w:rPr>
                <w:rFonts w:ascii="Arial" w:cs="Arial" w:eastAsia="Arial" w:hAnsi="Arial"/>
                <w:sz w:val="25"/>
                <w:szCs w:val="25"/>
                <w:color w:val="auto"/>
              </w:rPr>
              <w:t>infrastructure, and</w:t>
            </w:r>
          </w:p>
        </w:tc>
        <w:tc>
          <w:tcPr>
            <w:tcW w:w="2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5"/>
        </w:trPr>
        <w:tc>
          <w:tcPr>
            <w:tcW w:w="2840" w:type="dxa"/>
            <w:vAlign w:val="bottom"/>
          </w:tcPr>
          <w:p>
            <w:pPr>
              <w:ind w:left="220"/>
              <w:spacing w:after="0"/>
              <w:rPr>
                <w:sz w:val="20"/>
                <w:szCs w:val="20"/>
                <w:color w:val="auto"/>
              </w:rPr>
            </w:pPr>
            <w:r>
              <w:rPr>
                <w:rFonts w:ascii="Arial" w:cs="Arial" w:eastAsia="Arial" w:hAnsi="Arial"/>
                <w:sz w:val="25"/>
                <w:szCs w:val="25"/>
                <w:color w:val="auto"/>
              </w:rPr>
              <w:t>automotive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854" w:space="680"/>
            <w:col w:w="6279"/>
          </w:cols>
          <w:pgMar w:left="646" w:top="9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74" w:hanging="474"/>
        <w:spacing w:after="0"/>
        <w:tabs>
          <w:tab w:leader="none" w:pos="474" w:val="left"/>
        </w:tabs>
        <w:numPr>
          <w:ilvl w:val="0"/>
          <w:numId w:val="5"/>
        </w:numPr>
        <w:rPr>
          <w:rFonts w:ascii="Arial" w:cs="Arial" w:eastAsia="Arial" w:hAnsi="Arial"/>
          <w:sz w:val="19"/>
          <w:szCs w:val="19"/>
          <w:color w:val="auto"/>
        </w:rPr>
      </w:pPr>
      <w:r>
        <w:rPr>
          <w:rFonts w:ascii="Arial" w:cs="Arial" w:eastAsia="Arial" w:hAnsi="Arial"/>
          <w:sz w:val="11"/>
          <w:szCs w:val="11"/>
          <w:color w:val="auto"/>
        </w:rPr>
        <w:t>*On a non-GAAP basis (excluding transaction costs and the amortization of intangibles associated with the transaction)</w:t>
      </w:r>
    </w:p>
    <w:p>
      <w:pPr>
        <w:sectPr>
          <w:pgSz w:w="11900" w:h="16838" w:orient="portrait"/>
          <w:cols w:equalWidth="0" w:num="1">
            <w:col w:w="9813"/>
          </w:cols>
          <w:pgMar w:left="646" w:top="979"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39"/>
          <w:szCs w:val="39"/>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Hittite Overview</w:t>
      </w:r>
    </w:p>
    <w:p>
      <w:pPr>
        <w:spacing w:after="0" w:line="200" w:lineRule="exact"/>
        <w:rPr>
          <w:sz w:val="20"/>
          <w:szCs w:val="20"/>
          <w:color w:val="auto"/>
        </w:rPr>
      </w:pPr>
    </w:p>
    <w:p>
      <w:pPr>
        <w:spacing w:after="0" w:line="230" w:lineRule="exact"/>
        <w:rPr>
          <w:sz w:val="20"/>
          <w:szCs w:val="20"/>
          <w:color w:val="auto"/>
        </w:rPr>
      </w:pPr>
    </w:p>
    <w:p>
      <w:pPr>
        <w:ind w:left="320" w:right="4039"/>
        <w:spacing w:after="0" w:line="251" w:lineRule="auto"/>
        <w:rPr>
          <w:sz w:val="20"/>
          <w:szCs w:val="20"/>
          <w:color w:val="auto"/>
        </w:rPr>
      </w:pPr>
      <w:r>
        <w:rPr>
          <w:rFonts w:ascii="Arial" w:cs="Arial" w:eastAsia="Arial" w:hAnsi="Arial"/>
          <w:sz w:val="30"/>
          <w:szCs w:val="30"/>
          <w:color w:val="auto"/>
        </w:rPr>
        <w:t>Decades long focus in high performance RF and microwave technology</w:t>
      </w:r>
    </w:p>
    <w:p>
      <w:pPr>
        <w:spacing w:after="0" w:line="262" w:lineRule="exact"/>
        <w:rPr>
          <w:sz w:val="20"/>
          <w:szCs w:val="20"/>
          <w:color w:val="auto"/>
        </w:rPr>
      </w:pPr>
    </w:p>
    <w:p>
      <w:pPr>
        <w:ind w:left="320"/>
        <w:spacing w:after="0"/>
        <w:rPr>
          <w:sz w:val="20"/>
          <w:szCs w:val="20"/>
          <w:color w:val="auto"/>
        </w:rPr>
      </w:pPr>
      <w:r>
        <w:rPr>
          <w:rFonts w:ascii="Arial" w:cs="Arial" w:eastAsia="Arial" w:hAnsi="Arial"/>
          <w:sz w:val="31"/>
          <w:szCs w:val="31"/>
          <w:color w:val="auto"/>
        </w:rPr>
        <w:t>Extensive product portfolio includes</w:t>
      </w:r>
    </w:p>
    <w:p>
      <w:pPr>
        <w:ind w:left="320"/>
        <w:spacing w:after="0" w:line="227" w:lineRule="auto"/>
        <w:rPr>
          <w:sz w:val="20"/>
          <w:szCs w:val="20"/>
          <w:color w:val="auto"/>
        </w:rPr>
      </w:pPr>
      <w:r>
        <w:rPr>
          <w:rFonts w:ascii="Arial" w:cs="Arial" w:eastAsia="Arial" w:hAnsi="Arial"/>
          <w:sz w:val="31"/>
          <w:szCs w:val="31"/>
          <w:color w:val="auto"/>
        </w:rPr>
        <w:t>integrated circuits, modules,</w:t>
      </w:r>
    </w:p>
    <w:p>
      <w:pPr>
        <w:ind w:left="320"/>
        <w:spacing w:after="0"/>
        <w:rPr>
          <w:sz w:val="20"/>
          <w:szCs w:val="20"/>
          <w:color w:val="auto"/>
        </w:rPr>
      </w:pPr>
      <w:r>
        <w:rPr>
          <w:rFonts w:ascii="Arial" w:cs="Arial" w:eastAsia="Arial" w:hAnsi="Arial"/>
          <w:sz w:val="31"/>
          <w:szCs w:val="31"/>
          <w:color w:val="auto"/>
        </w:rPr>
        <w:t>and subsystem solutions</w:t>
      </w:r>
    </w:p>
    <w:p>
      <w:pPr>
        <w:spacing w:after="0" w:line="319" w:lineRule="exact"/>
        <w:rPr>
          <w:sz w:val="20"/>
          <w:szCs w:val="20"/>
          <w:color w:val="auto"/>
        </w:rPr>
      </w:pPr>
    </w:p>
    <w:p>
      <w:pPr>
        <w:ind w:left="320" w:right="4519"/>
        <w:spacing w:after="0" w:line="231" w:lineRule="auto"/>
        <w:rPr>
          <w:sz w:val="20"/>
          <w:szCs w:val="20"/>
          <w:color w:val="auto"/>
        </w:rPr>
      </w:pPr>
      <w:r>
        <w:rPr>
          <w:rFonts w:ascii="Arial" w:cs="Arial" w:eastAsia="Arial" w:hAnsi="Arial"/>
          <w:sz w:val="30"/>
          <w:szCs w:val="30"/>
          <w:color w:val="auto"/>
        </w:rPr>
        <w:t>Specializes in technically demanding and mission-critical industrial</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31"/>
          <w:szCs w:val="31"/>
          <w:color w:val="auto"/>
        </w:rPr>
        <w:t>and communications applications</w:t>
      </w:r>
    </w:p>
    <w:p>
      <w:pPr>
        <w:spacing w:after="0" w:line="319" w:lineRule="exact"/>
        <w:rPr>
          <w:sz w:val="20"/>
          <w:szCs w:val="20"/>
          <w:color w:val="auto"/>
        </w:rPr>
      </w:pPr>
    </w:p>
    <w:p>
      <w:pPr>
        <w:ind w:left="320" w:right="3319"/>
        <w:spacing w:after="0" w:line="244" w:lineRule="auto"/>
        <w:rPr>
          <w:sz w:val="20"/>
          <w:szCs w:val="20"/>
          <w:color w:val="auto"/>
        </w:rPr>
      </w:pPr>
      <w:r>
        <w:rPr>
          <w:rFonts w:ascii="Arial" w:cs="Arial" w:eastAsia="Arial" w:hAnsi="Arial"/>
          <w:sz w:val="30"/>
          <w:szCs w:val="30"/>
          <w:color w:val="auto"/>
        </w:rPr>
        <w:t>Fabless business model focuses resources on circuit design and applications engineering</w:t>
      </w:r>
    </w:p>
    <w:p>
      <w:pPr>
        <w:spacing w:after="0" w:line="301" w:lineRule="exact"/>
        <w:rPr>
          <w:sz w:val="20"/>
          <w:szCs w:val="20"/>
          <w:color w:val="auto"/>
        </w:rPr>
      </w:pPr>
    </w:p>
    <w:p>
      <w:pPr>
        <w:ind w:left="320" w:right="3999"/>
        <w:spacing w:after="0" w:line="251" w:lineRule="auto"/>
        <w:rPr>
          <w:sz w:val="20"/>
          <w:szCs w:val="20"/>
          <w:color w:val="auto"/>
        </w:rPr>
      </w:pPr>
      <w:r>
        <w:rPr>
          <w:rFonts w:ascii="Arial" w:cs="Arial" w:eastAsia="Arial" w:hAnsi="Arial"/>
          <w:sz w:val="30"/>
          <w:szCs w:val="30"/>
          <w:color w:val="auto"/>
        </w:rPr>
        <w:t>Headquartered in Massachusetts; approximately 500 employees worldwide</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819"/>
          </w:cols>
          <w:pgMar w:left="640" w:top="979" w:right="1440" w:bottom="1440" w:gutter="0" w:footer="0" w:header="0"/>
        </w:sectPr>
      </w:pPr>
    </w:p>
    <w:bookmarkStart w:id="11" w:name="page12"/>
    <w:bookmarkEnd w:id="11"/>
    <w:p>
      <w:pPr>
        <w:ind w:left="120"/>
        <w:spacing w:after="0"/>
        <w:rPr>
          <w:sz w:val="20"/>
          <w:szCs w:val="20"/>
          <w:color w:val="auto"/>
        </w:rPr>
      </w:pPr>
      <w:r>
        <w:rPr>
          <w:rFonts w:ascii="Arial" w:cs="Arial" w:eastAsia="Arial" w:hAnsi="Arial"/>
          <w:sz w:val="39"/>
          <w:szCs w:val="39"/>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ADI + Hittite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0"/>
        <w:spacing w:after="0"/>
        <w:tabs>
          <w:tab w:leader="none" w:pos="4380" w:val="left"/>
          <w:tab w:leader="none" w:pos="6600" w:val="left"/>
        </w:tabs>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5"/>
          <w:szCs w:val="15"/>
          <w:b w:val="1"/>
          <w:bCs w:val="1"/>
          <w:color w:val="auto"/>
        </w:rPr>
        <w:t>L  E  C  T  R  O  M  A G  N  E  T  I  C</w:t>
      </w:r>
      <w:r>
        <w:rPr>
          <w:rFonts w:ascii="Arial" w:cs="Arial" w:eastAsia="Arial" w:hAnsi="Arial"/>
          <w:sz w:val="18"/>
          <w:szCs w:val="18"/>
          <w:b w:val="1"/>
          <w:bCs w:val="1"/>
          <w:color w:val="auto"/>
        </w:rPr>
        <w:tab/>
        <w:t xml:space="preserve">F </w:t>
      </w:r>
      <w:r>
        <w:rPr>
          <w:rFonts w:ascii="Arial" w:cs="Arial" w:eastAsia="Arial" w:hAnsi="Arial"/>
          <w:sz w:val="15"/>
          <w:szCs w:val="15"/>
          <w:b w:val="1"/>
          <w:bCs w:val="1"/>
          <w:color w:val="auto"/>
        </w:rPr>
        <w:t>R  E  Q  U  E  N  C  Y</w:t>
      </w:r>
      <w:r>
        <w:rPr>
          <w:rFonts w:ascii="Arial" w:cs="Arial" w:eastAsia="Arial" w:hAnsi="Arial"/>
          <w:sz w:val="18"/>
          <w:szCs w:val="18"/>
          <w:b w:val="1"/>
          <w:bCs w:val="1"/>
          <w:color w:val="auto"/>
        </w:rPr>
        <w:tab/>
        <w:t xml:space="preserve">S  </w:t>
      </w:r>
      <w:r>
        <w:rPr>
          <w:rFonts w:ascii="Arial" w:cs="Arial" w:eastAsia="Arial" w:hAnsi="Arial"/>
          <w:sz w:val="15"/>
          <w:szCs w:val="15"/>
          <w:b w:val="1"/>
          <w:bCs w:val="1"/>
          <w:color w:val="auto"/>
        </w:rPr>
        <w:t>P  E  C  T  R  U  M</w:t>
      </w:r>
    </w:p>
    <w:p>
      <w:pPr>
        <w:spacing w:after="0" w:line="133" w:lineRule="exact"/>
        <w:rPr>
          <w:sz w:val="20"/>
          <w:szCs w:val="20"/>
          <w:color w:val="auto"/>
        </w:rPr>
      </w:pPr>
    </w:p>
    <w:p>
      <w:pPr>
        <w:ind w:left="6300"/>
        <w:spacing w:after="0"/>
        <w:tabs>
          <w:tab w:leader="none" w:pos="8160" w:val="left"/>
        </w:tabs>
        <w:rPr>
          <w:sz w:val="20"/>
          <w:szCs w:val="20"/>
          <w:color w:val="auto"/>
        </w:rPr>
      </w:pPr>
      <w:r>
        <w:rPr>
          <w:rFonts w:ascii="Arial" w:cs="Arial" w:eastAsia="Arial" w:hAnsi="Arial"/>
          <w:sz w:val="14"/>
          <w:szCs w:val="14"/>
          <w:b w:val="1"/>
          <w:bCs w:val="1"/>
          <w:color w:val="auto"/>
        </w:rPr>
        <w:t>24G</w:t>
      </w:r>
      <w:r>
        <w:rPr>
          <w:sz w:val="20"/>
          <w:szCs w:val="20"/>
          <w:color w:val="auto"/>
        </w:rPr>
        <w:tab/>
      </w:r>
      <w:r>
        <w:rPr>
          <w:rFonts w:ascii="Arial" w:cs="Arial" w:eastAsia="Arial" w:hAnsi="Arial"/>
          <w:sz w:val="14"/>
          <w:szCs w:val="14"/>
          <w:b w:val="1"/>
          <w:bCs w:val="1"/>
          <w:color w:val="auto"/>
        </w:rPr>
        <w:t>77G</w:t>
      </w:r>
    </w:p>
    <w:p>
      <w:pPr>
        <w:spacing w:after="0" w:line="19" w:lineRule="exact"/>
        <w:rPr>
          <w:sz w:val="20"/>
          <w:szCs w:val="20"/>
          <w:color w:val="auto"/>
        </w:rPr>
      </w:pPr>
    </w:p>
    <w:p>
      <w:pPr>
        <w:ind w:left="5240"/>
        <w:spacing w:after="0"/>
        <w:tabs>
          <w:tab w:leader="none" w:pos="6120" w:val="left"/>
          <w:tab w:leader="none" w:pos="7300" w:val="left"/>
          <w:tab w:leader="none" w:pos="7980" w:val="left"/>
        </w:tabs>
        <w:rPr>
          <w:sz w:val="20"/>
          <w:szCs w:val="20"/>
          <w:color w:val="auto"/>
        </w:rPr>
      </w:pPr>
      <w:r>
        <w:rPr>
          <w:rFonts w:ascii="Arial" w:cs="Arial" w:eastAsia="Arial" w:hAnsi="Arial"/>
          <w:sz w:val="14"/>
          <w:szCs w:val="14"/>
          <w:b w:val="1"/>
          <w:bCs w:val="1"/>
          <w:color w:val="auto"/>
        </w:rPr>
        <w:t>Satellite</w:t>
      </w:r>
      <w:r>
        <w:rPr>
          <w:sz w:val="20"/>
          <w:szCs w:val="20"/>
          <w:color w:val="auto"/>
        </w:rPr>
        <w:tab/>
      </w:r>
      <w:r>
        <w:rPr>
          <w:rFonts w:ascii="Arial" w:cs="Arial" w:eastAsia="Arial" w:hAnsi="Arial"/>
          <w:sz w:val="14"/>
          <w:szCs w:val="14"/>
          <w:b w:val="1"/>
          <w:bCs w:val="1"/>
          <w:color w:val="auto"/>
        </w:rPr>
        <w:t>Advanced</w:t>
      </w:r>
      <w:r>
        <w:rPr>
          <w:sz w:val="20"/>
          <w:szCs w:val="20"/>
          <w:color w:val="auto"/>
        </w:rPr>
        <w:tab/>
      </w:r>
      <w:r>
        <w:rPr>
          <w:rFonts w:ascii="Arial" w:cs="Arial" w:eastAsia="Arial" w:hAnsi="Arial"/>
          <w:sz w:val="14"/>
          <w:szCs w:val="14"/>
          <w:b w:val="1"/>
          <w:bCs w:val="1"/>
          <w:color w:val="auto"/>
        </w:rPr>
        <w:t>Military</w:t>
      </w:r>
      <w:r>
        <w:rPr>
          <w:sz w:val="20"/>
          <w:szCs w:val="20"/>
          <w:color w:val="auto"/>
        </w:rPr>
        <w:tab/>
      </w:r>
      <w:r>
        <w:rPr>
          <w:rFonts w:ascii="Arial" w:cs="Arial" w:eastAsia="Arial" w:hAnsi="Arial"/>
          <w:sz w:val="13"/>
          <w:szCs w:val="13"/>
          <w:b w:val="1"/>
          <w:bCs w:val="1"/>
          <w:color w:val="auto"/>
        </w:rPr>
        <w:t>Advanced</w:t>
      </w:r>
    </w:p>
    <w:p>
      <w:pPr>
        <w:spacing w:after="0" w:line="8" w:lineRule="exact"/>
        <w:rPr>
          <w:sz w:val="20"/>
          <w:szCs w:val="20"/>
          <w:color w:val="auto"/>
        </w:rPr>
      </w:pPr>
    </w:p>
    <w:p>
      <w:pPr>
        <w:ind w:left="380"/>
        <w:spacing w:after="0"/>
        <w:tabs>
          <w:tab w:leader="none" w:pos="3140" w:val="left"/>
          <w:tab w:leader="none" w:pos="4220" w:val="left"/>
          <w:tab w:leader="none" w:pos="5220" w:val="left"/>
          <w:tab w:leader="none" w:pos="6220" w:val="left"/>
          <w:tab w:leader="none" w:pos="7280" w:val="left"/>
          <w:tab w:leader="none" w:pos="8080" w:val="left"/>
          <w:tab w:leader="none" w:pos="8880" w:val="left"/>
        </w:tabs>
        <w:rPr>
          <w:sz w:val="20"/>
          <w:szCs w:val="20"/>
          <w:color w:val="auto"/>
        </w:rPr>
      </w:pPr>
      <w:r>
        <w:rPr>
          <w:rFonts w:ascii="Arial" w:cs="Arial" w:eastAsia="Arial" w:hAnsi="Arial"/>
          <w:sz w:val="14"/>
          <w:szCs w:val="14"/>
          <w:b w:val="1"/>
          <w:bCs w:val="1"/>
          <w:color w:val="auto"/>
        </w:rPr>
        <w:t>Magnetic</w:t>
      </w:r>
      <w:r>
        <w:rPr>
          <w:sz w:val="20"/>
          <w:szCs w:val="20"/>
          <w:color w:val="auto"/>
        </w:rPr>
        <w:tab/>
      </w:r>
      <w:r>
        <w:rPr>
          <w:rFonts w:ascii="Arial" w:cs="Arial" w:eastAsia="Arial" w:hAnsi="Arial"/>
          <w:sz w:val="14"/>
          <w:szCs w:val="14"/>
          <w:b w:val="1"/>
          <w:bCs w:val="1"/>
          <w:color w:val="auto"/>
        </w:rPr>
        <w:t>WiMAX</w:t>
      </w:r>
      <w:r>
        <w:rPr>
          <w:sz w:val="20"/>
          <w:szCs w:val="20"/>
          <w:color w:val="auto"/>
        </w:rPr>
        <w:tab/>
      </w:r>
      <w:r>
        <w:rPr>
          <w:rFonts w:ascii="Arial" w:cs="Arial" w:eastAsia="Arial" w:hAnsi="Arial"/>
          <w:sz w:val="14"/>
          <w:szCs w:val="14"/>
          <w:b w:val="1"/>
          <w:bCs w:val="1"/>
          <w:color w:val="auto"/>
        </w:rPr>
        <w:t>Short Haul</w:t>
      </w:r>
      <w:r>
        <w:rPr>
          <w:sz w:val="20"/>
          <w:szCs w:val="20"/>
          <w:color w:val="auto"/>
        </w:rPr>
        <w:tab/>
      </w:r>
      <w:r>
        <w:rPr>
          <w:rFonts w:ascii="Arial" w:cs="Arial" w:eastAsia="Arial" w:hAnsi="Arial"/>
          <w:sz w:val="14"/>
          <w:szCs w:val="14"/>
          <w:b w:val="1"/>
          <w:bCs w:val="1"/>
          <w:color w:val="auto"/>
        </w:rPr>
        <w:t>Payload</w:t>
      </w:r>
      <w:r>
        <w:rPr>
          <w:sz w:val="20"/>
          <w:szCs w:val="20"/>
          <w:color w:val="auto"/>
        </w:rPr>
        <w:tab/>
      </w:r>
      <w:r>
        <w:rPr>
          <w:rFonts w:ascii="Arial" w:cs="Arial" w:eastAsia="Arial" w:hAnsi="Arial"/>
          <w:sz w:val="14"/>
          <w:szCs w:val="14"/>
          <w:b w:val="1"/>
          <w:bCs w:val="1"/>
          <w:color w:val="auto"/>
        </w:rPr>
        <w:t>Driver</w:t>
      </w:r>
      <w:r>
        <w:rPr>
          <w:sz w:val="20"/>
          <w:szCs w:val="20"/>
          <w:color w:val="auto"/>
        </w:rPr>
        <w:tab/>
      </w:r>
      <w:r>
        <w:rPr>
          <w:rFonts w:ascii="Arial" w:cs="Arial" w:eastAsia="Arial" w:hAnsi="Arial"/>
          <w:sz w:val="14"/>
          <w:szCs w:val="14"/>
          <w:b w:val="1"/>
          <w:bCs w:val="1"/>
          <w:color w:val="auto"/>
        </w:rPr>
        <w:t>Radar &amp;</w:t>
      </w:r>
      <w:r>
        <w:rPr>
          <w:sz w:val="20"/>
          <w:szCs w:val="20"/>
          <w:color w:val="auto"/>
        </w:rPr>
        <w:tab/>
      </w:r>
      <w:r>
        <w:rPr>
          <w:rFonts w:ascii="Arial" w:cs="Arial" w:eastAsia="Arial" w:hAnsi="Arial"/>
          <w:sz w:val="14"/>
          <w:szCs w:val="14"/>
          <w:b w:val="1"/>
          <w:bCs w:val="1"/>
          <w:color w:val="auto"/>
        </w:rPr>
        <w:t>Driver</w:t>
      </w:r>
      <w:r>
        <w:rPr>
          <w:sz w:val="20"/>
          <w:szCs w:val="20"/>
          <w:color w:val="auto"/>
        </w:rPr>
        <w:tab/>
      </w:r>
      <w:r>
        <w:rPr>
          <w:rFonts w:ascii="Arial" w:cs="Arial" w:eastAsia="Arial" w:hAnsi="Arial"/>
          <w:sz w:val="13"/>
          <w:szCs w:val="13"/>
          <w:b w:val="1"/>
          <w:bCs w:val="1"/>
          <w:color w:val="auto"/>
        </w:rPr>
        <w:t>Scientific</w:t>
      </w:r>
    </w:p>
    <w:p>
      <w:pPr>
        <w:spacing w:after="0" w:line="8" w:lineRule="exact"/>
        <w:rPr>
          <w:sz w:val="20"/>
          <w:szCs w:val="20"/>
          <w:color w:val="auto"/>
        </w:rPr>
      </w:pPr>
    </w:p>
    <w:p>
      <w:pPr>
        <w:ind w:left="340"/>
        <w:spacing w:after="0"/>
        <w:tabs>
          <w:tab w:leader="none" w:pos="1180" w:val="left"/>
          <w:tab w:leader="none" w:pos="2280" w:val="left"/>
          <w:tab w:leader="none" w:pos="2960" w:val="left"/>
          <w:tab w:leader="none" w:pos="4220" w:val="left"/>
          <w:tab w:leader="none" w:pos="5180" w:val="left"/>
          <w:tab w:leader="none" w:pos="6080" w:val="left"/>
          <w:tab w:leader="none" w:pos="7260" w:val="left"/>
          <w:tab w:leader="none" w:pos="7940" w:val="left"/>
          <w:tab w:leader="none" w:pos="8860" w:val="left"/>
        </w:tabs>
        <w:rPr>
          <w:sz w:val="20"/>
          <w:szCs w:val="20"/>
          <w:color w:val="auto"/>
        </w:rPr>
      </w:pPr>
      <w:r>
        <w:rPr>
          <w:rFonts w:ascii="Arial" w:cs="Arial" w:eastAsia="Arial" w:hAnsi="Arial"/>
          <w:sz w:val="14"/>
          <w:szCs w:val="14"/>
          <w:b w:val="1"/>
          <w:bCs w:val="1"/>
          <w:color w:val="auto"/>
        </w:rPr>
        <w:t>Resonance</w:t>
        <w:tab/>
        <w:t>Wireless Data,</w:t>
        <w:tab/>
        <w:t>Cellular</w:t>
        <w:tab/>
        <w:t>Wireless LAN</w:t>
      </w:r>
      <w:r>
        <w:rPr>
          <w:sz w:val="20"/>
          <w:szCs w:val="20"/>
          <w:color w:val="auto"/>
        </w:rPr>
        <w:tab/>
      </w:r>
      <w:r>
        <w:rPr>
          <w:rFonts w:ascii="Arial" w:cs="Arial" w:eastAsia="Arial" w:hAnsi="Arial"/>
          <w:sz w:val="14"/>
          <w:szCs w:val="14"/>
          <w:b w:val="1"/>
          <w:bCs w:val="1"/>
          <w:color w:val="auto"/>
        </w:rPr>
        <w:t>SDH / PDH</w:t>
      </w:r>
      <w:r>
        <w:rPr>
          <w:sz w:val="20"/>
          <w:szCs w:val="20"/>
          <w:color w:val="auto"/>
        </w:rPr>
        <w:tab/>
      </w:r>
      <w:r>
        <w:rPr>
          <w:rFonts w:ascii="Arial" w:cs="Arial" w:eastAsia="Arial" w:hAnsi="Arial"/>
          <w:sz w:val="14"/>
          <w:szCs w:val="14"/>
          <w:b w:val="1"/>
          <w:bCs w:val="1"/>
          <w:color w:val="auto"/>
        </w:rPr>
        <w:t>Comms &amp;</w:t>
      </w:r>
      <w:r>
        <w:rPr>
          <w:sz w:val="20"/>
          <w:szCs w:val="20"/>
          <w:color w:val="auto"/>
        </w:rPr>
        <w:tab/>
      </w:r>
      <w:r>
        <w:rPr>
          <w:rFonts w:ascii="Arial" w:cs="Arial" w:eastAsia="Arial" w:hAnsi="Arial"/>
          <w:sz w:val="14"/>
          <w:szCs w:val="14"/>
          <w:b w:val="1"/>
          <w:bCs w:val="1"/>
          <w:color w:val="auto"/>
        </w:rPr>
        <w:t>Assistance 5G</w:t>
        <w:tab/>
        <w:t>Counter-</w:t>
        <w:tab/>
        <w:t>Assistance</w:t>
      </w:r>
      <w:r>
        <w:rPr>
          <w:sz w:val="20"/>
          <w:szCs w:val="20"/>
          <w:color w:val="auto"/>
        </w:rPr>
        <w:tab/>
      </w:r>
      <w:r>
        <w:rPr>
          <w:rFonts w:ascii="Arial" w:cs="Arial" w:eastAsia="Arial" w:hAnsi="Arial"/>
          <w:sz w:val="13"/>
          <w:szCs w:val="13"/>
          <w:b w:val="1"/>
          <w:bCs w:val="1"/>
          <w:color w:val="auto"/>
        </w:rPr>
        <w:t>Imaging &amp;</w:t>
      </w:r>
    </w:p>
    <w:p>
      <w:pPr>
        <w:spacing w:after="0" w:line="8" w:lineRule="exact"/>
        <w:rPr>
          <w:sz w:val="20"/>
          <w:szCs w:val="20"/>
          <w:color w:val="auto"/>
        </w:rPr>
      </w:pPr>
    </w:p>
    <w:p>
      <w:pPr>
        <w:ind w:left="260"/>
        <w:spacing w:after="0"/>
        <w:tabs>
          <w:tab w:leader="none" w:pos="1340" w:val="left"/>
          <w:tab w:leader="none" w:pos="2200" w:val="left"/>
          <w:tab w:leader="none" w:pos="4180" w:val="left"/>
          <w:tab w:leader="none" w:pos="5180" w:val="left"/>
          <w:tab w:leader="none" w:pos="6140" w:val="left"/>
          <w:tab w:leader="none" w:pos="8020" w:val="left"/>
          <w:tab w:leader="none" w:pos="8780" w:val="left"/>
        </w:tabs>
        <w:rPr>
          <w:sz w:val="20"/>
          <w:szCs w:val="20"/>
          <w:color w:val="auto"/>
        </w:rPr>
      </w:pPr>
      <w:r>
        <w:rPr>
          <w:rFonts w:ascii="Arial" w:cs="Arial" w:eastAsia="Arial" w:hAnsi="Arial"/>
          <w:sz w:val="14"/>
          <w:szCs w:val="14"/>
          <w:b w:val="1"/>
          <w:bCs w:val="1"/>
          <w:color w:val="auto"/>
        </w:rPr>
        <w:t>Imaging (MRI)</w:t>
        <w:tab/>
        <w:t>Toll Tags</w:t>
      </w:r>
      <w:r>
        <w:rPr>
          <w:sz w:val="20"/>
          <w:szCs w:val="20"/>
          <w:color w:val="auto"/>
        </w:rPr>
        <w:tab/>
      </w:r>
      <w:r>
        <w:rPr>
          <w:rFonts w:ascii="Arial" w:cs="Arial" w:eastAsia="Arial" w:hAnsi="Arial"/>
          <w:sz w:val="14"/>
          <w:szCs w:val="14"/>
          <w:b w:val="1"/>
          <w:bCs w:val="1"/>
          <w:color w:val="auto"/>
        </w:rPr>
        <w:t>2G, 3G, 4G Access Points</w:t>
      </w:r>
      <w:r>
        <w:rPr>
          <w:sz w:val="20"/>
          <w:szCs w:val="20"/>
          <w:color w:val="auto"/>
        </w:rPr>
        <w:tab/>
      </w:r>
      <w:r>
        <w:rPr>
          <w:rFonts w:ascii="Arial" w:cs="Arial" w:eastAsia="Arial" w:hAnsi="Arial"/>
          <w:sz w:val="14"/>
          <w:szCs w:val="14"/>
          <w:b w:val="1"/>
          <w:bCs w:val="1"/>
          <w:color w:val="auto"/>
        </w:rPr>
        <w:t>Radio Links</w:t>
        <w:tab/>
        <w:t>Telemetry</w:t>
      </w:r>
      <w:r>
        <w:rPr>
          <w:sz w:val="20"/>
          <w:szCs w:val="20"/>
          <w:color w:val="auto"/>
        </w:rPr>
        <w:tab/>
      </w:r>
      <w:r>
        <w:rPr>
          <w:rFonts w:ascii="Arial" w:cs="Arial" w:eastAsia="Arial" w:hAnsi="Arial"/>
          <w:sz w:val="14"/>
          <w:szCs w:val="14"/>
          <w:b w:val="1"/>
          <w:bCs w:val="1"/>
          <w:color w:val="auto"/>
        </w:rPr>
        <w:t>SystemsCommsMeasures</w:t>
        <w:tab/>
        <w:t>Systems</w:t>
      </w:r>
      <w:r>
        <w:rPr>
          <w:sz w:val="20"/>
          <w:szCs w:val="20"/>
          <w:color w:val="auto"/>
        </w:rPr>
        <w:tab/>
      </w:r>
      <w:r>
        <w:rPr>
          <w:rFonts w:ascii="Arial" w:cs="Arial" w:eastAsia="Arial" w:hAnsi="Arial"/>
          <w:sz w:val="13"/>
          <w:szCs w:val="13"/>
          <w:b w:val="1"/>
          <w:bCs w:val="1"/>
          <w:color w:val="auto"/>
        </w:rPr>
        <w:t>Measurement</w:t>
      </w:r>
    </w:p>
    <w:p>
      <w:pPr>
        <w:sectPr>
          <w:pgSz w:w="11900" w:h="16838" w:orient="portrait"/>
          <w:cols w:equalWidth="0" w:num="1">
            <w:col w:w="9879"/>
          </w:cols>
          <w:pgMar w:left="580" w:top="979" w:right="1440" w:bottom="1440" w:gutter="0" w:footer="0" w:header="0"/>
        </w:sectPr>
      </w:pPr>
    </w:p>
    <w:p>
      <w:pPr>
        <w:spacing w:after="0" w:line="134" w:lineRule="exact"/>
        <w:rPr>
          <w:sz w:val="20"/>
          <w:szCs w:val="20"/>
          <w:color w:val="auto"/>
        </w:rPr>
      </w:pPr>
    </w:p>
    <w:p>
      <w:pPr>
        <w:ind w:left="1920"/>
        <w:spacing w:after="0"/>
        <w:tabs>
          <w:tab w:leader="none" w:pos="2720" w:val="left"/>
        </w:tabs>
        <w:rPr>
          <w:sz w:val="20"/>
          <w:szCs w:val="20"/>
          <w:color w:val="auto"/>
        </w:rPr>
      </w:pPr>
      <w:r>
        <w:rPr>
          <w:rFonts w:ascii="Arial" w:cs="Arial" w:eastAsia="Arial" w:hAnsi="Arial"/>
          <w:sz w:val="14"/>
          <w:szCs w:val="14"/>
          <w:b w:val="1"/>
          <w:bCs w:val="1"/>
          <w:color w:val="auto"/>
        </w:rPr>
        <w:t>RFID,</w:t>
      </w:r>
      <w:r>
        <w:rPr>
          <w:sz w:val="20"/>
          <w:szCs w:val="20"/>
          <w:color w:val="auto"/>
        </w:rPr>
        <w:tab/>
      </w:r>
      <w:r>
        <w:rPr>
          <w:rFonts w:ascii="Arial" w:cs="Arial" w:eastAsia="Arial" w:hAnsi="Arial"/>
          <w:sz w:val="14"/>
          <w:szCs w:val="14"/>
          <w:b w:val="1"/>
          <w:bCs w:val="1"/>
          <w:color w:val="auto"/>
        </w:rPr>
        <w:t>DVB,</w:t>
      </w:r>
    </w:p>
    <w:p>
      <w:pPr>
        <w:spacing w:after="0" w:line="19" w:lineRule="exact"/>
        <w:rPr>
          <w:sz w:val="20"/>
          <w:szCs w:val="20"/>
          <w:color w:val="auto"/>
        </w:rPr>
      </w:pPr>
    </w:p>
    <w:p>
      <w:pPr>
        <w:ind w:left="720"/>
        <w:spacing w:after="0"/>
        <w:tabs>
          <w:tab w:leader="none" w:pos="1760" w:val="left"/>
          <w:tab w:leader="none" w:pos="2640" w:val="left"/>
        </w:tabs>
        <w:rPr>
          <w:sz w:val="20"/>
          <w:szCs w:val="20"/>
          <w:color w:val="auto"/>
        </w:rPr>
      </w:pPr>
      <w:r>
        <w:rPr>
          <w:rFonts w:ascii="Arial" w:cs="Arial" w:eastAsia="Arial" w:hAnsi="Arial"/>
          <w:sz w:val="14"/>
          <w:szCs w:val="14"/>
          <w:b w:val="1"/>
          <w:bCs w:val="1"/>
          <w:color w:val="auto"/>
        </w:rPr>
        <w:t>CATV &amp; Cable</w:t>
        <w:tab/>
        <w:t>Telematics</w:t>
      </w:r>
      <w:r>
        <w:rPr>
          <w:sz w:val="20"/>
          <w:szCs w:val="20"/>
          <w:color w:val="auto"/>
        </w:rPr>
        <w:tab/>
      </w:r>
      <w:r>
        <w:rPr>
          <w:rFonts w:ascii="Arial" w:cs="Arial" w:eastAsia="Arial" w:hAnsi="Arial"/>
          <w:sz w:val="13"/>
          <w:szCs w:val="13"/>
          <w:b w:val="1"/>
          <w:bCs w:val="1"/>
          <w:color w:val="auto"/>
        </w:rPr>
        <w:t>Satellite</w:t>
      </w:r>
    </w:p>
    <w:p>
      <w:pPr>
        <w:spacing w:after="0" w:line="8" w:lineRule="exact"/>
        <w:rPr>
          <w:sz w:val="20"/>
          <w:szCs w:val="20"/>
          <w:color w:val="auto"/>
        </w:rPr>
      </w:pPr>
    </w:p>
    <w:p>
      <w:pPr>
        <w:ind w:left="900"/>
        <w:spacing w:after="0"/>
        <w:tabs>
          <w:tab w:leader="none" w:pos="1940" w:val="left"/>
          <w:tab w:leader="none" w:pos="2700" w:val="left"/>
        </w:tabs>
        <w:rPr>
          <w:sz w:val="20"/>
          <w:szCs w:val="20"/>
          <w:color w:val="auto"/>
        </w:rPr>
      </w:pPr>
      <w:r>
        <w:rPr>
          <w:rFonts w:ascii="Arial" w:cs="Arial" w:eastAsia="Arial" w:hAnsi="Arial"/>
          <w:sz w:val="14"/>
          <w:szCs w:val="14"/>
          <w:b w:val="1"/>
          <w:bCs w:val="1"/>
          <w:color w:val="auto"/>
        </w:rPr>
        <w:t>Modem</w:t>
      </w:r>
      <w:r>
        <w:rPr>
          <w:sz w:val="20"/>
          <w:szCs w:val="20"/>
          <w:color w:val="auto"/>
        </w:rPr>
        <w:tab/>
      </w:r>
      <w:r>
        <w:rPr>
          <w:rFonts w:ascii="Arial" w:cs="Arial" w:eastAsia="Arial" w:hAnsi="Arial"/>
          <w:sz w:val="14"/>
          <w:szCs w:val="14"/>
          <w:b w:val="1"/>
          <w:bCs w:val="1"/>
          <w:color w:val="auto"/>
        </w:rPr>
        <w:t>GPS</w:t>
      </w:r>
      <w:r>
        <w:rPr>
          <w:sz w:val="20"/>
          <w:szCs w:val="20"/>
          <w:color w:val="auto"/>
        </w:rPr>
        <w:tab/>
      </w:r>
      <w:r>
        <w:rPr>
          <w:rFonts w:ascii="Arial" w:cs="Arial" w:eastAsia="Arial" w:hAnsi="Arial"/>
          <w:sz w:val="13"/>
          <w:szCs w:val="13"/>
          <w:b w:val="1"/>
          <w:bCs w:val="1"/>
          <w:color w:val="auto"/>
        </w:rPr>
        <w:t>Radio</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1120"/>
        <w:spacing w:after="0"/>
        <w:tabs>
          <w:tab w:leader="none" w:pos="1860" w:val="left"/>
        </w:tabs>
        <w:rPr>
          <w:sz w:val="20"/>
          <w:szCs w:val="20"/>
          <w:color w:val="auto"/>
        </w:rPr>
      </w:pPr>
      <w:r>
        <w:rPr>
          <w:rFonts w:ascii="Arial" w:cs="Arial" w:eastAsia="Arial" w:hAnsi="Arial"/>
          <w:sz w:val="14"/>
          <w:szCs w:val="14"/>
          <w:b w:val="1"/>
          <w:bCs w:val="1"/>
          <w:color w:val="auto"/>
        </w:rPr>
        <w:t>DBS,</w:t>
      </w:r>
      <w:r>
        <w:rPr>
          <w:sz w:val="20"/>
          <w:szCs w:val="20"/>
          <w:color w:val="auto"/>
        </w:rPr>
        <w:tab/>
      </w:r>
      <w:r>
        <w:rPr>
          <w:rFonts w:ascii="Arial" w:cs="Arial" w:eastAsia="Arial" w:hAnsi="Arial"/>
          <w:sz w:val="14"/>
          <w:szCs w:val="14"/>
          <w:b w:val="1"/>
          <w:bCs w:val="1"/>
          <w:color w:val="auto"/>
        </w:rPr>
        <w:t>Consumer</w:t>
      </w:r>
    </w:p>
    <w:p>
      <w:pPr>
        <w:spacing w:after="0" w:line="19" w:lineRule="exact"/>
        <w:rPr>
          <w:sz w:val="20"/>
          <w:szCs w:val="20"/>
          <w:color w:val="auto"/>
        </w:rPr>
      </w:pPr>
    </w:p>
    <w:p>
      <w:pPr>
        <w:ind w:left="180"/>
        <w:spacing w:after="0"/>
        <w:tabs>
          <w:tab w:leader="none" w:pos="980" w:val="left"/>
          <w:tab w:leader="none" w:pos="1820" w:val="left"/>
        </w:tabs>
        <w:rPr>
          <w:sz w:val="20"/>
          <w:szCs w:val="20"/>
          <w:color w:val="auto"/>
        </w:rPr>
      </w:pPr>
      <w:r>
        <w:rPr>
          <w:rFonts w:ascii="Arial" w:cs="Arial" w:eastAsia="Arial" w:hAnsi="Arial"/>
          <w:sz w:val="14"/>
          <w:szCs w:val="14"/>
          <w:b w:val="1"/>
          <w:bCs w:val="1"/>
          <w:color w:val="auto"/>
        </w:rPr>
        <w:t>Test</w:t>
      </w:r>
      <w:r>
        <w:rPr>
          <w:sz w:val="20"/>
          <w:szCs w:val="20"/>
          <w:color w:val="auto"/>
        </w:rPr>
        <w:tab/>
      </w:r>
      <w:r>
        <w:rPr>
          <w:rFonts w:ascii="Arial" w:cs="Arial" w:eastAsia="Arial" w:hAnsi="Arial"/>
          <w:sz w:val="14"/>
          <w:szCs w:val="14"/>
          <w:b w:val="1"/>
          <w:bCs w:val="1"/>
          <w:color w:val="auto"/>
        </w:rPr>
        <w:t>Industrial</w:t>
      </w:r>
      <w:r>
        <w:rPr>
          <w:sz w:val="20"/>
          <w:szCs w:val="20"/>
          <w:color w:val="auto"/>
        </w:rPr>
        <w:tab/>
      </w:r>
      <w:r>
        <w:rPr>
          <w:rFonts w:ascii="Arial" w:cs="Arial" w:eastAsia="Arial" w:hAnsi="Arial"/>
          <w:sz w:val="13"/>
          <w:szCs w:val="13"/>
          <w:b w:val="1"/>
          <w:bCs w:val="1"/>
          <w:color w:val="auto"/>
        </w:rPr>
        <w:t>&amp; Industrial</w:t>
      </w:r>
    </w:p>
    <w:p>
      <w:pPr>
        <w:spacing w:after="0" w:line="8" w:lineRule="exact"/>
        <w:rPr>
          <w:sz w:val="20"/>
          <w:szCs w:val="20"/>
          <w:color w:val="auto"/>
        </w:rPr>
      </w:pPr>
    </w:p>
    <w:p>
      <w:pPr>
        <w:spacing w:after="0"/>
        <w:tabs>
          <w:tab w:leader="none" w:pos="1020" w:val="left"/>
          <w:tab w:leader="none" w:pos="2000" w:val="left"/>
        </w:tabs>
        <w:rPr>
          <w:sz w:val="20"/>
          <w:szCs w:val="20"/>
          <w:color w:val="auto"/>
        </w:rPr>
      </w:pPr>
      <w:r>
        <w:rPr>
          <w:rFonts w:ascii="Arial" w:cs="Arial" w:eastAsia="Arial" w:hAnsi="Arial"/>
          <w:sz w:val="14"/>
          <w:szCs w:val="14"/>
          <w:b w:val="1"/>
          <w:bCs w:val="1"/>
          <w:color w:val="auto"/>
        </w:rPr>
        <w:t>Equipment</w:t>
      </w:r>
      <w:r>
        <w:rPr>
          <w:sz w:val="20"/>
          <w:szCs w:val="20"/>
          <w:color w:val="auto"/>
        </w:rPr>
        <w:tab/>
      </w:r>
      <w:r>
        <w:rPr>
          <w:rFonts w:ascii="Arial" w:cs="Arial" w:eastAsia="Arial" w:hAnsi="Arial"/>
          <w:sz w:val="14"/>
          <w:szCs w:val="14"/>
          <w:b w:val="1"/>
          <w:bCs w:val="1"/>
          <w:color w:val="auto"/>
        </w:rPr>
        <w:t>Imaging</w:t>
      </w:r>
      <w:r>
        <w:rPr>
          <w:sz w:val="20"/>
          <w:szCs w:val="20"/>
          <w:color w:val="auto"/>
        </w:rPr>
        <w:tab/>
      </w:r>
      <w:r>
        <w:rPr>
          <w:rFonts w:ascii="Arial" w:cs="Arial" w:eastAsia="Arial" w:hAnsi="Arial"/>
          <w:sz w:val="11"/>
          <w:szCs w:val="11"/>
          <w:b w:val="1"/>
          <w:bCs w:val="1"/>
          <w:color w:val="auto"/>
        </w:rPr>
        <w:t>VSAT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both"/>
        <w:ind w:right="959" w:firstLine="53"/>
        <w:spacing w:after="0" w:line="265" w:lineRule="auto"/>
        <w:rPr>
          <w:sz w:val="20"/>
          <w:szCs w:val="20"/>
          <w:color w:val="auto"/>
        </w:rPr>
      </w:pPr>
      <w:r>
        <w:rPr>
          <w:rFonts w:ascii="Arial" w:cs="Arial" w:eastAsia="Arial" w:hAnsi="Arial"/>
          <w:sz w:val="14"/>
          <w:szCs w:val="14"/>
          <w:b w:val="1"/>
          <w:bCs w:val="1"/>
          <w:color w:val="auto"/>
        </w:rPr>
        <w:t>VBand Eband Pt-to-Pt SATCOM Pt-to-Pt Systems Terminal Systems</w:t>
      </w:r>
    </w:p>
    <w:p>
      <w:pPr>
        <w:spacing w:after="0" w:line="200" w:lineRule="exact"/>
        <w:rPr>
          <w:sz w:val="20"/>
          <w:szCs w:val="20"/>
          <w:color w:val="auto"/>
        </w:rPr>
      </w:pPr>
    </w:p>
    <w:p>
      <w:pPr>
        <w:sectPr>
          <w:pgSz w:w="11900" w:h="16838" w:orient="portrait"/>
          <w:cols w:equalWidth="0" w:num="3">
            <w:col w:w="3180" w:space="500"/>
            <w:col w:w="2600" w:space="640"/>
            <w:col w:w="2959"/>
          </w:cols>
          <w:pgMar w:left="580" w:top="979" w:right="1440" w:bottom="1440" w:gutter="0" w:footer="0" w:header="0"/>
          <w:type w:val="continuous"/>
        </w:sectPr>
      </w:pPr>
    </w:p>
    <w:p>
      <w:pPr>
        <w:spacing w:after="0" w:line="9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FFFFFF"/>
        </w:rPr>
        <w:t>Radio Wave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jc w:val="center"/>
        <w:ind w:right="1240"/>
        <w:spacing w:after="0"/>
        <w:rPr>
          <w:sz w:val="20"/>
          <w:szCs w:val="20"/>
          <w:color w:val="auto"/>
        </w:rPr>
      </w:pPr>
      <w:r>
        <w:rPr>
          <w:rFonts w:ascii="Arial" w:cs="Arial" w:eastAsia="Arial" w:hAnsi="Arial"/>
          <w:sz w:val="17"/>
          <w:szCs w:val="17"/>
          <w:b w:val="1"/>
          <w:bCs w:val="1"/>
          <w:color w:val="FFFFFF"/>
        </w:rPr>
        <w:t>Microwave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Millimeter Wave</w:t>
      </w:r>
    </w:p>
    <w:p>
      <w:pPr>
        <w:spacing w:after="0" w:line="211" w:lineRule="exact"/>
        <w:rPr>
          <w:sz w:val="20"/>
          <w:szCs w:val="20"/>
          <w:color w:val="auto"/>
        </w:rPr>
      </w:pPr>
    </w:p>
    <w:p>
      <w:pPr>
        <w:sectPr>
          <w:pgSz w:w="11900" w:h="16838" w:orient="portrait"/>
          <w:cols w:equalWidth="0" w:num="3">
            <w:col w:w="3600" w:space="720"/>
            <w:col w:w="2120" w:space="720"/>
            <w:col w:w="2719"/>
          </w:cols>
          <w:pgMar w:left="580" w:top="979" w:right="1440"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0 GHz</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1800"/>
        <w:spacing w:after="0"/>
        <w:rPr>
          <w:sz w:val="20"/>
          <w:szCs w:val="20"/>
          <w:color w:val="auto"/>
        </w:rPr>
      </w:pPr>
      <w:r>
        <w:rPr>
          <w:rFonts w:ascii="Arial" w:cs="Arial" w:eastAsia="Arial" w:hAnsi="Arial"/>
          <w:sz w:val="16"/>
          <w:szCs w:val="16"/>
          <w:b w:val="1"/>
          <w:bCs w:val="1"/>
          <w:color w:val="auto"/>
        </w:rPr>
        <w:t>6 GHz</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center"/>
        <w:ind w:right="1720"/>
        <w:spacing w:after="0"/>
        <w:rPr>
          <w:sz w:val="20"/>
          <w:szCs w:val="20"/>
          <w:color w:val="auto"/>
        </w:rPr>
      </w:pPr>
      <w:r>
        <w:rPr>
          <w:rFonts w:ascii="Arial" w:cs="Arial" w:eastAsia="Arial" w:hAnsi="Arial"/>
          <w:sz w:val="16"/>
          <w:szCs w:val="16"/>
          <w:b w:val="1"/>
          <w:bCs w:val="1"/>
          <w:color w:val="auto"/>
        </w:rPr>
        <w:t>20 GHz</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110 GHz</w:t>
      </w:r>
    </w:p>
    <w:p>
      <w:pPr>
        <w:spacing w:after="0" w:line="200" w:lineRule="exact"/>
        <w:rPr>
          <w:sz w:val="20"/>
          <w:szCs w:val="20"/>
          <w:color w:val="auto"/>
        </w:rPr>
      </w:pPr>
    </w:p>
    <w:p>
      <w:pPr>
        <w:sectPr>
          <w:pgSz w:w="11900" w:h="16838" w:orient="portrait"/>
          <w:cols w:equalWidth="0" w:num="4">
            <w:col w:w="2300" w:space="720"/>
            <w:col w:w="2260" w:space="720"/>
            <w:col w:w="2280" w:space="720"/>
            <w:col w:w="879"/>
          </w:cols>
          <w:pgMar w:left="580" w:top="979" w:right="1440"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2460"/>
        <w:spacing w:after="0"/>
        <w:tabs>
          <w:tab w:leader="none" w:pos="3420" w:val="left"/>
          <w:tab w:leader="none" w:pos="4060" w:val="left"/>
          <w:tab w:leader="none" w:pos="4380" w:val="left"/>
          <w:tab w:leader="none" w:pos="4660" w:val="left"/>
          <w:tab w:leader="none" w:pos="5120" w:val="left"/>
          <w:tab w:leader="none" w:pos="5580" w:val="left"/>
          <w:tab w:leader="none" w:pos="5960" w:val="left"/>
          <w:tab w:leader="none" w:pos="6360" w:val="left"/>
          <w:tab w:leader="none" w:pos="6740" w:val="left"/>
        </w:tabs>
        <w:rPr>
          <w:sz w:val="20"/>
          <w:szCs w:val="20"/>
          <w:color w:val="auto"/>
        </w:rPr>
      </w:pPr>
      <w:r>
        <w:rPr>
          <w:rFonts w:ascii="Arial" w:cs="Arial" w:eastAsia="Arial" w:hAnsi="Arial"/>
          <w:sz w:val="17"/>
          <w:szCs w:val="17"/>
          <w:color w:val="FFFFFF"/>
        </w:rPr>
        <w:t xml:space="preserve">C  </w:t>
      </w:r>
      <w:r>
        <w:rPr>
          <w:rFonts w:ascii="Arial" w:cs="Arial" w:eastAsia="Arial" w:hAnsi="Arial"/>
          <w:sz w:val="15"/>
          <w:szCs w:val="15"/>
          <w:color w:val="FFFFFF"/>
        </w:rPr>
        <w:t>O  M  B</w:t>
      </w:r>
      <w:r>
        <w:rPr>
          <w:sz w:val="20"/>
          <w:szCs w:val="20"/>
          <w:color w:val="auto"/>
        </w:rPr>
        <w:tab/>
      </w:r>
      <w:r>
        <w:rPr>
          <w:rFonts w:ascii="Arial" w:cs="Arial" w:eastAsia="Arial" w:hAnsi="Arial"/>
          <w:sz w:val="16"/>
          <w:szCs w:val="16"/>
          <w:color w:val="FFFFFF"/>
        </w:rPr>
        <w:t>I  N  E</w:t>
        <w:tab/>
        <w:t>D</w:t>
      </w:r>
      <w:r>
        <w:rPr>
          <w:sz w:val="20"/>
          <w:szCs w:val="20"/>
          <w:color w:val="auto"/>
        </w:rPr>
        <w:tab/>
      </w:r>
      <w:r>
        <w:rPr>
          <w:rFonts w:ascii="Arial" w:cs="Arial" w:eastAsia="Arial" w:hAnsi="Arial"/>
          <w:sz w:val="17"/>
          <w:szCs w:val="17"/>
          <w:color w:val="FFFFFF"/>
        </w:rPr>
        <w:t>C</w:t>
      </w:r>
      <w:r>
        <w:rPr>
          <w:sz w:val="20"/>
          <w:szCs w:val="20"/>
          <w:color w:val="auto"/>
        </w:rPr>
        <w:tab/>
      </w:r>
      <w:r>
        <w:rPr>
          <w:rFonts w:ascii="Arial" w:cs="Arial" w:eastAsia="Arial" w:hAnsi="Arial"/>
          <w:sz w:val="16"/>
          <w:szCs w:val="16"/>
          <w:color w:val="FFFFFF"/>
        </w:rPr>
        <w:t>A  P</w:t>
        <w:tab/>
        <w:t>A  B</w:t>
        <w:tab/>
        <w:t>I  L</w:t>
        <w:tab/>
        <w:t>I  T</w:t>
        <w:tab/>
        <w:t>I  E</w:t>
        <w:tab/>
        <w: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9879"/>
          </w:cols>
          <w:pgMar w:left="580" w:top="979"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39"/>
          <w:szCs w:val="39"/>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ADI + Hittite</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33"/>
          <w:szCs w:val="33"/>
          <w:color w:val="38579B"/>
        </w:rPr>
        <w:t>Expands Opportunities within Industrial, Communications, and Automotive</w:t>
      </w:r>
    </w:p>
    <w:p>
      <w:pPr>
        <w:sectPr>
          <w:pgSz w:w="11900" w:h="16838" w:orient="portrait"/>
          <w:cols w:equalWidth="0" w:num="1">
            <w:col w:w="11120"/>
          </w:cols>
          <w:pgMar w:left="640" w:top="979" w:right="139" w:bottom="1440" w:gutter="0" w:footer="0" w:header="0"/>
        </w:sectPr>
      </w:pPr>
    </w:p>
    <w:p>
      <w:pPr>
        <w:spacing w:after="0" w:line="29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Industrial</w:t>
      </w:r>
    </w:p>
    <w:p>
      <w:pPr>
        <w:spacing w:after="0" w:line="15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Test and</w:t>
      </w:r>
    </w:p>
    <w:p>
      <w:pPr>
        <w:spacing w:after="0" w:line="2"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Measurement</w:t>
      </w:r>
    </w:p>
    <w:p>
      <w:pPr>
        <w:spacing w:after="0" w:line="3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Aerospace</w:t>
      </w:r>
    </w:p>
    <w:p>
      <w:pPr>
        <w:spacing w:after="0" w:line="3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Defense</w:t>
      </w:r>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Communications Infrastructure</w:t>
      </w:r>
    </w:p>
    <w:p>
      <w:pPr>
        <w:spacing w:after="0" w:line="153" w:lineRule="exact"/>
        <w:rPr>
          <w:sz w:val="20"/>
          <w:szCs w:val="20"/>
          <w:color w:val="auto"/>
        </w:rPr>
      </w:pPr>
    </w:p>
    <w:p>
      <w:pPr>
        <w:ind w:left="4860"/>
        <w:spacing w:after="0"/>
        <w:rPr>
          <w:sz w:val="20"/>
          <w:szCs w:val="20"/>
          <w:color w:val="auto"/>
        </w:rPr>
      </w:pPr>
      <w:r>
        <w:rPr>
          <w:rFonts w:ascii="Arial" w:cs="Arial" w:eastAsia="Arial" w:hAnsi="Arial"/>
          <w:sz w:val="19"/>
          <w:szCs w:val="19"/>
          <w:color w:val="auto"/>
        </w:rPr>
        <w:t>Cellular infrastructure</w:t>
      </w:r>
    </w:p>
    <w:p>
      <w:pPr>
        <w:spacing w:after="0" w:line="45"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Microwave</w:t>
      </w:r>
    </w:p>
    <w:p>
      <w:pPr>
        <w:spacing w:after="0" w:line="3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Broadband</w:t>
      </w:r>
    </w:p>
    <w:p>
      <w:pPr>
        <w:spacing w:after="0" w:line="3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Fiber Optic Networks</w:t>
      </w: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FFFFFF"/>
        </w:rPr>
        <w:t>Automotive</w:t>
      </w:r>
    </w:p>
    <w:p>
      <w:pPr>
        <w:spacing w:after="0" w:line="200" w:lineRule="exact"/>
        <w:rPr>
          <w:sz w:val="20"/>
          <w:szCs w:val="20"/>
          <w:color w:val="auto"/>
        </w:rPr>
      </w:pPr>
    </w:p>
    <w:p>
      <w:pPr>
        <w:spacing w:after="0" w:line="21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Advanced Driver</w:t>
      </w:r>
    </w:p>
    <w:p>
      <w:pPr>
        <w:spacing w:after="0" w:line="1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Assistance Systems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8"/>
          <w:szCs w:val="28"/>
          <w:color w:val="auto"/>
        </w:rPr>
        <w:t>Strong</w:t>
      </w:r>
    </w:p>
    <w:p>
      <w:pPr>
        <w:spacing w:after="0" w:line="220" w:lineRule="auto"/>
        <w:rPr>
          <w:sz w:val="20"/>
          <w:szCs w:val="20"/>
          <w:color w:val="auto"/>
        </w:rPr>
      </w:pPr>
      <w:r>
        <w:rPr>
          <w:rFonts w:ascii="Arial" w:cs="Arial" w:eastAsia="Arial" w:hAnsi="Arial"/>
          <w:sz w:val="28"/>
          <w:szCs w:val="28"/>
          <w:color w:val="auto"/>
        </w:rPr>
        <w:t>technology</w:t>
      </w:r>
    </w:p>
    <w:p>
      <w:pPr>
        <w:spacing w:after="0"/>
        <w:rPr>
          <w:sz w:val="20"/>
          <w:szCs w:val="20"/>
          <w:color w:val="auto"/>
        </w:rPr>
      </w:pPr>
      <w:r>
        <w:rPr>
          <w:rFonts w:ascii="Arial" w:cs="Arial" w:eastAsia="Arial" w:hAnsi="Arial"/>
          <w:sz w:val="28"/>
          <w:szCs w:val="28"/>
          <w:color w:val="auto"/>
        </w:rPr>
        <w:t>and expertise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8"/>
          <w:szCs w:val="28"/>
          <w:color w:val="auto"/>
        </w:rPr>
        <w:t>Highly</w:t>
      </w:r>
    </w:p>
    <w:p>
      <w:pPr>
        <w:spacing w:after="0" w:line="220" w:lineRule="auto"/>
        <w:rPr>
          <w:sz w:val="20"/>
          <w:szCs w:val="20"/>
          <w:color w:val="auto"/>
        </w:rPr>
      </w:pPr>
      <w:r>
        <w:rPr>
          <w:rFonts w:ascii="Arial" w:cs="Arial" w:eastAsia="Arial" w:hAnsi="Arial"/>
          <w:sz w:val="28"/>
          <w:szCs w:val="28"/>
          <w:color w:val="auto"/>
        </w:rPr>
        <w:t>sophisticated</w:t>
      </w:r>
    </w:p>
    <w:p>
      <w:pPr>
        <w:spacing w:after="0" w:line="228" w:lineRule="auto"/>
        <w:rPr>
          <w:sz w:val="20"/>
          <w:szCs w:val="20"/>
          <w:color w:val="auto"/>
        </w:rPr>
      </w:pPr>
      <w:r>
        <w:rPr>
          <w:rFonts w:ascii="Arial" w:cs="Arial" w:eastAsia="Arial" w:hAnsi="Arial"/>
          <w:sz w:val="28"/>
          <w:szCs w:val="28"/>
          <w:color w:val="auto"/>
        </w:rPr>
        <w:t>solutions earn</w:t>
      </w:r>
    </w:p>
    <w:p>
      <w:pPr>
        <w:spacing w:after="0"/>
        <w:rPr>
          <w:sz w:val="20"/>
          <w:szCs w:val="20"/>
          <w:color w:val="auto"/>
        </w:rPr>
      </w:pPr>
      <w:r>
        <w:rPr>
          <w:rFonts w:ascii="Arial" w:cs="Arial" w:eastAsia="Arial" w:hAnsi="Arial"/>
          <w:sz w:val="28"/>
          <w:szCs w:val="28"/>
          <w:color w:val="auto"/>
        </w:rPr>
        <w:t>high profits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8"/>
          <w:szCs w:val="28"/>
          <w:color w:val="auto"/>
        </w:rPr>
        <w:t>Expands</w:t>
      </w:r>
    </w:p>
    <w:p>
      <w:pPr>
        <w:spacing w:after="0" w:line="228" w:lineRule="auto"/>
        <w:rPr>
          <w:sz w:val="20"/>
          <w:szCs w:val="20"/>
          <w:color w:val="auto"/>
        </w:rPr>
      </w:pPr>
      <w:r>
        <w:rPr>
          <w:rFonts w:ascii="Arial" w:cs="Arial" w:eastAsia="Arial" w:hAnsi="Arial"/>
          <w:sz w:val="28"/>
          <w:szCs w:val="28"/>
          <w:color w:val="auto"/>
        </w:rPr>
        <w:t>addressable</w:t>
      </w:r>
    </w:p>
    <w:p>
      <w:pPr>
        <w:spacing w:after="0"/>
        <w:rPr>
          <w:sz w:val="20"/>
          <w:szCs w:val="20"/>
          <w:color w:val="auto"/>
        </w:rPr>
      </w:pPr>
      <w:r>
        <w:rPr>
          <w:rFonts w:ascii="Arial" w:cs="Arial" w:eastAsia="Arial" w:hAnsi="Arial"/>
          <w:sz w:val="28"/>
          <w:szCs w:val="28"/>
          <w:color w:val="auto"/>
        </w:rPr>
        <w:t>market</w:t>
      </w:r>
    </w:p>
    <w:p>
      <w:pPr>
        <w:spacing w:after="0" w:line="553" w:lineRule="exact"/>
        <w:rPr>
          <w:sz w:val="20"/>
          <w:szCs w:val="20"/>
          <w:color w:val="auto"/>
        </w:rPr>
      </w:pPr>
    </w:p>
    <w:p>
      <w:pPr>
        <w:sectPr>
          <w:pgSz w:w="11900" w:h="16838" w:orient="portrait"/>
          <w:cols w:equalWidth="0" w:num="2">
            <w:col w:w="6780" w:space="720"/>
            <w:col w:w="3620"/>
          </w:cols>
          <w:pgMar w:left="640" w:top="979" w:right="1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120"/>
          </w:cols>
          <w:pgMar w:left="640" w:top="979" w:right="139"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39"/>
          <w:szCs w:val="39"/>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Financial Considerations</w:t>
      </w:r>
    </w:p>
    <w:p>
      <w:pPr>
        <w:sectPr>
          <w:pgSz w:w="11900" w:h="16838" w:orient="portrait"/>
          <w:cols w:equalWidth="0" w:num="1">
            <w:col w:w="9819"/>
          </w:cols>
          <w:pgMar w:left="640" w:top="9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FFFFFF"/>
        </w:rPr>
        <w:t>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21"/>
          <w:szCs w:val="21"/>
          <w:b w:val="1"/>
          <w:bCs w:val="1"/>
          <w:color w:val="FFFFFF"/>
        </w:rPr>
        <w:t>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FFFFFF"/>
        </w:rPr>
        <w:t>Financing</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21"/>
          <w:szCs w:val="21"/>
          <w:b w:val="1"/>
          <w:bCs w:val="1"/>
          <w:color w:val="FFFFFF"/>
        </w:rPr>
        <w:t>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1"/>
          <w:szCs w:val="21"/>
          <w:color w:val="auto"/>
        </w:rPr>
        <w:t>$78.00 in cash</w:t>
      </w: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Arial" w:cs="Arial" w:eastAsia="Arial" w:hAnsi="Arial"/>
          <w:sz w:val="21"/>
          <w:szCs w:val="21"/>
          <w:color w:val="auto"/>
        </w:rPr>
        <w:t>$2.5 billion equity value</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21"/>
          <w:szCs w:val="21"/>
          <w:color w:val="auto"/>
        </w:rPr>
        <w:t>$2.0 enterprise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Tender offer to be launched in approximately 10 business days</w:t>
      </w:r>
    </w:p>
    <w:p>
      <w:pPr>
        <w:spacing w:after="0" w:line="181" w:lineRule="exact"/>
        <w:rPr>
          <w:sz w:val="20"/>
          <w:szCs w:val="20"/>
          <w:color w:val="auto"/>
        </w:rPr>
      </w:pPr>
    </w:p>
    <w:p>
      <w:pPr>
        <w:ind w:right="1839"/>
        <w:spacing w:after="0" w:line="263" w:lineRule="auto"/>
        <w:rPr>
          <w:sz w:val="20"/>
          <w:szCs w:val="20"/>
          <w:color w:val="auto"/>
        </w:rPr>
      </w:pPr>
      <w:r>
        <w:rPr>
          <w:rFonts w:ascii="Arial" w:cs="Arial" w:eastAsia="Arial" w:hAnsi="Arial"/>
          <w:sz w:val="21"/>
          <w:szCs w:val="21"/>
          <w:color w:val="auto"/>
        </w:rPr>
        <w:t>ADI will fund transaction with a combination of cash on hand and short-term debt financing</w:t>
      </w:r>
    </w:p>
    <w:p>
      <w:pPr>
        <w:spacing w:after="0" w:line="146" w:lineRule="exact"/>
        <w:rPr>
          <w:sz w:val="20"/>
          <w:szCs w:val="20"/>
          <w:color w:val="auto"/>
        </w:rPr>
      </w:pPr>
    </w:p>
    <w:p>
      <w:pPr>
        <w:ind w:right="1379"/>
        <w:spacing w:after="0" w:line="263" w:lineRule="auto"/>
        <w:rPr>
          <w:sz w:val="20"/>
          <w:szCs w:val="20"/>
          <w:color w:val="auto"/>
        </w:rPr>
      </w:pPr>
      <w:r>
        <w:rPr>
          <w:rFonts w:ascii="Arial" w:cs="Arial" w:eastAsia="Arial" w:hAnsi="Arial"/>
          <w:sz w:val="21"/>
          <w:szCs w:val="21"/>
          <w:color w:val="auto"/>
        </w:rPr>
        <w:t>Continued commitment to returning cash to shareholders through dividends and share repurchases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Ample available liquidity</w:t>
      </w:r>
    </w:p>
    <w:p>
      <w:pPr>
        <w:spacing w:after="0" w:line="200" w:lineRule="exact"/>
        <w:rPr>
          <w:sz w:val="20"/>
          <w:szCs w:val="20"/>
          <w:color w:val="auto"/>
        </w:rPr>
      </w:pPr>
    </w:p>
    <w:p>
      <w:pPr>
        <w:sectPr>
          <w:pgSz w:w="11900" w:h="16838" w:orient="portrait"/>
          <w:cols w:equalWidth="0" w:num="2">
            <w:col w:w="1660" w:space="700"/>
            <w:col w:w="7459"/>
          </w:cols>
          <w:pgMar w:left="640" w:top="9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9819"/>
          </w:cols>
          <w:pgMar w:left="640" w:top="979"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39"/>
          <w:szCs w:val="39"/>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ADI + Hittite</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33"/>
          <w:szCs w:val="33"/>
          <w:color w:val="38579B"/>
        </w:rPr>
        <w:t>Generating Growth, High Profits &amp; Cash Flow</w:t>
      </w:r>
    </w:p>
    <w:p>
      <w:pPr>
        <w:sectPr>
          <w:pgSz w:w="11900" w:h="16838" w:orient="portrait"/>
          <w:cols w:equalWidth="0" w:num="1">
            <w:col w:w="9819"/>
          </w:cols>
          <w:pgMar w:left="640" w:top="979" w:right="1440"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40"/>
        <w:spacing w:after="0"/>
        <w:rPr>
          <w:sz w:val="20"/>
          <w:szCs w:val="20"/>
          <w:color w:val="auto"/>
        </w:rPr>
      </w:pPr>
      <w:r>
        <w:rPr>
          <w:rFonts w:ascii="Arial" w:cs="Arial" w:eastAsia="Arial" w:hAnsi="Arial"/>
          <w:sz w:val="22"/>
          <w:szCs w:val="22"/>
          <w:b w:val="1"/>
          <w:bCs w:val="1"/>
          <w:color w:val="FFFFFF"/>
        </w:rPr>
        <w:t xml:space="preserve">Key LTM Financial Metrics </w:t>
      </w:r>
      <w:r>
        <w:rPr>
          <w:rFonts w:ascii="Arial" w:cs="Arial" w:eastAsia="Arial" w:hAnsi="Arial"/>
          <w:sz w:val="31"/>
          <w:szCs w:val="31"/>
          <w:color w:val="FFFFFF"/>
          <w:vertAlign w:val="superscript"/>
        </w:rPr>
        <w:t>(1)</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Revenue:</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Gross profit margin:</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Operating margin</w:t>
      </w:r>
      <w:r>
        <w:rPr>
          <w:rFonts w:ascii="Arial" w:cs="Arial" w:eastAsia="Arial" w:hAnsi="Arial"/>
          <w:sz w:val="31"/>
          <w:szCs w:val="31"/>
          <w:color w:val="auto"/>
          <w:vertAlign w:val="superscript"/>
        </w:rPr>
        <w:t>(2)</w:t>
      </w:r>
      <w:r>
        <w:rPr>
          <w:rFonts w:ascii="Arial" w:cs="Arial" w:eastAsia="Arial" w:hAnsi="Arial"/>
          <w:sz w:val="22"/>
          <w:szCs w:val="22"/>
          <w:b w:val="1"/>
          <w:bCs w:val="1"/>
          <w:color w:val="auto"/>
        </w:rPr>
        <w:t>:</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Cash flow from operations</w:t>
      </w: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 xml:space="preserve">Cash flow as a % of revenue </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ind w:left="500"/>
        <w:spacing w:after="0"/>
        <w:tabs>
          <w:tab w:leader="none" w:pos="2260" w:val="left"/>
        </w:tabs>
        <w:rPr>
          <w:sz w:val="20"/>
          <w:szCs w:val="20"/>
          <w:color w:val="auto"/>
        </w:rPr>
      </w:pPr>
      <w:r>
        <w:rPr>
          <w:rFonts w:ascii="Arial" w:cs="Arial" w:eastAsia="Arial" w:hAnsi="Arial"/>
          <w:sz w:val="22"/>
          <w:szCs w:val="22"/>
          <w:b w:val="1"/>
          <w:bCs w:val="1"/>
          <w:color w:val="FFFFFF"/>
        </w:rPr>
        <w:t>ADI</w:t>
      </w:r>
      <w:r>
        <w:rPr>
          <w:sz w:val="20"/>
          <w:szCs w:val="20"/>
          <w:color w:val="auto"/>
        </w:rPr>
        <w:tab/>
      </w:r>
      <w:r>
        <w:rPr>
          <w:rFonts w:ascii="Arial" w:cs="Arial" w:eastAsia="Arial" w:hAnsi="Arial"/>
          <w:sz w:val="22"/>
          <w:szCs w:val="22"/>
          <w:b w:val="1"/>
          <w:bCs w:val="1"/>
          <w:color w:val="FFFFFF"/>
        </w:rPr>
        <w:t>Hittite</w:t>
      </w:r>
    </w:p>
    <w:p>
      <w:pPr>
        <w:spacing w:after="0" w:line="324" w:lineRule="exact"/>
        <w:rPr>
          <w:sz w:val="20"/>
          <w:szCs w:val="20"/>
          <w:color w:val="auto"/>
        </w:rPr>
      </w:pPr>
    </w:p>
    <w:p>
      <w:pPr>
        <w:spacing w:after="0"/>
        <w:tabs>
          <w:tab w:leader="none" w:pos="2220" w:val="left"/>
        </w:tabs>
        <w:rPr>
          <w:sz w:val="20"/>
          <w:szCs w:val="20"/>
          <w:color w:val="auto"/>
        </w:rPr>
      </w:pPr>
      <w:r>
        <w:rPr>
          <w:rFonts w:ascii="Arial" w:cs="Arial" w:eastAsia="Arial" w:hAnsi="Arial"/>
          <w:sz w:val="22"/>
          <w:szCs w:val="22"/>
          <w:color w:val="auto"/>
        </w:rPr>
        <w:t>$2,675M</w:t>
      </w:r>
      <w:r>
        <w:rPr>
          <w:sz w:val="20"/>
          <w:szCs w:val="20"/>
          <w:color w:val="auto"/>
        </w:rPr>
        <w:tab/>
      </w:r>
      <w:r>
        <w:rPr>
          <w:rFonts w:ascii="Arial" w:cs="Arial" w:eastAsia="Arial" w:hAnsi="Arial"/>
          <w:sz w:val="22"/>
          <w:szCs w:val="22"/>
          <w:color w:val="auto"/>
        </w:rPr>
        <w:t>$277M</w:t>
      </w:r>
    </w:p>
    <w:p>
      <w:pPr>
        <w:spacing w:after="0" w:line="380" w:lineRule="exact"/>
        <w:rPr>
          <w:sz w:val="20"/>
          <w:szCs w:val="20"/>
          <w:color w:val="auto"/>
        </w:rPr>
      </w:pPr>
    </w:p>
    <w:p>
      <w:pPr>
        <w:ind w:left="220"/>
        <w:spacing w:after="0"/>
        <w:tabs>
          <w:tab w:leader="none" w:pos="2260" w:val="left"/>
        </w:tabs>
        <w:rPr>
          <w:sz w:val="20"/>
          <w:szCs w:val="20"/>
          <w:color w:val="auto"/>
        </w:rPr>
      </w:pPr>
      <w:r>
        <w:rPr>
          <w:rFonts w:ascii="Arial" w:cs="Arial" w:eastAsia="Arial" w:hAnsi="Arial"/>
          <w:sz w:val="22"/>
          <w:szCs w:val="22"/>
          <w:color w:val="auto"/>
        </w:rPr>
        <w:t>65.3%</w:t>
      </w:r>
      <w:r>
        <w:rPr>
          <w:sz w:val="20"/>
          <w:szCs w:val="20"/>
          <w:color w:val="auto"/>
        </w:rPr>
        <w:tab/>
      </w:r>
      <w:r>
        <w:rPr>
          <w:rFonts w:ascii="Arial" w:cs="Arial" w:eastAsia="Arial" w:hAnsi="Arial"/>
          <w:sz w:val="22"/>
          <w:szCs w:val="22"/>
          <w:color w:val="auto"/>
        </w:rPr>
        <w:t>69.6%</w:t>
      </w:r>
    </w:p>
    <w:p>
      <w:pPr>
        <w:spacing w:after="0" w:line="380" w:lineRule="exact"/>
        <w:rPr>
          <w:sz w:val="20"/>
          <w:szCs w:val="20"/>
          <w:color w:val="auto"/>
        </w:rPr>
      </w:pPr>
    </w:p>
    <w:p>
      <w:pPr>
        <w:ind w:left="220"/>
        <w:spacing w:after="0"/>
        <w:tabs>
          <w:tab w:leader="none" w:pos="2260" w:val="left"/>
        </w:tabs>
        <w:rPr>
          <w:sz w:val="20"/>
          <w:szCs w:val="20"/>
          <w:color w:val="auto"/>
        </w:rPr>
      </w:pPr>
      <w:r>
        <w:rPr>
          <w:rFonts w:ascii="Arial" w:cs="Arial" w:eastAsia="Arial" w:hAnsi="Arial"/>
          <w:sz w:val="22"/>
          <w:szCs w:val="22"/>
          <w:color w:val="auto"/>
        </w:rPr>
        <w:t>30.9%</w:t>
      </w:r>
      <w:r>
        <w:rPr>
          <w:sz w:val="20"/>
          <w:szCs w:val="20"/>
          <w:color w:val="auto"/>
        </w:rPr>
        <w:tab/>
      </w:r>
      <w:r>
        <w:rPr>
          <w:rFonts w:ascii="Arial" w:cs="Arial" w:eastAsia="Arial" w:hAnsi="Arial"/>
          <w:sz w:val="22"/>
          <w:szCs w:val="22"/>
          <w:color w:val="auto"/>
        </w:rPr>
        <w:t>38.1%</w:t>
      </w:r>
    </w:p>
    <w:p>
      <w:pPr>
        <w:spacing w:after="0" w:line="391" w:lineRule="exact"/>
        <w:rPr>
          <w:sz w:val="20"/>
          <w:szCs w:val="20"/>
          <w:color w:val="auto"/>
        </w:rPr>
      </w:pPr>
    </w:p>
    <w:p>
      <w:pPr>
        <w:ind w:left="180"/>
        <w:spacing w:after="0"/>
        <w:tabs>
          <w:tab w:leader="none" w:pos="2360" w:val="left"/>
        </w:tabs>
        <w:rPr>
          <w:sz w:val="20"/>
          <w:szCs w:val="20"/>
          <w:color w:val="auto"/>
        </w:rPr>
      </w:pPr>
      <w:r>
        <w:rPr>
          <w:rFonts w:ascii="Arial" w:cs="Arial" w:eastAsia="Arial" w:hAnsi="Arial"/>
          <w:sz w:val="22"/>
          <w:szCs w:val="22"/>
          <w:color w:val="auto"/>
        </w:rPr>
        <w:t>$898M</w:t>
      </w:r>
      <w:r>
        <w:rPr>
          <w:sz w:val="20"/>
          <w:szCs w:val="20"/>
          <w:color w:val="auto"/>
        </w:rPr>
        <w:tab/>
      </w:r>
      <w:r>
        <w:rPr>
          <w:rFonts w:ascii="Arial" w:cs="Arial" w:eastAsia="Arial" w:hAnsi="Arial"/>
          <w:sz w:val="21"/>
          <w:szCs w:val="21"/>
          <w:color w:val="auto"/>
        </w:rPr>
        <w:t>$84M</w:t>
      </w:r>
    </w:p>
    <w:p>
      <w:pPr>
        <w:spacing w:after="0" w:line="380" w:lineRule="exact"/>
        <w:rPr>
          <w:sz w:val="20"/>
          <w:szCs w:val="20"/>
          <w:color w:val="auto"/>
        </w:rPr>
      </w:pPr>
    </w:p>
    <w:p>
      <w:pPr>
        <w:ind w:left="420"/>
        <w:spacing w:after="0"/>
        <w:tabs>
          <w:tab w:leader="none" w:pos="2460" w:val="left"/>
        </w:tabs>
        <w:rPr>
          <w:sz w:val="20"/>
          <w:szCs w:val="20"/>
          <w:color w:val="auto"/>
        </w:rPr>
      </w:pPr>
      <w:r>
        <w:rPr>
          <w:rFonts w:ascii="Arial" w:cs="Arial" w:eastAsia="Arial" w:hAnsi="Arial"/>
          <w:sz w:val="21"/>
          <w:szCs w:val="21"/>
          <w:color w:val="auto"/>
        </w:rPr>
        <w:t>34%</w:t>
      </w:r>
      <w:r>
        <w:rPr>
          <w:sz w:val="20"/>
          <w:szCs w:val="20"/>
          <w:color w:val="auto"/>
        </w:rPr>
        <w:tab/>
      </w: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ADI + Hittite</w:t>
      </w:r>
    </w:p>
    <w:p>
      <w:pPr>
        <w:spacing w:after="0" w:line="33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$2,952M</w:t>
      </w:r>
    </w:p>
    <w:p>
      <w:pPr>
        <w:spacing w:after="0" w:line="380" w:lineRule="exact"/>
        <w:rPr>
          <w:sz w:val="20"/>
          <w:szCs w:val="20"/>
          <w:color w:val="auto"/>
        </w:rPr>
      </w:pPr>
    </w:p>
    <w:p>
      <w:pPr>
        <w:ind w:left="680"/>
        <w:spacing w:after="0"/>
        <w:rPr>
          <w:sz w:val="20"/>
          <w:szCs w:val="20"/>
          <w:color w:val="auto"/>
        </w:rPr>
      </w:pPr>
      <w:r>
        <w:rPr>
          <w:rFonts w:ascii="Arial" w:cs="Arial" w:eastAsia="Arial" w:hAnsi="Arial"/>
          <w:sz w:val="21"/>
          <w:szCs w:val="21"/>
          <w:color w:val="auto"/>
        </w:rPr>
        <w:t>65.7%</w:t>
      </w:r>
    </w:p>
    <w:p>
      <w:pPr>
        <w:spacing w:after="0" w:line="200" w:lineRule="exact"/>
        <w:rPr>
          <w:sz w:val="20"/>
          <w:szCs w:val="20"/>
          <w:color w:val="auto"/>
        </w:rPr>
      </w:pPr>
    </w:p>
    <w:p>
      <w:pPr>
        <w:spacing w:after="0" w:line="202" w:lineRule="exact"/>
        <w:rPr>
          <w:sz w:val="20"/>
          <w:szCs w:val="20"/>
          <w:color w:val="auto"/>
        </w:rPr>
      </w:pPr>
    </w:p>
    <w:p>
      <w:pPr>
        <w:ind w:left="680"/>
        <w:spacing w:after="0"/>
        <w:rPr>
          <w:sz w:val="20"/>
          <w:szCs w:val="20"/>
          <w:color w:val="auto"/>
        </w:rPr>
      </w:pPr>
      <w:r>
        <w:rPr>
          <w:rFonts w:ascii="Arial" w:cs="Arial" w:eastAsia="Arial" w:hAnsi="Arial"/>
          <w:sz w:val="21"/>
          <w:szCs w:val="21"/>
          <w:color w:val="auto"/>
        </w:rPr>
        <w:t>31.6%</w:t>
      </w:r>
    </w:p>
    <w:p>
      <w:pPr>
        <w:spacing w:after="0" w:line="392" w:lineRule="exact"/>
        <w:rPr>
          <w:sz w:val="20"/>
          <w:szCs w:val="20"/>
          <w:color w:val="auto"/>
        </w:rPr>
      </w:pPr>
    </w:p>
    <w:p>
      <w:pPr>
        <w:jc w:val="right"/>
        <w:ind w:right="439"/>
        <w:spacing w:after="0"/>
        <w:rPr>
          <w:sz w:val="20"/>
          <w:szCs w:val="20"/>
          <w:color w:val="auto"/>
        </w:rPr>
      </w:pPr>
      <w:r>
        <w:rPr>
          <w:rFonts w:ascii="Arial" w:cs="Arial" w:eastAsia="Arial" w:hAnsi="Arial"/>
          <w:sz w:val="22"/>
          <w:szCs w:val="22"/>
          <w:color w:val="auto"/>
        </w:rPr>
        <w:t>$982M</w:t>
      </w:r>
    </w:p>
    <w:p>
      <w:pPr>
        <w:spacing w:after="0" w:line="380" w:lineRule="exact"/>
        <w:rPr>
          <w:sz w:val="20"/>
          <w:szCs w:val="20"/>
          <w:color w:val="auto"/>
        </w:rPr>
      </w:pPr>
    </w:p>
    <w:p>
      <w:pPr>
        <w:ind w:left="860"/>
        <w:spacing w:after="0"/>
        <w:rPr>
          <w:sz w:val="20"/>
          <w:szCs w:val="20"/>
          <w:color w:val="auto"/>
        </w:rPr>
      </w:pPr>
      <w:r>
        <w:rPr>
          <w:rFonts w:ascii="Arial" w:cs="Arial" w:eastAsia="Arial" w:hAnsi="Arial"/>
          <w:sz w:val="21"/>
          <w:szCs w:val="21"/>
          <w:color w:val="auto"/>
        </w:rPr>
        <w:t>33%</w:t>
      </w:r>
    </w:p>
    <w:p>
      <w:pPr>
        <w:spacing w:after="0" w:line="263" w:lineRule="exact"/>
        <w:rPr>
          <w:sz w:val="20"/>
          <w:szCs w:val="20"/>
          <w:color w:val="auto"/>
        </w:rPr>
      </w:pPr>
    </w:p>
    <w:p>
      <w:pPr>
        <w:sectPr>
          <w:pgSz w:w="11900" w:h="16838" w:orient="portrait"/>
          <w:cols w:equalWidth="0" w:num="3">
            <w:col w:w="3700" w:space="720"/>
            <w:col w:w="2940" w:space="720"/>
            <w:col w:w="1739"/>
          </w:cols>
          <w:pgMar w:left="640" w:top="9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pacing w:after="0" w:line="190" w:lineRule="auto"/>
        <w:tabs>
          <w:tab w:leader="none" w:pos="460" w:val="left"/>
        </w:tabs>
        <w:rPr>
          <w:sz w:val="20"/>
          <w:szCs w:val="20"/>
          <w:color w:val="auto"/>
        </w:rPr>
      </w:pPr>
      <w:r>
        <w:rPr>
          <w:rFonts w:ascii="Arial" w:cs="Arial" w:eastAsia="Arial" w:hAnsi="Arial"/>
          <w:sz w:val="15"/>
          <w:szCs w:val="15"/>
          <w:color w:val="auto"/>
          <w:vertAlign w:val="subscript"/>
        </w:rPr>
        <w:t>10</w:t>
      </w:r>
      <w:r>
        <w:rPr>
          <w:sz w:val="20"/>
          <w:szCs w:val="20"/>
          <w:color w:val="auto"/>
        </w:rPr>
        <w:tab/>
      </w:r>
      <w:r>
        <w:rPr>
          <w:rFonts w:ascii="Arial" w:cs="Arial" w:eastAsia="Arial" w:hAnsi="Arial"/>
          <w:sz w:val="8"/>
          <w:szCs w:val="8"/>
          <w:color w:val="auto"/>
        </w:rPr>
        <w:t>(2)</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0"/>
          <w:szCs w:val="10"/>
          <w:color w:val="auto"/>
        </w:rPr>
        <w:t>ADI Last Twelve Months (LTM) ended May 3, 2014 and Hittite LTM ended March 31, 2014</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ADI and Hittite operating profits exclude one-time items</w:t>
      </w:r>
    </w:p>
    <w:p>
      <w:pPr>
        <w:spacing w:after="0"/>
        <w:rPr>
          <w:sz w:val="20"/>
          <w:szCs w:val="20"/>
          <w:color w:val="auto"/>
        </w:rPr>
      </w:pPr>
      <w:r>
        <w:rPr>
          <w:rFonts w:ascii="Arial" w:cs="Arial" w:eastAsia="Arial" w:hAnsi="Arial"/>
          <w:sz w:val="12"/>
          <w:szCs w:val="12"/>
          <w:color w:val="auto"/>
        </w:rPr>
        <w:t>Calculated as cash flow from operations divided by revenue</w:t>
      </w:r>
    </w:p>
    <w:p>
      <w:pPr>
        <w:sectPr>
          <w:pgSz w:w="11900" w:h="16838" w:orient="portrait"/>
          <w:cols w:equalWidth="0" w:num="2">
            <w:col w:w="620" w:space="120"/>
            <w:col w:w="9079"/>
          </w:cols>
          <w:pgMar w:left="640" w:top="979"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39"/>
          <w:szCs w:val="39"/>
          <w:color w:val="38579B"/>
        </w:rPr>
        <w:t>ADI + Hittite</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34"/>
          <w:szCs w:val="34"/>
          <w:color w:val="38579B"/>
        </w:rPr>
        <w:t>Advances ADI’s Strategy</w:t>
      </w:r>
    </w:p>
    <w:p>
      <w:pPr>
        <w:spacing w:after="0" w:line="306"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3360" w:type="dxa"/>
            <w:vAlign w:val="bottom"/>
            <w:vMerge w:val="restart"/>
          </w:tcPr>
          <w:p>
            <w:pPr>
              <w:spacing w:after="0"/>
              <w:rPr>
                <w:sz w:val="20"/>
                <w:szCs w:val="20"/>
                <w:color w:val="auto"/>
              </w:rPr>
            </w:pPr>
            <w:r>
              <w:rPr>
                <w:rFonts w:ascii="Arial" w:cs="Arial" w:eastAsia="Arial" w:hAnsi="Arial"/>
                <w:sz w:val="28"/>
                <w:szCs w:val="28"/>
                <w:color w:val="auto"/>
              </w:rPr>
              <w:t>Adds significant revenue</w:t>
            </w:r>
          </w:p>
        </w:tc>
        <w:tc>
          <w:tcPr>
            <w:tcW w:w="680" w:type="dxa"/>
            <w:vAlign w:val="bottom"/>
          </w:tcPr>
          <w:p>
            <w:pPr>
              <w:jc w:val="right"/>
              <w:ind w:right="123"/>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135"/>
        </w:trPr>
        <w:tc>
          <w:tcPr>
            <w:tcW w:w="33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6"/>
        </w:trPr>
        <w:tc>
          <w:tcPr>
            <w:tcW w:w="3360" w:type="dxa"/>
            <w:vAlign w:val="bottom"/>
          </w:tcPr>
          <w:p>
            <w:pPr>
              <w:spacing w:after="0" w:line="306" w:lineRule="exact"/>
              <w:rPr>
                <w:sz w:val="20"/>
                <w:szCs w:val="20"/>
                <w:color w:val="auto"/>
              </w:rPr>
            </w:pPr>
            <w:r>
              <w:rPr>
                <w:rFonts w:ascii="Arial" w:cs="Arial" w:eastAsia="Arial" w:hAnsi="Arial"/>
                <w:sz w:val="28"/>
                <w:szCs w:val="28"/>
                <w:color w:val="auto"/>
              </w:rPr>
              <w:t>growth to ADI’s industrial</w:t>
            </w:r>
          </w:p>
        </w:tc>
        <w:tc>
          <w:tcPr>
            <w:tcW w:w="680" w:type="dxa"/>
            <w:vAlign w:val="bottom"/>
          </w:tcPr>
          <w:p>
            <w:pPr>
              <w:jc w:val="right"/>
              <w:spacing w:after="0"/>
              <w:rPr>
                <w:sz w:val="20"/>
                <w:szCs w:val="20"/>
                <w:color w:val="auto"/>
              </w:rPr>
            </w:pPr>
            <w:r>
              <w:rPr>
                <w:rFonts w:ascii="Arial" w:cs="Arial" w:eastAsia="Arial" w:hAnsi="Arial"/>
                <w:sz w:val="16"/>
                <w:szCs w:val="16"/>
                <w:color w:val="auto"/>
              </w:rPr>
              <w:t>$1,500</w:t>
            </w:r>
          </w:p>
        </w:tc>
        <w:tc>
          <w:tcPr>
            <w:tcW w:w="0" w:type="dxa"/>
            <w:vAlign w:val="bottom"/>
          </w:tcPr>
          <w:p>
            <w:pPr>
              <w:spacing w:after="0"/>
              <w:rPr>
                <w:sz w:val="1"/>
                <w:szCs w:val="1"/>
                <w:color w:val="auto"/>
              </w:rPr>
            </w:pPr>
          </w:p>
        </w:tc>
      </w:tr>
      <w:tr>
        <w:trPr>
          <w:trHeight w:val="306"/>
        </w:trPr>
        <w:tc>
          <w:tcPr>
            <w:tcW w:w="3360" w:type="dxa"/>
            <w:vAlign w:val="bottom"/>
          </w:tcPr>
          <w:p>
            <w:pPr>
              <w:spacing w:after="0" w:line="306" w:lineRule="exact"/>
              <w:rPr>
                <w:sz w:val="20"/>
                <w:szCs w:val="20"/>
                <w:color w:val="auto"/>
              </w:rPr>
            </w:pPr>
            <w:r>
              <w:rPr>
                <w:rFonts w:ascii="Arial" w:cs="Arial" w:eastAsia="Arial" w:hAnsi="Arial"/>
                <w:sz w:val="28"/>
                <w:szCs w:val="28"/>
                <w:color w:val="auto"/>
              </w:rPr>
              <w:t>and communications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360" w:type="dxa"/>
            <w:vAlign w:val="bottom"/>
          </w:tcPr>
          <w:p>
            <w:pPr>
              <w:spacing w:after="0"/>
              <w:rPr>
                <w:sz w:val="20"/>
                <w:szCs w:val="20"/>
                <w:color w:val="auto"/>
              </w:rPr>
            </w:pPr>
            <w:r>
              <w:rPr>
                <w:rFonts w:ascii="Arial" w:cs="Arial" w:eastAsia="Arial" w:hAnsi="Arial"/>
                <w:sz w:val="28"/>
                <w:szCs w:val="28"/>
                <w:color w:val="auto"/>
              </w:rPr>
              <w:t>businesses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3360" w:type="dxa"/>
            <w:vAlign w:val="bottom"/>
          </w:tcPr>
          <w:p>
            <w:pPr>
              <w:spacing w:after="0"/>
              <w:rPr>
                <w:sz w:val="20"/>
                <w:szCs w:val="20"/>
                <w:color w:val="auto"/>
              </w:rPr>
            </w:pPr>
            <w:r>
              <w:rPr>
                <w:rFonts w:ascii="Arial" w:cs="Arial" w:eastAsia="Arial" w:hAnsi="Arial"/>
                <w:sz w:val="28"/>
                <w:szCs w:val="28"/>
                <w:color w:val="auto"/>
              </w:rPr>
              <w:t>Approaching $1B in</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06"/>
        </w:trPr>
        <w:tc>
          <w:tcPr>
            <w:tcW w:w="3360" w:type="dxa"/>
            <w:vAlign w:val="bottom"/>
          </w:tcPr>
          <w:p>
            <w:pPr>
              <w:spacing w:after="0" w:line="306" w:lineRule="exact"/>
              <w:rPr>
                <w:sz w:val="20"/>
                <w:szCs w:val="20"/>
                <w:color w:val="auto"/>
              </w:rPr>
            </w:pPr>
            <w:r>
              <w:rPr>
                <w:rFonts w:ascii="Arial" w:cs="Arial" w:eastAsia="Arial" w:hAnsi="Arial"/>
                <w:sz w:val="28"/>
                <w:szCs w:val="28"/>
                <w:color w:val="auto"/>
              </w:rPr>
              <w:t>Amplifier/RF revenue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360" w:type="dxa"/>
            <w:vAlign w:val="bottom"/>
          </w:tcPr>
          <w:p>
            <w:pPr>
              <w:spacing w:after="0" w:line="296" w:lineRule="exact"/>
              <w:rPr>
                <w:sz w:val="20"/>
                <w:szCs w:val="20"/>
                <w:color w:val="auto"/>
              </w:rPr>
            </w:pPr>
            <w:r>
              <w:rPr>
                <w:rFonts w:ascii="Arial" w:cs="Arial" w:eastAsia="Arial" w:hAnsi="Arial"/>
                <w:sz w:val="28"/>
                <w:szCs w:val="28"/>
                <w:color w:val="auto"/>
              </w:rPr>
              <w:t>through expansion into</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360" w:type="dxa"/>
            <w:vAlign w:val="bottom"/>
          </w:tcPr>
          <w:p>
            <w:pPr>
              <w:spacing w:after="0" w:line="306" w:lineRule="exact"/>
              <w:rPr>
                <w:sz w:val="20"/>
                <w:szCs w:val="20"/>
                <w:color w:val="auto"/>
              </w:rPr>
            </w:pPr>
            <w:r>
              <w:rPr>
                <w:rFonts w:ascii="Arial" w:cs="Arial" w:eastAsia="Arial" w:hAnsi="Arial"/>
                <w:sz w:val="28"/>
                <w:szCs w:val="28"/>
                <w:color w:val="auto"/>
              </w:rPr>
              <w:t>higher frequency ranges,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360" w:type="dxa"/>
            <w:vAlign w:val="bottom"/>
          </w:tcPr>
          <w:p>
            <w:pPr>
              <w:spacing w:after="0"/>
              <w:rPr>
                <w:sz w:val="20"/>
                <w:szCs w:val="20"/>
                <w:color w:val="auto"/>
              </w:rPr>
            </w:pPr>
            <w:r>
              <w:rPr>
                <w:rFonts w:ascii="Arial" w:cs="Arial" w:eastAsia="Arial" w:hAnsi="Arial"/>
                <w:sz w:val="28"/>
                <w:szCs w:val="28"/>
                <w:color w:val="auto"/>
              </w:rPr>
              <w:t>especially microwave</w:t>
            </w:r>
          </w:p>
        </w:tc>
        <w:tc>
          <w:tcPr>
            <w:tcW w:w="68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606"/>
        </w:trPr>
        <w:tc>
          <w:tcPr>
            <w:tcW w:w="3360" w:type="dxa"/>
            <w:vAlign w:val="bottom"/>
          </w:tcPr>
          <w:p>
            <w:pPr>
              <w:spacing w:after="0"/>
              <w:rPr>
                <w:sz w:val="20"/>
                <w:szCs w:val="20"/>
                <w:color w:val="auto"/>
              </w:rPr>
            </w:pPr>
            <w:r>
              <w:rPr>
                <w:rFonts w:ascii="Arial" w:cs="Arial" w:eastAsia="Arial" w:hAnsi="Arial"/>
                <w:sz w:val="28"/>
                <w:szCs w:val="28"/>
                <w:color w:val="auto"/>
              </w:rPr>
              <w:t>Strengthens ADI’s high</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360" w:type="dxa"/>
            <w:vAlign w:val="bottom"/>
          </w:tcPr>
          <w:p>
            <w:pPr>
              <w:spacing w:after="0" w:line="306" w:lineRule="exact"/>
              <w:rPr>
                <w:sz w:val="20"/>
                <w:szCs w:val="20"/>
                <w:color w:val="auto"/>
              </w:rPr>
            </w:pPr>
            <w:r>
              <w:rPr>
                <w:rFonts w:ascii="Arial" w:cs="Arial" w:eastAsia="Arial" w:hAnsi="Arial"/>
                <w:sz w:val="28"/>
                <w:szCs w:val="28"/>
                <w:color w:val="auto"/>
              </w:rPr>
              <w:t>performance RF and</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360" w:type="dxa"/>
            <w:vAlign w:val="bottom"/>
          </w:tcPr>
          <w:p>
            <w:pPr>
              <w:spacing w:after="0" w:line="306" w:lineRule="exact"/>
              <w:rPr>
                <w:sz w:val="20"/>
                <w:szCs w:val="20"/>
                <w:color w:val="auto"/>
              </w:rPr>
            </w:pPr>
            <w:r>
              <w:rPr>
                <w:rFonts w:ascii="Arial" w:cs="Arial" w:eastAsia="Arial" w:hAnsi="Arial"/>
                <w:sz w:val="28"/>
                <w:szCs w:val="28"/>
                <w:color w:val="auto"/>
              </w:rPr>
              <w:t>microwave expertise</w:t>
            </w: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95"/>
        </w:trPr>
        <w:tc>
          <w:tcPr>
            <w:tcW w:w="3360" w:type="dxa"/>
            <w:vAlign w:val="bottom"/>
          </w:tcPr>
          <w:p>
            <w:pPr>
              <w:spacing w:after="0" w:line="296" w:lineRule="exact"/>
              <w:rPr>
                <w:sz w:val="20"/>
                <w:szCs w:val="20"/>
                <w:color w:val="auto"/>
              </w:rPr>
            </w:pPr>
            <w:r>
              <w:rPr>
                <w:rFonts w:ascii="Arial" w:cs="Arial" w:eastAsia="Arial" w:hAnsi="Arial"/>
                <w:sz w:val="28"/>
                <w:szCs w:val="28"/>
                <w:color w:val="auto"/>
              </w:rPr>
              <w:t>required to address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360" w:type="dxa"/>
            <w:vAlign w:val="bottom"/>
          </w:tcPr>
          <w:p>
            <w:pPr>
              <w:spacing w:after="0" w:line="306" w:lineRule="exact"/>
              <w:rPr>
                <w:sz w:val="20"/>
                <w:szCs w:val="20"/>
                <w:color w:val="auto"/>
              </w:rPr>
            </w:pPr>
            <w:r>
              <w:rPr>
                <w:rFonts w:ascii="Arial" w:cs="Arial" w:eastAsia="Arial" w:hAnsi="Arial"/>
                <w:sz w:val="28"/>
                <w:szCs w:val="28"/>
                <w:color w:val="auto"/>
              </w:rPr>
              <w:t>megatrend of ubiquitous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360" w:type="dxa"/>
            <w:vAlign w:val="bottom"/>
          </w:tcPr>
          <w:p>
            <w:pPr>
              <w:spacing w:after="0"/>
              <w:rPr>
                <w:sz w:val="20"/>
                <w:szCs w:val="20"/>
                <w:color w:val="auto"/>
              </w:rPr>
            </w:pPr>
            <w:r>
              <w:rPr>
                <w:rFonts w:ascii="Arial" w:cs="Arial" w:eastAsia="Arial" w:hAnsi="Arial"/>
                <w:sz w:val="28"/>
                <w:szCs w:val="28"/>
                <w:color w:val="auto"/>
              </w:rPr>
              <w:t>connectivity</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00"/>
        </w:trPr>
        <w:tc>
          <w:tcPr>
            <w:tcW w:w="1840" w:type="dxa"/>
            <w:vAlign w:val="bottom"/>
          </w:tcPr>
          <w:p>
            <w:pPr>
              <w:ind w:left="300"/>
              <w:spacing w:after="0"/>
              <w:rPr>
                <w:sz w:val="20"/>
                <w:szCs w:val="20"/>
                <w:color w:val="auto"/>
              </w:rPr>
            </w:pPr>
            <w:r>
              <w:rPr>
                <w:rFonts w:ascii="Arial" w:cs="Arial" w:eastAsia="Arial" w:hAnsi="Arial"/>
                <w:sz w:val="17"/>
                <w:szCs w:val="17"/>
                <w:b w:val="1"/>
                <w:bCs w:val="1"/>
                <w:color w:val="FFFFFF"/>
              </w:rPr>
              <w:t>Revenue</w:t>
            </w:r>
          </w:p>
        </w:tc>
        <w:tc>
          <w:tcPr>
            <w:tcW w:w="2600" w:type="dxa"/>
            <w:vAlign w:val="bottom"/>
          </w:tcPr>
          <w:p>
            <w:pPr>
              <w:jc w:val="center"/>
              <w:ind w:left="870"/>
              <w:spacing w:after="0"/>
              <w:rPr>
                <w:sz w:val="20"/>
                <w:szCs w:val="20"/>
                <w:color w:val="auto"/>
              </w:rPr>
            </w:pPr>
            <w:r>
              <w:rPr>
                <w:rFonts w:ascii="Arial" w:cs="Arial" w:eastAsia="Arial" w:hAnsi="Arial"/>
                <w:sz w:val="17"/>
                <w:szCs w:val="17"/>
                <w:b w:val="1"/>
                <w:bCs w:val="1"/>
                <w:color w:val="FFFFFF"/>
              </w:rPr>
              <w:t>Revenue</w:t>
            </w:r>
          </w:p>
        </w:tc>
        <w:tc>
          <w:tcPr>
            <w:tcW w:w="0" w:type="dxa"/>
            <w:vAlign w:val="bottom"/>
          </w:tcPr>
          <w:p>
            <w:pPr>
              <w:spacing w:after="0"/>
              <w:rPr>
                <w:sz w:val="1"/>
                <w:szCs w:val="1"/>
                <w:color w:val="auto"/>
              </w:rPr>
            </w:pPr>
          </w:p>
        </w:tc>
      </w:tr>
      <w:tr>
        <w:trPr>
          <w:trHeight w:val="223"/>
        </w:trPr>
        <w:tc>
          <w:tcPr>
            <w:tcW w:w="1840" w:type="dxa"/>
            <w:vAlign w:val="bottom"/>
          </w:tcPr>
          <w:p>
            <w:pPr>
              <w:ind w:left="280"/>
              <w:spacing w:after="0"/>
              <w:rPr>
                <w:sz w:val="20"/>
                <w:szCs w:val="20"/>
                <w:color w:val="auto"/>
              </w:rPr>
            </w:pPr>
            <w:r>
              <w:rPr>
                <w:rFonts w:ascii="Arial" w:cs="Arial" w:eastAsia="Arial" w:hAnsi="Arial"/>
                <w:sz w:val="17"/>
                <w:szCs w:val="17"/>
                <w:b w:val="1"/>
                <w:bCs w:val="1"/>
                <w:color w:val="FFFFFF"/>
              </w:rPr>
              <w:t>by Market</w:t>
            </w:r>
          </w:p>
        </w:tc>
        <w:tc>
          <w:tcPr>
            <w:tcW w:w="2600" w:type="dxa"/>
            <w:vAlign w:val="bottom"/>
          </w:tcPr>
          <w:p>
            <w:pPr>
              <w:jc w:val="center"/>
              <w:ind w:left="850"/>
              <w:spacing w:after="0"/>
              <w:rPr>
                <w:sz w:val="20"/>
                <w:szCs w:val="20"/>
                <w:color w:val="auto"/>
              </w:rPr>
            </w:pPr>
            <w:r>
              <w:rPr>
                <w:rFonts w:ascii="Arial" w:cs="Arial" w:eastAsia="Arial" w:hAnsi="Arial"/>
                <w:sz w:val="17"/>
                <w:szCs w:val="17"/>
                <w:b w:val="1"/>
                <w:bCs w:val="1"/>
                <w:color w:val="FFFFFF"/>
                <w:w w:val="99"/>
              </w:rPr>
              <w:t>by Product Category</w:t>
            </w:r>
          </w:p>
        </w:tc>
        <w:tc>
          <w:tcPr>
            <w:tcW w:w="0" w:type="dxa"/>
            <w:vAlign w:val="bottom"/>
          </w:tcPr>
          <w:p>
            <w:pPr>
              <w:spacing w:after="0"/>
              <w:rPr>
                <w:sz w:val="1"/>
                <w:szCs w:val="1"/>
                <w:color w:val="auto"/>
              </w:rPr>
            </w:pPr>
          </w:p>
        </w:tc>
      </w:tr>
      <w:tr>
        <w:trPr>
          <w:trHeight w:val="766"/>
        </w:trPr>
        <w:tc>
          <w:tcPr>
            <w:tcW w:w="1840" w:type="dxa"/>
            <w:vAlign w:val="bottom"/>
          </w:tcPr>
          <w:p>
            <w:pPr>
              <w:spacing w:after="0"/>
              <w:rPr>
                <w:sz w:val="24"/>
                <w:szCs w:val="24"/>
                <w:color w:val="auto"/>
              </w:rPr>
            </w:pPr>
          </w:p>
        </w:tc>
        <w:tc>
          <w:tcPr>
            <w:tcW w:w="2600" w:type="dxa"/>
            <w:vAlign w:val="bottom"/>
          </w:tcPr>
          <w:p>
            <w:pPr>
              <w:jc w:val="right"/>
              <w:ind w:right="123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474"/>
        </w:trPr>
        <w:tc>
          <w:tcPr>
            <w:tcW w:w="1840" w:type="dxa"/>
            <w:vAlign w:val="bottom"/>
          </w:tcPr>
          <w:p>
            <w:pPr>
              <w:jc w:val="right"/>
              <w:ind w:right="1187"/>
              <w:spacing w:after="0"/>
              <w:rPr>
                <w:sz w:val="20"/>
                <w:szCs w:val="20"/>
                <w:color w:val="auto"/>
              </w:rPr>
            </w:pPr>
            <w:r>
              <w:rPr>
                <w:rFonts w:ascii="Arial" w:cs="Arial" w:eastAsia="Arial" w:hAnsi="Arial"/>
                <w:sz w:val="22"/>
                <w:szCs w:val="22"/>
                <w:color w:val="FFFFFF"/>
                <w:w w:val="94"/>
              </w:rPr>
              <w:t>+11%</w:t>
            </w:r>
          </w:p>
        </w:tc>
        <w:tc>
          <w:tcPr>
            <w:tcW w:w="2600" w:type="dxa"/>
            <w:vAlign w:val="bottom"/>
            <w:vMerge w:val="restart"/>
          </w:tcPr>
          <w:p>
            <w:pPr>
              <w:jc w:val="right"/>
              <w:ind w:right="210"/>
              <w:spacing w:after="0"/>
              <w:rPr>
                <w:sz w:val="20"/>
                <w:szCs w:val="20"/>
                <w:color w:val="auto"/>
              </w:rPr>
            </w:pPr>
            <w:r>
              <w:rPr>
                <w:rFonts w:ascii="Arial" w:cs="Arial" w:eastAsia="Arial" w:hAnsi="Arial"/>
                <w:sz w:val="22"/>
                <w:szCs w:val="22"/>
                <w:color w:val="FFFFFF"/>
              </w:rPr>
              <w:t>+39%</w:t>
            </w:r>
          </w:p>
        </w:tc>
        <w:tc>
          <w:tcPr>
            <w:tcW w:w="0" w:type="dxa"/>
            <w:vAlign w:val="bottom"/>
          </w:tcPr>
          <w:p>
            <w:pPr>
              <w:spacing w:after="0"/>
              <w:rPr>
                <w:sz w:val="1"/>
                <w:szCs w:val="1"/>
                <w:color w:val="auto"/>
              </w:rPr>
            </w:pPr>
          </w:p>
        </w:tc>
      </w:tr>
      <w:tr>
        <w:trPr>
          <w:trHeight w:val="211"/>
        </w:trPr>
        <w:tc>
          <w:tcPr>
            <w:tcW w:w="184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-3298825</wp:posOffset>
            </wp:positionH>
            <wp:positionV relativeFrom="paragraph">
              <wp:posOffset>-2125345</wp:posOffset>
            </wp:positionV>
            <wp:extent cx="7315200" cy="4918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$500</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22"/>
          <w:szCs w:val="22"/>
          <w:color w:val="FFFFFF"/>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$0</w:t>
      </w:r>
    </w:p>
    <w:p>
      <w:pPr>
        <w:spacing w:after="0" w:line="16" w:lineRule="exact"/>
        <w:rPr>
          <w:sz w:val="20"/>
          <w:szCs w:val="20"/>
          <w:color w:val="auto"/>
        </w:rPr>
      </w:pPr>
    </w:p>
    <w:p>
      <w:pPr>
        <w:spacing w:after="0"/>
        <w:tabs>
          <w:tab w:leader="none" w:pos="1300" w:val="left"/>
          <w:tab w:leader="none" w:pos="3440" w:val="left"/>
        </w:tabs>
        <w:rPr>
          <w:sz w:val="20"/>
          <w:szCs w:val="20"/>
          <w:color w:val="auto"/>
        </w:rPr>
      </w:pPr>
      <w:r>
        <w:rPr>
          <w:rFonts w:ascii="Arial" w:cs="Arial" w:eastAsia="Arial" w:hAnsi="Arial"/>
          <w:sz w:val="16"/>
          <w:szCs w:val="16"/>
          <w:color w:val="auto"/>
        </w:rPr>
        <w:t>Industrial</w:t>
      </w:r>
      <w:r>
        <w:rPr>
          <w:sz w:val="20"/>
          <w:szCs w:val="20"/>
          <w:color w:val="auto"/>
        </w:rPr>
        <w:tab/>
      </w:r>
      <w:r>
        <w:rPr>
          <w:rFonts w:ascii="Arial" w:cs="Arial" w:eastAsia="Arial" w:hAnsi="Arial"/>
          <w:sz w:val="16"/>
          <w:szCs w:val="16"/>
          <w:color w:val="auto"/>
        </w:rPr>
        <w:t>Comms</w:t>
      </w:r>
      <w:r>
        <w:rPr>
          <w:sz w:val="20"/>
          <w:szCs w:val="20"/>
          <w:color w:val="auto"/>
        </w:rPr>
        <w:tab/>
      </w:r>
      <w:r>
        <w:rPr>
          <w:rFonts w:ascii="Arial" w:cs="Arial" w:eastAsia="Arial" w:hAnsi="Arial"/>
          <w:sz w:val="16"/>
          <w:szCs w:val="16"/>
          <w:color w:val="auto"/>
        </w:rPr>
        <w:t>Amplifiers/RF</w:t>
      </w:r>
    </w:p>
    <w:p>
      <w:pPr>
        <w:spacing w:after="0" w:line="81" w:lineRule="exact"/>
        <w:rPr>
          <w:sz w:val="20"/>
          <w:szCs w:val="20"/>
          <w:color w:val="auto"/>
        </w:rPr>
      </w:pPr>
    </w:p>
    <w:p>
      <w:pPr>
        <w:ind w:left="360"/>
        <w:spacing w:after="0"/>
        <w:tabs>
          <w:tab w:leader="none" w:pos="1280" w:val="left"/>
        </w:tabs>
        <w:rPr>
          <w:sz w:val="20"/>
          <w:szCs w:val="20"/>
          <w:color w:val="auto"/>
        </w:rPr>
      </w:pPr>
      <w:r>
        <w:rPr>
          <w:rFonts w:ascii="Arial" w:cs="Arial" w:eastAsia="Arial" w:hAnsi="Arial"/>
          <w:sz w:val="17"/>
          <w:szCs w:val="17"/>
          <w:color w:val="auto"/>
        </w:rPr>
        <w:t>ADI</w:t>
      </w:r>
      <w:r>
        <w:rPr>
          <w:sz w:val="20"/>
          <w:szCs w:val="20"/>
          <w:color w:val="auto"/>
        </w:rPr>
        <w:tab/>
      </w:r>
      <w:r>
        <w:rPr>
          <w:rFonts w:ascii="Arial" w:cs="Arial" w:eastAsia="Arial" w:hAnsi="Arial"/>
          <w:sz w:val="17"/>
          <w:szCs w:val="17"/>
          <w:color w:val="auto"/>
        </w:rPr>
        <w:t>Hittite</w:t>
      </w:r>
    </w:p>
    <w:p>
      <w:pPr>
        <w:spacing w:after="0" w:line="304"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i w:val="1"/>
          <w:iCs w:val="1"/>
          <w:color w:val="auto"/>
        </w:rPr>
        <w:t>Fiscal year 2013</w:t>
      </w:r>
    </w:p>
    <w:p>
      <w:pPr>
        <w:sectPr>
          <w:pgSz w:w="11900" w:h="16838" w:orient="portrait"/>
          <w:cols w:equalWidth="0" w:num="2">
            <w:col w:w="4360" w:space="400"/>
            <w:col w:w="5059"/>
          </w:cols>
          <w:pgMar w:left="640" w:top="979"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39"/>
          <w:szCs w:val="39"/>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Conclusion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60" w:right="319"/>
        <w:spacing w:after="0" w:line="243" w:lineRule="auto"/>
        <w:rPr>
          <w:sz w:val="20"/>
          <w:szCs w:val="20"/>
          <w:color w:val="auto"/>
        </w:rPr>
      </w:pPr>
      <w:r>
        <w:rPr>
          <w:rFonts w:ascii="Arial" w:cs="Arial" w:eastAsia="Arial" w:hAnsi="Arial"/>
          <w:sz w:val="30"/>
          <w:szCs w:val="30"/>
          <w:color w:val="auto"/>
        </w:rPr>
        <w:t>Expands ADI’s Position In High Performance Signal Processing Solutions and drives growth in key markets</w:t>
      </w:r>
    </w:p>
    <w:p>
      <w:pPr>
        <w:spacing w:after="0" w:line="292" w:lineRule="exact"/>
        <w:rPr>
          <w:sz w:val="20"/>
          <w:szCs w:val="20"/>
          <w:color w:val="auto"/>
        </w:rPr>
      </w:pPr>
    </w:p>
    <w:p>
      <w:pPr>
        <w:ind w:left="3860" w:right="919"/>
        <w:spacing w:after="0" w:line="237" w:lineRule="auto"/>
        <w:rPr>
          <w:sz w:val="20"/>
          <w:szCs w:val="20"/>
          <w:color w:val="auto"/>
        </w:rPr>
      </w:pPr>
      <w:r>
        <w:rPr>
          <w:rFonts w:ascii="Arial" w:cs="Arial" w:eastAsia="Arial" w:hAnsi="Arial"/>
          <w:sz w:val="31"/>
          <w:szCs w:val="31"/>
          <w:color w:val="auto"/>
        </w:rPr>
        <w:t>Strong complementary position in RF and microwave applications</w:t>
      </w:r>
    </w:p>
    <w:p>
      <w:pPr>
        <w:spacing w:after="0" w:line="309" w:lineRule="exact"/>
        <w:rPr>
          <w:sz w:val="20"/>
          <w:szCs w:val="20"/>
          <w:color w:val="auto"/>
        </w:rPr>
      </w:pPr>
    </w:p>
    <w:p>
      <w:pPr>
        <w:ind w:left="3860" w:right="339"/>
        <w:spacing w:after="0" w:line="244" w:lineRule="auto"/>
        <w:rPr>
          <w:sz w:val="20"/>
          <w:szCs w:val="20"/>
          <w:color w:val="auto"/>
        </w:rPr>
      </w:pPr>
      <w:r>
        <w:rPr>
          <w:rFonts w:ascii="Arial" w:cs="Arial" w:eastAsia="Arial" w:hAnsi="Arial"/>
          <w:sz w:val="30"/>
          <w:szCs w:val="30"/>
          <w:color w:val="auto"/>
        </w:rPr>
        <w:t>Allows ADI to provide more complete and differentiated solutions for our customers</w:t>
      </w:r>
    </w:p>
    <w:p>
      <w:pPr>
        <w:spacing w:after="0" w:line="301" w:lineRule="exact"/>
        <w:rPr>
          <w:sz w:val="20"/>
          <w:szCs w:val="20"/>
          <w:color w:val="auto"/>
        </w:rPr>
      </w:pPr>
    </w:p>
    <w:p>
      <w:pPr>
        <w:ind w:left="3860" w:right="499"/>
        <w:spacing w:after="0" w:line="237" w:lineRule="auto"/>
        <w:rPr>
          <w:sz w:val="20"/>
          <w:szCs w:val="20"/>
          <w:color w:val="auto"/>
        </w:rPr>
      </w:pPr>
      <w:r>
        <w:rPr>
          <w:rFonts w:ascii="Arial" w:cs="Arial" w:eastAsia="Arial" w:hAnsi="Arial"/>
          <w:sz w:val="31"/>
          <w:szCs w:val="31"/>
          <w:color w:val="auto"/>
        </w:rPr>
        <w:t>Expected to be accretive to margins and EPS on a non-GAAP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9819"/>
          </w:cols>
          <w:pgMar w:left="640" w:top="979"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38"/>
          <w:szCs w:val="38"/>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Q&amp;A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9819"/>
          </w:cols>
          <w:pgMar w:left="640" w:top="979" w:right="1440" w:bottom="1440" w:gutter="0" w:footer="0" w:header="0"/>
        </w:sectPr>
      </w:pPr>
    </w:p>
    <w:bookmarkStart w:id="18" w:name="page19"/>
    <w:bookmarkEnd w:id="18"/>
    <w:p>
      <w:pPr>
        <w:jc w:val="right"/>
        <w:ind w:right="1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71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5200" cy="4971415"/>
                    </a:xfrm>
                    <a:prstGeom prst="rect">
                      <a:avLst/>
                    </a:prstGeom>
                    <a:noFill/>
                  </pic:spPr>
                </pic:pic>
              </a:graphicData>
            </a:graphic>
          </wp:anchor>
        </w:drawing>
        <w:t>TheWorldLeaderinHighPerformanceSignalProcessingSolutions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580"/>
        <w:spacing w:after="0"/>
        <w:rPr>
          <w:sz w:val="20"/>
          <w:szCs w:val="20"/>
          <w:color w:val="auto"/>
        </w:rPr>
      </w:pPr>
      <w:r>
        <w:rPr>
          <w:rFonts w:ascii="Arial" w:cs="Arial" w:eastAsia="Arial" w:hAnsi="Arial"/>
          <w:sz w:val="47"/>
          <w:szCs w:val="47"/>
          <w:color w:val="38579B"/>
        </w:rPr>
        <w:t>Thank You</w:t>
      </w:r>
    </w:p>
    <w:p>
      <w:pPr>
        <w:spacing w:after="0" w:line="200" w:lineRule="exact"/>
        <w:rPr>
          <w:sz w:val="20"/>
          <w:szCs w:val="20"/>
          <w:color w:val="auto"/>
        </w:rPr>
      </w:pPr>
    </w:p>
    <w:p>
      <w:pPr>
        <w:spacing w:after="0" w:line="346" w:lineRule="exact"/>
        <w:rPr>
          <w:sz w:val="20"/>
          <w:szCs w:val="20"/>
          <w:color w:val="auto"/>
        </w:rPr>
      </w:pPr>
    </w:p>
    <w:p>
      <w:pPr>
        <w:ind w:left="2880"/>
        <w:spacing w:after="0"/>
        <w:rPr>
          <w:sz w:val="20"/>
          <w:szCs w:val="20"/>
          <w:color w:val="auto"/>
        </w:rPr>
      </w:pPr>
      <w:r>
        <w:rPr>
          <w:rFonts w:ascii="Arial" w:cs="Arial" w:eastAsia="Arial" w:hAnsi="Arial"/>
          <w:sz w:val="34"/>
          <w:szCs w:val="34"/>
          <w:b w:val="1"/>
          <w:bCs w:val="1"/>
          <w:color w:val="auto"/>
        </w:rPr>
        <w:t>June 9, 2014</w:t>
      </w:r>
    </w:p>
    <w:p>
      <w:pPr>
        <w:sectPr>
          <w:pgSz w:w="11900" w:h="16838" w:orient="portrait"/>
          <w:cols w:equalWidth="0" w:num="1">
            <w:col w:w="9019"/>
          </w:cols>
          <w:pgMar w:left="1440" w:top="1374" w:right="1440" w:bottom="1440" w:gutter="0" w:footer="0" w:header="0"/>
        </w:sectPr>
      </w:pPr>
    </w:p>
    <w:bookmarkStart w:id="19" w:name="page20"/>
    <w:bookmarkEnd w:id="19"/>
    <w:p>
      <w:pPr>
        <w:ind w:left="60" w:right="2819"/>
        <w:spacing w:after="0" w:line="243" w:lineRule="auto"/>
        <w:rPr>
          <w:sz w:val="20"/>
          <w:szCs w:val="20"/>
          <w:color w:val="auto"/>
        </w:rPr>
      </w:pPr>
      <w:r>
        <w:rPr>
          <w:rFonts w:ascii="Arial" w:cs="Arial" w:eastAsia="Arial" w:hAnsi="Arial"/>
          <w:sz w:val="33"/>
          <w:szCs w:val="33"/>
          <w:color w:val="38579B"/>
        </w:rPr>
        <w:drawing>
          <wp:anchor simplePos="0" relativeHeight="251657728" behindDoc="1" locked="0" layoutInCell="0" allowOverlap="1">
            <wp:simplePos x="0" y="0"/>
            <wp:positionH relativeFrom="page">
              <wp:posOffset>129540</wp:posOffset>
            </wp:positionH>
            <wp:positionV relativeFrom="page">
              <wp:posOffset>88900</wp:posOffset>
            </wp:positionV>
            <wp:extent cx="7315200" cy="4918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5200" cy="4918075"/>
                    </a:xfrm>
                    <a:prstGeom prst="rect">
                      <a:avLst/>
                    </a:prstGeom>
                    <a:noFill/>
                  </pic:spPr>
                </pic:pic>
              </a:graphicData>
            </a:graphic>
          </wp:anchor>
        </w:drawing>
        <w:t>Important Additional Information Will Be Filed with the Securities and Exchange Commission</w:t>
      </w:r>
    </w:p>
    <w:p>
      <w:pPr>
        <w:spacing w:after="0" w:line="310" w:lineRule="exact"/>
        <w:rPr>
          <w:sz w:val="20"/>
          <w:szCs w:val="20"/>
          <w:color w:val="auto"/>
        </w:rPr>
      </w:pPr>
    </w:p>
    <w:p>
      <w:pPr>
        <w:ind w:left="60" w:right="419"/>
        <w:spacing w:after="0" w:line="230" w:lineRule="auto"/>
        <w:rPr>
          <w:sz w:val="20"/>
          <w:szCs w:val="20"/>
          <w:color w:val="auto"/>
        </w:rPr>
      </w:pPr>
      <w:r>
        <w:rPr>
          <w:rFonts w:ascii="Arial" w:cs="Arial" w:eastAsia="Arial" w:hAnsi="Arial"/>
          <w:sz w:val="25"/>
          <w:szCs w:val="25"/>
          <w:color w:val="auto"/>
        </w:rPr>
        <w:t>This presentation is neither an offer to purchase nor a solicitation of an offer to sell shares of Hittite Microwave Corporation. At the time the tender offer is commenced, ADI will file with the Securities and Exchange Commission (“SEC”) and mail to Hittite Microwave Corporation’s stockholders a Tender Offer Statement and Hittite Microwave Corporation will file with the SEC and mail to its stockholders a Tender Offer Solicitation/Recommendation Statement in connection with the transaction. These documents will contain important information about ADI, Hittite Microwave Corporation, the transaction and other related matters. Investors and security holders are urged to read each of these documents carefully when they are available. Investors and security holders will be able to obtain free copies of the Tender Offer Statement, the Tender Offer Solicitation/Recommendation Statement and other documents filed with the SEC by ADI and Hittite Microwave Corporation through the website maintained by the SEC at www.sec.gov. In addition, investors and security holders will be able to obtain free copies of these documents from ADI or Hittite Microwave Corporation by contacting ADI’s Director of Investor Relations at Analog Devices, Inc., One Technology Way, Norwood, Massachusetts 02062; telephone: 781-461-3282 or by contacting Hittite Microwave Corporation’s Chief Financial Officer at Hittite Microwave Corporation, 2 Elizabeth Drive Chelmsford, Massachusetts 01824; telephone: 978-250-3343.</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15</w:t>
      </w:r>
    </w:p>
    <w:sectPr>
      <w:pgSz w:w="11900" w:h="16838" w:orient="portrait"/>
      <w:cols w:equalWidth="0" w:num="1">
        <w:col w:w="9819"/>
      </w:cols>
      <w:pgMar w:left="640" w:top="9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2019-12-20T21:19:39Z</dcterms:created>
  <dcterms:modified xsi:type="dcterms:W3CDTF">2019-12-20T21:19:39Z</dcterms:modified>
</cp:coreProperties>
</file>