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183515</wp:posOffset>
            </wp:positionH>
            <wp:positionV relativeFrom="page">
              <wp:posOffset>612140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577850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50800</wp:posOffset>
            </wp:positionV>
            <wp:extent cx="1741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91440</wp:posOffset>
            </wp:positionV>
            <wp:extent cx="1741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6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hanging="694"/>
        <w:spacing w:after="0"/>
        <w:tabs>
          <w:tab w:leader="none" w:pos="720" w:val="left"/>
        </w:tabs>
        <w:numPr>
          <w:ilvl w:val="0"/>
          <w:numId w:val="1"/>
        </w:numPr>
        <w:rPr>
          <w:rFonts w:ascii="MS PGothic" w:cs="MS PGothic" w:eastAsia="MS PGothic" w:hAnsi="MS PGothic"/>
          <w:sz w:val="24"/>
          <w:szCs w:val="24"/>
          <w:color w:val="auto"/>
        </w:rPr>
      </w:pPr>
      <w:r>
        <w:rPr>
          <w:rFonts w:ascii="Arial" w:cs="Arial" w:eastAsia="Arial" w:hAnsi="Arial"/>
          <w:sz w:val="21"/>
          <w:szCs w:val="21"/>
          <w:b w:val="1"/>
          <w:bCs w:val="1"/>
          <w:color w:val="auto"/>
        </w:rPr>
        <w:t>QUARTERLY REPORT PURSUANT TO SECTION 13 OR 15(d) OF THE SECURITIES EXCHANGE ACT OF</w:t>
      </w:r>
    </w:p>
    <w:p>
      <w:pPr>
        <w:spacing w:after="0" w:line="1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February 1, 2020</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720" w:right="160" w:hanging="681"/>
        <w:spacing w:after="0" w:line="244" w:lineRule="auto"/>
        <w:tabs>
          <w:tab w:leader="none" w:pos="72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3900" w:type="dxa"/>
        <w:tblCellMar>
          <w:top w:w="0" w:type="dxa"/>
          <w:left w:w="0" w:type="dxa"/>
          <w:bottom w:w="0" w:type="dxa"/>
          <w:right w:w="0" w:type="dxa"/>
        </w:tblCellMar>
      </w:tblPr>
      <w:tr>
        <w:trPr>
          <w:trHeight w:val="193"/>
        </w:trPr>
        <w:tc>
          <w:tcPr>
            <w:tcW w:w="23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90"/>
              </w:rPr>
              <w:t>For the transition period from</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line="194" w:lineRule="exact"/>
              <w:rPr>
                <w:sz w:val="20"/>
                <w:szCs w:val="20"/>
                <w:color w:val="auto"/>
              </w:rPr>
            </w:pPr>
            <w:r>
              <w:rPr>
                <w:rFonts w:ascii="Arial" w:cs="Arial" w:eastAsia="Arial" w:hAnsi="Arial"/>
                <w:sz w:val="18"/>
                <w:szCs w:val="18"/>
                <w:b w:val="1"/>
                <w:bCs w:val="1"/>
                <w:color w:val="auto"/>
                <w:w w:val="82"/>
              </w:rPr>
              <w:t>to</w:t>
            </w:r>
          </w:p>
        </w:tc>
        <w:tc>
          <w:tcPr>
            <w:tcW w:w="580" w:type="dxa"/>
            <w:vAlign w:val="bottom"/>
            <w:tcBorders>
              <w:bottom w:val="single" w:sz="8" w:color="auto"/>
            </w:tcBorders>
            <w:gridSpan w:val="2"/>
          </w:tcPr>
          <w:p>
            <w:pPr>
              <w:spacing w:after="0"/>
              <w:rPr>
                <w:sz w:val="16"/>
                <w:szCs w:val="16"/>
                <w:color w:val="auto"/>
              </w:rPr>
            </w:pPr>
          </w:p>
        </w:tc>
      </w:tr>
      <w:tr>
        <w:trPr>
          <w:trHeight w:val="237"/>
        </w:trPr>
        <w:tc>
          <w:tcPr>
            <w:tcW w:w="440" w:type="dxa"/>
            <w:vAlign w:val="bottom"/>
          </w:tcPr>
          <w:p>
            <w:pPr>
              <w:spacing w:after="0"/>
              <w:rPr>
                <w:sz w:val="20"/>
                <w:szCs w:val="20"/>
                <w:color w:val="auto"/>
              </w:rPr>
            </w:pPr>
          </w:p>
        </w:tc>
        <w:tc>
          <w:tcPr>
            <w:tcW w:w="2460" w:type="dxa"/>
            <w:vAlign w:val="bottom"/>
            <w:gridSpan w:val="2"/>
          </w:tcPr>
          <w:p>
            <w:pPr>
              <w:ind w:left="300"/>
              <w:spacing w:after="0"/>
              <w:rPr>
                <w:sz w:val="20"/>
                <w:szCs w:val="20"/>
                <w:color w:val="auto"/>
              </w:rPr>
            </w:pPr>
            <w:r>
              <w:rPr>
                <w:rFonts w:ascii="Arial" w:cs="Arial" w:eastAsia="Arial" w:hAnsi="Arial"/>
                <w:sz w:val="18"/>
                <w:szCs w:val="18"/>
                <w:b w:val="1"/>
                <w:bCs w:val="1"/>
                <w:color w:val="auto"/>
                <w:w w:val="89"/>
              </w:rPr>
              <w:t>Commission File No. 1-7819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81"/>
        </w:trPr>
        <w:tc>
          <w:tcPr>
            <w:tcW w:w="44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r>
    </w:tbl>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529"/>
        </w:trPr>
        <w:tc>
          <w:tcPr>
            <w:tcW w:w="10880" w:type="dxa"/>
            <w:vAlign w:val="bottom"/>
            <w:gridSpan w:val="5"/>
          </w:tcPr>
          <w:p>
            <w:pPr>
              <w:jc w:val="center"/>
              <w:ind w:left="443"/>
              <w:spacing w:after="0"/>
              <w:rPr>
                <w:sz w:val="20"/>
                <w:szCs w:val="20"/>
                <w:color w:val="auto"/>
              </w:rPr>
            </w:pPr>
            <w:r>
              <w:rPr>
                <w:rFonts w:ascii="Arial" w:cs="Arial" w:eastAsia="Arial" w:hAnsi="Arial"/>
                <w:sz w:val="43"/>
                <w:szCs w:val="43"/>
                <w:b w:val="1"/>
                <w:bCs w:val="1"/>
                <w:color w:val="auto"/>
                <w:w w:val="89"/>
              </w:rPr>
              <w:t>Analog Devices, Inc.</w:t>
            </w:r>
          </w:p>
        </w:tc>
        <w:tc>
          <w:tcPr>
            <w:tcW w:w="0" w:type="dxa"/>
            <w:vAlign w:val="bottom"/>
          </w:tcPr>
          <w:p>
            <w:pPr>
              <w:spacing w:after="0"/>
              <w:rPr>
                <w:sz w:val="1"/>
                <w:szCs w:val="1"/>
                <w:color w:val="auto"/>
              </w:rPr>
            </w:pPr>
          </w:p>
        </w:tc>
      </w:tr>
      <w:tr>
        <w:trPr>
          <w:trHeight w:val="230"/>
        </w:trPr>
        <w:tc>
          <w:tcPr>
            <w:tcW w:w="10880" w:type="dxa"/>
            <w:vAlign w:val="bottom"/>
            <w:gridSpan w:val="5"/>
          </w:tcPr>
          <w:p>
            <w:pPr>
              <w:jc w:val="center"/>
              <w:ind w:left="423"/>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0" w:type="dxa"/>
            <w:vAlign w:val="bottom"/>
          </w:tcPr>
          <w:p>
            <w:pPr>
              <w:spacing w:after="0"/>
              <w:rPr>
                <w:sz w:val="1"/>
                <w:szCs w:val="1"/>
                <w:color w:val="auto"/>
              </w:rPr>
            </w:pPr>
          </w:p>
        </w:tc>
      </w:tr>
      <w:tr>
        <w:trPr>
          <w:trHeight w:val="27"/>
        </w:trPr>
        <w:tc>
          <w:tcPr>
            <w:tcW w:w="4180" w:type="dxa"/>
            <w:vAlign w:val="bottom"/>
            <w:vMerge w:val="restart"/>
          </w:tcPr>
          <w:p>
            <w:pPr>
              <w:jc w:val="center"/>
              <w:ind w:left="583"/>
              <w:spacing w:after="0"/>
              <w:rPr>
                <w:sz w:val="20"/>
                <w:szCs w:val="20"/>
                <w:color w:val="auto"/>
              </w:rPr>
            </w:pPr>
            <w:r>
              <w:rPr>
                <w:rFonts w:ascii="Arial" w:cs="Arial" w:eastAsia="Arial" w:hAnsi="Arial"/>
                <w:sz w:val="18"/>
                <w:szCs w:val="18"/>
                <w:b w:val="1"/>
                <w:bCs w:val="1"/>
                <w:color w:val="auto"/>
                <w:w w:val="85"/>
              </w:rPr>
              <w:t>Massachusetts</w:t>
            </w:r>
          </w:p>
        </w:tc>
        <w:tc>
          <w:tcPr>
            <w:tcW w:w="16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00" w:type="dxa"/>
            <w:vAlign w:val="bottom"/>
            <w:vMerge w:val="restart"/>
          </w:tcPr>
          <w:p>
            <w:pPr>
              <w:jc w:val="center"/>
              <w:ind w:right="116"/>
              <w:spacing w:after="0"/>
              <w:rPr>
                <w:sz w:val="20"/>
                <w:szCs w:val="20"/>
                <w:color w:val="auto"/>
              </w:rPr>
            </w:pPr>
            <w:r>
              <w:rPr>
                <w:rFonts w:ascii="Arial" w:cs="Arial" w:eastAsia="Arial" w:hAnsi="Arial"/>
                <w:sz w:val="18"/>
                <w:szCs w:val="18"/>
                <w:b w:val="1"/>
                <w:bCs w:val="1"/>
                <w:color w:val="auto"/>
                <w:w w:val="89"/>
              </w:rPr>
              <w:t>04-2348234</w:t>
            </w:r>
          </w:p>
        </w:tc>
        <w:tc>
          <w:tcPr>
            <w:tcW w:w="0" w:type="dxa"/>
            <w:vAlign w:val="bottom"/>
          </w:tcPr>
          <w:p>
            <w:pPr>
              <w:spacing w:after="0"/>
              <w:rPr>
                <w:sz w:val="1"/>
                <w:szCs w:val="1"/>
                <w:color w:val="auto"/>
              </w:rPr>
            </w:pPr>
          </w:p>
        </w:tc>
      </w:tr>
      <w:tr>
        <w:trPr>
          <w:trHeight w:val="547"/>
        </w:trPr>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80" w:type="dxa"/>
            <w:vAlign w:val="bottom"/>
          </w:tcPr>
          <w:p>
            <w:pPr>
              <w:jc w:val="center"/>
              <w:ind w:left="583"/>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tcPr>
          <w:p>
            <w:pPr>
              <w:jc w:val="center"/>
              <w:ind w:right="116"/>
              <w:spacing w:after="0"/>
              <w:rPr>
                <w:sz w:val="20"/>
                <w:szCs w:val="20"/>
                <w:color w:val="auto"/>
              </w:rPr>
            </w:pPr>
            <w:r>
              <w:rPr>
                <w:rFonts w:ascii="Arial" w:cs="Arial" w:eastAsia="Arial" w:hAnsi="Arial"/>
                <w:sz w:val="14"/>
                <w:szCs w:val="14"/>
                <w:i w:val="1"/>
                <w:iCs w:val="1"/>
                <w:color w:val="auto"/>
                <w:w w:val="95"/>
              </w:rPr>
              <w:t>(I.R.S. Employer Identification No.)</w:t>
            </w:r>
          </w:p>
        </w:tc>
        <w:tc>
          <w:tcPr>
            <w:tcW w:w="0" w:type="dxa"/>
            <w:vAlign w:val="bottom"/>
          </w:tcPr>
          <w:p>
            <w:pPr>
              <w:spacing w:after="0"/>
              <w:rPr>
                <w:sz w:val="1"/>
                <w:szCs w:val="1"/>
                <w:color w:val="auto"/>
              </w:rPr>
            </w:pPr>
          </w:p>
        </w:tc>
      </w:tr>
      <w:tr>
        <w:trPr>
          <w:trHeight w:val="350"/>
        </w:trPr>
        <w:tc>
          <w:tcPr>
            <w:tcW w:w="4180" w:type="dxa"/>
            <w:vAlign w:val="bottom"/>
          </w:tcPr>
          <w:p>
            <w:pPr>
              <w:ind w:left="800"/>
              <w:spacing w:after="0"/>
              <w:rPr>
                <w:sz w:val="20"/>
                <w:szCs w:val="20"/>
                <w:color w:val="auto"/>
              </w:rPr>
            </w:pPr>
            <w:r>
              <w:rPr>
                <w:rFonts w:ascii="Arial" w:cs="Arial" w:eastAsia="Arial" w:hAnsi="Arial"/>
                <w:sz w:val="18"/>
                <w:szCs w:val="18"/>
                <w:b w:val="1"/>
                <w:bCs w:val="1"/>
                <w:color w:val="auto"/>
              </w:rPr>
              <w:t>One Technology Way,  Norwood,  MA</w:t>
            </w: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tcPr>
          <w:p>
            <w:pPr>
              <w:jc w:val="center"/>
              <w:ind w:right="116"/>
              <w:spacing w:after="0"/>
              <w:rPr>
                <w:sz w:val="20"/>
                <w:szCs w:val="20"/>
                <w:color w:val="auto"/>
              </w:rPr>
            </w:pPr>
            <w:r>
              <w:rPr>
                <w:rFonts w:ascii="Arial" w:cs="Arial" w:eastAsia="Arial" w:hAnsi="Arial"/>
                <w:sz w:val="18"/>
                <w:szCs w:val="18"/>
                <w:b w:val="1"/>
                <w:bCs w:val="1"/>
                <w:color w:val="auto"/>
                <w:w w:val="89"/>
              </w:rPr>
              <w:t>02062-9106</w:t>
            </w:r>
          </w:p>
        </w:tc>
        <w:tc>
          <w:tcPr>
            <w:tcW w:w="0" w:type="dxa"/>
            <w:vAlign w:val="bottom"/>
          </w:tcPr>
          <w:p>
            <w:pPr>
              <w:spacing w:after="0"/>
              <w:rPr>
                <w:sz w:val="1"/>
                <w:szCs w:val="1"/>
                <w:color w:val="auto"/>
              </w:rPr>
            </w:pPr>
          </w:p>
        </w:tc>
      </w:tr>
      <w:tr>
        <w:trPr>
          <w:trHeight w:val="218"/>
        </w:trPr>
        <w:tc>
          <w:tcPr>
            <w:tcW w:w="4180" w:type="dxa"/>
            <w:vAlign w:val="bottom"/>
          </w:tcPr>
          <w:p>
            <w:pPr>
              <w:jc w:val="center"/>
              <w:ind w:left="583"/>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900" w:type="dxa"/>
            <w:vAlign w:val="bottom"/>
            <w:gridSpan w:val="2"/>
            <w:vMerge w:val="restart"/>
          </w:tcPr>
          <w:p>
            <w:pPr>
              <w:jc w:val="center"/>
              <w:ind w:left="99"/>
              <w:spacing w:after="0"/>
              <w:rPr>
                <w:sz w:val="20"/>
                <w:szCs w:val="20"/>
                <w:color w:val="auto"/>
              </w:rPr>
            </w:pPr>
            <w:r>
              <w:rPr>
                <w:rFonts w:ascii="Arial" w:cs="Arial" w:eastAsia="Arial" w:hAnsi="Arial"/>
                <w:sz w:val="18"/>
                <w:szCs w:val="18"/>
                <w:b w:val="1"/>
                <w:bCs w:val="1"/>
                <w:color w:val="auto"/>
                <w:w w:val="90"/>
              </w:rPr>
              <w:t>(781) 329-4700</w:t>
            </w:r>
          </w:p>
        </w:tc>
        <w:tc>
          <w:tcPr>
            <w:tcW w:w="300" w:type="dxa"/>
            <w:vAlign w:val="bottom"/>
          </w:tcPr>
          <w:p>
            <w:pPr>
              <w:spacing w:after="0"/>
              <w:rPr>
                <w:sz w:val="18"/>
                <w:szCs w:val="18"/>
                <w:color w:val="auto"/>
              </w:rPr>
            </w:pPr>
          </w:p>
        </w:tc>
        <w:tc>
          <w:tcPr>
            <w:tcW w:w="3500" w:type="dxa"/>
            <w:vAlign w:val="bottom"/>
          </w:tcPr>
          <w:p>
            <w:pPr>
              <w:jc w:val="center"/>
              <w:ind w:right="116"/>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3200" w:type="dxa"/>
            <w:vAlign w:val="bottom"/>
            <w:gridSpan w:val="3"/>
          </w:tcPr>
          <w:p>
            <w:pPr>
              <w:jc w:val="center"/>
              <w:ind w:right="140"/>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3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80" w:type="dxa"/>
            <w:vAlign w:val="bottom"/>
            <w:gridSpan w:val="5"/>
          </w:tcPr>
          <w:p>
            <w:pPr>
              <w:jc w:val="center"/>
              <w:ind w:left="443"/>
              <w:spacing w:after="0"/>
              <w:rPr>
                <w:sz w:val="20"/>
                <w:szCs w:val="20"/>
                <w:color w:val="auto"/>
              </w:rPr>
            </w:pPr>
            <w:r>
              <w:rPr>
                <w:rFonts w:ascii="Arial" w:cs="Arial" w:eastAsia="Arial" w:hAnsi="Arial"/>
                <w:sz w:val="14"/>
                <w:szCs w:val="14"/>
                <w:i w:val="1"/>
                <w:iCs w:val="1"/>
                <w:color w:val="auto"/>
                <w:w w:val="93"/>
              </w:rPr>
              <w:t>(Former name, former address and former fiscal year, if changed since last report)</w:t>
            </w:r>
          </w:p>
        </w:tc>
        <w:tc>
          <w:tcPr>
            <w:tcW w:w="0" w:type="dxa"/>
            <w:vAlign w:val="bottom"/>
          </w:tcPr>
          <w:p>
            <w:pPr>
              <w:spacing w:after="0"/>
              <w:rPr>
                <w:sz w:val="1"/>
                <w:szCs w:val="1"/>
                <w:color w:val="auto"/>
              </w:rPr>
            </w:pPr>
          </w:p>
        </w:tc>
      </w:tr>
      <w:tr>
        <w:trPr>
          <w:trHeight w:val="80"/>
        </w:trPr>
        <w:tc>
          <w:tcPr>
            <w:tcW w:w="4180" w:type="dxa"/>
            <w:vAlign w:val="bottom"/>
            <w:vMerge w:val="restart"/>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60" w:type="dxa"/>
            <w:vAlign w:val="bottom"/>
          </w:tcPr>
          <w:p>
            <w:pPr>
              <w:spacing w:after="0"/>
              <w:rPr>
                <w:sz w:val="6"/>
                <w:szCs w:val="6"/>
                <w:color w:val="auto"/>
              </w:rPr>
            </w:pPr>
          </w:p>
        </w:tc>
        <w:tc>
          <w:tcPr>
            <w:tcW w:w="27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3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80" w:type="dxa"/>
            <w:vAlign w:val="bottom"/>
          </w:tcPr>
          <w:p>
            <w:pPr>
              <w:jc w:val="center"/>
              <w:ind w:left="203"/>
              <w:spacing w:after="0"/>
              <w:rPr>
                <w:sz w:val="20"/>
                <w:szCs w:val="20"/>
                <w:color w:val="auto"/>
              </w:rPr>
            </w:pPr>
            <w:r>
              <w:rPr>
                <w:rFonts w:ascii="Arial" w:cs="Arial" w:eastAsia="Arial" w:hAnsi="Arial"/>
                <w:sz w:val="18"/>
                <w:szCs w:val="18"/>
                <w:b w:val="1"/>
                <w:bCs w:val="1"/>
                <w:color w:val="auto"/>
                <w:w w:val="87"/>
              </w:rPr>
              <w:t>Title of each class</w:t>
            </w:r>
          </w:p>
        </w:tc>
        <w:tc>
          <w:tcPr>
            <w:tcW w:w="160" w:type="dxa"/>
            <w:vAlign w:val="bottom"/>
          </w:tcPr>
          <w:p>
            <w:pPr>
              <w:spacing w:after="0"/>
              <w:rPr>
                <w:sz w:val="24"/>
                <w:szCs w:val="24"/>
                <w:color w:val="auto"/>
              </w:rPr>
            </w:pPr>
          </w:p>
        </w:tc>
        <w:tc>
          <w:tcPr>
            <w:tcW w:w="3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Symbol(s)</w:t>
            </w:r>
          </w:p>
        </w:tc>
        <w:tc>
          <w:tcPr>
            <w:tcW w:w="3500" w:type="dxa"/>
            <w:vAlign w:val="bottom"/>
          </w:tcPr>
          <w:p>
            <w:pPr>
              <w:jc w:val="center"/>
              <w:ind w:left="76"/>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0"/>
        </w:trPr>
        <w:tc>
          <w:tcPr>
            <w:tcW w:w="4180" w:type="dxa"/>
            <w:vAlign w:val="bottom"/>
          </w:tcPr>
          <w:p>
            <w:pPr>
              <w:jc w:val="center"/>
              <w:ind w:left="223"/>
              <w:spacing w:after="0"/>
              <w:rPr>
                <w:sz w:val="20"/>
                <w:szCs w:val="20"/>
                <w:color w:val="auto"/>
              </w:rPr>
            </w:pPr>
            <w:r>
              <w:rPr>
                <w:rFonts w:ascii="Arial" w:cs="Arial" w:eastAsia="Arial" w:hAnsi="Arial"/>
                <w:sz w:val="18"/>
                <w:szCs w:val="18"/>
                <w:color w:val="auto"/>
                <w:w w:val="89"/>
              </w:rPr>
              <w:t>Common Stock $0.16 2/3 par value per share</w:t>
            </w:r>
          </w:p>
        </w:tc>
        <w:tc>
          <w:tcPr>
            <w:tcW w:w="160" w:type="dxa"/>
            <w:vAlign w:val="bottom"/>
          </w:tcPr>
          <w:p>
            <w:pPr>
              <w:spacing w:after="0"/>
              <w:rPr>
                <w:sz w:val="23"/>
                <w:szCs w:val="23"/>
                <w:color w:val="auto"/>
              </w:rPr>
            </w:pPr>
          </w:p>
        </w:tc>
        <w:tc>
          <w:tcPr>
            <w:tcW w:w="3040" w:type="dxa"/>
            <w:vAlign w:val="bottom"/>
            <w:gridSpan w:val="2"/>
          </w:tcPr>
          <w:p>
            <w:pPr>
              <w:jc w:val="center"/>
              <w:ind w:right="240"/>
              <w:spacing w:after="0"/>
              <w:rPr>
                <w:sz w:val="20"/>
                <w:szCs w:val="20"/>
                <w:color w:val="auto"/>
              </w:rPr>
            </w:pPr>
            <w:r>
              <w:rPr>
                <w:rFonts w:ascii="Arial" w:cs="Arial" w:eastAsia="Arial" w:hAnsi="Arial"/>
                <w:sz w:val="18"/>
                <w:szCs w:val="18"/>
                <w:color w:val="auto"/>
              </w:rPr>
              <w:t>ADI</w:t>
            </w:r>
          </w:p>
        </w:tc>
        <w:tc>
          <w:tcPr>
            <w:tcW w:w="3500" w:type="dxa"/>
            <w:vAlign w:val="bottom"/>
          </w:tcPr>
          <w:p>
            <w:pPr>
              <w:jc w:val="center"/>
              <w:ind w:left="56"/>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firstLine="446"/>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60" w:firstLine="446"/>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311"/>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510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1"/>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510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9"/>
        </w:trPr>
        <w:tc>
          <w:tcPr>
            <w:tcW w:w="20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0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87" w:lineRule="exact"/>
        <w:rPr>
          <w:sz w:val="24"/>
          <w:szCs w:val="24"/>
          <w:color w:val="auto"/>
        </w:rPr>
      </w:pPr>
    </w:p>
    <w:p>
      <w:pPr>
        <w:jc w:val="both"/>
        <w:ind w:right="220" w:firstLine="44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60"/>
        <w:spacing w:after="0" w:line="242" w:lineRule="exact"/>
        <w:tabs>
          <w:tab w:leader="none" w:pos="8780" w:val="left"/>
          <w:tab w:leader="none" w:pos="9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5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1, 2020 there were 368,220,091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4"/>
          </w:tcPr>
          <w:p>
            <w:pPr>
              <w:jc w:val="right"/>
              <w:ind w:right="129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2"/>
          </w:tcPr>
          <w:p>
            <w:pPr>
              <w:ind w:left="180"/>
              <w:spacing w:after="0"/>
              <w:rPr>
                <w:sz w:val="20"/>
                <w:szCs w:val="20"/>
                <w:color w:val="auto"/>
              </w:rPr>
            </w:pPr>
            <w:r>
              <w:rPr>
                <w:rFonts w:ascii="Arial" w:cs="Arial" w:eastAsia="Arial" w:hAnsi="Arial"/>
                <w:sz w:val="14"/>
                <w:szCs w:val="14"/>
                <w:b w:val="1"/>
                <w:bCs w:val="1"/>
                <w:color w:val="auto"/>
              </w:rPr>
              <w:t>February 1, 2020</w:t>
            </w:r>
          </w:p>
        </w:tc>
        <w:tc>
          <w:tcPr>
            <w:tcW w:w="280" w:type="dxa"/>
            <w:vAlign w:val="bottom"/>
          </w:tcPr>
          <w:p>
            <w:pPr>
              <w:spacing w:after="0"/>
              <w:rPr>
                <w:sz w:val="17"/>
                <w:szCs w:val="17"/>
                <w:color w:val="auto"/>
              </w:rPr>
            </w:pPr>
          </w:p>
        </w:tc>
        <w:tc>
          <w:tcPr>
            <w:tcW w:w="1700" w:type="dxa"/>
            <w:vAlign w:val="bottom"/>
          </w:tcPr>
          <w:p>
            <w:pPr>
              <w:jc w:val="right"/>
              <w:ind w:right="371"/>
              <w:spacing w:after="0"/>
              <w:rPr>
                <w:sz w:val="20"/>
                <w:szCs w:val="20"/>
                <w:color w:val="auto"/>
              </w:rPr>
            </w:pPr>
            <w:r>
              <w:rPr>
                <w:rFonts w:ascii="Arial" w:cs="Arial" w:eastAsia="Arial" w:hAnsi="Arial"/>
                <w:sz w:val="14"/>
                <w:szCs w:val="14"/>
                <w:b w:val="1"/>
                <w:bCs w:val="1"/>
                <w:color w:val="auto"/>
              </w:rPr>
              <w:t>February 2, 2019</w:t>
            </w:r>
          </w:p>
        </w:tc>
      </w:tr>
      <w:tr>
        <w:trPr>
          <w:trHeight w:val="250"/>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1,303,565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1,541,101</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455,423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501,445</w:t>
            </w:r>
          </w:p>
        </w:tc>
      </w:tr>
      <w:tr>
        <w:trPr>
          <w:trHeight w:val="27"/>
        </w:trPr>
        <w:tc>
          <w:tcPr>
            <w:tcW w:w="7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848,142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1,039,656</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257,073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287,382</w:t>
            </w:r>
          </w:p>
        </w:tc>
      </w:tr>
      <w:tr>
        <w:trPr>
          <w:trHeight w:val="243"/>
        </w:trPr>
        <w:tc>
          <w:tcPr>
            <w:tcW w:w="7340" w:type="dxa"/>
            <w:vAlign w:val="bottom"/>
          </w:tcPr>
          <w:p>
            <w:pPr>
              <w:ind w:left="660"/>
              <w:spacing w:after="0"/>
              <w:rPr>
                <w:sz w:val="20"/>
                <w:szCs w:val="20"/>
                <w:color w:val="auto"/>
              </w:rPr>
            </w:pPr>
            <w:r>
              <w:rPr>
                <w:rFonts w:ascii="Arial" w:cs="Arial" w:eastAsia="Arial" w:hAnsi="Arial"/>
                <w:sz w:val="18"/>
                <w:szCs w:val="18"/>
                <w:color w:val="auto"/>
              </w:rPr>
              <w:t>Selling, marketing, general and administrative</w:t>
            </w:r>
          </w:p>
        </w:tc>
        <w:tc>
          <w:tcPr>
            <w:tcW w:w="280" w:type="dxa"/>
            <w:vAlign w:val="bottom"/>
          </w:tcPr>
          <w:p>
            <w:pPr>
              <w:spacing w:after="0"/>
              <w:rPr>
                <w:sz w:val="21"/>
                <w:szCs w:val="21"/>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199,280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167,342</w:t>
            </w:r>
          </w:p>
        </w:tc>
      </w:tr>
      <w:tr>
        <w:trPr>
          <w:trHeight w:val="27"/>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107,324</w:t>
            </w:r>
          </w:p>
        </w:tc>
      </w:tr>
      <w:tr>
        <w:trPr>
          <w:trHeight w:val="243"/>
        </w:trPr>
        <w:tc>
          <w:tcPr>
            <w:tcW w:w="7340" w:type="dxa"/>
            <w:vAlign w:val="bottom"/>
          </w:tcPr>
          <w:p>
            <w:pPr>
              <w:ind w:left="660"/>
              <w:spacing w:after="0"/>
              <w:rPr>
                <w:sz w:val="20"/>
                <w:szCs w:val="20"/>
                <w:color w:val="auto"/>
              </w:rPr>
            </w:pPr>
            <w:r>
              <w:rPr>
                <w:rFonts w:ascii="Arial" w:cs="Arial" w:eastAsia="Arial" w:hAnsi="Arial"/>
                <w:sz w:val="18"/>
                <w:szCs w:val="18"/>
                <w:color w:val="auto"/>
              </w:rPr>
              <w:t>Special charges</w:t>
            </w:r>
          </w:p>
        </w:tc>
        <w:tc>
          <w:tcPr>
            <w:tcW w:w="280" w:type="dxa"/>
            <w:vAlign w:val="bottom"/>
          </w:tcPr>
          <w:p>
            <w:pPr>
              <w:spacing w:after="0"/>
              <w:rPr>
                <w:sz w:val="21"/>
                <w:szCs w:val="21"/>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11,136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21,782</w:t>
            </w:r>
          </w:p>
        </w:tc>
      </w:tr>
      <w:tr>
        <w:trPr>
          <w:trHeight w:val="27"/>
        </w:trPr>
        <w:tc>
          <w:tcPr>
            <w:tcW w:w="7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574,714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583,830</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273,428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455,826</w:t>
            </w:r>
          </w:p>
        </w:tc>
      </w:tr>
      <w:tr>
        <w:trPr>
          <w:trHeight w:val="27"/>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6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48,813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58,728</w:t>
            </w:r>
          </w:p>
        </w:tc>
      </w:tr>
      <w:tr>
        <w:trPr>
          <w:trHeight w:val="27"/>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w:t>
            </w:r>
          </w:p>
        </w:tc>
      </w:tr>
      <w:tr>
        <w:trPr>
          <w:trHeight w:val="243"/>
        </w:trPr>
        <w:tc>
          <w:tcPr>
            <w:tcW w:w="734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(160)</w:t>
            </w:r>
          </w:p>
        </w:tc>
      </w:tr>
      <w:tr>
        <w:trPr>
          <w:trHeight w:val="27"/>
        </w:trPr>
        <w:tc>
          <w:tcPr>
            <w:tcW w:w="7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7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47,211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55,880</w:t>
            </w:r>
          </w:p>
        </w:tc>
      </w:tr>
      <w:tr>
        <w:trPr>
          <w:trHeight w:val="237"/>
        </w:trPr>
        <w:tc>
          <w:tcPr>
            <w:tcW w:w="73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226,217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399,946</w:t>
            </w:r>
          </w:p>
        </w:tc>
      </w:tr>
      <w:tr>
        <w:trPr>
          <w:trHeight w:val="27"/>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22,343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44,940</w:t>
            </w:r>
          </w:p>
        </w:tc>
      </w:tr>
      <w:tr>
        <w:trPr>
          <w:trHeight w:val="237"/>
        </w:trPr>
        <w:tc>
          <w:tcPr>
            <w:tcW w:w="7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203,874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355,006</w:t>
            </w:r>
          </w:p>
        </w:tc>
      </w:tr>
      <w:tr>
        <w:trPr>
          <w:trHeight w:val="27"/>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7"/>
        </w:trPr>
        <w:tc>
          <w:tcPr>
            <w:tcW w:w="7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280" w:type="dxa"/>
            <w:vAlign w:val="bottom"/>
          </w:tcPr>
          <w:p>
            <w:pPr>
              <w:spacing w:after="0"/>
              <w:rPr>
                <w:sz w:val="21"/>
                <w:szCs w:val="21"/>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368,241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368,703</w:t>
            </w:r>
          </w:p>
        </w:tc>
      </w:tr>
      <w:tr>
        <w:trPr>
          <w:trHeight w:val="27"/>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372,264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372,506</w:t>
            </w:r>
          </w:p>
        </w:tc>
      </w:tr>
      <w:tr>
        <w:trPr>
          <w:trHeight w:val="270"/>
        </w:trPr>
        <w:tc>
          <w:tcPr>
            <w:tcW w:w="7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0.96</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0.95</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4"/>
          </w:tcPr>
          <w:p>
            <w:pPr>
              <w:jc w:val="right"/>
              <w:ind w:right="12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2"/>
          </w:tcPr>
          <w:p>
            <w:pPr>
              <w:ind w:left="180"/>
              <w:spacing w:after="0"/>
              <w:rPr>
                <w:sz w:val="20"/>
                <w:szCs w:val="20"/>
                <w:color w:val="auto"/>
              </w:rPr>
            </w:pPr>
            <w:r>
              <w:rPr>
                <w:rFonts w:ascii="Arial" w:cs="Arial" w:eastAsia="Arial" w:hAnsi="Arial"/>
                <w:sz w:val="14"/>
                <w:szCs w:val="14"/>
                <w:b w:val="1"/>
                <w:bCs w:val="1"/>
                <w:color w:val="auto"/>
              </w:rPr>
              <w:t>February 1, 2020</w:t>
            </w:r>
          </w:p>
        </w:tc>
        <w:tc>
          <w:tcPr>
            <w:tcW w:w="280" w:type="dxa"/>
            <w:vAlign w:val="bottom"/>
          </w:tcPr>
          <w:p>
            <w:pPr>
              <w:spacing w:after="0"/>
              <w:rPr>
                <w:sz w:val="17"/>
                <w:szCs w:val="17"/>
                <w:color w:val="auto"/>
              </w:rPr>
            </w:pPr>
          </w:p>
        </w:tc>
        <w:tc>
          <w:tcPr>
            <w:tcW w:w="1700" w:type="dxa"/>
            <w:vAlign w:val="bottom"/>
          </w:tcPr>
          <w:p>
            <w:pPr>
              <w:jc w:val="right"/>
              <w:ind w:right="372"/>
              <w:spacing w:after="0"/>
              <w:rPr>
                <w:sz w:val="20"/>
                <w:szCs w:val="20"/>
                <w:color w:val="auto"/>
              </w:rPr>
            </w:pPr>
            <w:r>
              <w:rPr>
                <w:rFonts w:ascii="Arial" w:cs="Arial" w:eastAsia="Arial" w:hAnsi="Arial"/>
                <w:sz w:val="14"/>
                <w:szCs w:val="14"/>
                <w:b w:val="1"/>
                <w:bCs w:val="1"/>
                <w:color w:val="auto"/>
              </w:rPr>
              <w:t>February 2, 2019</w:t>
            </w:r>
          </w:p>
        </w:tc>
        <w:tc>
          <w:tcPr>
            <w:tcW w:w="0" w:type="dxa"/>
            <w:vAlign w:val="bottom"/>
          </w:tcPr>
          <w:p>
            <w:pPr>
              <w:spacing w:after="0"/>
              <w:rPr>
                <w:sz w:val="1"/>
                <w:szCs w:val="1"/>
                <w:color w:val="auto"/>
              </w:rPr>
            </w:pPr>
          </w:p>
        </w:tc>
      </w:tr>
      <w:tr>
        <w:trPr>
          <w:trHeight w:val="250"/>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203,874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355,006</w:t>
            </w:r>
          </w:p>
        </w:tc>
        <w:tc>
          <w:tcPr>
            <w:tcW w:w="0" w:type="dxa"/>
            <w:vAlign w:val="bottom"/>
          </w:tcPr>
          <w:p>
            <w:pPr>
              <w:spacing w:after="0"/>
              <w:rPr>
                <w:sz w:val="1"/>
                <w:szCs w:val="1"/>
                <w:color w:val="auto"/>
              </w:rPr>
            </w:pPr>
          </w:p>
        </w:tc>
      </w:tr>
      <w:tr>
        <w:trPr>
          <w:trHeight w:val="243"/>
        </w:trPr>
        <w:tc>
          <w:tcPr>
            <w:tcW w:w="73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fair value of 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7340" w:type="dxa"/>
            <w:vAlign w:val="bottom"/>
          </w:tcPr>
          <w:p>
            <w:pPr>
              <w:ind w:left="140"/>
              <w:spacing w:after="0" w:line="176" w:lineRule="exact"/>
              <w:rPr>
                <w:sz w:val="20"/>
                <w:szCs w:val="20"/>
                <w:color w:val="auto"/>
              </w:rPr>
            </w:pPr>
            <w:r>
              <w:rPr>
                <w:rFonts w:ascii="Arial" w:cs="Arial" w:eastAsia="Arial" w:hAnsi="Arial"/>
                <w:sz w:val="18"/>
                <w:szCs w:val="18"/>
                <w:color w:val="auto"/>
                <w:w w:val="96"/>
              </w:rPr>
              <w:t>Change in fair value of derivative instruments designated as cash flow hedges (net of taxes of</w:t>
            </w:r>
          </w:p>
        </w:tc>
        <w:tc>
          <w:tcPr>
            <w:tcW w:w="280" w:type="dxa"/>
            <w:vAlign w:val="bottom"/>
          </w:tcPr>
          <w:p>
            <w:pPr>
              <w:spacing w:after="0"/>
              <w:rPr>
                <w:sz w:val="15"/>
                <w:szCs w:val="15"/>
                <w:color w:val="auto"/>
              </w:rPr>
            </w:pPr>
          </w:p>
        </w:tc>
        <w:tc>
          <w:tcPr>
            <w:tcW w:w="1700" w:type="dxa"/>
            <w:vAlign w:val="bottom"/>
            <w:vMerge w:val="restart"/>
          </w:tcPr>
          <w:p>
            <w:pPr>
              <w:jc w:val="right"/>
              <w:ind w:right="14"/>
              <w:spacing w:after="0"/>
              <w:rPr>
                <w:sz w:val="20"/>
                <w:szCs w:val="20"/>
                <w:color w:val="auto"/>
              </w:rPr>
            </w:pPr>
            <w:r>
              <w:rPr>
                <w:rFonts w:ascii="Arial" w:cs="Arial" w:eastAsia="Arial" w:hAnsi="Arial"/>
                <w:sz w:val="18"/>
                <w:szCs w:val="18"/>
                <w:color w:val="auto"/>
              </w:rPr>
              <w:t>(12,028)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vMerge w:val="restart"/>
          </w:tcPr>
          <w:p>
            <w:pPr>
              <w:jc w:val="right"/>
              <w:ind w:right="12"/>
              <w:spacing w:after="0"/>
              <w:rPr>
                <w:sz w:val="20"/>
                <w:szCs w:val="20"/>
                <w:color w:val="auto"/>
              </w:rPr>
            </w:pPr>
            <w:r>
              <w:rPr>
                <w:rFonts w:ascii="Arial" w:cs="Arial" w:eastAsia="Arial" w:hAnsi="Arial"/>
                <w:sz w:val="18"/>
                <w:szCs w:val="18"/>
                <w:color w:val="auto"/>
              </w:rPr>
              <w:t>(22,938)</w:t>
            </w:r>
          </w:p>
        </w:tc>
        <w:tc>
          <w:tcPr>
            <w:tcW w:w="0" w:type="dxa"/>
            <w:vAlign w:val="bottom"/>
          </w:tcPr>
          <w:p>
            <w:pPr>
              <w:spacing w:after="0"/>
              <w:rPr>
                <w:sz w:val="1"/>
                <w:szCs w:val="1"/>
                <w:color w:val="auto"/>
              </w:rPr>
            </w:pPr>
          </w:p>
        </w:tc>
      </w:tr>
      <w:tr>
        <w:trPr>
          <w:trHeight w:val="230"/>
        </w:trPr>
        <w:tc>
          <w:tcPr>
            <w:tcW w:w="7340" w:type="dxa"/>
            <w:vAlign w:val="bottom"/>
          </w:tcPr>
          <w:p>
            <w:pPr>
              <w:ind w:left="140"/>
              <w:spacing w:after="0"/>
              <w:rPr>
                <w:sz w:val="20"/>
                <w:szCs w:val="20"/>
                <w:color w:val="auto"/>
              </w:rPr>
            </w:pPr>
            <w:r>
              <w:rPr>
                <w:rFonts w:ascii="Arial" w:cs="Arial" w:eastAsia="Arial" w:hAnsi="Arial"/>
                <w:sz w:val="18"/>
                <w:szCs w:val="18"/>
                <w:color w:val="auto"/>
              </w:rPr>
              <w:t>$5,459 and $6,381, respectively)</w:t>
            </w:r>
          </w:p>
        </w:tc>
        <w:tc>
          <w:tcPr>
            <w:tcW w:w="28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Changes in pension plans including transition obligation, net actuarial loss and foreign currency</w:t>
            </w:r>
          </w:p>
        </w:tc>
        <w:tc>
          <w:tcPr>
            <w:tcW w:w="28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translation adjustments (net of taxes of $160 and $63,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0"/>
                <w:szCs w:val="20"/>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(11,969)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(19,581)</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191,905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335,425</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5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February 1, 2020</w:t>
            </w:r>
          </w:p>
        </w:tc>
        <w:tc>
          <w:tcPr>
            <w:tcW w:w="220" w:type="dxa"/>
            <w:vAlign w:val="bottom"/>
          </w:tcPr>
          <w:p>
            <w:pPr>
              <w:spacing w:after="0"/>
              <w:rPr>
                <w:sz w:val="16"/>
                <w:szCs w:val="16"/>
                <w:color w:val="auto"/>
              </w:rPr>
            </w:pPr>
          </w:p>
        </w:tc>
        <w:tc>
          <w:tcPr>
            <w:tcW w:w="1560" w:type="dxa"/>
            <w:vAlign w:val="bottom"/>
          </w:tcPr>
          <w:p>
            <w:pPr>
              <w:jc w:val="right"/>
              <w:ind w:right="259"/>
              <w:spacing w:after="0"/>
              <w:rPr>
                <w:sz w:val="20"/>
                <w:szCs w:val="20"/>
                <w:color w:val="auto"/>
              </w:rPr>
            </w:pPr>
            <w:r>
              <w:rPr>
                <w:rFonts w:ascii="Arial" w:cs="Arial" w:eastAsia="Arial" w:hAnsi="Arial"/>
                <w:sz w:val="14"/>
                <w:szCs w:val="14"/>
                <w:b w:val="1"/>
                <w:bCs w:val="1"/>
                <w:color w:val="auto"/>
              </w:rPr>
              <w:t>November 2, 2019</w:t>
            </w:r>
          </w:p>
        </w:tc>
      </w:tr>
      <w:tr>
        <w:trPr>
          <w:trHeight w:val="236"/>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4"/>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654,408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648,322</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584,366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635,136</w:t>
            </w: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588,503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609,886</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83,902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91,782</w:t>
            </w:r>
          </w:p>
        </w:tc>
      </w:tr>
      <w:tr>
        <w:trPr>
          <w:trHeight w:val="33"/>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1,911,179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1,985,126</w:t>
            </w:r>
          </w:p>
        </w:tc>
      </w:tr>
      <w:tr>
        <w:trPr>
          <w:trHeight w:val="204"/>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at Cost</w:t>
            </w: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Land and buildings</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981,131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956,099</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Machinery and equipment</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2,619,785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2,609,493</w:t>
            </w: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Office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81,818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85,490</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Leasehold improvements</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159,908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160,175</w:t>
            </w:r>
          </w:p>
        </w:tc>
      </w:tr>
      <w:tr>
        <w:trPr>
          <w:trHeight w:val="33"/>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3,842,642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3,811,257</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2,635,873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2,591,268</w:t>
            </w:r>
          </w:p>
        </w:tc>
      </w:tr>
      <w:tr>
        <w:trPr>
          <w:trHeight w:val="33"/>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1,206,769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1,219,989</w:t>
            </w:r>
          </w:p>
        </w:tc>
      </w:tr>
      <w:tr>
        <w:trPr>
          <w:trHeight w:val="204"/>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compensation plan investments</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47,996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47,154</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Other investments</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30,232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30,170</w:t>
            </w: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12,257,064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12,256,880</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4,073,078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4,217,224</w:t>
            </w: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tax assets</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1,567,521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1,582,382</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282,988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53,716</w:t>
            </w:r>
          </w:p>
        </w:tc>
      </w:tr>
      <w:tr>
        <w:trPr>
          <w:trHeight w:val="33"/>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18,258,879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18,187,526</w:t>
            </w:r>
          </w:p>
        </w:tc>
      </w:tr>
      <w:tr>
        <w:trPr>
          <w:trHeight w:val="217"/>
        </w:trPr>
        <w:tc>
          <w:tcPr>
            <w:tcW w:w="77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21,376,827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21,392,641</w:t>
            </w:r>
          </w:p>
        </w:tc>
      </w:tr>
      <w:tr>
        <w:trPr>
          <w:trHeight w:val="33"/>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r>
      <w:tr>
        <w:trPr>
          <w:trHeight w:val="224"/>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211,670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225,270</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118,406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187,879</w:t>
            </w: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Debt, current</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748,460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299,667</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692,006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795,816</w:t>
            </w:r>
          </w:p>
        </w:tc>
      </w:tr>
      <w:tr>
        <w:trPr>
          <w:trHeight w:val="33"/>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1,770,542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1,508,632</w:t>
            </w:r>
          </w:p>
        </w:tc>
      </w:tr>
      <w:tr>
        <w:trPr>
          <w:trHeight w:val="204"/>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4,745,302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5,192,252</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2,055,100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2,088,212</w:t>
            </w: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compensation plan liability</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47,996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47,154</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656,103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654,420</w:t>
            </w: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412,267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192,783</w:t>
            </w:r>
          </w:p>
        </w:tc>
      </w:tr>
      <w:tr>
        <w:trPr>
          <w:trHeight w:val="217"/>
        </w:trPr>
        <w:tc>
          <w:tcPr>
            <w:tcW w:w="7720" w:type="dxa"/>
            <w:vAlign w:val="bottom"/>
          </w:tcPr>
          <w:p>
            <w:pPr>
              <w:ind w:left="12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7,916,768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8,174,821</w:t>
            </w:r>
          </w:p>
        </w:tc>
      </w:tr>
      <w:tr>
        <w:trPr>
          <w:trHeight w:val="33"/>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7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Commitments and contingencies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00"/>
          </w:cols>
          <w:pgMar w:left="240" w:top="1013" w:right="259" w:bottom="462" w:gutter="0" w:footer="0" w:header="0"/>
        </w:sectPr>
      </w:pPr>
    </w:p>
    <w:p>
      <w:pPr>
        <w:ind w:left="40"/>
        <w:spacing w:after="0"/>
        <w:rPr>
          <w:sz w:val="20"/>
          <w:szCs w:val="20"/>
          <w:color w:val="auto"/>
        </w:rPr>
      </w:pPr>
      <w:r>
        <w:rPr>
          <w:rFonts w:ascii="Arial" w:cs="Arial" w:eastAsia="Arial" w:hAnsi="Arial"/>
          <w:sz w:val="16"/>
          <w:szCs w:val="16"/>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37465</wp:posOffset>
            </wp:positionV>
            <wp:extent cx="722947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Preferred stock, $1.00 par value, 471,934 shares authorized, none outstanding</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Common stock, 0.16 2/3 par value, 1,200,000,000 shares authorized, 368,220,091 shares outstanding (368,302,369 on November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722947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Capital in excess of par value</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722947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722947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440"/>
        <w:spacing w:after="0"/>
        <w:tabs>
          <w:tab w:leader="none" w:pos="3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94" w:lineRule="exact"/>
        <w:rPr>
          <w:sz w:val="20"/>
          <w:szCs w:val="20"/>
          <w:color w:val="auto"/>
        </w:rPr>
      </w:pPr>
    </w:p>
    <w:p>
      <w:pPr>
        <w:ind w:left="1160"/>
        <w:spacing w:after="0"/>
        <w:tabs>
          <w:tab w:leader="none" w:pos="3040" w:val="left"/>
        </w:tabs>
        <w:rPr>
          <w:sz w:val="20"/>
          <w:szCs w:val="20"/>
          <w:color w:val="auto"/>
        </w:rPr>
      </w:pPr>
      <w:r>
        <w:rPr>
          <w:rFonts w:ascii="Arial" w:cs="Arial" w:eastAsia="Arial" w:hAnsi="Arial"/>
          <w:sz w:val="15"/>
          <w:szCs w:val="15"/>
          <w:color w:val="auto"/>
        </w:rPr>
        <w:t>61,371</w:t>
      </w:r>
      <w:r>
        <w:rPr>
          <w:sz w:val="20"/>
          <w:szCs w:val="20"/>
          <w:color w:val="auto"/>
        </w:rPr>
        <w:tab/>
      </w:r>
      <w:r>
        <w:rPr>
          <w:rFonts w:ascii="Arial" w:cs="Arial" w:eastAsia="Arial" w:hAnsi="Arial"/>
          <w:sz w:val="15"/>
          <w:szCs w:val="15"/>
          <w:color w:val="auto"/>
        </w:rPr>
        <w:t>61,385</w:t>
      </w:r>
    </w:p>
    <w:p>
      <w:pPr>
        <w:spacing w:after="0" w:line="84" w:lineRule="exact"/>
        <w:rPr>
          <w:sz w:val="20"/>
          <w:szCs w:val="20"/>
          <w:color w:val="auto"/>
        </w:rPr>
      </w:pPr>
    </w:p>
    <w:p>
      <w:pPr>
        <w:ind w:left="960"/>
        <w:spacing w:after="0"/>
        <w:tabs>
          <w:tab w:leader="none" w:pos="2820" w:val="left"/>
        </w:tabs>
        <w:rPr>
          <w:sz w:val="20"/>
          <w:szCs w:val="20"/>
          <w:color w:val="auto"/>
        </w:rPr>
      </w:pPr>
      <w:r>
        <w:rPr>
          <w:rFonts w:ascii="Arial" w:cs="Arial" w:eastAsia="Arial" w:hAnsi="Arial"/>
          <w:sz w:val="15"/>
          <w:szCs w:val="15"/>
          <w:color w:val="auto"/>
        </w:rPr>
        <w:t>4,923,947</w:t>
      </w:r>
      <w:r>
        <w:rPr>
          <w:sz w:val="20"/>
          <w:szCs w:val="20"/>
          <w:color w:val="auto"/>
        </w:rPr>
        <w:tab/>
      </w:r>
      <w:r>
        <w:rPr>
          <w:rFonts w:ascii="Arial" w:cs="Arial" w:eastAsia="Arial" w:hAnsi="Arial"/>
          <w:sz w:val="15"/>
          <w:szCs w:val="15"/>
          <w:color w:val="auto"/>
        </w:rPr>
        <w:t>4,936,349</w:t>
      </w:r>
    </w:p>
    <w:p>
      <w:pPr>
        <w:spacing w:after="0" w:line="84" w:lineRule="exact"/>
        <w:rPr>
          <w:sz w:val="20"/>
          <w:szCs w:val="20"/>
          <w:color w:val="auto"/>
        </w:rPr>
      </w:pPr>
    </w:p>
    <w:p>
      <w:pPr>
        <w:ind w:left="960"/>
        <w:spacing w:after="0"/>
        <w:tabs>
          <w:tab w:leader="none" w:pos="2820" w:val="left"/>
        </w:tabs>
        <w:rPr>
          <w:sz w:val="20"/>
          <w:szCs w:val="20"/>
          <w:color w:val="auto"/>
        </w:rPr>
      </w:pPr>
      <w:r>
        <w:rPr>
          <w:rFonts w:ascii="Arial" w:cs="Arial" w:eastAsia="Arial" w:hAnsi="Arial"/>
          <w:sz w:val="15"/>
          <w:szCs w:val="15"/>
          <w:color w:val="auto"/>
        </w:rPr>
        <w:t>6,906,346</w:t>
      </w:r>
      <w:r>
        <w:rPr>
          <w:sz w:val="20"/>
          <w:szCs w:val="20"/>
          <w:color w:val="auto"/>
        </w:rPr>
        <w:tab/>
      </w:r>
      <w:r>
        <w:rPr>
          <w:rFonts w:ascii="Arial" w:cs="Arial" w:eastAsia="Arial" w:hAnsi="Arial"/>
          <w:sz w:val="15"/>
          <w:szCs w:val="15"/>
          <w:color w:val="auto"/>
        </w:rPr>
        <w:t>6,899,253</w:t>
      </w:r>
    </w:p>
    <w:p>
      <w:pPr>
        <w:spacing w:after="0" w:line="84" w:lineRule="exact"/>
        <w:rPr>
          <w:sz w:val="20"/>
          <w:szCs w:val="20"/>
          <w:color w:val="auto"/>
        </w:rPr>
      </w:pPr>
    </w:p>
    <w:p>
      <w:pPr>
        <w:jc w:val="both"/>
        <w:ind w:left="1020"/>
        <w:spacing w:after="0"/>
        <w:tabs>
          <w:tab w:leader="none" w:pos="2880" w:val="left"/>
        </w:tabs>
        <w:rPr>
          <w:sz w:val="20"/>
          <w:szCs w:val="20"/>
          <w:color w:val="auto"/>
        </w:rPr>
      </w:pPr>
      <w:r>
        <w:rPr>
          <w:rFonts w:ascii="Arial" w:cs="Arial" w:eastAsia="Arial" w:hAnsi="Arial"/>
          <w:sz w:val="16"/>
          <w:szCs w:val="16"/>
          <w:color w:val="auto"/>
        </w:rPr>
        <w:t>(202,147)</w:t>
      </w:r>
      <w:r>
        <w:rPr>
          <w:sz w:val="20"/>
          <w:szCs w:val="20"/>
          <w:color w:val="auto"/>
        </w:rPr>
        <w:tab/>
      </w:r>
      <w:r>
        <w:rPr>
          <w:rFonts w:ascii="Arial" w:cs="Arial" w:eastAsia="Arial" w:hAnsi="Arial"/>
          <w:sz w:val="16"/>
          <w:szCs w:val="16"/>
          <w:color w:val="auto"/>
        </w:rPr>
        <w:t>(187,799)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2332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66" w:lineRule="exact"/>
        <w:rPr>
          <w:sz w:val="20"/>
          <w:szCs w:val="20"/>
          <w:color w:val="auto"/>
        </w:rPr>
      </w:pPr>
    </w:p>
    <w:p>
      <w:pPr>
        <w:ind w:left="880"/>
        <w:spacing w:after="0"/>
        <w:tabs>
          <w:tab w:leader="none" w:pos="2760" w:val="left"/>
        </w:tabs>
        <w:rPr>
          <w:sz w:val="20"/>
          <w:szCs w:val="20"/>
          <w:color w:val="auto"/>
        </w:rPr>
      </w:pPr>
      <w:r>
        <w:rPr>
          <w:rFonts w:ascii="Arial" w:cs="Arial" w:eastAsia="Arial" w:hAnsi="Arial"/>
          <w:sz w:val="15"/>
          <w:szCs w:val="15"/>
          <w:color w:val="auto"/>
        </w:rPr>
        <w:t>11,689,517</w:t>
      </w:r>
      <w:r>
        <w:rPr>
          <w:sz w:val="20"/>
          <w:szCs w:val="20"/>
          <w:color w:val="auto"/>
        </w:rPr>
        <w:tab/>
      </w:r>
      <w:r>
        <w:rPr>
          <w:rFonts w:ascii="Arial" w:cs="Arial" w:eastAsia="Arial" w:hAnsi="Arial"/>
          <w:sz w:val="15"/>
          <w:szCs w:val="15"/>
          <w:color w:val="auto"/>
        </w:rPr>
        <w:t>11,709,188</w:t>
      </w:r>
    </w:p>
    <w:p>
      <w:pPr>
        <w:spacing w:after="0" w:line="98" w:lineRule="exact"/>
        <w:rPr>
          <w:sz w:val="20"/>
          <w:szCs w:val="20"/>
          <w:color w:val="auto"/>
        </w:rPr>
      </w:pPr>
    </w:p>
    <w:p>
      <w:pPr>
        <w:spacing w:after="0"/>
        <w:tabs>
          <w:tab w:leader="none" w:pos="860" w:val="left"/>
          <w:tab w:leader="none" w:pos="1860" w:val="left"/>
          <w:tab w:leader="none" w:pos="27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21,376,827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21,392,641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60960</wp:posOffset>
            </wp:positionV>
            <wp:extent cx="2332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20" w:space="140"/>
            <w:col w:w="3640"/>
          </w:cols>
          <w:pgMar w:left="240" w:top="1013" w:right="259" w:bottom="462"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400"/>
          </w:cols>
          <w:pgMar w:left="240" w:top="1013" w:right="259" w:bottom="462"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13" w:right="259" w:bottom="462" w:gutter="0" w:footer="0" w:header="0"/>
          <w:type w:val="continuous"/>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CONDENSED CONSOLIDATED STATEMENTS OF SHAREHOLDERS' EQUITY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Three Months Ended February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23495</wp:posOffset>
            </wp:positionV>
            <wp:extent cx="4073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line="23" w:lineRule="exact"/>
        <w:rPr>
          <w:sz w:val="20"/>
          <w:szCs w:val="20"/>
          <w:color w:val="auto"/>
        </w:rPr>
      </w:pPr>
    </w:p>
    <w:tbl>
      <w:tblPr>
        <w:tblLayout w:type="fixed"/>
        <w:tblInd w:w="496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Capital in</w:t>
            </w:r>
          </w:p>
        </w:tc>
        <w:tc>
          <w:tcPr>
            <w:tcW w:w="1240" w:type="dxa"/>
            <w:vAlign w:val="bottom"/>
          </w:tcPr>
          <w:p>
            <w:pPr>
              <w:spacing w:after="0"/>
              <w:rPr>
                <w:sz w:val="14"/>
                <w:szCs w:val="14"/>
                <w:color w:val="auto"/>
              </w:rPr>
            </w:pPr>
          </w:p>
        </w:tc>
        <w:tc>
          <w:tcPr>
            <w:tcW w:w="13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8"/>
        </w:trPr>
        <w:tc>
          <w:tcPr>
            <w:tcW w:w="22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Excess of</w:t>
            </w:r>
          </w:p>
        </w:tc>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Retained</w:t>
            </w:r>
          </w:p>
        </w:tc>
        <w:tc>
          <w:tcPr>
            <w:tcW w:w="130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1"/>
        </w:trPr>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1180" w:type="dxa"/>
            <w:vAlign w:val="bottom"/>
          </w:tcPr>
          <w:p>
            <w:pPr>
              <w:ind w:left="360"/>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Par Value</w:t>
            </w:r>
          </w:p>
        </w:tc>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Earnings</w:t>
            </w:r>
          </w:p>
        </w:tc>
        <w:tc>
          <w:tcPr>
            <w:tcW w:w="1300" w:type="dxa"/>
            <w:vAlign w:val="bottom"/>
          </w:tcPr>
          <w:p>
            <w:pPr>
              <w:jc w:val="center"/>
              <w:ind w:left="268"/>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058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ectPr>
          <w:pgSz w:w="11900" w:h="16838" w:orient="portrait"/>
          <w:cols w:equalWidth="0" w:num="1">
            <w:col w:w="11380"/>
          </w:cols>
          <w:pgMar w:left="240" w:top="1013" w:right="27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NOVEMBER 2, 2019</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Accounting Standards Update 2018-02</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20" w:right="900"/>
        <w:spacing w:after="0" w:line="334" w:lineRule="auto"/>
        <w:rPr>
          <w:sz w:val="20"/>
          <w:szCs w:val="20"/>
          <w:color w:val="auto"/>
        </w:rPr>
      </w:pPr>
      <w:r>
        <w:rPr>
          <w:rFonts w:ascii="Arial" w:cs="Arial" w:eastAsia="Arial" w:hAnsi="Arial"/>
          <w:sz w:val="16"/>
          <w:szCs w:val="16"/>
          <w:color w:val="auto"/>
        </w:rPr>
        <w:t>Dividends declared and paid - $0.54 per share Issuance of stock as charitable contribution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Issuance of stock under stock plans and other</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repurchased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FEBRUARY 1, 2020</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jc w:val="right"/>
              <w:ind w:right="70"/>
              <w:spacing w:after="0"/>
              <w:rPr>
                <w:sz w:val="20"/>
                <w:szCs w:val="20"/>
                <w:color w:val="auto"/>
              </w:rPr>
            </w:pPr>
            <w:r>
              <w:rPr>
                <w:rFonts w:ascii="Arial" w:cs="Arial" w:eastAsia="Arial" w:hAnsi="Arial"/>
                <w:sz w:val="18"/>
                <w:szCs w:val="18"/>
                <w:color w:val="auto"/>
              </w:rPr>
              <w:t>368,302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61,385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4,936,349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6,899,253</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(187,799)</w:t>
            </w:r>
          </w:p>
        </w:tc>
      </w:tr>
      <w:tr>
        <w:trPr>
          <w:trHeight w:val="270"/>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2,379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(2,379)</w:t>
            </w:r>
          </w:p>
        </w:tc>
      </w:tr>
      <w:tr>
        <w:trPr>
          <w:trHeight w:val="270"/>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203,874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(199,160)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1060" w:type="dxa"/>
            <w:vAlign w:val="bottom"/>
          </w:tcPr>
          <w:p>
            <w:pPr>
              <w:jc w:val="right"/>
              <w:ind w:right="7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39,944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1060" w:type="dxa"/>
            <w:vAlign w:val="bottom"/>
          </w:tcPr>
          <w:p>
            <w:pPr>
              <w:jc w:val="right"/>
              <w:ind w:right="7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16,031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37,501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(11,969)</w:t>
            </w:r>
          </w:p>
        </w:tc>
      </w:tr>
      <w:tr>
        <w:trPr>
          <w:trHeight w:val="270"/>
        </w:trPr>
        <w:tc>
          <w:tcPr>
            <w:tcW w:w="1060" w:type="dxa"/>
            <w:vAlign w:val="bottom"/>
          </w:tcPr>
          <w:p>
            <w:pPr>
              <w:jc w:val="right"/>
              <w:ind w:right="1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(105,878)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060" w:type="dxa"/>
            <w:vAlign w:val="bottom"/>
          </w:tcPr>
          <w:p>
            <w:pPr>
              <w:jc w:val="right"/>
              <w:ind w:right="70"/>
              <w:spacing w:after="0"/>
              <w:rPr>
                <w:sz w:val="20"/>
                <w:szCs w:val="20"/>
                <w:color w:val="auto"/>
              </w:rPr>
            </w:pPr>
            <w:r>
              <w:rPr>
                <w:rFonts w:ascii="Arial" w:cs="Arial" w:eastAsia="Arial" w:hAnsi="Arial"/>
                <w:sz w:val="18"/>
                <w:szCs w:val="18"/>
                <w:color w:val="auto"/>
              </w:rPr>
              <w:t>368,220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61,371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4,923,947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6,906,346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(202,147)</w:t>
            </w:r>
          </w:p>
        </w:tc>
      </w:tr>
      <w:tr>
        <w:trPr>
          <w:trHeight w:val="27"/>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
        </w:trPr>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-1414145</wp:posOffset>
            </wp:positionV>
            <wp:extent cx="72205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-1071245</wp:posOffset>
            </wp:positionV>
            <wp:extent cx="72205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-728345</wp:posOffset>
            </wp:positionV>
            <wp:extent cx="72205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-385445</wp:posOffset>
            </wp:positionV>
            <wp:extent cx="72205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Three Months Ended February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4073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Capital in</w:t>
            </w:r>
          </w:p>
        </w:tc>
        <w:tc>
          <w:tcPr>
            <w:tcW w:w="1240" w:type="dxa"/>
            <w:vAlign w:val="bottom"/>
          </w:tcPr>
          <w:p>
            <w:pPr>
              <w:spacing w:after="0"/>
              <w:rPr>
                <w:sz w:val="14"/>
                <w:szCs w:val="14"/>
                <w:color w:val="auto"/>
              </w:rPr>
            </w:pPr>
          </w:p>
        </w:tc>
        <w:tc>
          <w:tcPr>
            <w:tcW w:w="13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8"/>
        </w:trPr>
        <w:tc>
          <w:tcPr>
            <w:tcW w:w="22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Excess of</w:t>
            </w:r>
          </w:p>
        </w:tc>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Retained</w:t>
            </w:r>
          </w:p>
        </w:tc>
        <w:tc>
          <w:tcPr>
            <w:tcW w:w="130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1"/>
        </w:trPr>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1180" w:type="dxa"/>
            <w:vAlign w:val="bottom"/>
          </w:tcPr>
          <w:p>
            <w:pPr>
              <w:ind w:left="360"/>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Par Value</w:t>
            </w:r>
          </w:p>
        </w:tc>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Earnings</w:t>
            </w:r>
          </w:p>
        </w:tc>
        <w:tc>
          <w:tcPr>
            <w:tcW w:w="1300" w:type="dxa"/>
            <w:vAlign w:val="bottom"/>
          </w:tcPr>
          <w:p>
            <w:pPr>
              <w:jc w:val="center"/>
              <w:ind w:left="268"/>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7620</wp:posOffset>
            </wp:positionV>
            <wp:extent cx="722058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4240" w:space="720"/>
            <w:col w:w="6420"/>
          </w:cols>
          <w:pgMar w:left="240" w:top="1013" w:right="279" w:bottom="1440" w:gutter="0" w:footer="0" w:header="0"/>
          <w:type w:val="continuous"/>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NOVEMBER 3, 2018 (1)</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Accounting Standards Update 2016-16</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20" w:right="900"/>
        <w:spacing w:after="0" w:line="334" w:lineRule="auto"/>
        <w:rPr>
          <w:sz w:val="20"/>
          <w:szCs w:val="20"/>
          <w:color w:val="auto"/>
        </w:rPr>
      </w:pPr>
      <w:r>
        <w:rPr>
          <w:rFonts w:ascii="Arial" w:cs="Arial" w:eastAsia="Arial" w:hAnsi="Arial"/>
          <w:sz w:val="16"/>
          <w:szCs w:val="16"/>
          <w:color w:val="auto"/>
        </w:rPr>
        <w:t>Dividends declared and paid - $0.48 per share Issuance of stock under stock plans and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repurchased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FEBRUARY 2,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jc w:val="right"/>
              <w:ind w:right="70"/>
              <w:spacing w:after="0"/>
              <w:rPr>
                <w:sz w:val="20"/>
                <w:szCs w:val="20"/>
                <w:color w:val="auto"/>
              </w:rPr>
            </w:pPr>
            <w:r>
              <w:rPr>
                <w:rFonts w:ascii="Arial" w:cs="Arial" w:eastAsia="Arial" w:hAnsi="Arial"/>
                <w:sz w:val="18"/>
                <w:szCs w:val="18"/>
                <w:color w:val="auto"/>
              </w:rPr>
              <w:t>370,160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61,694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5,282,222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5,982,697</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(58,440)</w:t>
            </w:r>
          </w:p>
        </w:tc>
      </w:tr>
      <w:tr>
        <w:trPr>
          <w:trHeight w:val="270"/>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331,026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355,006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(177,716)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60" w:type="dxa"/>
            <w:vAlign w:val="bottom"/>
          </w:tcPr>
          <w:p>
            <w:pPr>
              <w:jc w:val="right"/>
              <w:ind w:right="7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19,100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36,393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(19,581)</w:t>
            </w:r>
          </w:p>
        </w:tc>
      </w:tr>
      <w:tr>
        <w:trPr>
          <w:trHeight w:val="270"/>
        </w:trPr>
        <w:tc>
          <w:tcPr>
            <w:tcW w:w="1060" w:type="dxa"/>
            <w:vAlign w:val="bottom"/>
          </w:tcPr>
          <w:p>
            <w:pPr>
              <w:jc w:val="right"/>
              <w:ind w:right="10"/>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(226,657)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60" w:type="dxa"/>
            <w:vAlign w:val="bottom"/>
          </w:tcPr>
          <w:p>
            <w:pPr>
              <w:jc w:val="right"/>
              <w:ind w:right="70"/>
              <w:spacing w:after="0"/>
              <w:rPr>
                <w:sz w:val="20"/>
                <w:szCs w:val="20"/>
                <w:color w:val="auto"/>
              </w:rPr>
            </w:pPr>
            <w:r>
              <w:rPr>
                <w:rFonts w:ascii="Arial" w:cs="Arial" w:eastAsia="Arial" w:hAnsi="Arial"/>
                <w:sz w:val="18"/>
                <w:szCs w:val="18"/>
                <w:color w:val="auto"/>
              </w:rPr>
              <w:t>368,314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61,387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5,111,058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6,491,013</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(78,021)</w:t>
            </w:r>
          </w:p>
        </w:tc>
      </w:tr>
      <w:tr>
        <w:trPr>
          <w:trHeight w:val="27"/>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-1242695</wp:posOffset>
            </wp:positionV>
            <wp:extent cx="722058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-899795</wp:posOffset>
            </wp:positionV>
            <wp:extent cx="722058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-556895</wp:posOffset>
            </wp:positionV>
            <wp:extent cx="722058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-213995</wp:posOffset>
            </wp:positionV>
            <wp:extent cx="7220585"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0585" cy="19748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4240" w:space="720"/>
            <w:col w:w="6420"/>
          </w:cols>
          <w:pgMar w:left="240" w:top="1013" w:right="279" w:bottom="1440" w:gutter="0" w:footer="0" w:header="0"/>
          <w:type w:val="continuous"/>
        </w:sectPr>
      </w:pPr>
    </w:p>
    <w:p>
      <w:pPr>
        <w:ind w:right="80" w:firstLine="8"/>
        <w:spacing w:after="0" w:line="275" w:lineRule="auto"/>
        <w:tabs>
          <w:tab w:leader="none" w:pos="23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Balances have been restated to reflect the full retrospective adoption of Accounting Standards Update ASU 2014-09, Revenue from Contracts with Customers, adopted by the Company in fiscal 2019.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13" w:right="27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 2020</w:t>
            </w:r>
          </w:p>
        </w:tc>
        <w:tc>
          <w:tcPr>
            <w:tcW w:w="22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4"/>
                <w:szCs w:val="14"/>
                <w:b w:val="1"/>
                <w:bCs w:val="1"/>
                <w:color w:val="auto"/>
              </w:rPr>
              <w:t>February 2, 2019</w:t>
            </w:r>
          </w:p>
        </w:tc>
      </w:tr>
      <w:tr>
        <w:trPr>
          <w:trHeight w:val="223"/>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43"/>
        </w:trPr>
        <w:tc>
          <w:tcPr>
            <w:tcW w:w="772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9"/>
              <w:spacing w:after="0"/>
              <w:rPr>
                <w:sz w:val="20"/>
                <w:szCs w:val="20"/>
                <w:color w:val="auto"/>
              </w:rPr>
            </w:pPr>
            <w:r>
              <w:rPr>
                <w:rFonts w:ascii="Arial" w:cs="Arial" w:eastAsia="Arial" w:hAnsi="Arial"/>
                <w:sz w:val="18"/>
                <w:szCs w:val="18"/>
                <w:color w:val="auto"/>
              </w:rPr>
              <w:t>203,874</w:t>
            </w:r>
          </w:p>
        </w:tc>
        <w:tc>
          <w:tcPr>
            <w:tcW w:w="12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9"/>
              <w:spacing w:after="0"/>
              <w:rPr>
                <w:sz w:val="20"/>
                <w:szCs w:val="20"/>
                <w:color w:val="auto"/>
              </w:rPr>
            </w:pPr>
            <w:r>
              <w:rPr>
                <w:rFonts w:ascii="Arial" w:cs="Arial" w:eastAsia="Arial" w:hAnsi="Arial"/>
                <w:sz w:val="18"/>
                <w:szCs w:val="18"/>
                <w:color w:val="auto"/>
              </w:rPr>
              <w:t>355,006</w:t>
            </w: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4"/>
        </w:trPr>
        <w:tc>
          <w:tcPr>
            <w:tcW w:w="7720" w:type="dxa"/>
            <w:vAlign w:val="bottom"/>
          </w:tcPr>
          <w:p>
            <w:pPr>
              <w:ind w:left="66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59,863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58,293</w:t>
            </w:r>
          </w:p>
        </w:tc>
      </w:tr>
      <w:tr>
        <w:trPr>
          <w:trHeight w:val="33"/>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Amortization of intangibles</w:t>
            </w: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144,069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142,292</w:t>
            </w:r>
          </w:p>
        </w:tc>
      </w:tr>
      <w:tr>
        <w:trPr>
          <w:trHeight w:val="224"/>
        </w:trPr>
        <w:tc>
          <w:tcPr>
            <w:tcW w:w="7720" w:type="dxa"/>
            <w:vAlign w:val="bottom"/>
          </w:tcPr>
          <w:p>
            <w:pPr>
              <w:ind w:left="66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37,501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36,393</w:t>
            </w:r>
          </w:p>
        </w:tc>
      </w:tr>
      <w:tr>
        <w:trPr>
          <w:trHeight w:val="33"/>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Non-cash portion of special charge</w:t>
            </w: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4,367</w:t>
            </w:r>
          </w:p>
        </w:tc>
      </w:tr>
      <w:tr>
        <w:trPr>
          <w:trHeight w:val="224"/>
        </w:trPr>
        <w:tc>
          <w:tcPr>
            <w:tcW w:w="772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(13,982)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15,652</w:t>
            </w:r>
          </w:p>
        </w:tc>
      </w:tr>
      <w:tr>
        <w:trPr>
          <w:trHeight w:val="33"/>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Non-cash contribution to charitable foundation</w:t>
            </w: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720" w:type="dxa"/>
            <w:vAlign w:val="bottom"/>
          </w:tcPr>
          <w:p>
            <w:pPr>
              <w:ind w:left="660"/>
              <w:spacing w:after="0"/>
              <w:rPr>
                <w:sz w:val="20"/>
                <w:szCs w:val="20"/>
                <w:color w:val="auto"/>
              </w:rPr>
            </w:pPr>
            <w:r>
              <w:rPr>
                <w:rFonts w:ascii="Arial" w:cs="Arial" w:eastAsia="Arial" w:hAnsi="Arial"/>
                <w:sz w:val="16"/>
                <w:szCs w:val="16"/>
                <w:color w:val="auto"/>
              </w:rPr>
              <w:t>Other non-cash activity</w:t>
            </w:r>
          </w:p>
        </w:tc>
        <w:tc>
          <w:tcPr>
            <w:tcW w:w="24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2,332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6,693</w:t>
            </w:r>
          </w:p>
        </w:tc>
      </w:tr>
      <w:tr>
        <w:trPr>
          <w:trHeight w:val="33"/>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(246,929)</w:t>
            </w:r>
          </w:p>
        </w:tc>
      </w:tr>
      <w:tr>
        <w:trPr>
          <w:trHeight w:val="217"/>
        </w:trPr>
        <w:tc>
          <w:tcPr>
            <w:tcW w:w="7720" w:type="dxa"/>
            <w:vAlign w:val="bottom"/>
          </w:tcPr>
          <w:p>
            <w:pPr>
              <w:ind w:left="340"/>
              <w:spacing w:after="0"/>
              <w:rPr>
                <w:sz w:val="20"/>
                <w:szCs w:val="20"/>
                <w:color w:val="auto"/>
              </w:rPr>
            </w:pPr>
            <w:r>
              <w:rPr>
                <w:rFonts w:ascii="Arial" w:cs="Arial" w:eastAsia="Arial" w:hAnsi="Arial"/>
                <w:sz w:val="16"/>
                <w:szCs w:val="16"/>
                <w:color w:val="auto"/>
              </w:rPr>
              <w:t>Total adjustments</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145,774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16,761</w:t>
            </w:r>
          </w:p>
        </w:tc>
      </w:tr>
      <w:tr>
        <w:trPr>
          <w:trHeight w:val="3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349,648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371,767</w:t>
            </w:r>
          </w:p>
        </w:tc>
      </w:tr>
      <w:tr>
        <w:trPr>
          <w:trHeight w:val="204"/>
        </w:trPr>
        <w:tc>
          <w:tcPr>
            <w:tcW w:w="77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33"/>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(90,993)</w:t>
            </w: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Changes in other assets</w:t>
            </w:r>
          </w:p>
        </w:tc>
        <w:tc>
          <w:tcPr>
            <w:tcW w:w="24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(5,222)</w:t>
            </w:r>
          </w:p>
        </w:tc>
      </w:tr>
      <w:tr>
        <w:trPr>
          <w:trHeight w:val="3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(96,215)</w:t>
            </w:r>
          </w:p>
        </w:tc>
      </w:tr>
      <w:tr>
        <w:trPr>
          <w:trHeight w:val="204"/>
        </w:trPr>
        <w:tc>
          <w:tcPr>
            <w:tcW w:w="77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33"/>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revolver</w:t>
            </w: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75,000</w:t>
            </w: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Payments on revolver</w:t>
            </w: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(75,000)</w:t>
            </w:r>
          </w:p>
        </w:tc>
      </w:tr>
      <w:tr>
        <w:trPr>
          <w:trHeight w:val="33"/>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Debt repayments</w:t>
            </w: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Dividend payments to shareholders</w:t>
            </w:r>
          </w:p>
        </w:tc>
        <w:tc>
          <w:tcPr>
            <w:tcW w:w="24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(199,160)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(177,716)</w:t>
            </w:r>
          </w:p>
        </w:tc>
      </w:tr>
      <w:tr>
        <w:trPr>
          <w:trHeight w:val="33"/>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(227,093)</w:t>
            </w: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Proceeds from employee stock plans</w:t>
            </w:r>
          </w:p>
        </w:tc>
        <w:tc>
          <w:tcPr>
            <w:tcW w:w="24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16,113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19,229</w:t>
            </w:r>
          </w:p>
        </w:tc>
      </w:tr>
      <w:tr>
        <w:trPr>
          <w:trHeight w:val="33"/>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other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w:t>
            </w:r>
          </w:p>
        </w:tc>
      </w:tr>
      <w:tr>
        <w:trPr>
          <w:trHeight w:val="217"/>
        </w:trPr>
        <w:tc>
          <w:tcPr>
            <w:tcW w:w="7720" w:type="dxa"/>
            <w:vAlign w:val="bottom"/>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(289,572)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(486,149)</w:t>
            </w:r>
          </w:p>
        </w:tc>
      </w:tr>
      <w:tr>
        <w:trPr>
          <w:trHeight w:val="3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r>
      <w:tr>
        <w:trPr>
          <w:trHeight w:val="217"/>
        </w:trPr>
        <w:tc>
          <w:tcPr>
            <w:tcW w:w="77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6,086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(210,727)</w:t>
            </w:r>
          </w:p>
        </w:tc>
      </w:tr>
      <w:tr>
        <w:trPr>
          <w:trHeight w:val="33"/>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648,322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816,591</w:t>
            </w:r>
          </w:p>
        </w:tc>
      </w:tr>
      <w:tr>
        <w:trPr>
          <w:trHeight w:val="217"/>
        </w:trPr>
        <w:tc>
          <w:tcPr>
            <w:tcW w:w="772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654,408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605,864</w:t>
            </w:r>
          </w:p>
        </w:tc>
      </w:tr>
      <w:tr>
        <w:trPr>
          <w:trHeight w:val="33"/>
        </w:trPr>
        <w:tc>
          <w:tcPr>
            <w:tcW w:w="7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13"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FEBRUARY 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in thousands except per share amounts and percentages)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5"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2, 2019 (fiscal 2019) and related notes. The results of operations for the interim periods shown in this report are not necessarily indicative of the results that may be expected for the fiscal year ending October 31, 2020 (fiscal 2020) or any future period.</w:t>
      </w:r>
    </w:p>
    <w:p>
      <w:pPr>
        <w:spacing w:after="0" w:line="134"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Certain amounts reported in previous periods have been reclassified to conform to the fiscal 2020 presentation.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Leases</w:t>
      </w:r>
    </w:p>
    <w:p>
      <w:pPr>
        <w:spacing w:after="0" w:line="121" w:lineRule="exact"/>
        <w:rPr>
          <w:sz w:val="20"/>
          <w:szCs w:val="20"/>
          <w:color w:val="auto"/>
        </w:rPr>
      </w:pPr>
    </w:p>
    <w:p>
      <w:pPr>
        <w:ind w:right="260" w:firstLine="446"/>
        <w:spacing w:after="0" w:line="257" w:lineRule="auto"/>
        <w:rPr>
          <w:sz w:val="20"/>
          <w:szCs w:val="20"/>
          <w:color w:val="auto"/>
        </w:rPr>
      </w:pPr>
      <w:r>
        <w:rPr>
          <w:rFonts w:ascii="Arial" w:cs="Arial" w:eastAsia="Arial" w:hAnsi="Arial"/>
          <w:sz w:val="18"/>
          <w:szCs w:val="18"/>
          <w:color w:val="auto"/>
        </w:rPr>
        <w:t xml:space="preserve">In the first quarter of fiscal 2020, the Company adopted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using the modified retrospective approach. Results for the first quarter of fiscal 2020 are presented under ASU 2016-02, while prior period consolidated financial statements have not been adjusted and continue to be presented under the accounting standard in effect at that time. See Note 12, </w:t>
      </w:r>
      <w:r>
        <w:rPr>
          <w:rFonts w:ascii="Arial" w:cs="Arial" w:eastAsia="Arial" w:hAnsi="Arial"/>
          <w:sz w:val="18"/>
          <w:szCs w:val="18"/>
          <w:i w:val="1"/>
          <w:iCs w:val="1"/>
          <w:color w:val="auto"/>
        </w:rPr>
        <w:t>New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w:t>
      </w:r>
      <w:r>
        <w:rPr>
          <w:rFonts w:ascii="Arial" w:cs="Arial" w:eastAsia="Arial" w:hAnsi="Arial"/>
          <w:sz w:val="18"/>
          <w:szCs w:val="18"/>
          <w:color w:val="auto"/>
        </w:rPr>
        <w:t>of these Notes to Condensed Consolidated Financial Statements for further detail on the adoption of this standard, including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values.</w:t>
      </w:r>
    </w:p>
    <w:p>
      <w:pPr>
        <w:spacing w:after="0" w:line="80" w:lineRule="exact"/>
        <w:rPr>
          <w:sz w:val="20"/>
          <w:szCs w:val="20"/>
          <w:color w:val="auto"/>
        </w:rPr>
      </w:pPr>
    </w:p>
    <w:p>
      <w:pPr>
        <w:ind w:right="20" w:firstLine="405"/>
        <w:spacing w:after="0" w:line="268" w:lineRule="auto"/>
        <w:rPr>
          <w:sz w:val="20"/>
          <w:szCs w:val="20"/>
          <w:color w:val="auto"/>
        </w:rPr>
      </w:pPr>
      <w:r>
        <w:rPr>
          <w:rFonts w:ascii="Arial" w:cs="Arial" w:eastAsia="Arial" w:hAnsi="Arial"/>
          <w:sz w:val="16"/>
          <w:szCs w:val="16"/>
          <w:color w:val="auto"/>
        </w:rPr>
        <w:t>The Company enters into operating leases which primarily relate to certain facilities. The Company determines whether an arrangement is or contains a lease based on the unique facts and circumstances present at the inception of an arrangement. Lease assets represent the Company's right to use underlying assets for the lease term, and lease liabilities represent the obligation to make lease payments over the lease term. At lease commencement, leases are evaluated for classification, and assets and liabilities are recognized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Certain adjustments to the right-of-use asset may be required for items such as initial direct costs paid or incentives received, such as construction allowances from landlords and/or rent abatements subsequent to taking possession of the leased property. The Company has agreements with lease and non-lease components, which are accounted for as a single lease component. Non-lease components may include real estate taxes, insurance, maintenance, parking and other operating costs. If these costs are variable costs they are not included in the measurement of the right-of-use assets and lease liabilities, but are expensed when the event determining the amount of variable consideration to be paid occurs. The Company’s leases have remaining lease terms of less than one year to approximately ten years, some of which may include options to extend the initial term of the lease. These options are included in determining the initial lease term at lease commencement only if the Company is reasonably certain to exercise the option. Lease costs are recognized on a straight-line basis as lease expense over the lease term. For leases with terms of twelve months or less the Company recognizes the related lease payments as expense either straight-line over the lease term or as incurred depending on whether the lease payments are fixed or variable.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balance sheet information related to our operating leases: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February 1, 2020</w:t>
            </w:r>
          </w:p>
        </w:tc>
      </w:tr>
      <w:tr>
        <w:trPr>
          <w:trHeight w:val="236"/>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70"/>
        </w:trPr>
        <w:tc>
          <w:tcPr>
            <w:tcW w:w="9080" w:type="dxa"/>
            <w:vAlign w:val="bottom"/>
          </w:tcPr>
          <w:p>
            <w:pPr>
              <w:ind w:left="360"/>
              <w:spacing w:after="0"/>
              <w:rPr>
                <w:sz w:val="20"/>
                <w:szCs w:val="20"/>
                <w:color w:val="auto"/>
              </w:rPr>
            </w:pPr>
            <w:r>
              <w:rPr>
                <w:rFonts w:ascii="Arial" w:cs="Arial" w:eastAsia="Arial" w:hAnsi="Arial"/>
                <w:sz w:val="18"/>
                <w:szCs w:val="18"/>
                <w:color w:val="auto"/>
              </w:rPr>
              <w:t xml:space="preserve">Operating lease right-of-use assets in </w:t>
            </w:r>
            <w:r>
              <w:rPr>
                <w:rFonts w:ascii="Arial" w:cs="Arial" w:eastAsia="Arial" w:hAnsi="Arial"/>
                <w:sz w:val="18"/>
                <w:szCs w:val="18"/>
                <w:i w:val="1"/>
                <w:iCs w:val="1"/>
                <w:color w:val="auto"/>
              </w:rPr>
              <w:t>Other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74"/>
              <w:spacing w:after="0"/>
              <w:rPr>
                <w:sz w:val="20"/>
                <w:szCs w:val="20"/>
                <w:color w:val="auto"/>
              </w:rPr>
            </w:pPr>
            <w:r>
              <w:rPr>
                <w:rFonts w:ascii="Arial" w:cs="Arial" w:eastAsia="Arial" w:hAnsi="Arial"/>
                <w:sz w:val="18"/>
                <w:szCs w:val="18"/>
                <w:color w:val="auto"/>
              </w:rPr>
              <w:t>229,279</w:t>
            </w: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70"/>
        </w:trPr>
        <w:tc>
          <w:tcPr>
            <w:tcW w:w="9080" w:type="dxa"/>
            <w:vAlign w:val="bottom"/>
          </w:tcPr>
          <w:p>
            <w:pPr>
              <w:ind w:left="36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Accrued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74"/>
              <w:spacing w:after="0"/>
              <w:rPr>
                <w:sz w:val="20"/>
                <w:szCs w:val="20"/>
                <w:color w:val="auto"/>
              </w:rPr>
            </w:pPr>
            <w:r>
              <w:rPr>
                <w:rFonts w:ascii="Arial" w:cs="Arial" w:eastAsia="Arial" w:hAnsi="Arial"/>
                <w:sz w:val="18"/>
                <w:szCs w:val="18"/>
                <w:color w:val="auto"/>
              </w:rPr>
              <w:t>34,433</w:t>
            </w:r>
          </w:p>
        </w:tc>
      </w:tr>
      <w:tr>
        <w:trPr>
          <w:trHeight w:val="270"/>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non-current liabilities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265,995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Details of the Company's operating leases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r>
      <w:tr>
        <w:trPr>
          <w:trHeight w:val="209"/>
        </w:trPr>
        <w:tc>
          <w:tcPr>
            <w:tcW w:w="90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February 1, 2020</w:t>
            </w: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expense</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10,692</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operating lease liabilities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11,399</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Lease assets obtained in exchange for new lease liabilities</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52"/>
              <w:spacing w:after="0"/>
              <w:rPr>
                <w:sz w:val="20"/>
                <w:szCs w:val="20"/>
                <w:color w:val="auto"/>
              </w:rPr>
            </w:pPr>
            <w:r>
              <w:rPr>
                <w:rFonts w:ascii="Arial" w:cs="Arial" w:eastAsia="Arial" w:hAnsi="Arial"/>
                <w:sz w:val="18"/>
                <w:szCs w:val="18"/>
                <w:color w:val="auto"/>
              </w:rPr>
              <w:t>4,835</w:t>
            </w:r>
          </w:p>
        </w:tc>
      </w:tr>
      <w:tr>
        <w:trPr>
          <w:trHeight w:val="27"/>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years</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351"/>
        </w:trPr>
        <w:tc>
          <w:tcPr>
            <w:tcW w:w="9000" w:type="dxa"/>
            <w:vAlign w:val="bottom"/>
          </w:tcPr>
          <w:p>
            <w:pPr>
              <w:ind w:left="460"/>
              <w:spacing w:after="0"/>
              <w:rPr>
                <w:sz w:val="20"/>
                <w:szCs w:val="20"/>
                <w:color w:val="auto"/>
              </w:rPr>
            </w:pPr>
            <w:r>
              <w:rPr>
                <w:rFonts w:ascii="Arial" w:cs="Arial" w:eastAsia="Arial" w:hAnsi="Arial"/>
                <w:sz w:val="18"/>
                <w:szCs w:val="18"/>
                <w:color w:val="auto"/>
              </w:rPr>
              <w:t>The following table presents the maturities of our operating lease liabilities as of February 1, 2020: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78"/>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Fiscal year</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jc w:val="right"/>
              <w:ind w:right="412"/>
              <w:spacing w:after="0"/>
              <w:rPr>
                <w:sz w:val="20"/>
                <w:szCs w:val="20"/>
                <w:color w:val="auto"/>
              </w:rPr>
            </w:pPr>
            <w:r>
              <w:rPr>
                <w:rFonts w:ascii="Arial" w:cs="Arial" w:eastAsia="Arial" w:hAnsi="Arial"/>
                <w:sz w:val="18"/>
                <w:szCs w:val="18"/>
                <w:b w:val="1"/>
                <w:bCs w:val="1"/>
                <w:color w:val="auto"/>
              </w:rPr>
              <w:t>Operating Leases</w:t>
            </w:r>
          </w:p>
        </w:tc>
      </w:tr>
      <w:tr>
        <w:trPr>
          <w:trHeight w:val="27"/>
        </w:trPr>
        <w:tc>
          <w:tcPr>
            <w:tcW w:w="9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33,054</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40" w:type="dxa"/>
            <w:vAlign w:val="bottom"/>
          </w:tcPr>
          <w:p>
            <w:pPr>
              <w:jc w:val="right"/>
              <w:ind w:right="72"/>
              <w:spacing w:after="0"/>
              <w:rPr>
                <w:sz w:val="20"/>
                <w:szCs w:val="20"/>
                <w:color w:val="auto"/>
              </w:rPr>
            </w:pPr>
            <w:r>
              <w:rPr>
                <w:rFonts w:ascii="Arial" w:cs="Arial" w:eastAsia="Arial" w:hAnsi="Arial"/>
                <w:sz w:val="18"/>
                <w:szCs w:val="18"/>
                <w:color w:val="auto"/>
              </w:rPr>
              <w:t>40,485</w:t>
            </w:r>
          </w:p>
        </w:tc>
      </w:tr>
      <w:tr>
        <w:trPr>
          <w:trHeight w:val="27"/>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35,525</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40" w:type="dxa"/>
            <w:vAlign w:val="bottom"/>
          </w:tcPr>
          <w:p>
            <w:pPr>
              <w:jc w:val="right"/>
              <w:ind w:right="72"/>
              <w:spacing w:after="0"/>
              <w:rPr>
                <w:sz w:val="20"/>
                <w:szCs w:val="20"/>
                <w:color w:val="auto"/>
              </w:rPr>
            </w:pPr>
            <w:r>
              <w:rPr>
                <w:rFonts w:ascii="Arial" w:cs="Arial" w:eastAsia="Arial" w:hAnsi="Arial"/>
                <w:sz w:val="18"/>
                <w:szCs w:val="18"/>
                <w:color w:val="auto"/>
              </w:rPr>
              <w:t>32,728</w:t>
            </w:r>
          </w:p>
        </w:tc>
      </w:tr>
      <w:tr>
        <w:trPr>
          <w:trHeight w:val="27"/>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32,364</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40" w:type="dxa"/>
            <w:vAlign w:val="bottom"/>
          </w:tcPr>
          <w:p>
            <w:pPr>
              <w:jc w:val="right"/>
              <w:ind w:right="72"/>
              <w:spacing w:after="0"/>
              <w:rPr>
                <w:sz w:val="20"/>
                <w:szCs w:val="20"/>
                <w:color w:val="auto"/>
              </w:rPr>
            </w:pPr>
            <w:r>
              <w:rPr>
                <w:rFonts w:ascii="Arial" w:cs="Arial" w:eastAsia="Arial" w:hAnsi="Arial"/>
                <w:sz w:val="18"/>
                <w:szCs w:val="18"/>
                <w:color w:val="auto"/>
              </w:rPr>
              <w:t>31,103</w:t>
            </w:r>
          </w:p>
        </w:tc>
      </w:tr>
      <w:tr>
        <w:trPr>
          <w:trHeight w:val="27"/>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146,645</w:t>
            </w:r>
          </w:p>
        </w:tc>
      </w:tr>
      <w:tr>
        <w:trPr>
          <w:trHeight w:val="237"/>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Total future minimum operating lease payments</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351,904</w:t>
            </w:r>
          </w:p>
        </w:tc>
      </w:tr>
      <w:tr>
        <w:trPr>
          <w:trHeight w:val="27"/>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(51,476)</w:t>
            </w:r>
          </w:p>
        </w:tc>
      </w:tr>
      <w:tr>
        <w:trPr>
          <w:trHeight w:val="237"/>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Present value of operating lease liabilities</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300,428</w:t>
            </w:r>
          </w:p>
        </w:tc>
      </w:tr>
      <w:tr>
        <w:trPr>
          <w:trHeight w:val="27"/>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
        </w:trPr>
        <w:tc>
          <w:tcPr>
            <w:tcW w:w="9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February 1, 2020, we have additional leases for office space and equipment, which have not yet commenced, of approximately $16.6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leases will commence during fiscal year 2020, with lease terms of 10 to 25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 and Shareholders' Equity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Company’s stock option activity as of February 1, 2020 and changes during the three-month period then ended is presented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3"/>
                <w:szCs w:val="3"/>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 Exercise</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Contractual</w:t>
            </w: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4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November 2, 2019</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5,183</w:t>
            </w:r>
          </w:p>
        </w:tc>
        <w:tc>
          <w:tcPr>
            <w:tcW w:w="15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$65.97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40"/>
              <w:spacing w:after="0"/>
              <w:rPr>
                <w:sz w:val="20"/>
                <w:szCs w:val="20"/>
                <w:color w:val="auto"/>
              </w:rPr>
            </w:pPr>
            <w:r>
              <w:rPr>
                <w:rFonts w:ascii="Arial" w:cs="Arial" w:eastAsia="Arial" w:hAnsi="Arial"/>
                <w:sz w:val="18"/>
                <w:szCs w:val="18"/>
                <w:color w:val="auto"/>
              </w:rPr>
              <w:t>Options exercised</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(309)</w:t>
            </w:r>
          </w:p>
        </w:tc>
        <w:tc>
          <w:tcPr>
            <w:tcW w:w="1540" w:type="dxa"/>
            <w:vAlign w:val="bottom"/>
            <w:gridSpan w:val="2"/>
          </w:tcPr>
          <w:p>
            <w:pPr>
              <w:jc w:val="right"/>
              <w:ind w:right="68"/>
              <w:spacing w:after="0"/>
              <w:rPr>
                <w:sz w:val="20"/>
                <w:szCs w:val="20"/>
                <w:color w:val="auto"/>
              </w:rPr>
            </w:pPr>
            <w:r>
              <w:rPr>
                <w:rFonts w:ascii="Arial" w:cs="Arial" w:eastAsia="Arial" w:hAnsi="Arial"/>
                <w:sz w:val="18"/>
                <w:szCs w:val="18"/>
                <w:color w:val="auto"/>
              </w:rPr>
              <w:t>$52.19</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forfeited</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15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$82.44</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February 1, 2020</w:t>
            </w:r>
          </w:p>
        </w:tc>
        <w:tc>
          <w:tcPr>
            <w:tcW w:w="13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4,824</w:t>
            </w:r>
          </w:p>
        </w:tc>
        <w:tc>
          <w:tcPr>
            <w:tcW w:w="1540" w:type="dxa"/>
            <w:vAlign w:val="bottom"/>
            <w:gridSpan w:val="2"/>
          </w:tcPr>
          <w:p>
            <w:pPr>
              <w:jc w:val="right"/>
              <w:ind w:right="68"/>
              <w:spacing w:after="0"/>
              <w:rPr>
                <w:sz w:val="20"/>
                <w:szCs w:val="20"/>
                <w:color w:val="auto"/>
              </w:rPr>
            </w:pPr>
            <w:r>
              <w:rPr>
                <w:rFonts w:ascii="Arial" w:cs="Arial" w:eastAsia="Arial" w:hAnsi="Arial"/>
                <w:sz w:val="18"/>
                <w:szCs w:val="18"/>
                <w:color w:val="auto"/>
              </w:rPr>
              <w:t>$66.65</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8"/>
                <w:szCs w:val="18"/>
                <w:color w:val="auto"/>
              </w:rPr>
              <w:t>$207,946</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February 1, 2020</w:t>
            </w:r>
          </w:p>
        </w:tc>
        <w:tc>
          <w:tcPr>
            <w:tcW w:w="13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2,647</w:t>
            </w:r>
          </w:p>
        </w:tc>
        <w:tc>
          <w:tcPr>
            <w:tcW w:w="15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$55.65</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$143,200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Options vested or expected to vest at February 1, 2020 (1)</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20" w:type="dxa"/>
            <w:vAlign w:val="bottom"/>
            <w:vMerge w:val="continue"/>
          </w:tcPr>
          <w:p>
            <w:pPr>
              <w:spacing w:after="0"/>
              <w:rPr>
                <w:sz w:val="21"/>
                <w:szCs w:val="21"/>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4,719</w:t>
            </w:r>
          </w:p>
        </w:tc>
        <w:tc>
          <w:tcPr>
            <w:tcW w:w="1540" w:type="dxa"/>
            <w:vAlign w:val="bottom"/>
            <w:gridSpan w:val="2"/>
          </w:tcPr>
          <w:p>
            <w:pPr>
              <w:jc w:val="right"/>
              <w:ind w:right="68"/>
              <w:spacing w:after="0"/>
              <w:rPr>
                <w:sz w:val="20"/>
                <w:szCs w:val="20"/>
                <w:color w:val="auto"/>
              </w:rPr>
            </w:pPr>
            <w:r>
              <w:rPr>
                <w:rFonts w:ascii="Arial" w:cs="Arial" w:eastAsia="Arial" w:hAnsi="Arial"/>
                <w:sz w:val="18"/>
                <w:szCs w:val="18"/>
                <w:color w:val="auto"/>
              </w:rPr>
              <w:t>$66.18</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60" w:type="dxa"/>
            <w:vAlign w:val="bottom"/>
          </w:tcPr>
          <w:p>
            <w:pPr>
              <w:jc w:val="right"/>
              <w:ind w:right="79"/>
              <w:spacing w:after="0"/>
              <w:rPr>
                <w:sz w:val="20"/>
                <w:szCs w:val="20"/>
                <w:color w:val="auto"/>
              </w:rPr>
            </w:pPr>
            <w:r>
              <w:rPr>
                <w:rFonts w:ascii="Arial" w:cs="Arial" w:eastAsia="Arial" w:hAnsi="Arial"/>
                <w:sz w:val="18"/>
                <w:szCs w:val="18"/>
                <w:color w:val="auto"/>
              </w:rPr>
              <w:t>$205,625</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160" w:hanging="328"/>
        <w:spacing w:after="0" w:line="277"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116"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During the three-month periods ended February 1, 2020 and February 2, 2019, the total intrinsic value of options exercised (i.e., the difference between the market price at exercise and the price paid by the employee to exercise the options) was $20.3 million and $27.1 million, respectively.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 summary of the Company’s restricted stock unit/award activity as of February 1, 2020 and changes during the three-month period then ended is presented below:</w:t>
      </w: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84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Stock Units/Awards</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Average Grant-</w:t>
            </w:r>
          </w:p>
        </w:tc>
      </w:tr>
      <w:tr>
        <w:trPr>
          <w:trHeight w:val="162"/>
        </w:trPr>
        <w:tc>
          <w:tcPr>
            <w:tcW w:w="84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Date Fair Value</w:t>
            </w:r>
          </w:p>
        </w:tc>
      </w:tr>
      <w:tr>
        <w:trPr>
          <w:trHeight w:val="186"/>
        </w:trPr>
        <w:tc>
          <w:tcPr>
            <w:tcW w:w="84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Per Share</w:t>
            </w:r>
          </w:p>
        </w:tc>
      </w:tr>
      <w:tr>
        <w:trPr>
          <w:trHeight w:val="26"/>
        </w:trPr>
        <w:tc>
          <w:tcPr>
            <w:tcW w:w="84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units/awards outstanding at November 2, 2019</w:t>
            </w:r>
          </w:p>
        </w:tc>
        <w:tc>
          <w:tcPr>
            <w:tcW w:w="14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4,396</w:t>
            </w:r>
          </w:p>
        </w:tc>
        <w:tc>
          <w:tcPr>
            <w:tcW w:w="15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$87.18</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Units/Awards granted</w:t>
            </w:r>
          </w:p>
        </w:tc>
        <w:tc>
          <w:tcPr>
            <w:tcW w:w="1440" w:type="dxa"/>
            <w:vAlign w:val="bottom"/>
          </w:tcPr>
          <w:p>
            <w:pPr>
              <w:jc w:val="right"/>
              <w:ind w:right="78"/>
              <w:spacing w:after="0"/>
              <w:rPr>
                <w:sz w:val="20"/>
                <w:szCs w:val="20"/>
                <w:color w:val="auto"/>
              </w:rPr>
            </w:pPr>
            <w:r>
              <w:rPr>
                <w:rFonts w:ascii="Arial" w:cs="Arial" w:eastAsia="Arial" w:hAnsi="Arial"/>
                <w:sz w:val="18"/>
                <w:szCs w:val="18"/>
                <w:color w:val="auto"/>
              </w:rPr>
              <w:t>28</w:t>
            </w:r>
          </w:p>
        </w:tc>
        <w:tc>
          <w:tcPr>
            <w:tcW w:w="1560" w:type="dxa"/>
            <w:vAlign w:val="bottom"/>
            <w:gridSpan w:val="2"/>
          </w:tcPr>
          <w:p>
            <w:pPr>
              <w:jc w:val="right"/>
              <w:ind w:right="108"/>
              <w:spacing w:after="0"/>
              <w:rPr>
                <w:sz w:val="20"/>
                <w:szCs w:val="20"/>
                <w:color w:val="auto"/>
              </w:rPr>
            </w:pPr>
            <w:r>
              <w:rPr>
                <w:rFonts w:ascii="Arial" w:cs="Arial" w:eastAsia="Arial" w:hAnsi="Arial"/>
                <w:sz w:val="18"/>
                <w:szCs w:val="18"/>
                <w:color w:val="auto"/>
              </w:rPr>
              <w:t>$111.25</w:t>
            </w:r>
          </w:p>
        </w:tc>
      </w:tr>
      <w:tr>
        <w:trPr>
          <w:trHeight w:val="27"/>
        </w:trPr>
        <w:tc>
          <w:tcPr>
            <w:tcW w:w="8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(179)</w:t>
            </w:r>
          </w:p>
        </w:tc>
        <w:tc>
          <w:tcPr>
            <w:tcW w:w="15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$82.45</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(117)</w:t>
            </w:r>
          </w:p>
        </w:tc>
        <w:tc>
          <w:tcPr>
            <w:tcW w:w="1560" w:type="dxa"/>
            <w:vAlign w:val="bottom"/>
            <w:gridSpan w:val="2"/>
          </w:tcPr>
          <w:p>
            <w:pPr>
              <w:jc w:val="right"/>
              <w:ind w:right="108"/>
              <w:spacing w:after="0"/>
              <w:rPr>
                <w:sz w:val="20"/>
                <w:szCs w:val="20"/>
                <w:color w:val="auto"/>
              </w:rPr>
            </w:pPr>
            <w:r>
              <w:rPr>
                <w:rFonts w:ascii="Arial" w:cs="Arial" w:eastAsia="Arial" w:hAnsi="Arial"/>
                <w:sz w:val="18"/>
                <w:szCs w:val="18"/>
                <w:color w:val="auto"/>
              </w:rPr>
              <w:t>$87.20</w:t>
            </w:r>
          </w:p>
        </w:tc>
      </w:tr>
      <w:tr>
        <w:trPr>
          <w:trHeight w:val="27"/>
        </w:trPr>
        <w:tc>
          <w:tcPr>
            <w:tcW w:w="84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units/awards outstanding at February 1, 2020</w:t>
            </w:r>
          </w:p>
        </w:tc>
        <w:tc>
          <w:tcPr>
            <w:tcW w:w="14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4,128</w:t>
            </w:r>
          </w:p>
        </w:tc>
        <w:tc>
          <w:tcPr>
            <w:tcW w:w="15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$89.44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of February 1, 2020, there was $265.3 million of total unrecognized compensation cost related to unvested stock-based awards comprised of stock options and restricted stock units/awards. That cost is expected to be recognized over a weighted-average period of 1.4 years. The total grant-date fair values of shares that vested during the three-month periods ended February 1, 2020 and February 2, 2019 were approximately $14.8 million and $19.6 million, respectively.</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stock-based compensation expense recognized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tcPr>
          <w:p>
            <w:pPr>
              <w:jc w:val="right"/>
              <w:ind w:right="1314"/>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2"/>
          </w:tcPr>
          <w:p>
            <w:pPr>
              <w:ind w:left="160"/>
              <w:spacing w:after="0"/>
              <w:rPr>
                <w:sz w:val="20"/>
                <w:szCs w:val="20"/>
                <w:color w:val="auto"/>
              </w:rPr>
            </w:pPr>
            <w:r>
              <w:rPr>
                <w:rFonts w:ascii="Arial" w:cs="Arial" w:eastAsia="Arial" w:hAnsi="Arial"/>
                <w:sz w:val="14"/>
                <w:szCs w:val="14"/>
                <w:b w:val="1"/>
                <w:bCs w:val="1"/>
                <w:color w:val="auto"/>
              </w:rPr>
              <w:t>February 1, 2020</w:t>
            </w:r>
          </w:p>
        </w:tc>
        <w:tc>
          <w:tcPr>
            <w:tcW w:w="280" w:type="dxa"/>
            <w:vAlign w:val="bottom"/>
          </w:tcPr>
          <w:p>
            <w:pPr>
              <w:spacing w:after="0"/>
              <w:rPr>
                <w:sz w:val="17"/>
                <w:szCs w:val="17"/>
                <w:color w:val="auto"/>
              </w:rPr>
            </w:pPr>
          </w:p>
        </w:tc>
        <w:tc>
          <w:tcPr>
            <w:tcW w:w="1680" w:type="dxa"/>
            <w:vAlign w:val="bottom"/>
          </w:tcPr>
          <w:p>
            <w:pPr>
              <w:jc w:val="right"/>
              <w:ind w:right="374"/>
              <w:spacing w:after="0"/>
              <w:rPr>
                <w:sz w:val="20"/>
                <w:szCs w:val="20"/>
                <w:color w:val="auto"/>
              </w:rPr>
            </w:pPr>
            <w:r>
              <w:rPr>
                <w:rFonts w:ascii="Arial" w:cs="Arial" w:eastAsia="Arial" w:hAnsi="Arial"/>
                <w:sz w:val="14"/>
                <w:szCs w:val="14"/>
                <w:b w:val="1"/>
                <w:bCs w:val="1"/>
                <w:color w:val="auto"/>
              </w:rPr>
              <w:t>February 2, 2019</w:t>
            </w:r>
          </w:p>
        </w:tc>
      </w:tr>
      <w:tr>
        <w:trPr>
          <w:trHeight w:val="250"/>
        </w:trPr>
        <w:tc>
          <w:tcPr>
            <w:tcW w:w="7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sales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4,564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5,084</w:t>
            </w:r>
          </w:p>
        </w:tc>
      </w:tr>
      <w:tr>
        <w:trPr>
          <w:trHeight w:val="243"/>
        </w:trPr>
        <w:tc>
          <w:tcPr>
            <w:tcW w:w="73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660" w:type="dxa"/>
            <w:vAlign w:val="bottom"/>
          </w:tcPr>
          <w:p>
            <w:pPr>
              <w:jc w:val="right"/>
              <w:ind w:right="76"/>
              <w:spacing w:after="0"/>
              <w:rPr>
                <w:sz w:val="20"/>
                <w:szCs w:val="20"/>
                <w:color w:val="auto"/>
              </w:rPr>
            </w:pPr>
            <w:r>
              <w:rPr>
                <w:rFonts w:ascii="Arial" w:cs="Arial" w:eastAsia="Arial" w:hAnsi="Arial"/>
                <w:sz w:val="18"/>
                <w:szCs w:val="18"/>
                <w:color w:val="auto"/>
              </w:rPr>
              <w:t>17,605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ind w:right="74"/>
              <w:spacing w:after="0"/>
              <w:rPr>
                <w:sz w:val="20"/>
                <w:szCs w:val="20"/>
                <w:color w:val="auto"/>
              </w:rPr>
            </w:pPr>
            <w:r>
              <w:rPr>
                <w:rFonts w:ascii="Arial" w:cs="Arial" w:eastAsia="Arial" w:hAnsi="Arial"/>
                <w:sz w:val="18"/>
                <w:szCs w:val="18"/>
                <w:color w:val="auto"/>
              </w:rPr>
              <w:t>18,925</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marketing, 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15,332</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12,384</w:t>
            </w:r>
          </w:p>
        </w:tc>
      </w:tr>
      <w:tr>
        <w:trPr>
          <w:trHeight w:val="264"/>
        </w:trPr>
        <w:tc>
          <w:tcPr>
            <w:tcW w:w="7320" w:type="dxa"/>
            <w:vAlign w:val="bottom"/>
          </w:tcPr>
          <w:p>
            <w:pPr>
              <w:ind w:left="66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37,501</w:t>
            </w:r>
          </w:p>
        </w:tc>
        <w:tc>
          <w:tcPr>
            <w:tcW w:w="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36,393</w:t>
            </w:r>
          </w:p>
        </w:tc>
      </w:tr>
      <w:tr>
        <w:trPr>
          <w:trHeight w:val="21"/>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As of February 1, 2020 and November 2, 2019, the Company capitalized $6.3 million and $6.8 million, respectively, of stock-based compensation in Inventories on the Condensed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171"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As of February 1, 2020, the Company had repurchased a total of approximately 155.3 million shares of its common stock for approximately $6.2 billion under the Company's share repurchase program. As of February 1, 2020, an additional $2.0 billion remains available for repurchase of shares under the current authorized program.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Devices Foundation</w:t>
      </w:r>
    </w:p>
    <w:p>
      <w:pPr>
        <w:spacing w:after="0" w:line="104"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During the first three months of fiscal 2020, the Company contributed 335,654 shares of its common stock to the newly formed Analog Devices Foundation. As of the date of the charitable contribution the shares had a fair value of approximately $40.0 million. This expense was recorded in Selling, marketing, general and administrative expense in the Condensed Consolidated Statement of Income.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Accumulated Other Comprehensive (Loss) Income</w:t>
      </w:r>
    </w:p>
    <w:p>
      <w:pPr>
        <w:spacing w:after="0" w:line="17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provides the changes in accumulated other comprehensive (loss) income (AOCI) by component and the related tax effects during the first three months of fiscal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Foreign</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currency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holding gains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(losses) 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3"/>
        </w:trPr>
        <w:tc>
          <w:tcPr>
            <w:tcW w:w="6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adjustment</w:t>
            </w:r>
          </w:p>
        </w:tc>
        <w:tc>
          <w:tcPr>
            <w:tcW w:w="1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derivatives</w:t>
            </w: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Pension plans</w:t>
            </w:r>
          </w:p>
        </w:tc>
        <w:tc>
          <w:tcPr>
            <w:tcW w:w="300" w:type="dxa"/>
            <w:vAlign w:val="bottom"/>
          </w:tcPr>
          <w:p>
            <w:pPr>
              <w:spacing w:after="0"/>
              <w:rPr>
                <w:sz w:val="19"/>
                <w:szCs w:val="19"/>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50"/>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November 2, 2019</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(187,799)</w:t>
            </w:r>
          </w:p>
        </w:tc>
      </w:tr>
      <w:tr>
        <w:trPr>
          <w:trHeight w:val="243"/>
        </w:trPr>
        <w:tc>
          <w:tcPr>
            <w:tcW w:w="614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(19,210)</w:t>
            </w:r>
          </w:p>
        </w:tc>
      </w:tr>
      <w:tr>
        <w:trPr>
          <w:trHeight w:val="27"/>
        </w:trPr>
        <w:tc>
          <w:tcPr>
            <w:tcW w:w="6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Amounts reclassified out of 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1,942</w:t>
            </w:r>
          </w:p>
        </w:tc>
      </w:tr>
      <w:tr>
        <w:trPr>
          <w:trHeight w:val="243"/>
        </w:trPr>
        <w:tc>
          <w:tcPr>
            <w:tcW w:w="6140" w:type="dxa"/>
            <w:vAlign w:val="bottom"/>
          </w:tcPr>
          <w:p>
            <w:pPr>
              <w:ind w:left="220"/>
              <w:spacing w:after="0"/>
              <w:rPr>
                <w:sz w:val="20"/>
                <w:szCs w:val="20"/>
                <w:color w:val="auto"/>
              </w:rPr>
            </w:pPr>
            <w:r>
              <w:rPr>
                <w:rFonts w:ascii="Arial" w:cs="Arial" w:eastAsia="Arial" w:hAnsi="Arial"/>
                <w:sz w:val="18"/>
                <w:szCs w:val="18"/>
                <w:color w:val="auto"/>
              </w:rPr>
              <w:t>Tax effects</w:t>
            </w:r>
          </w:p>
        </w:tc>
        <w:tc>
          <w:tcPr>
            <w:tcW w:w="16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5,299</w:t>
            </w:r>
          </w:p>
        </w:tc>
      </w:tr>
      <w:tr>
        <w:trPr>
          <w:trHeight w:val="27"/>
        </w:trPr>
        <w:tc>
          <w:tcPr>
            <w:tcW w:w="6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(11,969)</w:t>
            </w:r>
          </w:p>
        </w:tc>
      </w:tr>
      <w:tr>
        <w:trPr>
          <w:trHeight w:val="243"/>
        </w:trPr>
        <w:tc>
          <w:tcPr>
            <w:tcW w:w="6140" w:type="dxa"/>
            <w:vAlign w:val="bottom"/>
          </w:tcPr>
          <w:p>
            <w:pPr>
              <w:ind w:left="220"/>
              <w:spacing w:after="0"/>
              <w:rPr>
                <w:sz w:val="20"/>
                <w:szCs w:val="20"/>
                <w:color w:val="auto"/>
              </w:rPr>
            </w:pPr>
            <w:r>
              <w:rPr>
                <w:rFonts w:ascii="Arial" w:cs="Arial" w:eastAsia="Arial" w:hAnsi="Arial"/>
                <w:sz w:val="18"/>
                <w:szCs w:val="18"/>
                <w:color w:val="auto"/>
              </w:rPr>
              <w:t>Effect of Accounting Standards Update 2018-02</w:t>
            </w:r>
          </w:p>
        </w:tc>
        <w:tc>
          <w:tcPr>
            <w:tcW w:w="16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(2,379)</w:t>
            </w:r>
          </w:p>
        </w:tc>
      </w:tr>
      <w:tr>
        <w:trPr>
          <w:trHeight w:val="27"/>
        </w:trPr>
        <w:tc>
          <w:tcPr>
            <w:tcW w:w="6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February 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(30,271)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(132,422)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(39,454)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(202,147)</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reclassified out of AOCI into the Condensed Consolidated Statements of Income and the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with presentation location during each period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131"/>
              <w:spacing w:after="0"/>
              <w:rPr>
                <w:sz w:val="20"/>
                <w:szCs w:val="20"/>
                <w:color w:val="auto"/>
              </w:rPr>
            </w:pPr>
            <w:r>
              <w:rPr>
                <w:rFonts w:ascii="Arial" w:cs="Arial" w:eastAsia="Arial" w:hAnsi="Arial"/>
                <w:sz w:val="14"/>
                <w:szCs w:val="14"/>
                <w:b w:val="1"/>
                <w:bCs w:val="1"/>
                <w:color w:val="auto"/>
              </w:rPr>
              <w:t>Three Months Ended</w:t>
            </w: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 Component</w:t>
            </w:r>
          </w:p>
        </w:tc>
        <w:tc>
          <w:tcPr>
            <w:tcW w:w="3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February 1, 2020</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February 2, 2019</w:t>
            </w:r>
          </w:p>
        </w:tc>
        <w:tc>
          <w:tcPr>
            <w:tcW w:w="44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1"/>
              </w:rPr>
              <w:t>Unrealized holding losses (gains) on derivatives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8"/>
                <w:szCs w:val="18"/>
                <w:color w:val="auto"/>
              </w:rPr>
              <w:t>Currency 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719</w:t>
            </w:r>
          </w:p>
        </w:tc>
        <w:tc>
          <w:tcPr>
            <w:tcW w:w="4480" w:type="dxa"/>
            <w:vAlign w:val="bottom"/>
          </w:tcPr>
          <w:p>
            <w:pPr>
              <w:ind w:left="1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848</w:t>
            </w:r>
          </w:p>
        </w:tc>
        <w:tc>
          <w:tcPr>
            <w:tcW w:w="4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915</w:t>
            </w:r>
          </w:p>
        </w:tc>
        <w:tc>
          <w:tcPr>
            <w:tcW w:w="4480" w:type="dxa"/>
            <w:vAlign w:val="bottom"/>
          </w:tcPr>
          <w:p>
            <w:pPr>
              <w:ind w:left="120"/>
              <w:spacing w:after="0"/>
              <w:rPr>
                <w:sz w:val="20"/>
                <w:szCs w:val="20"/>
                <w:color w:val="auto"/>
              </w:rPr>
            </w:pPr>
            <w:r>
              <w:rPr>
                <w:rFonts w:ascii="Arial" w:cs="Arial" w:eastAsia="Arial" w:hAnsi="Arial"/>
                <w:sz w:val="18"/>
                <w:szCs w:val="18"/>
                <w:color w:val="auto"/>
              </w:rPr>
              <w:t>Selling, marketing, general and administrative</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w:t>
            </w:r>
          </w:p>
        </w:tc>
        <w:tc>
          <w:tcPr>
            <w:tcW w:w="4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2,528</w:t>
            </w:r>
          </w:p>
        </w:tc>
        <w:tc>
          <w:tcPr>
            <w:tcW w:w="4480" w:type="dxa"/>
            <w:vAlign w:val="bottom"/>
          </w:tcPr>
          <w:p>
            <w:pPr>
              <w:ind w:left="1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w:t>
            </w:r>
          </w:p>
        </w:tc>
        <w:tc>
          <w:tcPr>
            <w:tcW w:w="4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09"/>
        </w:trPr>
        <w:tc>
          <w:tcPr>
            <w:tcW w:w="3200" w:type="dxa"/>
            <w:vAlign w:val="bottom"/>
          </w:tcPr>
          <w:p>
            <w:pPr>
              <w:ind w:left="220"/>
              <w:spacing w:after="0"/>
              <w:rPr>
                <w:sz w:val="20"/>
                <w:szCs w:val="20"/>
                <w:color w:val="auto"/>
              </w:rPr>
            </w:pPr>
            <w:r>
              <w:rPr>
                <w:rFonts w:ascii="Arial" w:cs="Arial" w:eastAsia="Arial" w:hAnsi="Arial"/>
                <w:sz w:val="18"/>
                <w:szCs w:val="18"/>
                <w:color w:val="auto"/>
                <w:w w:val="95"/>
              </w:rPr>
              <w:t>Effect of Accounting Standards Update</w:t>
            </w: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8"/>
                <w:szCs w:val="18"/>
                <w:color w:val="auto"/>
              </w:rPr>
              <w:t>2018-02</w:t>
            </w:r>
          </w:p>
        </w:tc>
        <w:tc>
          <w:tcPr>
            <w:tcW w:w="340" w:type="dxa"/>
            <w:vAlign w:val="bottom"/>
          </w:tcPr>
          <w:p>
            <w:pPr>
              <w:spacing w:after="0"/>
              <w:rPr>
                <w:sz w:val="20"/>
                <w:szCs w:val="20"/>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48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2,020</w:t>
            </w:r>
          </w:p>
        </w:tc>
        <w:tc>
          <w:tcPr>
            <w:tcW w:w="4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gridSpan w:val="3"/>
          </w:tcPr>
          <w:p>
            <w:pPr>
              <w:spacing w:after="0" w:line="20" w:lineRule="exact"/>
              <w:rPr>
                <w:sz w:val="1"/>
                <w:szCs w:val="1"/>
                <w:color w:val="auto"/>
              </w:rPr>
            </w:pPr>
          </w:p>
        </w:tc>
        <w:tc>
          <w:tcPr>
            <w:tcW w:w="1920" w:type="dxa"/>
            <w:vAlign w:val="bottom"/>
            <w:tcBorders>
              <w:top w:val="single" w:sz="8" w:color="CCEEFF"/>
            </w:tcBorders>
            <w:gridSpan w:val="3"/>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w w:val="93"/>
              </w:rPr>
              <w:t>Amortization of pension components included in the computation of net periodic pension cost</w:t>
            </w:r>
          </w:p>
        </w:tc>
        <w:tc>
          <w:tcPr>
            <w:tcW w:w="4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40"/>
              <w:spacing w:after="0"/>
              <w:rPr>
                <w:sz w:val="20"/>
                <w:szCs w:val="20"/>
                <w:color w:val="auto"/>
              </w:rPr>
            </w:pPr>
            <w:r>
              <w:rPr>
                <w:rFonts w:ascii="Arial" w:cs="Arial" w:eastAsia="Arial" w:hAnsi="Arial"/>
                <w:sz w:val="18"/>
                <w:szCs w:val="18"/>
                <w:color w:val="auto"/>
              </w:rPr>
              <w:t>Actuarial losses</w:t>
            </w:r>
          </w:p>
        </w:tc>
        <w:tc>
          <w:tcPr>
            <w:tcW w:w="340" w:type="dxa"/>
            <w:vAlign w:val="bottom"/>
          </w:tcPr>
          <w:p>
            <w:pPr>
              <w:spacing w:after="0"/>
              <w:rPr>
                <w:sz w:val="21"/>
                <w:szCs w:val="21"/>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257</w:t>
            </w: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4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194</w:t>
            </w:r>
          </w:p>
        </w:tc>
        <w:tc>
          <w:tcPr>
            <w:tcW w:w="4480" w:type="dxa"/>
            <w:vAlign w:val="bottom"/>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Total amounts reclassified out of AOCI,</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ind w:right="13"/>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vMerge w:val="restart"/>
          </w:tcPr>
          <w:p>
            <w:pPr>
              <w:jc w:val="right"/>
              <w:ind w:right="71"/>
              <w:spacing w:after="0"/>
              <w:rPr>
                <w:sz w:val="20"/>
                <w:szCs w:val="20"/>
                <w:color w:val="auto"/>
              </w:rPr>
            </w:pPr>
            <w:r>
              <w:rPr>
                <w:rFonts w:ascii="Arial" w:cs="Arial" w:eastAsia="Arial" w:hAnsi="Arial"/>
                <w:sz w:val="18"/>
                <w:szCs w:val="18"/>
                <w:color w:val="auto"/>
              </w:rPr>
              <w:t>2,214</w:t>
            </w: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20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34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The Company estimates that settlements of forward foreign currency derivative instruments included in AOCI that will be reclassified into earnings will be immaterial within the next twelve months.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expense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net realized gains or losses from the sales of available-for-sale investments during any of the fiscal periods presented.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4"/>
          </w:tcPr>
          <w:p>
            <w:pPr>
              <w:jc w:val="right"/>
              <w:ind w:right="12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2"/>
          </w:tcPr>
          <w:p>
            <w:pPr>
              <w:ind w:left="180"/>
              <w:spacing w:after="0"/>
              <w:rPr>
                <w:sz w:val="20"/>
                <w:szCs w:val="20"/>
                <w:color w:val="auto"/>
              </w:rPr>
            </w:pPr>
            <w:r>
              <w:rPr>
                <w:rFonts w:ascii="Arial" w:cs="Arial" w:eastAsia="Arial" w:hAnsi="Arial"/>
                <w:sz w:val="14"/>
                <w:szCs w:val="14"/>
                <w:b w:val="1"/>
                <w:bCs w:val="1"/>
                <w:color w:val="auto"/>
              </w:rPr>
              <w:t>February 1, 2020</w:t>
            </w:r>
          </w:p>
        </w:tc>
        <w:tc>
          <w:tcPr>
            <w:tcW w:w="280" w:type="dxa"/>
            <w:vAlign w:val="bottom"/>
          </w:tcPr>
          <w:p>
            <w:pPr>
              <w:spacing w:after="0"/>
              <w:rPr>
                <w:sz w:val="17"/>
                <w:szCs w:val="17"/>
                <w:color w:val="auto"/>
              </w:rPr>
            </w:pPr>
          </w:p>
        </w:tc>
        <w:tc>
          <w:tcPr>
            <w:tcW w:w="1700" w:type="dxa"/>
            <w:vAlign w:val="bottom"/>
          </w:tcPr>
          <w:p>
            <w:pPr>
              <w:jc w:val="right"/>
              <w:ind w:right="372"/>
              <w:spacing w:after="0"/>
              <w:rPr>
                <w:sz w:val="20"/>
                <w:szCs w:val="20"/>
                <w:color w:val="auto"/>
              </w:rPr>
            </w:pPr>
            <w:r>
              <w:rPr>
                <w:rFonts w:ascii="Arial" w:cs="Arial" w:eastAsia="Arial" w:hAnsi="Arial"/>
                <w:sz w:val="14"/>
                <w:szCs w:val="14"/>
                <w:b w:val="1"/>
                <w:bCs w:val="1"/>
                <w:color w:val="auto"/>
              </w:rPr>
              <w:t>February 2, 2019</w:t>
            </w:r>
          </w:p>
        </w:tc>
        <w:tc>
          <w:tcPr>
            <w:tcW w:w="0" w:type="dxa"/>
            <w:vAlign w:val="bottom"/>
          </w:tcPr>
          <w:p>
            <w:pPr>
              <w:spacing w:after="0"/>
              <w:rPr>
                <w:sz w:val="1"/>
                <w:szCs w:val="1"/>
                <w:color w:val="auto"/>
              </w:rPr>
            </w:pPr>
          </w:p>
        </w:tc>
      </w:tr>
      <w:tr>
        <w:trPr>
          <w:trHeight w:val="250"/>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203,874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355,006</w:t>
            </w: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Weighted-average shares outstanding</w:t>
            </w:r>
          </w:p>
        </w:tc>
        <w:tc>
          <w:tcPr>
            <w:tcW w:w="28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368,241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368,703</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4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shares:</w:t>
            </w:r>
          </w:p>
        </w:tc>
        <w:tc>
          <w:tcPr>
            <w:tcW w:w="2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40" w:type="dxa"/>
            <w:vAlign w:val="bottom"/>
          </w:tcPr>
          <w:p>
            <w:pPr>
              <w:ind w:left="340"/>
              <w:spacing w:after="0"/>
              <w:rPr>
                <w:sz w:val="20"/>
                <w:szCs w:val="20"/>
                <w:color w:val="auto"/>
              </w:rPr>
            </w:pPr>
            <w:r>
              <w:rPr>
                <w:rFonts w:ascii="Arial" w:cs="Arial" w:eastAsia="Arial" w:hAnsi="Arial"/>
                <w:sz w:val="18"/>
                <w:szCs w:val="18"/>
                <w:color w:val="auto"/>
              </w:rPr>
              <w:t>Weighted-average shares outstanding</w:t>
            </w:r>
          </w:p>
        </w:tc>
        <w:tc>
          <w:tcPr>
            <w:tcW w:w="280" w:type="dxa"/>
            <w:vAlign w:val="bottom"/>
          </w:tcPr>
          <w:p>
            <w:pPr>
              <w:spacing w:after="0"/>
              <w:rPr>
                <w:sz w:val="21"/>
                <w:szCs w:val="21"/>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368,241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368,703</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Assumed exercise of common stock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37"/>
        </w:trPr>
        <w:tc>
          <w:tcPr>
            <w:tcW w:w="7340" w:type="dxa"/>
            <w:vAlign w:val="bottom"/>
          </w:tcPr>
          <w:p>
            <w:pPr>
              <w:ind w:left="340"/>
              <w:spacing w:after="0"/>
              <w:rPr>
                <w:sz w:val="20"/>
                <w:szCs w:val="20"/>
                <w:color w:val="auto"/>
              </w:rPr>
            </w:pPr>
            <w:r>
              <w:rPr>
                <w:rFonts w:ascii="Arial" w:cs="Arial" w:eastAsia="Arial" w:hAnsi="Arial"/>
                <w:sz w:val="18"/>
                <w:szCs w:val="18"/>
                <w:color w:val="auto"/>
              </w:rPr>
              <w:t>Weighted-average common and common equivalent shares</w:t>
            </w: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372,264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372,506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shares related to:</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stock-based awards</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7"/>
        </w:trPr>
        <w:tc>
          <w:tcPr>
            <w:tcW w:w="7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175"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12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is a quarterly roll-forward from November 2, 2019 to February 1, 2020 of the employee separation and exit cost accruals established related to these actions: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1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Closure of Manufacturing</w:t>
            </w:r>
          </w:p>
        </w:tc>
        <w:tc>
          <w:tcPr>
            <w:tcW w:w="140" w:type="dxa"/>
            <w:vAlign w:val="bottom"/>
          </w:tcPr>
          <w:p>
            <w:pPr>
              <w:spacing w:after="0"/>
              <w:rPr>
                <w:sz w:val="12"/>
                <w:szCs w:val="12"/>
                <w:color w:val="auto"/>
              </w:rPr>
            </w:pPr>
          </w:p>
        </w:tc>
        <w:tc>
          <w:tcPr>
            <w:tcW w:w="1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Reduction of Operating</w:t>
            </w:r>
          </w:p>
        </w:tc>
        <w:tc>
          <w:tcPr>
            <w:tcW w:w="120" w:type="dxa"/>
            <w:vAlign w:val="bottom"/>
          </w:tcPr>
          <w:p>
            <w:pPr>
              <w:spacing w:after="0"/>
              <w:rPr>
                <w:sz w:val="12"/>
                <w:szCs w:val="12"/>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Early Retirement Action</w:t>
            </w:r>
          </w:p>
        </w:tc>
        <w:tc>
          <w:tcPr>
            <w:tcW w:w="160" w:type="dxa"/>
            <w:vAlign w:val="bottom"/>
          </w:tcPr>
          <w:p>
            <w:pPr>
              <w:spacing w:after="0"/>
              <w:rPr>
                <w:sz w:val="12"/>
                <w:szCs w:val="12"/>
                <w:color w:val="auto"/>
              </w:rPr>
            </w:pPr>
          </w:p>
        </w:tc>
        <w:tc>
          <w:tcPr>
            <w:tcW w:w="1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5"/>
              </w:rPr>
              <w:t>Repositioning Action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9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Facilities</w:t>
            </w:r>
          </w:p>
        </w:tc>
        <w:tc>
          <w:tcPr>
            <w:tcW w:w="140" w:type="dxa"/>
            <w:vAlign w:val="bottom"/>
          </w:tcPr>
          <w:p>
            <w:pPr>
              <w:spacing w:after="0"/>
              <w:rPr>
                <w:sz w:val="13"/>
                <w:szCs w:val="13"/>
                <w:color w:val="auto"/>
              </w:rPr>
            </w:pPr>
          </w:p>
        </w:tc>
        <w:tc>
          <w:tcPr>
            <w:tcW w:w="17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Costs Action</w:t>
            </w:r>
          </w:p>
        </w:tc>
        <w:tc>
          <w:tcPr>
            <w:tcW w:w="12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November 2, 2019</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50,401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58,895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First quarter fiscal 2020 special charges</w:t>
            </w:r>
          </w:p>
        </w:tc>
        <w:tc>
          <w:tcPr>
            <w:tcW w:w="36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and other payments</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3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February 1, 2020</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51,445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38,431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Current - accrued liabilities</w:t>
            </w:r>
          </w:p>
        </w:tc>
        <w:tc>
          <w:tcPr>
            <w:tcW w:w="36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38,431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51,445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Repositioning Action</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Company recorded special charges of $97.2 million on a cumulative basis through February 1, 2020, as a result of organizational initiatives to reposition the Company's global workforce skill set to align with the Company's long-term strategic plan. Approximately $83.0 million of the total charges was for severance and fringe benefit costs in accordance with either the Company's ongoing benefit plan or statutory requirements for 504 engineering and selling, marketing, general and administrative (SMG&amp;A) employees. As of February 1, 2020, the Company still employed 109 of the 504 employees included in this action. These employees must continue to be employed by the Company until their employment is involuntarily terminated in order to receive the severance benefits. The remaining $14.2 million of the charges were recorded in fiscal 2019 and related to the write-off of acquired intellectual property due to the Company's decision to discontinue certain product development strategies.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Manufacturing Facilities</w:t>
      </w:r>
    </w:p>
    <w:p>
      <w:pPr>
        <w:spacing w:after="0" w:line="17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Company recorded special charges of $54.0 million on a cumulative basis through February 1, 2020 as a result of its decision to consolidate certain wafer and test facility operations acquired as part of the acquisition of Linear Technology Corporation. Over the next one to three years, the Company plans to close its Hillview wafer fabrication facility located in Milpitas, California and its Singapore test facility. The Company intends to transfer Hillview wafer fabrication production to its other internal facilities and to external foundries. In addition, the Company is planning to transition testing operations currently handled in its Singapore facility to its facilities in Penang, Malaysia and the Philippines, in addition to its outsourced assembly and test partners. The special charges include severance and fringe benefit costs, in accordance with the Company's ongoing benefit plan or statutory requirements at foreign locations, and one-time termination benefits for 1,100 manufacturing, engineering and SMG&amp;A employees. These one-time termination benefits are being recognized over the future service period required for employees to earn these benefits. Employees included in this action must continue to be employed by the Company until their employment is terminated by the Company in order to receive the severance benefits.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7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Company designs, develops, manufactures and markets a broad range of integrated circuits. The Company operates and tracks its results in one reportable segment based on the aggregation of eight operating segments. The Chief Executive Officer has been identified as the Company's Chief Operating Decision Maker.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04"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4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5"/>
              </w:rPr>
              <w:t>February 1,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February 2, 2019</w:t>
            </w:r>
          </w:p>
        </w:tc>
        <w:tc>
          <w:tcPr>
            <w:tcW w:w="200" w:type="dxa"/>
            <w:vAlign w:val="bottom"/>
            <w:tcBorders>
              <w:bottom w:val="single" w:sz="8" w:color="auto"/>
            </w:tcBorders>
          </w:tcPr>
          <w:p>
            <w:pPr>
              <w:spacing w:after="0"/>
              <w:rPr>
                <w:sz w:val="17"/>
                <w:szCs w:val="17"/>
                <w:color w:val="auto"/>
              </w:rPr>
            </w:pPr>
          </w:p>
        </w:tc>
      </w:tr>
      <w:tr>
        <w:trPr>
          <w:trHeight w:val="196"/>
        </w:trPr>
        <w:tc>
          <w:tcPr>
            <w:tcW w:w="45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Y/Y%</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17"/>
                <w:szCs w:val="17"/>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684,862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733,432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239,928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347,016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205,330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244,062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173,445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216,591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8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1,303,565</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1,541,101</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following table summarizes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some commercial customers.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ind w:left="100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4"/>
                <w:szCs w:val="14"/>
                <w:b w:val="1"/>
                <w:bCs w:val="1"/>
                <w:color w:val="auto"/>
              </w:rPr>
              <w:t>February 1, 2020</w:t>
            </w: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February 2, 2019</w:t>
            </w:r>
          </w:p>
        </w:tc>
        <w:tc>
          <w:tcPr>
            <w:tcW w:w="220" w:type="dxa"/>
            <w:vAlign w:val="bottom"/>
            <w:tcBorders>
              <w:bottom w:val="single" w:sz="8" w:color="auto"/>
            </w:tcBorders>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86"/>
              </w:rPr>
              <w:t>Channel</w:t>
            </w:r>
          </w:p>
        </w:tc>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380" w:type="dxa"/>
            <w:vAlign w:val="bottom"/>
          </w:tcPr>
          <w:p>
            <w:pPr>
              <w:jc w:val="right"/>
              <w:ind w:right="36"/>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380" w:type="dxa"/>
            <w:vAlign w:val="bottom"/>
          </w:tcPr>
          <w:p>
            <w:pPr>
              <w:jc w:val="right"/>
              <w:ind w:right="34"/>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6"/>
                <w:szCs w:val="16"/>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40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747,561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829,243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20" w:type="dxa"/>
            <w:vAlign w:val="bottom"/>
          </w:tcPr>
          <w:p>
            <w:pPr>
              <w:spacing w:after="0"/>
              <w:rPr>
                <w:sz w:val="21"/>
                <w:szCs w:val="21"/>
                <w:color w:val="auto"/>
              </w:rPr>
            </w:pPr>
          </w:p>
        </w:tc>
        <w:tc>
          <w:tcPr>
            <w:tcW w:w="1260" w:type="dxa"/>
            <w:vAlign w:val="bottom"/>
          </w:tcPr>
          <w:p>
            <w:pPr>
              <w:jc w:val="right"/>
              <w:ind w:right="56"/>
              <w:spacing w:after="0"/>
              <w:rPr>
                <w:sz w:val="20"/>
                <w:szCs w:val="20"/>
                <w:color w:val="auto"/>
              </w:rPr>
            </w:pPr>
            <w:r>
              <w:rPr>
                <w:rFonts w:ascii="Arial" w:cs="Arial" w:eastAsia="Arial" w:hAnsi="Arial"/>
                <w:sz w:val="18"/>
                <w:szCs w:val="18"/>
                <w:color w:val="auto"/>
              </w:rPr>
              <w:t>529,731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56"/>
              <w:spacing w:after="0"/>
              <w:rPr>
                <w:sz w:val="20"/>
                <w:szCs w:val="20"/>
                <w:color w:val="auto"/>
              </w:rPr>
            </w:pPr>
            <w:r>
              <w:rPr>
                <w:rFonts w:ascii="Arial" w:cs="Arial" w:eastAsia="Arial" w:hAnsi="Arial"/>
                <w:sz w:val="18"/>
                <w:szCs w:val="18"/>
                <w:color w:val="auto"/>
              </w:rPr>
              <w:t>695,489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26,273</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16,369</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20" w:type="dxa"/>
            <w:vAlign w:val="bottom"/>
          </w:tcPr>
          <w:p>
            <w:pPr>
              <w:spacing w:after="0"/>
              <w:rPr>
                <w:sz w:val="22"/>
                <w:szCs w:val="22"/>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1,303,565</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1,541,101</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160" w:hanging="134"/>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75"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right="120" w:firstLine="446"/>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The tables below, set forth by level, presents the Company’s financial assets and liabilities, excluding accrued interest components that were accounted for at fair value on a recurring basis as of February 1, 2020 and November 2, 2019. The tables exclude cash on hand and assets and liabilities that are measured at historical cost or any basis other than fair value. As of February 1, 2020 and November 2, 2019, the Company held $256.1 million and $231.4 million, respectively, of cash and held-to-maturity investments that were excluded from the tables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February 1, 2020</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Fair Value measurement at</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Reporting Date using:</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w w:val="91"/>
              </w:rPr>
              <w:t>Quoted Prices in Active</w:t>
            </w: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Markets for Identical</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Pr>
          <w:p>
            <w:pPr>
              <w:spacing w:after="0"/>
              <w:rPr>
                <w:sz w:val="16"/>
                <w:szCs w:val="16"/>
                <w:color w:val="auto"/>
              </w:rPr>
            </w:pPr>
          </w:p>
        </w:tc>
        <w:tc>
          <w:tcPr>
            <w:tcW w:w="1280" w:type="dxa"/>
            <w:vAlign w:val="bottom"/>
          </w:tcPr>
          <w:p>
            <w:pPr>
              <w:jc w:val="right"/>
              <w:ind w:right="5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660"/>
              <w:spacing w:after="0"/>
              <w:rPr>
                <w:sz w:val="20"/>
                <w:szCs w:val="20"/>
                <w:color w:val="auto"/>
              </w:rPr>
            </w:pPr>
            <w:r>
              <w:rPr>
                <w:rFonts w:ascii="Arial" w:cs="Arial" w:eastAsia="Arial" w:hAnsi="Arial"/>
                <w:sz w:val="18"/>
                <w:szCs w:val="18"/>
                <w:color w:val="auto"/>
              </w:rPr>
              <w:t>Government and institutional 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9"/>
              <w:spacing w:after="0"/>
              <w:rPr>
                <w:sz w:val="20"/>
                <w:szCs w:val="20"/>
                <w:color w:val="auto"/>
              </w:rPr>
            </w:pPr>
            <w:r>
              <w:rPr>
                <w:rFonts w:ascii="Arial" w:cs="Arial" w:eastAsia="Arial" w:hAnsi="Arial"/>
                <w:sz w:val="18"/>
                <w:szCs w:val="18"/>
                <w:color w:val="auto"/>
              </w:rPr>
              <w:t>398,285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398,285</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rPr>
                <w:sz w:val="20"/>
                <w:szCs w:val="20"/>
                <w:color w:val="auto"/>
              </w:rPr>
            </w:pPr>
            <w:r>
              <w:rPr>
                <w:rFonts w:ascii="Arial" w:cs="Arial" w:eastAsia="Arial" w:hAnsi="Arial"/>
                <w:sz w:val="18"/>
                <w:szCs w:val="18"/>
                <w:color w:val="auto"/>
              </w:rPr>
              <w:t>Deferred compensation investments</w:t>
            </w:r>
          </w:p>
        </w:tc>
        <w:tc>
          <w:tcPr>
            <w:tcW w:w="120" w:type="dxa"/>
            <w:vAlign w:val="bottom"/>
          </w:tcPr>
          <w:p>
            <w:pPr>
              <w:spacing w:after="0"/>
              <w:rPr>
                <w:sz w:val="21"/>
                <w:szCs w:val="21"/>
                <w:color w:val="auto"/>
              </w:rPr>
            </w:pPr>
          </w:p>
        </w:tc>
        <w:tc>
          <w:tcPr>
            <w:tcW w:w="1560" w:type="dxa"/>
            <w:vAlign w:val="bottom"/>
          </w:tcPr>
          <w:p>
            <w:pPr>
              <w:jc w:val="right"/>
              <w:ind w:right="79"/>
              <w:spacing w:after="0"/>
              <w:rPr>
                <w:sz w:val="20"/>
                <w:szCs w:val="20"/>
                <w:color w:val="auto"/>
              </w:rPr>
            </w:pPr>
            <w:r>
              <w:rPr>
                <w:rFonts w:ascii="Arial" w:cs="Arial" w:eastAsia="Arial" w:hAnsi="Arial"/>
                <w:sz w:val="18"/>
                <w:szCs w:val="18"/>
                <w:color w:val="auto"/>
              </w:rPr>
              <w:t>51,509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51,509</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449,794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449,794</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 foreign currency exchange contracts (1)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Pr>
          <w:p>
            <w:pPr>
              <w:jc w:val="right"/>
              <w:ind w:right="57"/>
              <w:spacing w:after="0"/>
              <w:rPr>
                <w:sz w:val="20"/>
                <w:szCs w:val="20"/>
                <w:color w:val="auto"/>
              </w:rPr>
            </w:pPr>
            <w:r>
              <w:rPr>
                <w:rFonts w:ascii="Arial" w:cs="Arial" w:eastAsia="Arial" w:hAnsi="Arial"/>
                <w:sz w:val="18"/>
                <w:szCs w:val="18"/>
                <w:color w:val="auto"/>
              </w:rPr>
              <w:t>156,216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156,216</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156,882</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156,882</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440" w:hanging="328"/>
        <w:spacing w:after="0" w:line="308" w:lineRule="auto"/>
        <w:tabs>
          <w:tab w:leader="none" w:pos="696"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Company has master netting arrangements by counterparty with respect to derivative contracts. See Note 9,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these Notes to Condensed Consolidated Financial Statements for more information related to the Company's master netting arrangements.</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November 2, 2019</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 at</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Reporting Date using:</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1"/>
              </w:rPr>
              <w:t>Quoted Prices in Active</w:t>
            </w:r>
          </w:p>
        </w:tc>
        <w:tc>
          <w:tcPr>
            <w:tcW w:w="220" w:type="dxa"/>
            <w:vAlign w:val="bottom"/>
          </w:tcPr>
          <w:p>
            <w:pPr>
              <w:spacing w:after="0"/>
              <w:rPr>
                <w:sz w:val="13"/>
                <w:szCs w:val="13"/>
                <w:color w:val="auto"/>
              </w:rPr>
            </w:pPr>
          </w:p>
        </w:tc>
        <w:tc>
          <w:tcPr>
            <w:tcW w:w="168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3"/>
              </w:rPr>
              <w:t>Significant Other</w:t>
            </w: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8"/>
              </w:rPr>
              <w:t>Markets for Identical Assets</w:t>
            </w:r>
          </w:p>
        </w:tc>
        <w:tc>
          <w:tcPr>
            <w:tcW w:w="220" w:type="dxa"/>
            <w:vAlign w:val="bottom"/>
          </w:tcPr>
          <w:p>
            <w:pPr>
              <w:spacing w:after="0"/>
              <w:rPr>
                <w:sz w:val="12"/>
                <w:szCs w:val="12"/>
                <w:color w:val="auto"/>
              </w:rPr>
            </w:pPr>
          </w:p>
        </w:tc>
        <w:tc>
          <w:tcPr>
            <w:tcW w:w="16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20" w:type="dxa"/>
            <w:vAlign w:val="bottom"/>
          </w:tcPr>
          <w:p>
            <w:pPr>
              <w:spacing w:after="0"/>
              <w:rPr>
                <w:sz w:val="12"/>
                <w:szCs w:val="12"/>
                <w:color w:val="auto"/>
              </w:rPr>
            </w:pPr>
          </w:p>
        </w:tc>
        <w:tc>
          <w:tcPr>
            <w:tcW w:w="136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660"/>
              <w:spacing w:after="0"/>
              <w:rPr>
                <w:sz w:val="20"/>
                <w:szCs w:val="20"/>
                <w:color w:val="auto"/>
              </w:rPr>
            </w:pPr>
            <w:r>
              <w:rPr>
                <w:rFonts w:ascii="Arial" w:cs="Arial" w:eastAsia="Arial" w:hAnsi="Arial"/>
                <w:sz w:val="18"/>
                <w:szCs w:val="18"/>
                <w:color w:val="auto"/>
              </w:rPr>
              <w:t>Government and institutional money market funds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78"/>
              <w:spacing w:after="0"/>
              <w:rPr>
                <w:sz w:val="20"/>
                <w:szCs w:val="20"/>
                <w:color w:val="auto"/>
              </w:rPr>
            </w:pPr>
            <w:r>
              <w:rPr>
                <w:rFonts w:ascii="Arial" w:cs="Arial" w:eastAsia="Arial" w:hAnsi="Arial"/>
                <w:sz w:val="18"/>
                <w:szCs w:val="18"/>
                <w:color w:val="auto"/>
              </w:rPr>
              <w:t>416,890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416,890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40"/>
              <w:spacing w:after="0"/>
              <w:rPr>
                <w:sz w:val="20"/>
                <w:szCs w:val="20"/>
                <w:color w:val="auto"/>
              </w:rPr>
            </w:pPr>
            <w:r>
              <w:rPr>
                <w:rFonts w:ascii="Arial" w:cs="Arial" w:eastAsia="Arial" w:hAnsi="Arial"/>
                <w:sz w:val="18"/>
                <w:szCs w:val="18"/>
                <w:color w:val="auto"/>
              </w:rPr>
              <w:t>Deferred compensation investments</w:t>
            </w:r>
          </w:p>
        </w:tc>
        <w:tc>
          <w:tcPr>
            <w:tcW w:w="140" w:type="dxa"/>
            <w:vAlign w:val="bottom"/>
          </w:tcPr>
          <w:p>
            <w:pPr>
              <w:spacing w:after="0"/>
              <w:rPr>
                <w:sz w:val="21"/>
                <w:szCs w:val="21"/>
                <w:color w:val="auto"/>
              </w:rPr>
            </w:pPr>
          </w:p>
        </w:tc>
        <w:tc>
          <w:tcPr>
            <w:tcW w:w="1660" w:type="dxa"/>
            <w:vAlign w:val="bottom"/>
          </w:tcPr>
          <w:p>
            <w:pPr>
              <w:jc w:val="right"/>
              <w:ind w:right="78"/>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48,302</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465,192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465,192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rate derivatives</w:t>
            </w:r>
          </w:p>
        </w:tc>
        <w:tc>
          <w:tcPr>
            <w:tcW w:w="1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138,798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138,798</w:t>
            </w: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138,798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138,798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These investments are adjusted to fair value based on quoted market prices or are determined using a yield curve model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market rates.</w:t>
      </w:r>
    </w:p>
    <w:p>
      <w:pPr>
        <w:spacing w:after="0" w:line="116" w:lineRule="exact"/>
        <w:rPr>
          <w:sz w:val="20"/>
          <w:szCs w:val="20"/>
          <w:color w:val="auto"/>
        </w:rPr>
      </w:pPr>
    </w:p>
    <w:p>
      <w:pPr>
        <w:ind w:right="420" w:firstLine="446"/>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b w:val="1"/>
          <w:bCs w:val="1"/>
          <w:i w:val="1"/>
          <w:iCs w:val="1"/>
          <w:color w:val="auto"/>
        </w:rPr>
        <w:t xml:space="preserve">Interest rate derivatives </w:t>
      </w:r>
      <w:r>
        <w:rPr>
          <w:rFonts w:ascii="Arial" w:cs="Arial" w:eastAsia="Arial" w:hAnsi="Arial"/>
          <w:sz w:val="18"/>
          <w:szCs w:val="18"/>
          <w:color w:val="auto"/>
        </w:rPr>
        <w:t>— The fair value of the interest rate derivatives is estimated using a discounted cash flow analysis based on the contractual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derivative.</w:t>
      </w:r>
    </w:p>
    <w:p>
      <w:pPr>
        <w:spacing w:after="0" w:line="116"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3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table below presents the estimated fair value of certain financial instruments not recorded at fair value on a recurring basis. The carrying amounts of the term loans approximate fair value. The term loans are classified as Level 2 measurements according to the fair value hierarchy. The fair values of the senior unsecured notes are obtained from broker prices and are classified as Level 1 measurements according to the fair value hierarchy.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February 1,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November 2, 2019</w:t>
            </w:r>
          </w:p>
        </w:tc>
        <w:tc>
          <w:tcPr>
            <w:tcW w:w="0" w:type="dxa"/>
            <w:vAlign w:val="bottom"/>
          </w:tcPr>
          <w:p>
            <w:pPr>
              <w:spacing w:after="0"/>
              <w:rPr>
                <w:sz w:val="1"/>
                <w:szCs w:val="1"/>
                <w:color w:val="auto"/>
              </w:rPr>
            </w:pPr>
          </w:p>
        </w:tc>
      </w:tr>
      <w:tr>
        <w:trPr>
          <w:trHeight w:val="152"/>
        </w:trPr>
        <w:tc>
          <w:tcPr>
            <w:tcW w:w="5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Principal Amount</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3"/>
                <w:szCs w:val="13"/>
                <w:color w:val="auto"/>
              </w:rPr>
            </w:pPr>
          </w:p>
        </w:tc>
        <w:tc>
          <w:tcPr>
            <w:tcW w:w="15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Principal Amount</w:t>
            </w:r>
          </w:p>
        </w:tc>
        <w:tc>
          <w:tcPr>
            <w:tcW w:w="280" w:type="dxa"/>
            <w:vAlign w:val="bottom"/>
          </w:tcPr>
          <w:p>
            <w:pPr>
              <w:spacing w:after="0"/>
              <w:rPr>
                <w:sz w:val="13"/>
                <w:szCs w:val="13"/>
                <w:color w:val="auto"/>
              </w:rPr>
            </w:pPr>
          </w:p>
        </w:tc>
        <w:tc>
          <w:tcPr>
            <w:tcW w:w="12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925,000</w:t>
            </w: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2.85%</w:t>
            </w:r>
          </w:p>
        </w:tc>
        <w:tc>
          <w:tcPr>
            <w:tcW w:w="4320" w:type="dxa"/>
            <w:vAlign w:val="bottom"/>
          </w:tcPr>
          <w:p>
            <w:pPr>
              <w:ind w:left="20"/>
              <w:spacing w:after="0"/>
              <w:rPr>
                <w:sz w:val="20"/>
                <w:szCs w:val="20"/>
                <w:color w:val="auto"/>
              </w:rPr>
            </w:pPr>
            <w:r>
              <w:rPr>
                <w:rFonts w:ascii="Arial" w:cs="Arial" w:eastAsia="Arial" w:hAnsi="Arial"/>
                <w:sz w:val="18"/>
                <w:szCs w:val="18"/>
                <w:color w:val="auto"/>
              </w:rPr>
              <w:t>Senior unsecured notes, due March 2020</w:t>
            </w:r>
          </w:p>
        </w:tc>
        <w:tc>
          <w:tcPr>
            <w:tcW w:w="16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300,279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300,872</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2.95%</w:t>
            </w: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January 2021</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454,611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454,634</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2.50%</w:t>
            </w:r>
          </w:p>
        </w:tc>
        <w:tc>
          <w:tcPr>
            <w:tcW w:w="4320" w:type="dxa"/>
            <w:vAlign w:val="bottom"/>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16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405,176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402,591</w:t>
            </w:r>
          </w:p>
        </w:tc>
        <w:tc>
          <w:tcPr>
            <w:tcW w:w="0" w:type="dxa"/>
            <w:vAlign w:val="bottom"/>
          </w:tcPr>
          <w:p>
            <w:pPr>
              <w:spacing w:after="0"/>
              <w:rPr>
                <w:sz w:val="1"/>
                <w:szCs w:val="1"/>
                <w:color w:val="auto"/>
              </w:rPr>
            </w:pPr>
          </w:p>
        </w:tc>
      </w:tr>
      <w:tr>
        <w:trPr>
          <w:trHeight w:val="27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2.875% Senior unsecured notes, due June 2023</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515,306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511,190</w:t>
            </w:r>
          </w:p>
        </w:tc>
        <w:tc>
          <w:tcPr>
            <w:tcW w:w="0" w:type="dxa"/>
            <w:vAlign w:val="bottom"/>
          </w:tcPr>
          <w:p>
            <w:pPr>
              <w:spacing w:after="0"/>
              <w:rPr>
                <w:sz w:val="1"/>
                <w:szCs w:val="1"/>
                <w:color w:val="auto"/>
              </w:rPr>
            </w:pPr>
          </w:p>
        </w:tc>
      </w:tr>
      <w:tr>
        <w:trPr>
          <w:trHeight w:val="27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3.125% Senior unsecured notes, due December 2023</w:t>
            </w:r>
          </w:p>
        </w:tc>
        <w:tc>
          <w:tcPr>
            <w:tcW w:w="16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576,275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567,159</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3.90%</w:t>
            </w: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850,000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932,764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850,000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914,567</w:t>
            </w:r>
          </w:p>
        </w:tc>
        <w:tc>
          <w:tcPr>
            <w:tcW w:w="0" w:type="dxa"/>
            <w:vAlign w:val="bottom"/>
          </w:tcPr>
          <w:p>
            <w:pPr>
              <w:spacing w:after="0"/>
              <w:rPr>
                <w:sz w:val="1"/>
                <w:szCs w:val="1"/>
                <w:color w:val="auto"/>
              </w:rPr>
            </w:pPr>
          </w:p>
        </w:tc>
      </w:tr>
      <w:tr>
        <w:trPr>
          <w:trHeight w:val="270"/>
        </w:trPr>
        <w:tc>
          <w:tcPr>
            <w:tcW w:w="500" w:type="dxa"/>
            <w:vAlign w:val="bottom"/>
          </w:tcPr>
          <w:p>
            <w:pPr>
              <w:ind w:left="20"/>
              <w:spacing w:after="0"/>
              <w:rPr>
                <w:sz w:val="20"/>
                <w:szCs w:val="20"/>
                <w:color w:val="auto"/>
              </w:rPr>
            </w:pPr>
            <w:r>
              <w:rPr>
                <w:rFonts w:ascii="Arial" w:cs="Arial" w:eastAsia="Arial" w:hAnsi="Arial"/>
                <w:sz w:val="18"/>
                <w:szCs w:val="18"/>
                <w:color w:val="auto"/>
                <w:w w:val="90"/>
              </w:rPr>
              <w:t>3.50%</w:t>
            </w:r>
          </w:p>
        </w:tc>
        <w:tc>
          <w:tcPr>
            <w:tcW w:w="4320" w:type="dxa"/>
            <w:vAlign w:val="bottom"/>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160" w:type="dxa"/>
            <w:vAlign w:val="bottom"/>
          </w:tcPr>
          <w:p>
            <w:pPr>
              <w:spacing w:after="0"/>
              <w:rPr>
                <w:sz w:val="23"/>
                <w:szCs w:val="23"/>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969,376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940,192</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4.50%</w:t>
            </w: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279,974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270,891</w:t>
            </w:r>
          </w:p>
        </w:tc>
        <w:tc>
          <w:tcPr>
            <w:tcW w:w="0" w:type="dxa"/>
            <w:vAlign w:val="bottom"/>
          </w:tcPr>
          <w:p>
            <w:pPr>
              <w:spacing w:after="0"/>
              <w:rPr>
                <w:sz w:val="1"/>
                <w:szCs w:val="1"/>
                <w:color w:val="auto"/>
              </w:rPr>
            </w:pPr>
          </w:p>
        </w:tc>
      </w:tr>
      <w:tr>
        <w:trPr>
          <w:trHeight w:val="270"/>
        </w:trPr>
        <w:tc>
          <w:tcPr>
            <w:tcW w:w="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5.30%</w:t>
            </w:r>
          </w:p>
        </w:tc>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515,583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491,439</w:t>
            </w:r>
          </w:p>
        </w:tc>
        <w:tc>
          <w:tcPr>
            <w:tcW w:w="0" w:type="dxa"/>
            <w:vAlign w:val="bottom"/>
          </w:tcPr>
          <w:p>
            <w:pPr>
              <w:spacing w:after="0"/>
              <w:rPr>
                <w:sz w:val="1"/>
                <w:szCs w:val="1"/>
                <w:color w:val="auto"/>
              </w:rPr>
            </w:pPr>
          </w:p>
        </w:tc>
      </w:tr>
      <w:tr>
        <w:trPr>
          <w:trHeight w:val="289"/>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5,525,000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5,874,344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5,525,000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5,778,535</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75"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i w:val="1"/>
          <w:iCs w:val="1"/>
          <w:color w:val="auto"/>
        </w:rPr>
        <w:t xml:space="preserve">Foreign Exchange Exposure Management </w:t>
      </w:r>
      <w:r>
        <w:rPr>
          <w:rFonts w:ascii="Arial" w:cs="Arial" w:eastAsia="Arial" w:hAnsi="Arial"/>
          <w:sz w:val="17"/>
          <w:szCs w:val="17"/>
          <w:color w:val="auto"/>
        </w:rPr>
        <w:t>— The Company enters into forward foreign currency exchange contracts to offset certain operational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 is recorded as a component of AOCI in shareholders’ equity and is reclassified into earnings in the same line item on the Consolidated Statements of Income as the impact of the hedged transaction in the same period during which the hedged transaction affects earnings.</w:t>
      </w:r>
    </w:p>
    <w:p>
      <w:pPr>
        <w:spacing w:after="0" w:line="124"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February 1, 2020 and November 2, 2019 were $196.9 million and $191.1 million, respectively. The fair values of forward foreign currency derivative instruments designated as hedging instruments in the Company’s Condensed Consolidated Balance Sheets as of February 1, 2020 and November 2, 2019 were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136"/>
              <w:spacing w:after="0"/>
              <w:rPr>
                <w:sz w:val="20"/>
                <w:szCs w:val="20"/>
                <w:color w:val="auto"/>
              </w:rPr>
            </w:pPr>
            <w:r>
              <w:rPr>
                <w:rFonts w:ascii="Arial" w:cs="Arial" w:eastAsia="Arial" w:hAnsi="Arial"/>
                <w:sz w:val="14"/>
                <w:szCs w:val="14"/>
                <w:b w:val="1"/>
                <w:bCs w:val="1"/>
                <w:color w:val="auto"/>
              </w:rPr>
              <w:t>Fair Value At</w:t>
            </w:r>
          </w:p>
        </w:tc>
      </w:tr>
      <w:tr>
        <w:trPr>
          <w:trHeight w:val="197"/>
        </w:trPr>
        <w:tc>
          <w:tcPr>
            <w:tcW w:w="4160" w:type="dxa"/>
            <w:vAlign w:val="bottom"/>
            <w:tcBorders>
              <w:bottom w:val="single" w:sz="8" w:color="CCEEFF"/>
            </w:tcBorders>
          </w:tcPr>
          <w:p>
            <w:pPr>
              <w:spacing w:after="0"/>
              <w:rPr>
                <w:sz w:val="17"/>
                <w:szCs w:val="17"/>
                <w:color w:val="auto"/>
              </w:rPr>
            </w:pPr>
          </w:p>
        </w:tc>
        <w:tc>
          <w:tcPr>
            <w:tcW w:w="382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9"/>
              </w:rPr>
              <w:t>February 1, 2020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November 2, 2019</w:t>
            </w: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65</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9"/>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As of February 1, 2020 and November 2, 2019, the total notional amounts of undesignated hedges related to forward foreign currency exchange contracts were $56.8 million and $55.3 million, respectively. The fair values of these hedging instruments in the Company’s Condensed Consolidated Balance Sheets were immaterial as of February 1, 2020 and November 2, 2019.</w:t>
      </w:r>
    </w:p>
    <w:p>
      <w:pPr>
        <w:spacing w:after="0" w:line="127"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All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Condensed Consolidated Balance Sheets on a net basis. As of February 1, 2020 and November 2, 2019, none of the netting arrangements involved collateral.</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presents the gross amounts of the Company's forward foreign currency exchange contract derivative assets and liabilities and the net amounts recorded in the Company's Condensed Consolidated Balance Sheets: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1, 2020</w:t>
            </w:r>
          </w:p>
        </w:tc>
        <w:tc>
          <w:tcPr>
            <w:tcW w:w="160" w:type="dxa"/>
            <w:vAlign w:val="bottom"/>
          </w:tcPr>
          <w:p>
            <w:pPr>
              <w:spacing w:after="0"/>
              <w:rPr>
                <w:sz w:val="16"/>
                <w:szCs w:val="16"/>
                <w:color w:val="auto"/>
              </w:rPr>
            </w:pPr>
          </w:p>
        </w:tc>
        <w:tc>
          <w:tcPr>
            <w:tcW w:w="138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November 2, 2019</w:t>
            </w:r>
          </w:p>
        </w:tc>
      </w:tr>
      <w:tr>
        <w:trPr>
          <w:trHeight w:val="250"/>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amount of recognized liabilities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(2,828)</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Gross amounts of recognized assets offset in the Condensed Consolidated Balance Sheets</w:t>
            </w:r>
          </w:p>
        </w:tc>
        <w:tc>
          <w:tcPr>
            <w:tcW w:w="18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2,828</w:t>
            </w: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liabilities presented in the Condensed Consolidated Balance Sheets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46"/>
        <w:spacing w:after="0" w:line="308" w:lineRule="auto"/>
        <w:rPr>
          <w:sz w:val="20"/>
          <w:szCs w:val="20"/>
          <w:color w:val="auto"/>
        </w:rPr>
      </w:pPr>
      <w:r>
        <w:rPr>
          <w:rFonts w:ascii="Arial" w:cs="Arial" w:eastAsia="Arial" w:hAnsi="Arial"/>
          <w:sz w:val="17"/>
          <w:szCs w:val="17"/>
          <w:color w:val="auto"/>
        </w:rPr>
        <w:t>As of February 1, 2020 and November 2, 2019, the fair values of the interest rate swap agreement designated as a cash flow hedge were $156.2 million and $138.8 million, respectively, and are included within Accrued liabilities in the Company's Condensed Consolidated Balance Sheets.</w:t>
      </w:r>
    </w:p>
    <w:p>
      <w:pPr>
        <w:spacing w:after="0" w:line="93"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February 1, 2020 and November 2, 2019,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24"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4,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in these Notes to Condensed Consolidated Financial Statements for further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February 1, 2020 and November 2, 2019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February 1, 2020</w:t>
            </w:r>
          </w:p>
        </w:tc>
        <w:tc>
          <w:tcPr>
            <w:tcW w:w="260" w:type="dxa"/>
            <w:vAlign w:val="bottom"/>
          </w:tcPr>
          <w:p>
            <w:pPr>
              <w:spacing w:after="0"/>
              <w:rPr>
                <w:sz w:val="16"/>
                <w:szCs w:val="16"/>
                <w:color w:val="auto"/>
              </w:rPr>
            </w:pPr>
          </w:p>
        </w:tc>
        <w:tc>
          <w:tcPr>
            <w:tcW w:w="1640" w:type="dxa"/>
            <w:vAlign w:val="bottom"/>
          </w:tcPr>
          <w:p>
            <w:pPr>
              <w:jc w:val="right"/>
              <w:ind w:right="314"/>
              <w:spacing w:after="0"/>
              <w:rPr>
                <w:sz w:val="20"/>
                <w:szCs w:val="20"/>
                <w:color w:val="auto"/>
              </w:rPr>
            </w:pPr>
            <w:r>
              <w:rPr>
                <w:rFonts w:ascii="Arial" w:cs="Arial" w:eastAsia="Arial" w:hAnsi="Arial"/>
                <w:sz w:val="14"/>
                <w:szCs w:val="14"/>
                <w:b w:val="1"/>
                <w:bCs w:val="1"/>
                <w:color w:val="auto"/>
              </w:rPr>
              <w:t>November 2, 2019</w:t>
            </w:r>
          </w:p>
        </w:tc>
      </w:tr>
      <w:tr>
        <w:trPr>
          <w:trHeight w:val="250"/>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35,447</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404,402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74"/>
              <w:spacing w:after="0"/>
              <w:rPr>
                <w:sz w:val="20"/>
                <w:szCs w:val="20"/>
                <w:color w:val="auto"/>
              </w:rPr>
            </w:pPr>
            <w:r>
              <w:rPr>
                <w:rFonts w:ascii="Arial" w:cs="Arial" w:eastAsia="Arial" w:hAnsi="Arial"/>
                <w:sz w:val="18"/>
                <w:szCs w:val="18"/>
                <w:color w:val="auto"/>
              </w:rPr>
              <w:t>400,409</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149,571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174,030</w:t>
            </w:r>
          </w:p>
        </w:tc>
      </w:tr>
      <w:tr>
        <w:trPr>
          <w:trHeight w:val="264"/>
        </w:trPr>
        <w:tc>
          <w:tcPr>
            <w:tcW w:w="7500" w:type="dxa"/>
            <w:vAlign w:val="bottom"/>
          </w:tcPr>
          <w:p>
            <w:pPr>
              <w:ind w:left="12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588,503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609,886</w:t>
            </w:r>
          </w:p>
        </w:tc>
      </w:tr>
      <w:tr>
        <w:trPr>
          <w:trHeight w:val="21"/>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jc w:val="both"/>
        <w:ind w:right="60" w:firstLine="446"/>
        <w:spacing w:after="0" w:line="277" w:lineRule="auto"/>
        <w:rPr>
          <w:sz w:val="20"/>
          <w:szCs w:val="20"/>
          <w:color w:val="auto"/>
        </w:rPr>
      </w:pPr>
      <w:r>
        <w:rPr>
          <w:rFonts w:ascii="Arial" w:cs="Arial" w:eastAsia="Arial" w:hAnsi="Arial"/>
          <w:sz w:val="18"/>
          <w:szCs w:val="18"/>
          <w:color w:val="auto"/>
        </w:rPr>
        <w:t>The Company’s effective tax rate reflects the applicable tax rate in effect in the various tax jurisdictions around the world where the Company's income is earned.</w:t>
      </w:r>
    </w:p>
    <w:p>
      <w:pPr>
        <w:spacing w:after="0" w:line="62" w:lineRule="exact"/>
        <w:rPr>
          <w:sz w:val="20"/>
          <w:szCs w:val="20"/>
          <w:color w:val="auto"/>
        </w:rPr>
      </w:pPr>
    </w:p>
    <w:p>
      <w:pPr>
        <w:ind w:right="120" w:firstLine="446"/>
        <w:spacing w:after="0" w:line="271" w:lineRule="auto"/>
        <w:rPr>
          <w:sz w:val="20"/>
          <w:szCs w:val="20"/>
          <w:color w:val="auto"/>
        </w:rPr>
      </w:pPr>
      <w:r>
        <w:rPr>
          <w:rFonts w:ascii="Arial" w:cs="Arial" w:eastAsia="Arial" w:hAnsi="Arial"/>
          <w:sz w:val="17"/>
          <w:szCs w:val="17"/>
          <w:color w:val="auto"/>
        </w:rPr>
        <w:t>The Company’s effective tax rates for the three-month periods ended February 1, 2020 and February 2, 2019 were below the U.S. statutory tax rate of 21.0%, due to lower statutory tax rates applicable to the Company's operations in the foreign jurisdictions in which it earns income and as a result of the foreign derived intangible income deduction (FDII), partially offset by the global intangible low-tax income (GILTI) tax. The effective tax rate decreased in the three-month period ended February 1, 2020, as compared to the same period of the prior fiscal year, primarily as a result of a change in the mix of the foreign jurisdictions where income is earned. Additionally, the tax rate for the three-month period ended February 2, 2019 included the effects of recording deferred tax benefits relating to a one-time set up of the GILTI deferred method election of $5.1 million, along with the completion of the accounting for the income tax effects of the Tax Cuts and Jobs Act legislation, in accordance with the U.S. Securities and Exchange Commission Staff Accounting Bulletin No. 118 for the transition tax, which yielded a $7.5 million tax benefit.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62" w:lineRule="exact"/>
        <w:rPr>
          <w:sz w:val="20"/>
          <w:szCs w:val="20"/>
          <w:color w:val="auto"/>
        </w:rPr>
      </w:pPr>
    </w:p>
    <w:p>
      <w:pPr>
        <w:ind w:firstLine="446"/>
        <w:spacing w:after="0" w:line="287" w:lineRule="auto"/>
        <w:rPr>
          <w:sz w:val="20"/>
          <w:szCs w:val="20"/>
          <w:color w:val="auto"/>
        </w:rPr>
      </w:pPr>
      <w:r>
        <w:rPr>
          <w:rFonts w:ascii="Arial" w:cs="Arial" w:eastAsia="Arial" w:hAnsi="Arial"/>
          <w:sz w:val="16"/>
          <w:szCs w:val="16"/>
          <w:color w:val="auto"/>
        </w:rPr>
        <w:t>The Company’s Ireland tax returns prior to the fiscal year ended November 2, 2013 are no longer subject to examination. During the fourth quarter of fiscal 2018, the Company’s Irish tax resident subsidiary received an assessment for fiscal 2013 of approximately €43.0 million, or $47.7 million (as of February 1, 2020), from the Irish Revenue Commissioners (Irish Revenue). This assessment excludes any penalties and interest. The assessment claims that the Company’s Irish entity failed to conform to 2010 OECD Transfer Pricing Guidelines. The Company strongly disagrees with the assessment and maintains that its transfer pricing is appropriate. Therefore, the Company has not recorded any additional tax liability related to fiscal 2013 or any other periods. The Company intends to vigorously defend its originally filed tax return position and is currently preparing for an appeal with the Irish Tax Appeals Commission, which is the normal process for the resolution of differences between Irish Revenue and taxpayers. If Irish Revenue were ultimately to prevail with respect to its assessment for fiscal 2013, such assessment and any potential impact related to years subsequent to fiscal 2013 could have a material unfavorable impact on the Company's income tax expense and net earnings in future periods. During fiscal 2019, Irish Revenue commenced transfer pricing audits of the fiscal years ended November 1, 2014; October 31, 2015 (fiscal 2015); October 29, 2016 (fiscal 2016); and October 28, 2017 (fiscal 2017); however, the Company received confirmation from Irish Revenue that the audit relating to the period ended November 1, 2014 was complete and that no further tax assessment arose in respect of that period. The audits related to fiscal 2015, fiscal 2016 and fiscal 2017 are on-going.</w:t>
      </w:r>
    </w:p>
    <w:p>
      <w:pPr>
        <w:spacing w:after="0" w:line="61"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 xml:space="preserve">In February 2018, the Financial Accounting Standards Board (FASB) issued ASU 2018-02, </w:t>
      </w:r>
      <w:r>
        <w:rPr>
          <w:rFonts w:ascii="Arial" w:cs="Arial" w:eastAsia="Arial" w:hAnsi="Arial"/>
          <w:sz w:val="18"/>
          <w:szCs w:val="18"/>
          <w:i w:val="1"/>
          <w:iCs w:val="1"/>
          <w:color w:val="auto"/>
        </w:rPr>
        <w:t>Income Statement - Reporting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220): Reclassification of Certain Tax Effects from Accumulated Other Comprehensive Income </w:t>
      </w:r>
      <w:r>
        <w:rPr>
          <w:rFonts w:ascii="Arial" w:cs="Arial" w:eastAsia="Arial" w:hAnsi="Arial"/>
          <w:sz w:val="18"/>
          <w:szCs w:val="18"/>
          <w:color w:val="auto"/>
        </w:rPr>
        <w:t>(ASU 2018-02). ASU 2018-02 allows stranded tax</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resulting from changes to tax legislation to be reclassified from AOCI to retained earnings. The Company adopted this ASU during the first quarter of fiscal 2020 and therefore applied the ASU in the period of adoption using the specific identification approach. As a result, the Company reclassified approximately $2.4 million from AOCI into retained earnings.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60" w:firstLine="446"/>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In January 2018, the FASB issued ASU 2018-01, Leases (Topic 842): Land Easement Practical Expedient for Transition to Topic 842 (ASU 2018-01). ASU 2018-01 permits an entity to elect an optional transition practical expedient to not evaluate land easements that existed or expired before the entity’s adoption of Topic 842 and that were not previously accounted for as leases under Topic 840. In July 2018, the FASB issued ASU 2018-11, Leases – Targeted Improvements (Topic 842) (ASU 2018-11), which provides for an additional transition method that allows companies to apply the new lease standard at the adoption date, eliminating the requirement to apply the standard to the earliest period presented in the financial statements.</w:t>
      </w:r>
    </w:p>
    <w:p>
      <w:pPr>
        <w:spacing w:after="0" w:line="194" w:lineRule="exact"/>
        <w:rPr>
          <w:sz w:val="20"/>
          <w:szCs w:val="20"/>
          <w:color w:val="auto"/>
        </w:rPr>
      </w:pPr>
    </w:p>
    <w:p>
      <w:pPr>
        <w:ind w:right="80" w:firstLine="446"/>
        <w:spacing w:after="0" w:line="270" w:lineRule="auto"/>
        <w:rPr>
          <w:sz w:val="20"/>
          <w:szCs w:val="20"/>
          <w:color w:val="auto"/>
        </w:rPr>
      </w:pPr>
      <w:r>
        <w:rPr>
          <w:rFonts w:ascii="Arial" w:cs="Arial" w:eastAsia="Arial" w:hAnsi="Arial"/>
          <w:sz w:val="17"/>
          <w:szCs w:val="17"/>
          <w:color w:val="auto"/>
        </w:rPr>
        <w:t>ASU 2016-02, ASU 2018-01 and ASU 2018-11 are effective for financial statements issued for fiscal years beginning after December 15, 2018, and interim periods within those fiscal years. The Company adopted the standard in the first quarter of fiscal 2020 under the modified retrospective approach. As allowed by the new standard, the Company elected the package of transition practical expedients but elected to not apply the hindsight practical expedient to its leases at transition. As a result, the Company was not required to reassess (i) whether any expired or existing contracts are or contain leases, (ii) the classification of any expired or existing leases and (iii) the treatment of initial direct costs for any existing leases. The Company also elected not to separate lease and non-lease components for its leases. Instead, for all applicable classes of underlying assets, the Company accounts for each separate lease component and the non-lease components associated with that lease component, as a single lease component. Additionally, the Company has elected the short-term lease exception for all classes of assets, does not apply the recognition requirements for leases of twelve months or less, and recognizes lease payments for short-term leases as expense either straight-line over the lease term or as incurred depending on whether the lease payments are fixed or variable. These elections are applied consistently for all leases.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adoption on November 3, 2019, the Company recorded operating lease liabilities of $301.4 million and operating lease assets for its leases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$233.2 million. The operating lease assets are net of liabilities of $68.2 million for deferred rent and unamortized landlord construction allowances that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previously recorded in Accrued liabilities and Other non-current liabilities in the Condensed Consolidated Balance Sheets. Operating lease right-of-use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presented within Other assets and corresponding liabilities are presented within Accrued liabilities and Other non-current liabilities in the Condensed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There was no material impact to the Condensed Consolidated Statements of Income or</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Condensed Consolidated Statements of Cash Flows. Please refer to Note 2</w:t>
      </w:r>
      <w:r>
        <w:rPr>
          <w:rFonts w:ascii="Arial" w:cs="Arial" w:eastAsia="Arial" w:hAnsi="Arial"/>
          <w:sz w:val="18"/>
          <w:szCs w:val="18"/>
          <w:i w:val="1"/>
          <w:iCs w:val="1"/>
          <w:color w:val="auto"/>
        </w:rPr>
        <w:t>, Leases</w:t>
      </w:r>
      <w:r>
        <w:rPr>
          <w:rFonts w:ascii="Arial" w:cs="Arial" w:eastAsia="Arial" w:hAnsi="Arial"/>
          <w:sz w:val="18"/>
          <w:szCs w:val="18"/>
          <w:color w:val="auto"/>
        </w:rPr>
        <w:t xml:space="preserve"> for information regarding the Company's lease portfolio as of February 1, 2020.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Comprehensive Income</w:t>
      </w:r>
    </w:p>
    <w:p>
      <w:pPr>
        <w:spacing w:after="0" w:line="104"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Effects from Accumulated Other Comprehensive Income </w:t>
      </w:r>
      <w:r>
        <w:rPr>
          <w:rFonts w:ascii="Arial" w:cs="Arial" w:eastAsia="Arial" w:hAnsi="Arial"/>
          <w:sz w:val="18"/>
          <w:szCs w:val="18"/>
          <w:color w:val="auto"/>
        </w:rPr>
        <w:t>(ASU 2018-02). ASU 2018-02 allows stranded tax effects resulting from changes to tax legislation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reclassified from accumulated other comprehensive income (AOCI) to retained earnings. The Company adopted this ASU during the first quarter of fiscal 2020 and therefore applied the ASU in the period of adoption using the specific identification approach. As a result, the Company reclassified approximately $2.4 million from AOCI into retained earnings. The Company does not expect to record any additional reclassification adjustments in subsequent periods barring further regulatory changes. Please 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additional information regarding the Company's accounting policy for releasing stranded income tax effects from AOCI.</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color w:val="auto"/>
        </w:rPr>
        <w:t>The following standards were adopted during the first quarter of fiscal 2020 and did not have a material impact on the Company's financial position and results of operations:</w:t>
      </w:r>
    </w:p>
    <w:p>
      <w:pPr>
        <w:spacing w:after="0" w:line="1" w:lineRule="exact"/>
        <w:rPr>
          <w:sz w:val="20"/>
          <w:szCs w:val="20"/>
          <w:color w:val="auto"/>
        </w:rPr>
      </w:pPr>
    </w:p>
    <w:p>
      <w:pPr>
        <w:ind w:left="660" w:right="380" w:hanging="328"/>
        <w:spacing w:after="0" w:line="277"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ASU 2017-11, </w:t>
      </w:r>
      <w:r>
        <w:rPr>
          <w:rFonts w:ascii="Arial" w:cs="Arial" w:eastAsia="Arial" w:hAnsi="Arial"/>
          <w:sz w:val="17"/>
          <w:szCs w:val="17"/>
          <w:i w:val="1"/>
          <w:iCs w:val="1"/>
          <w:color w:val="auto"/>
        </w:rPr>
        <w:t>Earnings Per Share (Topic 860), Distinguishing Liabilities from Equity (Topic 480), and Derivatives and Hedging (Topic 815): I.</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Certain Financial Instruments with Down Round Features II. Replacement of the Indefinite Deferral Financial Instruments of Certain Nonpublic Entities and Certain Mandatorily Redeemable Noncontrolling Interests with a Scope Exception;</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ASU 2018-07, </w:t>
      </w:r>
      <w:r>
        <w:rPr>
          <w:rFonts w:ascii="Arial" w:cs="Arial" w:eastAsia="Arial" w:hAnsi="Arial"/>
          <w:sz w:val="18"/>
          <w:szCs w:val="18"/>
          <w:i w:val="1"/>
          <w:iCs w:val="1"/>
          <w:color w:val="auto"/>
        </w:rPr>
        <w:t>Compensation - Stock Compensation (Topic 718): Improvements to Nonemployee Share-Based Payment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Benefits</w:t>
      </w:r>
    </w:p>
    <w:p>
      <w:pPr>
        <w:spacing w:after="0" w:line="104" w:lineRule="exact"/>
        <w:rPr>
          <w:sz w:val="20"/>
          <w:szCs w:val="20"/>
          <w:color w:val="auto"/>
        </w:rPr>
      </w:pPr>
    </w:p>
    <w:p>
      <w:pPr>
        <w:ind w:right="120" w:firstLine="446"/>
        <w:spacing w:after="0" w:line="273"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 (Topic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Framework-Changes to the Disclosure Requirements for Defined Benefit Plans </w:t>
      </w:r>
      <w:r>
        <w:rPr>
          <w:rFonts w:ascii="Arial" w:cs="Arial" w:eastAsia="Arial" w:hAnsi="Arial"/>
          <w:sz w:val="17"/>
          <w:szCs w:val="17"/>
          <w:color w:val="auto"/>
        </w:rPr>
        <w:t>(ASU 2018-14), which modifies the disclosure requirements for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pension plans and other post-retirement plans. ASU 2018-14 is effective for fiscal years ending after December 15, 2020, with early adoption permitted. ASU 2018-14 is effective for the Company in the first quarter of the fiscal year ending October 30, 2021 (fiscal 2021). The Company is currently evaluating the adoption date. The adoption of ASU 2018-14 will modify the Company's disclosures for defined benefit plans and other post-retirement plans but is not expected to impact its financial position or results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ASU 2016-13 requires a financial asset (or group of financial assets) measured at amortized cost basis to be presented at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expected to be collected. The allowance for credit losses is a valuation account that is deducted from the amortized cost basis of the financial asset(s) to present the net carrying value at the amount expected to be collected on the financial asset. In 2019, the FASB issued ASU 2019-05, </w:t>
      </w:r>
      <w:r>
        <w:rPr>
          <w:rFonts w:ascii="Arial" w:cs="Arial" w:eastAsia="Arial" w:hAnsi="Arial"/>
          <w:sz w:val="16"/>
          <w:szCs w:val="16"/>
          <w:i w:val="1"/>
          <w:iCs w:val="1"/>
          <w:color w:val="auto"/>
        </w:rPr>
        <w:t>Financial Instruments</w:t>
      </w:r>
    </w:p>
    <w:p>
      <w:pPr>
        <w:spacing w:after="0" w:line="2" w:lineRule="exact"/>
        <w:rPr>
          <w:sz w:val="20"/>
          <w:szCs w:val="20"/>
          <w:color w:val="auto"/>
        </w:rPr>
      </w:pPr>
    </w:p>
    <w:p>
      <w:pPr>
        <w:ind w:right="100" w:firstLine="8"/>
        <w:spacing w:after="0" w:line="269" w:lineRule="auto"/>
        <w:tabs>
          <w:tab w:leader="none" w:pos="10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Credit Losses (Topic 326): Targeted Transition Relief </w:t>
      </w:r>
      <w:r>
        <w:rPr>
          <w:rFonts w:ascii="Arial" w:cs="Arial" w:eastAsia="Arial" w:hAnsi="Arial"/>
          <w:sz w:val="17"/>
          <w:szCs w:val="17"/>
          <w:color w:val="auto"/>
        </w:rPr>
        <w:t>(ASU 2019-05) and ASU 2019-11,</w:t>
      </w:r>
      <w:r>
        <w:rPr>
          <w:rFonts w:ascii="Arial" w:cs="Arial" w:eastAsia="Arial" w:hAnsi="Arial"/>
          <w:sz w:val="17"/>
          <w:szCs w:val="17"/>
          <w:i w:val="1"/>
          <w:iCs w:val="1"/>
          <w:color w:val="auto"/>
        </w:rPr>
        <w:t xml:space="preserve"> Codification Improvements to Topic 326 </w:t>
      </w:r>
      <w:r>
        <w:rPr>
          <w:rFonts w:ascii="Arial" w:cs="Arial" w:eastAsia="Arial" w:hAnsi="Arial"/>
          <w:sz w:val="17"/>
          <w:szCs w:val="17"/>
          <w:color w:val="auto"/>
        </w:rPr>
        <w:t>(ASU 2019-11). ASU</w:t>
      </w:r>
      <w:r>
        <w:rPr>
          <w:rFonts w:ascii="Arial" w:cs="Arial" w:eastAsia="Arial" w:hAnsi="Arial"/>
          <w:sz w:val="17"/>
          <w:szCs w:val="17"/>
          <w:i w:val="1"/>
          <w:iCs w:val="1"/>
          <w:color w:val="auto"/>
        </w:rPr>
        <w:t xml:space="preserve"> </w:t>
      </w:r>
      <w:r>
        <w:rPr>
          <w:rFonts w:ascii="Arial" w:cs="Arial" w:eastAsia="Arial" w:hAnsi="Arial"/>
          <w:sz w:val="17"/>
          <w:szCs w:val="17"/>
          <w:color w:val="auto"/>
        </w:rPr>
        <w:t>2019-05 allows an entity to irrevocably elect the fair value option for certain financial instruments. Once elected, an entity would recognize the difference between the carrying amount and the fair value of the financial instrument as part of the cumulative effect adjustments associated with the adoption of ASU 2016-13. ASU 2019-11 allows entities to exclude the accrued interest component of amortized cost from various disclosures required by Accounting Standards Codification 326. These ASUs are effective for fiscal years beginning after December 15, 2019, and for interim periods within those fiscal years; and therefore, are effective for the Company in the first quarter of fiscal 2021. The Company is currently evaluating the impact, if any, adoption will have on its financial position and results of operations.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fiscal years beginning after December 15, 2020, and interim periods within those fiscal years. The Company is currently evaluating the adoption date and impact, if any, adoption will have on its financial position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17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On February 18, 2020, the Board of Directors of the Company declared a cash dividend of $0.62 per outstanding share of common stock. The dividend will be paid on March 10, 2020 to all shareholders of record at the close of business on February 28, 2020 and is expected to total approximately $228.3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ind w:left="2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November 2, 2019 (fiscal 2019).</w:t>
      </w:r>
    </w:p>
    <w:p>
      <w:pPr>
        <w:spacing w:after="0" w:line="111"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the effect of changes in or the application of new or revised tax laws;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inherently subject to risks, uncertainties, and assumptions that are difficult to predict, including those identified in Part II, Item 1A. “Risk Factors” and elsewhere herein.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February 1,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February 2, 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1,303,565</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1,541,101</w:t>
            </w:r>
          </w:p>
        </w:tc>
        <w:tc>
          <w:tcPr>
            <w:tcW w:w="70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(237,536)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67.5 %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203,874</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355,006</w:t>
            </w:r>
          </w:p>
        </w:tc>
        <w:tc>
          <w:tcPr>
            <w:tcW w:w="70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(151,132)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7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5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40" w:firstLine="446"/>
        <w:spacing w:after="0" w:line="276"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66" w:right="2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February 1, 2020</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February 2, 2019</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12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14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684,862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733,432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239,928</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347,016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205,330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244,062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173,445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216,591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1,303,565</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1,541,101</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198"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Revenue decreased across all end markets in the three-month period ended February 1, 2020, as compared to the same period of the prior fiscal year, primarily as a result of a broad-based decrease in demand for our products, which was partially offset by an increase in demand for products sold into the aerospace and defense sector of the Industrial end market.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following table summarizes revenue by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some commercial customers.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4"/>
                <w:szCs w:val="14"/>
                <w:b w:val="1"/>
                <w:bCs w:val="1"/>
                <w:color w:val="auto"/>
              </w:rPr>
              <w:t>February 1, 2020</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February 2, 2019</w:t>
            </w:r>
          </w:p>
        </w:tc>
        <w:tc>
          <w:tcPr>
            <w:tcW w:w="200" w:type="dxa"/>
            <w:vAlign w:val="bottom"/>
            <w:tcBorders>
              <w:bottom w:val="single" w:sz="8" w:color="auto"/>
            </w:tcBorders>
          </w:tcPr>
          <w:p>
            <w:pPr>
              <w:spacing w:after="0"/>
              <w:rPr>
                <w:sz w:val="17"/>
                <w:szCs w:val="17"/>
                <w:color w:val="auto"/>
              </w:rPr>
            </w:pPr>
          </w:p>
        </w:tc>
      </w:tr>
      <w:tr>
        <w:trPr>
          <w:trHeight w:val="196"/>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56"/>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54"/>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7"/>
                <w:szCs w:val="17"/>
                <w:color w:val="auto"/>
              </w:rPr>
            </w:pPr>
          </w:p>
        </w:tc>
      </w:tr>
      <w:tr>
        <w:trPr>
          <w:trHeight w:val="236"/>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60"/>
              <w:spacing w:after="0"/>
              <w:rPr>
                <w:sz w:val="20"/>
                <w:szCs w:val="20"/>
                <w:color w:val="auto"/>
              </w:rPr>
            </w:pPr>
            <w:r>
              <w:rPr>
                <w:rFonts w:ascii="Arial" w:cs="Arial" w:eastAsia="Arial" w:hAnsi="Arial"/>
                <w:sz w:val="18"/>
                <w:szCs w:val="18"/>
                <w:color w:val="auto"/>
              </w:rPr>
              <w:t>Distributors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747,561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829,243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 customers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529,731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695,489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70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26,273</w:t>
            </w:r>
          </w:p>
        </w:tc>
        <w:tc>
          <w:tcPr>
            <w:tcW w:w="10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16,369</w:t>
            </w:r>
          </w:p>
        </w:tc>
        <w:tc>
          <w:tcPr>
            <w:tcW w:w="10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1,303,565</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1,541,101</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198" w:lineRule="exact"/>
        <w:rPr>
          <w:sz w:val="20"/>
          <w:szCs w:val="20"/>
          <w:color w:val="auto"/>
        </w:rPr>
      </w:pPr>
    </w:p>
    <w:p>
      <w:pPr>
        <w:ind w:right="560" w:firstLine="446"/>
        <w:spacing w:after="0" w:line="370" w:lineRule="auto"/>
        <w:rPr>
          <w:sz w:val="20"/>
          <w:szCs w:val="20"/>
          <w:color w:val="auto"/>
        </w:rPr>
      </w:pPr>
      <w:r>
        <w:rPr>
          <w:rFonts w:ascii="Arial" w:cs="Arial" w:eastAsia="Arial" w:hAnsi="Arial"/>
          <w:sz w:val="18"/>
          <w:szCs w:val="18"/>
          <w:color w:val="auto"/>
        </w:rPr>
        <w:t xml:space="preserve">As indicated in the table above, the percentage of total revenue sold via each channel has remained relatively consistent in the periods presented. </w:t>
      </w:r>
      <w:r>
        <w:rPr>
          <w:rFonts w:ascii="Arial" w:cs="Arial" w:eastAsia="Arial" w:hAnsi="Arial"/>
          <w:sz w:val="18"/>
          <w:szCs w:val="18"/>
          <w:i w:val="1"/>
          <w:iCs w:val="1"/>
          <w:color w:val="auto"/>
        </w:rPr>
        <w:t>Gross Margin</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r>
      <w:tr>
        <w:trPr>
          <w:trHeight w:val="196"/>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 2020</w:t>
            </w:r>
          </w:p>
        </w:tc>
        <w:tc>
          <w:tcPr>
            <w:tcW w:w="20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 2019</w:t>
            </w:r>
          </w:p>
        </w:tc>
        <w:tc>
          <w:tcPr>
            <w:tcW w:w="3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848,142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1,039,656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(191,514)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75"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Gross margin percentage decreased by 240 basis points in the three-month periods ended February 1, 2020, as compared to the same period of the prior fiscal year, primarily as a result of lower utilization of our factories.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r>
      <w:tr>
        <w:trPr>
          <w:trHeight w:val="196"/>
        </w:trPr>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1, 2020</w:t>
            </w:r>
          </w:p>
        </w:tc>
        <w:tc>
          <w:tcPr>
            <w:tcW w:w="20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 2019</w:t>
            </w:r>
          </w:p>
        </w:tc>
        <w:tc>
          <w:tcPr>
            <w:tcW w:w="280" w:type="dxa"/>
            <w:vAlign w:val="bottom"/>
          </w:tcPr>
          <w:p>
            <w:pPr>
              <w:spacing w:after="0"/>
              <w:rPr>
                <w:sz w:val="17"/>
                <w:szCs w:val="17"/>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257,073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287,382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R&amp;D expenses as a % of revenue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75" w:lineRule="exact"/>
        <w:rPr>
          <w:sz w:val="20"/>
          <w:szCs w:val="20"/>
          <w:color w:val="auto"/>
        </w:rPr>
      </w:pPr>
    </w:p>
    <w:p>
      <w:pPr>
        <w:ind w:right="420" w:firstLine="446"/>
        <w:spacing w:after="0" w:line="277" w:lineRule="auto"/>
        <w:rPr>
          <w:sz w:val="20"/>
          <w:szCs w:val="20"/>
          <w:color w:val="auto"/>
        </w:rPr>
      </w:pPr>
      <w:r>
        <w:rPr>
          <w:rFonts w:ascii="Arial" w:cs="Arial" w:eastAsia="Arial" w:hAnsi="Arial"/>
          <w:sz w:val="18"/>
          <w:szCs w:val="18"/>
          <w:color w:val="auto"/>
        </w:rPr>
        <w:t>R&amp;D expenses decreased in the three-month period ended February 1, 2020, as compared to the same period of the prior fiscal year, primarily as a result of lower variable compensation expense.</w:t>
      </w:r>
    </w:p>
    <w:p>
      <w:pPr>
        <w:spacing w:after="0" w:line="116" w:lineRule="exact"/>
        <w:rPr>
          <w:sz w:val="20"/>
          <w:szCs w:val="20"/>
          <w:color w:val="auto"/>
        </w:rPr>
      </w:pPr>
    </w:p>
    <w:p>
      <w:pPr>
        <w:ind w:right="20" w:firstLine="446"/>
        <w:spacing w:after="0" w:line="279"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 Therefore, we expect to continue to make significant R&amp;D investments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 2020</w:t>
            </w:r>
          </w:p>
        </w:tc>
        <w:tc>
          <w:tcPr>
            <w:tcW w:w="20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 2019</w:t>
            </w:r>
          </w:p>
        </w:tc>
        <w:tc>
          <w:tcPr>
            <w:tcW w:w="3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SMG&amp;A expenses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199,280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167,342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31,938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SMG&amp;A expenses as a % of revenue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75" w:lineRule="exact"/>
        <w:rPr>
          <w:sz w:val="20"/>
          <w:szCs w:val="20"/>
          <w:color w:val="auto"/>
        </w:rPr>
      </w:pPr>
    </w:p>
    <w:p>
      <w:pPr>
        <w:jc w:val="both"/>
        <w:ind w:right="180" w:firstLine="446"/>
        <w:spacing w:after="0" w:line="264" w:lineRule="auto"/>
        <w:rPr>
          <w:sz w:val="20"/>
          <w:szCs w:val="20"/>
          <w:color w:val="auto"/>
        </w:rPr>
      </w:pPr>
      <w:r>
        <w:rPr>
          <w:rFonts w:ascii="Arial" w:cs="Arial" w:eastAsia="Arial" w:hAnsi="Arial"/>
          <w:sz w:val="18"/>
          <w:szCs w:val="18"/>
          <w:color w:val="auto"/>
        </w:rPr>
        <w:t>SMG&amp;A expenses increased in the three-month period ended February 1, 2020, as compared to the same period of the prior fiscal year, primarily as a result of a $40.0 million charitable contribution to the newly formed Analog Devices Foundation made in the first quarter of fiscal 2020, partially offset by lower variable compensation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71"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w:t>
      </w:r>
    </w:p>
    <w:p>
      <w:pPr>
        <w:spacing w:after="0" w:line="127" w:lineRule="exact"/>
        <w:rPr>
          <w:sz w:val="20"/>
          <w:szCs w:val="20"/>
          <w:color w:val="auto"/>
        </w:rPr>
      </w:pPr>
    </w:p>
    <w:p>
      <w:pPr>
        <w:ind w:right="20" w:firstLine="446"/>
        <w:spacing w:after="0" w:line="312" w:lineRule="auto"/>
        <w:rPr>
          <w:sz w:val="20"/>
          <w:szCs w:val="20"/>
          <w:color w:val="auto"/>
        </w:rPr>
      </w:pPr>
      <w:r>
        <w:rPr>
          <w:rFonts w:ascii="Arial" w:cs="Arial" w:eastAsia="Arial" w:hAnsi="Arial"/>
          <w:sz w:val="16"/>
          <w:szCs w:val="16"/>
          <w:i w:val="1"/>
          <w:iCs w:val="1"/>
          <w:color w:val="auto"/>
        </w:rPr>
        <w:t xml:space="preserve">Repositioning Action: </w:t>
      </w:r>
      <w:r>
        <w:rPr>
          <w:rFonts w:ascii="Arial" w:cs="Arial" w:eastAsia="Arial" w:hAnsi="Arial"/>
          <w:sz w:val="16"/>
          <w:szCs w:val="16"/>
          <w:color w:val="auto"/>
        </w:rPr>
        <w:t>We recorded special charges of approximately $97.2 million on a cumulative basis through February 1, 2020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organizational initiatives to reposition our global workforce skill set to align with our long-term strategic plan, of which $9.2 million was recorded in the first quarter of fiscal 2020. Once fully implemented, the repositioning actions are expected to result in net annualized cash savings of approximately $48.0 million.</w:t>
      </w:r>
    </w:p>
    <w:p>
      <w:pPr>
        <w:spacing w:after="0" w:line="9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i w:val="1"/>
          <w:iCs w:val="1"/>
          <w:color w:val="auto"/>
        </w:rPr>
        <w:t xml:space="preserve">Closure of Manufacturing Facilities: </w:t>
      </w:r>
      <w:r>
        <w:rPr>
          <w:rFonts w:ascii="Arial" w:cs="Arial" w:eastAsia="Arial" w:hAnsi="Arial"/>
          <w:sz w:val="18"/>
          <w:szCs w:val="18"/>
          <w:color w:val="auto"/>
        </w:rPr>
        <w:t>We recorded special charges of $54.0 million on a cumulative basis through February 1, 2020 as a result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to consolidate certain wafer and test facility operations acquired as part of the acquisition of Linear Technology Corporation (Linear), of which $2.0 million was recorded in the first quarter of fiscal 2020. Once fully implemented, we expect that this action will result in estimated annual salary, variable compensation and employee benefit savings of approximately $60.0 million.</w:t>
      </w:r>
    </w:p>
    <w:p>
      <w:pPr>
        <w:spacing w:after="0" w:line="6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Special Charges</w:t>
      </w:r>
      <w:r>
        <w:rPr>
          <w:rFonts w:ascii="Arial" w:cs="Arial" w:eastAsia="Arial" w:hAnsi="Arial"/>
          <w:sz w:val="18"/>
          <w:szCs w:val="18"/>
          <w:color w:val="auto"/>
        </w:rPr>
        <w:t>, of the Notes to Condensed Consolidated Financial Statements in Part I, Item 1 in this Quarterly Report on Form 10-Q for further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February 1,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February 2, 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273,428</w:t>
            </w:r>
          </w:p>
        </w:tc>
        <w:tc>
          <w:tcPr>
            <w:tcW w:w="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455,826</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(182,398)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Operating income as a % of revenue</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75" w:lineRule="exact"/>
        <w:rPr>
          <w:sz w:val="20"/>
          <w:szCs w:val="20"/>
          <w:color w:val="auto"/>
        </w:rPr>
      </w:pPr>
    </w:p>
    <w:p>
      <w:pPr>
        <w:ind w:right="40" w:firstLine="446"/>
        <w:spacing w:after="0" w:line="286" w:lineRule="auto"/>
        <w:rPr>
          <w:sz w:val="20"/>
          <w:szCs w:val="20"/>
          <w:color w:val="auto"/>
        </w:rPr>
      </w:pPr>
      <w:r>
        <w:rPr>
          <w:rFonts w:ascii="Arial" w:cs="Arial" w:eastAsia="Arial" w:hAnsi="Arial"/>
          <w:sz w:val="17"/>
          <w:szCs w:val="17"/>
          <w:color w:val="auto"/>
        </w:rPr>
        <w:t xml:space="preserve">The year-over-year decrease in operating income in the three-month period ended February 1, 2020 was primarily the result of a $191.5 million decrease in gross margin and a $31.9 million increase in SMG&amp;A expenses, partially offset by a $30.3 million decrease in R&amp;D expenses, as described above under the headings </w:t>
      </w:r>
      <w:r>
        <w:rPr>
          <w:rFonts w:ascii="Arial" w:cs="Arial" w:eastAsia="Arial" w:hAnsi="Arial"/>
          <w:sz w:val="17"/>
          <w:szCs w:val="17"/>
          <w:i w:val="1"/>
          <w:iCs w:val="1"/>
          <w:color w:val="auto"/>
        </w:rPr>
        <w:t>Gross Margin, Selling, Marketing, General and Administrative (SMG&amp;A)</w:t>
      </w:r>
      <w:r>
        <w:rPr>
          <w:rFonts w:ascii="Arial" w:cs="Arial" w:eastAsia="Arial" w:hAnsi="Arial"/>
          <w:sz w:val="17"/>
          <w:szCs w:val="17"/>
          <w:color w:val="auto"/>
        </w:rPr>
        <w:t xml:space="preserve"> and </w:t>
      </w:r>
      <w:r>
        <w:rPr>
          <w:rFonts w:ascii="Arial" w:cs="Arial" w:eastAsia="Arial" w:hAnsi="Arial"/>
          <w:sz w:val="17"/>
          <w:szCs w:val="17"/>
          <w:i w:val="1"/>
          <w:iCs w:val="1"/>
          <w:color w:val="auto"/>
        </w:rPr>
        <w:t>Research and Development (R&amp;D).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Nonoperating Expense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96"/>
        </w:trPr>
        <w:tc>
          <w:tcPr>
            <w:tcW w:w="7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February 1, 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February 2, 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9"/>
              </w:rPr>
              <w:t>Change</w:t>
            </w: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48,813</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58,728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(9,915)</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748</w:t>
            </w:r>
          </w:p>
        </w:tc>
      </w:tr>
      <w:tr>
        <w:trPr>
          <w:trHeight w:val="27"/>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498</w:t>
            </w: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Total nonoperating expense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47,211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55,880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(8,669)</w:t>
            </w:r>
          </w:p>
        </w:tc>
      </w:tr>
    </w:tbl>
    <w:p>
      <w:pPr>
        <w:spacing w:after="0" w:line="22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year-over-year decrease in nonoperating expense in the three-month period ended February 1, 2020 was primarily the result of a decrease in interest expense, partially offset by lower interest income and increased other, net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000" w:type="dxa"/>
            <w:vAlign w:val="bottom"/>
            <w:tcBorders>
              <w:bottom w:val="single" w:sz="8" w:color="auto"/>
            </w:tcBorders>
          </w:tcPr>
          <w:p>
            <w:pPr>
              <w:spacing w:after="0"/>
              <w:rPr>
                <w:sz w:val="16"/>
                <w:szCs w:val="16"/>
                <w:color w:val="auto"/>
              </w:rPr>
            </w:pPr>
          </w:p>
        </w:tc>
      </w:tr>
      <w:tr>
        <w:trPr>
          <w:trHeight w:val="196"/>
        </w:trPr>
        <w:tc>
          <w:tcPr>
            <w:tcW w:w="7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4"/>
              </w:rPr>
              <w:t>February 1, 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95"/>
              </w:rPr>
              <w:t>February 2, 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44,940</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(22,597)</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17"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The effective tax rates for the three-month periods ended February 1, 2020 and February 2, 2019 were below the U.S. statutory tax rate of 21% due to lower statutory tax rates applicable to our operations in the foreign jurisdictions in which we earn income and as a result of the foreign derived intangible income deduction (FDII), partially offset by the global intangible low-tax income (GILTI) tax. The effective tax rate decreased in the three-month period ended February 1, 2020, as compared to the same period of the prior fiscal year, primarily as a result of a change in the mix of the foreign jurisdictions where we earn income. Additionally, the tax rate for the three-month period ended February 2, 2019 included the effects of recording deferred tax benefits relating to a one-time set up of our GILTI deferred method election of $5.1 million along with the completion of our accounting for the income tax effects of the Tax Cuts and Jobs Act legislation, in accordance with the U.S. Securities and Exchange Commission Staff Accounting Bulletin No. 118 for the transition tax which yielded a $7.5 million tax benefit.</w:t>
      </w:r>
    </w:p>
    <w:p>
      <w:pPr>
        <w:spacing w:after="0" w:line="84"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Non-U.S. jurisdictions accounted for a significant portion of our total revenues for the three-month periods ended February 1, 2020 and February 2, 2019. This revenue generated outside of the U.S. results in a material portion of our pretax income being taxed outside the U.S. For the three-month period ended February 1, 2020, this pretax income was primarily generated in Ireland at a tax rate of 12.5%. For the three-month period ended February 2, 2019, this pretax income was primarily generated in Ireland and Singapore, at tax rates ranging from 12.5% to 17% in these jurisdictions.</w:t>
      </w:r>
    </w:p>
    <w:p>
      <w:pPr>
        <w:spacing w:after="0" w:line="63"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Condensed Consolidated Financial Statements in Part I, Item 1 of this Quarterly Report on Form 10-Q for further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r>
      <w:tr>
        <w:trPr>
          <w:trHeight w:val="196"/>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February 1, 2020</w:t>
            </w:r>
          </w:p>
        </w:tc>
        <w:tc>
          <w:tcPr>
            <w:tcW w:w="120" w:type="dxa"/>
            <w:vAlign w:val="bottom"/>
          </w:tcPr>
          <w:p>
            <w:pPr>
              <w:spacing w:after="0"/>
              <w:rPr>
                <w:sz w:val="17"/>
                <w:szCs w:val="17"/>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 2019</w:t>
            </w: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203,874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355,006</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  (151,132)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7"/>
        </w:trPr>
        <w:tc>
          <w:tcPr>
            <w:tcW w:w="6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80" w:firstLine="446"/>
        <w:spacing w:after="0" w:line="264" w:lineRule="auto"/>
        <w:rPr>
          <w:sz w:val="20"/>
          <w:szCs w:val="20"/>
          <w:color w:val="auto"/>
        </w:rPr>
      </w:pPr>
      <w:r>
        <w:rPr>
          <w:rFonts w:ascii="Arial" w:cs="Arial" w:eastAsia="Arial" w:hAnsi="Arial"/>
          <w:sz w:val="18"/>
          <w:szCs w:val="18"/>
          <w:color w:val="auto"/>
        </w:rPr>
        <w:t>Net income decreased in the three-month period ended February 1, 2020, as compared to the same period of the prior fiscal year, as a result of a $182.4 million decrease in operating income, partially offset by a $22.6 million decrease in provision for income taxes and an $8.7 million decrease in nonoperating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At February 1, 2020, our principal source of liquidity was $654.4 million of cash and cash equivalents, of which approximately $280.8 million was held in the United States. The balance of our cash and cash equivalents was held outside the United States in various foreign subsidiaries. As we intend to reinvest substantially all of our foreign earnings indefinitely, certain cash held outside the United States may not be available for repatriation as dividends to the United States in the future. If such funds are needed for U.S. operations, we would be required to accrue and pay foreign withholding and U.S. state income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23" w:name="page24"/>
    <w:bookmarkEnd w:id="23"/>
    <w:p>
      <w:pPr>
        <w:jc w:val="both"/>
        <w:ind w:right="120"/>
        <w:spacing w:after="0" w:line="264" w:lineRule="auto"/>
        <w:rPr>
          <w:sz w:val="20"/>
          <w:szCs w:val="20"/>
          <w:color w:val="auto"/>
        </w:rPr>
      </w:pPr>
      <w:r>
        <w:rPr>
          <w:rFonts w:ascii="Arial" w:cs="Arial" w:eastAsia="Arial" w:hAnsi="Arial"/>
          <w:sz w:val="18"/>
          <w:szCs w:val="18"/>
          <w:color w:val="auto"/>
        </w:rPr>
        <w:t>taxes to the extent not already subject to taxation.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73"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and dividend payments (if any) in the immediate future and for at least the next twelve months.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r>
      <w:tr>
        <w:trPr>
          <w:trHeight w:val="196"/>
        </w:trPr>
        <w:tc>
          <w:tcPr>
            <w:tcW w:w="7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 2020</w:t>
            </w:r>
          </w:p>
        </w:tc>
        <w:tc>
          <w:tcPr>
            <w:tcW w:w="260" w:type="dxa"/>
            <w:vAlign w:val="bottom"/>
          </w:tcPr>
          <w:p>
            <w:pPr>
              <w:spacing w:after="0"/>
              <w:rPr>
                <w:sz w:val="17"/>
                <w:szCs w:val="17"/>
                <w:color w:val="auto"/>
              </w:rPr>
            </w:pPr>
          </w:p>
        </w:tc>
        <w:tc>
          <w:tcPr>
            <w:tcW w:w="1360" w:type="dxa"/>
            <w:vAlign w:val="bottom"/>
          </w:tcPr>
          <w:p>
            <w:pPr>
              <w:jc w:val="right"/>
              <w:ind w:right="94"/>
              <w:spacing w:after="0"/>
              <w:rPr>
                <w:sz w:val="20"/>
                <w:szCs w:val="20"/>
                <w:color w:val="auto"/>
              </w:rPr>
            </w:pPr>
            <w:r>
              <w:rPr>
                <w:rFonts w:ascii="Arial" w:cs="Arial" w:eastAsia="Arial" w:hAnsi="Arial"/>
                <w:sz w:val="14"/>
                <w:szCs w:val="14"/>
                <w:b w:val="1"/>
                <w:bCs w:val="1"/>
                <w:color w:val="auto"/>
              </w:rPr>
              <w:t>February 2, 2019</w:t>
            </w:r>
          </w:p>
        </w:tc>
        <w:tc>
          <w:tcPr>
            <w:tcW w:w="200" w:type="dxa"/>
            <w:vAlign w:val="bottom"/>
          </w:tcPr>
          <w:p>
            <w:pPr>
              <w:spacing w:after="0"/>
              <w:rPr>
                <w:sz w:val="17"/>
                <w:szCs w:val="17"/>
                <w:color w:val="auto"/>
              </w:rPr>
            </w:pPr>
          </w:p>
        </w:tc>
      </w:tr>
      <w:tr>
        <w:trPr>
          <w:trHeight w:val="250"/>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349,648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371,767</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Net cash provided by operations as a % of revenue</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(54,732)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(96,215)</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6"/>
              <w:spacing w:after="0"/>
              <w:rPr>
                <w:sz w:val="20"/>
                <w:szCs w:val="20"/>
                <w:color w:val="auto"/>
              </w:rPr>
            </w:pPr>
            <w:r>
              <w:rPr>
                <w:rFonts w:ascii="Arial" w:cs="Arial" w:eastAsia="Arial" w:hAnsi="Arial"/>
                <w:sz w:val="18"/>
                <w:szCs w:val="18"/>
                <w:color w:val="auto"/>
              </w:rPr>
              <w:t>(289,572)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(486,149)</w:t>
            </w:r>
          </w:p>
        </w:tc>
      </w:tr>
    </w:tbl>
    <w:p>
      <w:pPr>
        <w:spacing w:after="0" w:line="121" w:lineRule="exact"/>
        <w:rPr>
          <w:sz w:val="20"/>
          <w:szCs w:val="20"/>
          <w:color w:val="auto"/>
        </w:rPr>
      </w:pPr>
    </w:p>
    <w:p>
      <w:pPr>
        <w:ind w:right="800" w:firstLine="446"/>
        <w:spacing w:after="0" w:line="277" w:lineRule="auto"/>
        <w:rPr>
          <w:sz w:val="20"/>
          <w:szCs w:val="20"/>
          <w:color w:val="auto"/>
        </w:rPr>
      </w:pPr>
      <w:r>
        <w:rPr>
          <w:rFonts w:ascii="Arial" w:cs="Arial" w:eastAsia="Arial" w:hAnsi="Arial"/>
          <w:sz w:val="18"/>
          <w:szCs w:val="18"/>
          <w:color w:val="auto"/>
        </w:rPr>
        <w:t>At February 1, 2020, cash and cash equivalents totaled $654.4 million. The following changes contributed to the net change in cash and cash equivalents in the three-month period ended February 1, 2020 as compared to the same period in fiscal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Cash provided by operating activities is net income adjusted for certain non-cash items and changes in operating assets and liabilities. The decrease in cash provided by operating activities during the three-month period ended February 1, 2020, as compared to the same period of the prior fiscal year, was primarily the result of lower net income adjusted for non-cash items, including a $40.0 million non-cash charitable contribution to the newly formed Analog Devices Foundation made in the first quarter of fiscal 2020, partially offset by an increase from changes in working capital.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Investing cash flows generally consist of capital expenditures and cash used for acquisitions. The decrease in cash used for investing activities during the three-month period ended February 1, 2020, as compared to the same period of the prior fiscal year, was primarily the result of a decrease in cash used for capital expenditures.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Financing cash flows consist primarily of payments of dividends to stockholders, repurchases of common stock, issuance and repayment of debt, and proceeds from the sale of shares of common stock pursuant to employee equity incentive plans. The decrease in cash used related to financing activities during the three-month period ended February 1, 2020, as compared to the same period of the prior fiscal year, was primarily due to decreases in stock repurchases and debt repayments, partially offset by increased dividend payments.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1, 2020</w:t>
            </w: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2, 2019</w:t>
            </w:r>
          </w:p>
        </w:tc>
        <w:tc>
          <w:tcPr>
            <w:tcW w:w="2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280" w:type="dxa"/>
            <w:vAlign w:val="bottom"/>
          </w:tcPr>
          <w:p>
            <w:pPr>
              <w:jc w:val="right"/>
              <w:ind w:right="2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584,366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635,136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(50,770)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Days sales outstanding*</w:t>
            </w:r>
          </w:p>
        </w:tc>
        <w:tc>
          <w:tcPr>
            <w:tcW w:w="220" w:type="dxa"/>
            <w:vAlign w:val="bottom"/>
          </w:tcPr>
          <w:p>
            <w:pPr>
              <w:spacing w:after="0"/>
              <w:rPr>
                <w:sz w:val="21"/>
                <w:szCs w:val="21"/>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588,503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609,886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(21,383)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Days cost of sales in inventory*</w:t>
            </w:r>
          </w:p>
        </w:tc>
        <w:tc>
          <w:tcPr>
            <w:tcW w:w="220" w:type="dxa"/>
            <w:vAlign w:val="bottom"/>
          </w:tcPr>
          <w:p>
            <w:pPr>
              <w:spacing w:after="0"/>
              <w:rPr>
                <w:sz w:val="21"/>
                <w:szCs w:val="21"/>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121" w:lineRule="exact"/>
        <w:rPr>
          <w:sz w:val="20"/>
          <w:szCs w:val="20"/>
          <w:color w:val="auto"/>
        </w:rPr>
      </w:pPr>
    </w:p>
    <w:p>
      <w:pPr>
        <w:ind w:right="540" w:firstLine="8"/>
        <w:spacing w:after="0" w:line="277" w:lineRule="auto"/>
        <w:tabs>
          <w:tab w:leader="none" w:pos="1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use the average of the current quarter and prior quarter ending accounts receivable and ending inventory balances in our calculation of days sales outstanding and days cost of sales in inventory,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accounts receivable in dollars was primarily the result of normal variations in the timing of collections and billings.</w:t>
      </w:r>
    </w:p>
    <w:p>
      <w:pPr>
        <w:spacing w:after="0" w:line="117" w:lineRule="exact"/>
        <w:rPr>
          <w:sz w:val="20"/>
          <w:szCs w:val="20"/>
          <w:color w:val="auto"/>
        </w:rPr>
      </w:pPr>
    </w:p>
    <w:p>
      <w:pPr>
        <w:ind w:right="280" w:firstLine="446"/>
        <w:spacing w:after="0" w:line="308" w:lineRule="auto"/>
        <w:rPr>
          <w:sz w:val="20"/>
          <w:szCs w:val="20"/>
          <w:color w:val="auto"/>
        </w:rPr>
      </w:pPr>
      <w:r>
        <w:rPr>
          <w:rFonts w:ascii="Arial" w:cs="Arial" w:eastAsia="Arial" w:hAnsi="Arial"/>
          <w:sz w:val="17"/>
          <w:szCs w:val="17"/>
          <w:color w:val="auto"/>
        </w:rPr>
        <w:t>Inventory in dollars decreased,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38" w:lineRule="exact"/>
        <w:rPr>
          <w:sz w:val="20"/>
          <w:szCs w:val="20"/>
          <w:color w:val="auto"/>
        </w:rPr>
      </w:pPr>
    </w:p>
    <w:p>
      <w:pPr>
        <w:ind w:firstLine="446"/>
        <w:spacing w:after="0" w:line="308" w:lineRule="auto"/>
        <w:rPr>
          <w:sz w:val="20"/>
          <w:szCs w:val="20"/>
          <w:color w:val="auto"/>
        </w:rPr>
      </w:pPr>
      <w:r>
        <w:rPr>
          <w:rFonts w:ascii="Arial" w:cs="Arial" w:eastAsia="Arial" w:hAnsi="Arial"/>
          <w:sz w:val="17"/>
          <w:szCs w:val="17"/>
          <w:color w:val="auto"/>
        </w:rPr>
        <w:t>Current liabilities increased to $1.8 billion at February 1, 2020 from $1.5 billion at the end of fiscal 2019. The increase was primarily due to an increase in the current portion of our debt, partially offset by decreases in income taxes payable, accrued liabilities, and accounts payable.</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1, 2020, our debt obligations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Principal Amount</w:t>
            </w:r>
          </w:p>
        </w:tc>
      </w:tr>
      <w:tr>
        <w:trPr>
          <w:trHeight w:val="234"/>
        </w:trPr>
        <w:tc>
          <w:tcPr>
            <w:tcW w:w="5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Outstanding</w:t>
            </w:r>
          </w:p>
        </w:tc>
      </w:tr>
      <w:tr>
        <w:trPr>
          <w:trHeight w:val="27"/>
        </w:trPr>
        <w:tc>
          <w:tcPr>
            <w:tcW w:w="9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2022</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925,000</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2.85%</w:t>
            </w:r>
          </w:p>
        </w:tc>
        <w:tc>
          <w:tcPr>
            <w:tcW w:w="8700" w:type="dxa"/>
            <w:vAlign w:val="bottom"/>
          </w:tcPr>
          <w:p>
            <w:pPr>
              <w:ind w:left="20"/>
              <w:spacing w:after="0"/>
              <w:rPr>
                <w:sz w:val="20"/>
                <w:szCs w:val="20"/>
                <w:color w:val="auto"/>
              </w:rPr>
            </w:pPr>
            <w:r>
              <w:rPr>
                <w:rFonts w:ascii="Arial" w:cs="Arial" w:eastAsia="Arial" w:hAnsi="Arial"/>
                <w:sz w:val="18"/>
                <w:szCs w:val="18"/>
                <w:color w:val="auto"/>
              </w:rPr>
              <w:t>Senior unsecured notes, due March 2020</w:t>
            </w:r>
          </w:p>
        </w:tc>
        <w:tc>
          <w:tcPr>
            <w:tcW w:w="46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300,000</w:t>
            </w:r>
          </w:p>
        </w:tc>
      </w:tr>
      <w:tr>
        <w:trPr>
          <w:trHeight w:val="27"/>
        </w:trPr>
        <w:tc>
          <w:tcPr>
            <w:tcW w:w="5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2.95%</w:t>
            </w:r>
          </w:p>
        </w:tc>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January 2021</w:t>
            </w:r>
          </w:p>
        </w:tc>
        <w:tc>
          <w:tcPr>
            <w:tcW w:w="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450,000</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2.50%</w:t>
            </w:r>
          </w:p>
        </w:tc>
        <w:tc>
          <w:tcPr>
            <w:tcW w:w="8700" w:type="dxa"/>
            <w:vAlign w:val="bottom"/>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46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400,000</w:t>
            </w:r>
          </w:p>
        </w:tc>
      </w:tr>
      <w:tr>
        <w:trPr>
          <w:trHeight w:val="27"/>
        </w:trPr>
        <w:tc>
          <w:tcPr>
            <w:tcW w:w="92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2.875% Senior unsecured notes, due June 2023</w:t>
            </w:r>
          </w:p>
        </w:tc>
        <w:tc>
          <w:tcPr>
            <w:tcW w:w="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500,000</w:t>
            </w:r>
          </w:p>
        </w:tc>
      </w:tr>
      <w:tr>
        <w:trPr>
          <w:trHeight w:val="243"/>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3.125% Senior unsecured notes, due December 2023</w:t>
            </w:r>
          </w:p>
        </w:tc>
        <w:tc>
          <w:tcPr>
            <w:tcW w:w="46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550,000</w:t>
            </w:r>
          </w:p>
        </w:tc>
      </w:tr>
      <w:tr>
        <w:trPr>
          <w:trHeight w:val="27"/>
        </w:trPr>
        <w:tc>
          <w:tcPr>
            <w:tcW w:w="5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3.90%</w:t>
            </w:r>
          </w:p>
        </w:tc>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850,000</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3.50%</w:t>
            </w:r>
          </w:p>
        </w:tc>
        <w:tc>
          <w:tcPr>
            <w:tcW w:w="8700" w:type="dxa"/>
            <w:vAlign w:val="bottom"/>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46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900,000</w:t>
            </w:r>
          </w:p>
        </w:tc>
      </w:tr>
      <w:tr>
        <w:trPr>
          <w:trHeight w:val="27"/>
        </w:trPr>
        <w:tc>
          <w:tcPr>
            <w:tcW w:w="5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4.50%</w:t>
            </w:r>
          </w:p>
        </w:tc>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250,000</w:t>
            </w:r>
          </w:p>
        </w:tc>
      </w:tr>
      <w:tr>
        <w:trPr>
          <w:trHeight w:val="243"/>
        </w:trPr>
        <w:tc>
          <w:tcPr>
            <w:tcW w:w="520" w:type="dxa"/>
            <w:vAlign w:val="bottom"/>
          </w:tcPr>
          <w:p>
            <w:pPr>
              <w:ind w:left="20"/>
              <w:spacing w:after="0"/>
              <w:rPr>
                <w:sz w:val="20"/>
                <w:szCs w:val="20"/>
                <w:color w:val="auto"/>
              </w:rPr>
            </w:pPr>
            <w:r>
              <w:rPr>
                <w:rFonts w:ascii="Arial" w:cs="Arial" w:eastAsia="Arial" w:hAnsi="Arial"/>
                <w:sz w:val="18"/>
                <w:szCs w:val="18"/>
                <w:color w:val="auto"/>
                <w:w w:val="93"/>
              </w:rPr>
              <w:t>5.30%</w:t>
            </w:r>
          </w:p>
        </w:tc>
        <w:tc>
          <w:tcPr>
            <w:tcW w:w="8700" w:type="dxa"/>
            <w:vAlign w:val="bottom"/>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46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400,000</w:t>
            </w:r>
          </w:p>
        </w:tc>
      </w:tr>
      <w:tr>
        <w:trPr>
          <w:trHeight w:val="27"/>
        </w:trPr>
        <w:tc>
          <w:tcPr>
            <w:tcW w:w="922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5,525,000</w:t>
            </w:r>
          </w:p>
        </w:tc>
      </w:tr>
      <w:tr>
        <w:trPr>
          <w:trHeight w:val="27"/>
        </w:trPr>
        <w:tc>
          <w:tcPr>
            <w:tcW w:w="520" w:type="dxa"/>
            <w:vAlign w:val="bottom"/>
            <w:shd w:val="clear" w:color="auto" w:fill="CCEEFF"/>
          </w:tcPr>
          <w:p>
            <w:pPr>
              <w:spacing w:after="0"/>
              <w:rPr>
                <w:sz w:val="2"/>
                <w:szCs w:val="2"/>
                <w:color w:val="auto"/>
              </w:rPr>
            </w:pPr>
          </w:p>
        </w:tc>
        <w:tc>
          <w:tcPr>
            <w:tcW w:w="87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February 1, 2020, we were in compliance with these covenants.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Our Second Amended and Restated Revolving Credit Agreement, dated as of June 28, 2019, with Bank of America N.A. as administrative agent and other banks identified therein as lenders (Revolving Credit Agreement) provides for a five-year unsecured revolving credit facility in an aggregate principal amount of up to $1.25 billion, expiring on June 28, 2024. As of February 1, 2020, we do not have any amounts outstanding under this revolving credit facility. 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4.0 to 1.0. The debt covenant will be reduced over time to 3.5 to 1.0, beginning in fiscal 2020 depending upon facts and circumstances. As of February 1, 2020, we were in compliance with these covenants.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common stock repurchase program has been in place since August 2004. In the aggregate, our Board of Directors has authorized us to repurchase $8.2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February 1, 2020, we had repurchased a total of approximately 155.3 million shares of our common stock for approximately $6.2 billion under this program. As of February 1, 2020, an additional $2.0 billion remains available for repurchase under the current authorized program. The repurchased shares are held as authorized but unissued shares of common stock. We also, from time to time, repurchase shares in settlement of employee tax withholding obligations due upon the vesting of restricted stock units/awards or the exercise of stock options.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Capital Expenditures</w:t>
      </w:r>
    </w:p>
    <w:p>
      <w:pPr>
        <w:spacing w:after="0" w:line="104" w:lineRule="exact"/>
        <w:rPr>
          <w:sz w:val="20"/>
          <w:szCs w:val="20"/>
          <w:color w:val="auto"/>
        </w:rPr>
      </w:pPr>
    </w:p>
    <w:p>
      <w:pPr>
        <w:jc w:val="both"/>
        <w:ind w:right="120" w:firstLine="446"/>
        <w:spacing w:after="0" w:line="286" w:lineRule="auto"/>
        <w:rPr>
          <w:sz w:val="20"/>
          <w:szCs w:val="20"/>
          <w:color w:val="auto"/>
        </w:rPr>
      </w:pPr>
      <w:r>
        <w:rPr>
          <w:rFonts w:ascii="Arial" w:cs="Arial" w:eastAsia="Arial" w:hAnsi="Arial"/>
          <w:sz w:val="17"/>
          <w:szCs w:val="17"/>
          <w:color w:val="auto"/>
        </w:rPr>
        <w:t>Net additions to property, plant and equipment were $54.8 million in the first three months of fiscal 2020 and were funded with a combination of cash on hand and cash generated from operations. We expect capital expenditures for fiscal 2020 to be slightly below 4% of fiscal 2020 revenue. We expect these capital expenditures will be funded with a combination of cash on hand and cash generated from operations.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Devices Foundation</w:t>
      </w:r>
    </w:p>
    <w:p>
      <w:pPr>
        <w:spacing w:after="0" w:line="104"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During the first three months of fiscal 2020, we contributed 335,654 shares of our common stock to the newly formed Analog Devices Foundation. As of the date of the contribution, the shares had a fair value of approximately $40.0 million. This expense was recorded in SMG&amp;A in the Condensed Consolidated Statement of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On February 18, 2020, our Board of Directors declared a cash dividend of $0.62 per outstanding share of common stock. The dividend will be paid on March 10, 2020 to all shareholders of record at the close of business on February 28, 2020 and is expected to total approximately $228.3 million. We currently expect quarterly dividends to continue in future periods. The payment of any future quarterly dividends, or a future increase in the quarterly dividend amount, will be at the discretion of the Board and will be dependent upon our financial position, results of operations, outlook, liquidity, and other factors deemed relevant by the Board.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There have not been any material changes during the three-month period ended February 1, 2020 to the amounts presented in the table summarizing our contractual obligations included in our Annual Report on Form 10-K for the fiscal year ended November 2,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 xml:space="preserve">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12,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60" w:firstLine="446"/>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The FASB has issued amendments and updates to the new standard, including practical expedients to be used during adoption. The Company adopted the standard in the first quarter of fiscal 2020 under the modified retrospective approach. As a result of the adoption of ASU 2016-02, we changed our accounting policy for leases. See Note 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Note 12, </w:t>
      </w:r>
      <w:r>
        <w:rPr>
          <w:rFonts w:ascii="Arial" w:cs="Arial" w:eastAsia="Arial" w:hAnsi="Arial"/>
          <w:sz w:val="16"/>
          <w:szCs w:val="16"/>
          <w:i w:val="1"/>
          <w:iCs w:val="1"/>
          <w:color w:val="auto"/>
        </w:rPr>
        <w:t>New Accounting Pronouncements</w:t>
      </w:r>
      <w:r>
        <w:rPr>
          <w:rFonts w:ascii="Arial" w:cs="Arial" w:eastAsia="Arial" w:hAnsi="Arial"/>
          <w:sz w:val="16"/>
          <w:szCs w:val="16"/>
          <w:color w:val="auto"/>
        </w:rPr>
        <w:t>, in the Notes to Condensed Consolidated Financial Statements in Part I, Item 1 of this Quarterly Report on Form 10-Q for details of the impact of this ASU on our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Except for the accounting policies for leases and income taxes that were updated as a result of adopting ASU 2016-02 and ASU 2018-02, respectively, there were no other material changes in the three-month period ended February 1, 2020 to the information provided under the heading “Critical Accounting Policies and Estimates” in the section entitled "Management's Discussion and Analysis of Financial Condition and Results of Operations" of our Annual Report on Form 10-K for the fiscal year ended November 2, 2019. See Note 2</w:t>
      </w:r>
      <w:r>
        <w:rPr>
          <w:rFonts w:ascii="Arial" w:cs="Arial" w:eastAsia="Arial" w:hAnsi="Arial"/>
          <w:sz w:val="17"/>
          <w:szCs w:val="17"/>
          <w:i w:val="1"/>
          <w:iCs w:val="1"/>
          <w:color w:val="auto"/>
        </w:rPr>
        <w:t>, Leases</w:t>
      </w:r>
      <w:r>
        <w:rPr>
          <w:rFonts w:ascii="Arial" w:cs="Arial" w:eastAsia="Arial" w:hAnsi="Arial"/>
          <w:sz w:val="17"/>
          <w:szCs w:val="17"/>
          <w:color w:val="auto"/>
        </w:rPr>
        <w:t xml:space="preserve"> and Note 11,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the Notes to Condensed Consolidated Financial Statements in Part I, Item 1 in this Quarterly Report on Form 10-Q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79" w:right="279" w:bottom="1440" w:gutter="0" w:footer="0" w:header="0"/>
        </w:sectPr>
      </w:pPr>
    </w:p>
    <w:bookmarkStart w:id="26" w:name="page27"/>
    <w:bookmarkEnd w:id="26"/>
    <w:p>
      <w:pPr>
        <w:ind w:left="2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520" w:firstLine="446"/>
        <w:spacing w:after="0" w:line="342" w:lineRule="auto"/>
        <w:rPr>
          <w:sz w:val="20"/>
          <w:szCs w:val="20"/>
          <w:color w:val="auto"/>
        </w:rPr>
      </w:pPr>
      <w:r>
        <w:rPr>
          <w:rFonts w:ascii="Arial" w:cs="Arial" w:eastAsia="Arial" w:hAnsi="Arial"/>
          <w:sz w:val="16"/>
          <w:szCs w:val="16"/>
          <w:color w:val="auto"/>
        </w:rPr>
        <w:t>There were no material changes in the three-month period ended February 1, 2020 to the information provided under Item 7A. “Quantitative and Qualitative Disclosures about Market Risk,” set forth in our Annual Report on Form 10-K for the fiscal year ended November 2, 2019.</w:t>
      </w:r>
    </w:p>
    <w:p>
      <w:pPr>
        <w:spacing w:after="0" w:line="201"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48" w:lineRule="exact"/>
        <w:rPr>
          <w:sz w:val="20"/>
          <w:szCs w:val="20"/>
          <w:color w:val="auto"/>
        </w:rPr>
      </w:pPr>
    </w:p>
    <w:p>
      <w:pPr>
        <w:ind w:right="40" w:firstLine="8"/>
        <w:spacing w:after="0" w:line="269"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February 1, 2020.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February 1, 2020, our Chief Executive Officer and Chief Financial Officer concluded that, as of such date, our disclosure controls and procedures were effective at the reasonable assurance level.</w:t>
      </w:r>
    </w:p>
    <w:p>
      <w:pPr>
        <w:spacing w:after="0" w:line="58" w:lineRule="exact"/>
        <w:rPr>
          <w:rFonts w:ascii="Arial" w:cs="Arial" w:eastAsia="Arial" w:hAnsi="Arial"/>
          <w:sz w:val="17"/>
          <w:szCs w:val="17"/>
          <w:color w:val="auto"/>
        </w:rPr>
      </w:pPr>
    </w:p>
    <w:p>
      <w:pPr>
        <w:ind w:firstLine="8"/>
        <w:spacing w:after="0" w:line="26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February 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The description below includes any material changes to and supersedes the description of the risk factors affecting our business previously discussed in "Risk Factors” set forth in Item 1A of our Annual Report on Form 10-K for the fiscal year ended November 2, 2019.</w:t>
      </w:r>
    </w:p>
    <w:p>
      <w:pPr>
        <w:spacing w:after="0" w:line="9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Political and economic uncertainty as well as disruptions in global credit and financial markets could materially and adversely affect our business and results of operations.</w:t>
      </w:r>
    </w:p>
    <w:p>
      <w:pPr>
        <w:spacing w:after="0" w:line="76"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Continuing political and global macroeconomic uncertainty, including trade disputes between the United States and China, the United Kingdom's withdrawal from the European Union, and uncertainty regarding the stability of global credit and financial markets may lead consumers and businesses to postpone or reduce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 or payment delays for previously purchased products, thereby increasing our credit risk exposure. Uncertainty regarding the macroeconomic conditions as well as the future stability of the global credit and financial markets could cause the value of the currency in the affected markets to deteriorate, thus reducing the purchasing power of those customers. Significant disruption to global credit and financial markets may also adversely affect our ability to access external financing sources on acceptable terms.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89"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17" w:lineRule="exact"/>
        <w:rPr>
          <w:sz w:val="20"/>
          <w:szCs w:val="20"/>
          <w:color w:val="auto"/>
        </w:rPr>
      </w:pPr>
    </w:p>
    <w:p>
      <w:pPr>
        <w:ind w:left="660" w:right="160" w:hanging="328"/>
        <w:spacing w:after="0" w:line="26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legal and economic changes, crises or instability and civil unrest in markets in which we do business, including potential macroeconomic weakness related to trade disputes between the United States and China, the United Kingdom's withdrawal from the European Union and the implementation of the United States-Mexico-Canada Agreement;</w:t>
      </w:r>
    </w:p>
    <w:p>
      <w:pPr>
        <w:spacing w:after="0" w:line="3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requirements of U.S. customs and export regulations, including the Export Administration Regulations (EAR) and the International Traffic and Arms Regulations (ITAR);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conversion risks and exchange rate and interest rate fluctuations, including the potential impact of the transition from LIBOR;</w:t>
      </w:r>
    </w:p>
    <w:p>
      <w:pPr>
        <w:spacing w:after="0" w:line="76" w:lineRule="exact"/>
        <w:rPr>
          <w:rFonts w:ascii="Arial" w:cs="Arial" w:eastAsia="Arial" w:hAnsi="Arial"/>
          <w:sz w:val="18"/>
          <w:szCs w:val="18"/>
          <w:color w:val="auto"/>
        </w:rPr>
      </w:pPr>
    </w:p>
    <w:p>
      <w:pPr>
        <w:ind w:left="660" w:right="100" w:hanging="328"/>
        <w:spacing w:after="0" w:line="26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policy, commercial, travel, export or taxation disputes or restrictions, government sanctions, import or export tariffs, changes to export classifications or other restrictions imposed by the U.S. government or by the governments of the countries in which we do business, particularly in China;</w:t>
      </w:r>
    </w:p>
    <w:p>
      <w:pPr>
        <w:spacing w:after="0" w:line="32" w:lineRule="exact"/>
        <w:rPr>
          <w:rFonts w:ascii="Arial" w:cs="Arial" w:eastAsia="Arial" w:hAnsi="Arial"/>
          <w:sz w:val="18"/>
          <w:szCs w:val="18"/>
          <w:color w:val="auto"/>
        </w:rPr>
      </w:pPr>
    </w:p>
    <w:p>
      <w:pPr>
        <w:ind w:left="660" w:right="200" w:hanging="328"/>
        <w:spacing w:after="0" w:line="28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intellectual property, anti-corruption and environmental compliance, including the Foreign Corrupt Practices Act;</w:t>
      </w:r>
    </w:p>
    <w:p>
      <w:pPr>
        <w:spacing w:after="0" w:line="3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immigration laws, regulations and procedures and enforcement practices of various government agencies;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 or public health emergencies, such as the current coronavirus outbreak;</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13" w:right="279" w:bottom="1440" w:gutter="0" w:footer="0" w:header="0"/>
        </w:sectPr>
      </w:pPr>
    </w:p>
    <w:bookmarkStart w:id="28" w:name="page29"/>
    <w:bookmarkEnd w:id="28"/>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14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7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Many of these risks are present within our business operations in China. For example, changes in U.S.-China relations, the political environment or international trade policies and relations could result in further revisions to laws or regulations or their interpretation and enforcement, increased taxation, trade sanctions, the imposition of import or export duties and tariffs, restrictions on imports or exports, currency revaluations, or retaliatory actions, which has had and may continue to have an adverse effect on our business plans and operating results. In addition, our success in the Chinese markets may be adversely affected by China's continuously evolving policies, laws and regulations, including those relating to antitrust, cybersecurity and data protection, the environment, indigenous innovation and the promotion of a domestic semiconductor industry, and intellectual property rights and enforcement and protection of those rights.</w:t>
      </w:r>
    </w:p>
    <w:p>
      <w:pPr>
        <w:spacing w:after="0" w:line="95"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At February 1, 2020, our principal source of liquidity was $654.4 million of cash and cash equivalents, of which approximately $280.8 million was held in the United States and the remaining balance was held outside the United States. As we intend to reinvest substantially all of our foreign earnings indefinitely, certain cash held outside the United States may not be available for repatriation as dividends to the United States in the future.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77"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2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customer demand or order patterns for our products and/or for end products that incorporate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accurately forecast distributor demand for our products;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accurately estimate future distributor pricing credits and/or stock rotation rights;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effective tax rates or new or revised tax legislation in the United States, Ireland or worldwide;</w:t>
      </w:r>
    </w:p>
    <w:p>
      <w:pPr>
        <w:spacing w:after="0" w:line="76" w:lineRule="exact"/>
        <w:rPr>
          <w:rFonts w:ascii="Arial" w:cs="Arial" w:eastAsia="Arial" w:hAnsi="Arial"/>
          <w:sz w:val="18"/>
          <w:szCs w:val="18"/>
          <w:color w:val="auto"/>
        </w:rPr>
      </w:pPr>
    </w:p>
    <w:p>
      <w:pPr>
        <w:ind w:left="660" w:right="140" w:hanging="328"/>
        <w:spacing w:after="0" w:line="26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issued, threatened or retaliatory government sanctions, trade barriers or economic restrictions, changes in law, regulations or other restrictions, including executive orders, changes in import and export regulations, export classifications or changes in duties and tariffs, particularly with respect to China;</w:t>
      </w:r>
    </w:p>
    <w:p>
      <w:pPr>
        <w:spacing w:after="0" w:line="3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decisions and competitive pricing pressures;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88" w:lineRule="exact"/>
        <w:rPr>
          <w:rFonts w:ascii="Arial" w:cs="Arial" w:eastAsia="Arial" w:hAnsi="Arial"/>
          <w:sz w:val="17"/>
          <w:szCs w:val="17"/>
          <w:color w:val="auto"/>
        </w:rPr>
      </w:pPr>
    </w:p>
    <w:p>
      <w:pPr>
        <w:ind w:left="660" w:right="3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7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29" w:name="page30"/>
    <w:bookmarkEnd w:id="29"/>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recruit, hire, retain and motivate adequate numbers of engineers and other qualified employees to meet the demands of our customers;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7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worldwide, including health insurance, retirement plan and pension plan contributions and retirement benefits;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significant litigation-related costs or product liability, warranty and/or indemnity claims, including those not covered by our suppliers or insurers;</w:t>
      </w:r>
    </w:p>
    <w:p>
      <w:pPr>
        <w:spacing w:after="0" w:line="2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standards;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7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7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131"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 Our effective tax rate for the first three months of the fiscal year ending October 31, 2020 was below our U.S. federal statutory rate of 21%.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including our current transfer pricing appeal in Ireland;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107"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Compliance with the Tax Cuts and Jobs Act of 2017 (Tax Legislation) may require the collection of information not regularly produced within the Company, and therefore necessitate the use of estimates in our Condensed Consolidated Financial Statements and the exercise of significant judgment in accounting for its provisions. As regulations and guidance evolve with respect to the Tax Legislation, and as more information is gathered and analyzed, our results may differ from previous estimates and may materially affect our Condensed Consolidated Financial Statements.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also subject to laws and regulations in various jurisdictions that determine how much profit has been earned and when it is subject to taxation in</w:t>
      </w:r>
    </w:p>
    <w:p>
      <w:pPr>
        <w:spacing w:after="0" w:line="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144"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third parties may obtain or disclose our confidential information, reverse engineer or copy our technologies, products or processes, or otherwise misappropriate our intellectual property. Moreover, the laws of foreign countries in which we design, manufacture, market and sell our products may afford little or no effective protection of our intellectual property.</w:t>
      </w:r>
    </w:p>
    <w:p>
      <w:pPr>
        <w:spacing w:after="0" w:line="99" w:lineRule="exact"/>
        <w:rPr>
          <w:sz w:val="20"/>
          <w:szCs w:val="20"/>
          <w:color w:val="auto"/>
        </w:rPr>
      </w:pPr>
    </w:p>
    <w:p>
      <w:pPr>
        <w:ind w:right="280" w:firstLine="486"/>
        <w:spacing w:after="0" w:line="273"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84"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76"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or acts of vandalism by third parties or our employees or contractors. Our security measures or those of our third party service providers may not detect or prevent security breaches, defects, bugs or errors. In addition, we provide our confidential and proprietary information to our strategic partners in certain cases where doing so is necessary to conduct our business. While we employ confidentiality agreements to protect such information, those third parties may nonetheless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suppliers, or other third parties which could result in our suffering significant financial or reputational damage.</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89"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if orders or forecasts for products that meet a customer’s unique requirements are canceled or unrealized we may be left with an inventory of unsaleable products,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bookmarkStart w:id="31" w:name="page32"/>
    <w:bookmarkEnd w:id="31"/>
    <w:p>
      <w:pPr>
        <w:ind w:right="200"/>
        <w:spacing w:after="0" w:line="264" w:lineRule="auto"/>
        <w:rPr>
          <w:sz w:val="20"/>
          <w:szCs w:val="20"/>
          <w:color w:val="auto"/>
        </w:rPr>
      </w:pPr>
      <w:r>
        <w:rPr>
          <w:rFonts w:ascii="Arial" w:cs="Arial" w:eastAsia="Arial" w:hAnsi="Arial"/>
          <w:sz w:val="18"/>
          <w:szCs w:val="18"/>
          <w:color w:val="auto"/>
        </w:rPr>
        <w:t>causing potential inventory write-offs, and hindering our ability to recover our costs.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7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future success significantly depends on our ability to execute our business strategy, continue to innovate,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w:t>
      </w:r>
    </w:p>
    <w:p>
      <w:pPr>
        <w:spacing w:after="0" w:line="8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There can be no assurance that the markets we serve and/or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3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third-parties for supply of raw materials and parts, semiconductor wafer foundry services, assembly and test services, and transportation, among other things, and we generally cannot control their availability or conditions of supply or services.</w:t>
      </w:r>
    </w:p>
    <w:p>
      <w:pPr>
        <w:spacing w:after="0" w:line="8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rely, and plan to continue to rely, on third-party suppliers and service providers, including raw material and components suppliers, semiconductor wafer foundries, assembly and test contractors, and freight carriers (collectively, vendors) in manufacturing our products. This reliance involves several risks, including reduced control over availability, capacity utilization, delivery schedules, manufacturing yields, and costs. We currently source approximately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In addition,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38" w:right="259" w:bottom="1440" w:gutter="0" w:footer="0" w:header="0"/>
        </w:sectPr>
      </w:pPr>
    </w:p>
    <w:bookmarkStart w:id="32" w:name="page33"/>
    <w:bookmarkEnd w:id="32"/>
    <w:p>
      <w:pPr>
        <w:jc w:val="both"/>
        <w:ind w:right="240"/>
        <w:spacing w:after="0" w:line="264" w:lineRule="auto"/>
        <w:rPr>
          <w:sz w:val="20"/>
          <w:szCs w:val="20"/>
          <w:color w:val="auto"/>
        </w:rPr>
      </w:pPr>
      <w:r>
        <w:rPr>
          <w:rFonts w:ascii="Arial" w:cs="Arial" w:eastAsia="Arial" w:hAnsi="Arial"/>
          <w:sz w:val="18"/>
          <w:szCs w:val="18"/>
          <w:color w:val="auto"/>
        </w:rPr>
        <w:t>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the temporary or permanent loss of customers.</w:t>
      </w:r>
    </w:p>
    <w:p>
      <w:pPr>
        <w:spacing w:after="0" w:line="1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A prolonged disruption of our internal manufacturing operations could have a material adverse effect on our business, financial condition and results of operations.</w:t>
      </w:r>
    </w:p>
    <w:p>
      <w:pPr>
        <w:spacing w:after="0" w:line="76"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9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indebtedness.</w:t>
      </w:r>
    </w:p>
    <w:p>
      <w:pPr>
        <w:spacing w:after="0" w:line="89" w:lineRule="exact"/>
        <w:rPr>
          <w:sz w:val="20"/>
          <w:szCs w:val="20"/>
          <w:color w:val="auto"/>
        </w:rPr>
      </w:pPr>
    </w:p>
    <w:p>
      <w:pPr>
        <w:jc w:val="both"/>
        <w:ind w:right="200" w:firstLine="486"/>
        <w:spacing w:after="0" w:line="259" w:lineRule="auto"/>
        <w:rPr>
          <w:sz w:val="20"/>
          <w:szCs w:val="20"/>
          <w:color w:val="auto"/>
        </w:rPr>
      </w:pPr>
      <w:r>
        <w:rPr>
          <w:rFonts w:ascii="Arial" w:cs="Arial" w:eastAsia="Arial" w:hAnsi="Arial"/>
          <w:sz w:val="18"/>
          <w:szCs w:val="18"/>
          <w:color w:val="auto"/>
        </w:rPr>
        <w:t>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3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borrow under our revolving credit facility;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divert funds that would otherwise be invested in growing our business operations;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repatriate earnings as dividends from foreign locations with potential for negative tax consequences;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selected assets.</w:t>
      </w:r>
    </w:p>
    <w:p>
      <w:pPr>
        <w:spacing w:after="0" w:line="131"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8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83"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Our semiconductor products are complex and we may be subject to warranty, indemnity and/or product liability claims, which could result in significant costs and damage to our reputation and adversely affect customer relationships, the market acceptance of our products and our operating results.</w:t>
      </w:r>
    </w:p>
    <w:p>
      <w:pPr>
        <w:spacing w:after="0" w:line="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Semiconductor products are highly complex and may contain defects that affect their quality or performance. Failures in our products and services or</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products of our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 breaches and theft of</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38" w:right="259" w:bottom="1440" w:gutter="0" w:footer="0" w:header="0"/>
        </w:sectPr>
      </w:pPr>
    </w:p>
    <w:bookmarkStart w:id="33" w:name="page34"/>
    <w:bookmarkEnd w:id="33"/>
    <w:p>
      <w:pPr>
        <w:spacing w:after="0" w:line="288" w:lineRule="auto"/>
        <w:rPr>
          <w:sz w:val="20"/>
          <w:szCs w:val="20"/>
          <w:color w:val="auto"/>
        </w:rPr>
      </w:pPr>
      <w:r>
        <w:rPr>
          <w:rFonts w:ascii="Arial" w:cs="Arial" w:eastAsia="Arial" w:hAnsi="Arial"/>
          <w:sz w:val="16"/>
          <w:szCs w:val="16"/>
          <w:color w:val="auto"/>
        </w:rPr>
        <w:t>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w:t>
      </w:r>
    </w:p>
    <w:p>
      <w:pPr>
        <w:spacing w:after="0" w:line="3"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indemnification liability may be significant. Further, we sell to customers in industries such as automotive (including autonomous vehicles), aerospace, defense, and healthcare, where failure of the systems in which our products are integrated could cause damage to property or persons. We may be subject to</w:t>
      </w:r>
    </w:p>
    <w:p>
      <w:pPr>
        <w:ind w:right="20"/>
        <w:spacing w:after="0" w:line="279" w:lineRule="auto"/>
        <w:rPr>
          <w:sz w:val="20"/>
          <w:szCs w:val="20"/>
          <w:color w:val="auto"/>
        </w:rPr>
      </w:pPr>
      <w:r>
        <w:rPr>
          <w:rFonts w:ascii="Arial" w:cs="Arial" w:eastAsia="Arial" w:hAnsi="Arial"/>
          <w:sz w:val="17"/>
          <w:szCs w:val="17"/>
          <w:color w:val="auto"/>
        </w:rPr>
        <w:t>product liability claims if our products, or the 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w:t>
      </w:r>
    </w:p>
    <w:p>
      <w:pPr>
        <w:spacing w:after="0" w:line="90" w:lineRule="exact"/>
        <w:rPr>
          <w:sz w:val="20"/>
          <w:szCs w:val="20"/>
          <w:color w:val="auto"/>
        </w:rPr>
      </w:pPr>
    </w:p>
    <w:p>
      <w:pPr>
        <w:ind w:right="340" w:firstLine="486"/>
        <w:spacing w:after="0" w:line="255" w:lineRule="auto"/>
        <w:rPr>
          <w:sz w:val="20"/>
          <w:szCs w:val="20"/>
          <w:color w:val="auto"/>
        </w:rPr>
      </w:pPr>
      <w:r>
        <w:rPr>
          <w:rFonts w:ascii="Arial" w:cs="Arial" w:eastAsia="Arial" w:hAnsi="Arial"/>
          <w:sz w:val="18"/>
          <w:szCs w:val="18"/>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9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76" w:lineRule="exact"/>
        <w:rPr>
          <w:sz w:val="20"/>
          <w:szCs w:val="20"/>
          <w:color w:val="auto"/>
        </w:rPr>
      </w:pPr>
    </w:p>
    <w:p>
      <w:pPr>
        <w:ind w:right="140" w:firstLine="486"/>
        <w:spacing w:after="0" w:line="308"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Other companies or individuals have obtained patents covering a variety of semiconductor designs and processes, and we might be required to obtain licenses under some of</w:t>
      </w:r>
    </w:p>
    <w:p>
      <w:pPr>
        <w:jc w:val="both"/>
        <w:ind w:right="60"/>
        <w:spacing w:after="0" w:line="288" w:lineRule="auto"/>
        <w:rPr>
          <w:sz w:val="20"/>
          <w:szCs w:val="20"/>
          <w:color w:val="auto"/>
        </w:rPr>
      </w:pPr>
      <w:r>
        <w:rPr>
          <w:rFonts w:ascii="Arial" w:cs="Arial" w:eastAsia="Arial" w:hAnsi="Arial"/>
          <w:sz w:val="16"/>
          <w:szCs w:val="16"/>
          <w:color w:val="auto"/>
        </w:rPr>
        <w:t>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w:t>
      </w:r>
    </w:p>
    <w:p>
      <w:pPr>
        <w:ind w:right="20"/>
        <w:spacing w:after="0" w:line="270" w:lineRule="auto"/>
        <w:rPr>
          <w:sz w:val="20"/>
          <w:szCs w:val="20"/>
          <w:color w:val="auto"/>
        </w:rPr>
      </w:pPr>
      <w:r>
        <w:rPr>
          <w:rFonts w:ascii="Arial" w:cs="Arial" w:eastAsia="Arial" w:hAnsi="Arial"/>
          <w:sz w:val="17"/>
          <w:szCs w:val="17"/>
          <w:color w:val="auto"/>
        </w:rPr>
        <w:t>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recruit or retain our key personnel, our ability to execute our business strategy will be adversely affected.</w:t>
      </w:r>
    </w:p>
    <w:p>
      <w:pPr>
        <w:spacing w:after="0" w:line="131"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The loss of key personnel or the inability to attract, hire and retain key employees with critical technical skills to achieve our strategy, including as a result of changes to immigration policies, could also have a material adverse effect on our business. We do not maintain any key person life insurance policy on any of our officers or other employees.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8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34" w:name="page35"/>
    <w:bookmarkEnd w:id="34"/>
    <w:p>
      <w:pPr>
        <w:spacing w:after="0" w:line="271" w:lineRule="auto"/>
        <w:rPr>
          <w:sz w:val="20"/>
          <w:szCs w:val="20"/>
          <w:color w:val="auto"/>
        </w:rPr>
      </w:pPr>
      <w:r>
        <w:rPr>
          <w:rFonts w:ascii="Arial" w:cs="Arial" w:eastAsia="Arial" w:hAnsi="Arial"/>
          <w:sz w:val="17"/>
          <w:szCs w:val="17"/>
          <w:color w:val="auto"/>
        </w:rPr>
        <w:t>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private companies are subject to a risk of a partial or total loss of our investment. Both in the U.S. and abroad, governmental regulation of acquisitions, including antitrust and other regulatory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Acquisitions also involve a number of challenges and risks, including:</w:t>
      </w:r>
    </w:p>
    <w:p>
      <w:pPr>
        <w:spacing w:after="0" w:line="7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diversion of management’s attention in connection with both negotiating the transaction and integrating the acquired assets and businesses;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difficulty or delay integrating acquired technologies, operations, systems and infrastructure, and personnel with our existing businesses;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76"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including research and development costs, employee compensation and benefits, and operating expenses, which may be significant;</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servicing significant debt that may be incurred in connection with acquisitions;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unforeseen liabilities or regulatory compliance issues of acquired companies;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 and businesses;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realizing expected cost savings, operating synergies and growth prospects of an acquisition in a timely manner or at all;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risk of costly and time-consuming legal proceedings.</w:t>
      </w:r>
    </w:p>
    <w:p>
      <w:pPr>
        <w:spacing w:after="0" w:line="13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42"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4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 significant portion of our sales are through independent global and regional distributors that are not under our control. Arrow Electronics is currently our largest distributor. These independent distributors generally represent product lines offered by several companies and thus could reduce their sales efforts for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83"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 xml:space="preserve">Effective November 4, 2018, all distributor sales are recognized upon shipment to the distributor under Accounting Standards Update 2014-09, </w:t>
      </w: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(ASU 2014-09). We are now required to estimate the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38" w:right="279" w:bottom="1440" w:gutter="0" w:footer="0" w:header="0"/>
        </w:sectPr>
      </w:pPr>
    </w:p>
    <w:bookmarkStart w:id="35" w:name="page36"/>
    <w:bookmarkEnd w:id="35"/>
    <w:p>
      <w:pPr>
        <w:ind w:right="260"/>
        <w:spacing w:after="0" w:line="308" w:lineRule="auto"/>
        <w:rPr>
          <w:sz w:val="20"/>
          <w:szCs w:val="20"/>
          <w:color w:val="auto"/>
        </w:rPr>
      </w:pPr>
      <w:r>
        <w:rPr>
          <w:rFonts w:ascii="Arial" w:cs="Arial" w:eastAsia="Arial" w:hAnsi="Arial"/>
          <w:sz w:val="17"/>
          <w:szCs w:val="17"/>
          <w:color w:val="auto"/>
        </w:rPr>
        <w:t>effects of returns and allowances provided to distributors and record revenue at the time of sale to the distributor. If our estimates of such credits and rights are materially understated, it could cause subsequent adjustments that negatively impact our revenues and gross profits in a future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13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industry is subject to EHS requirements, particularly those that control and restrict the sourcing, use, transportation, emission, discharge, storage and disposal of certain substances, and materials used or produced in the semiconductor manufacturing process. Public attention to environmental sustainability and social responsibility concerns continues to increase, and our customers routinely include stringent environmental and other standards in their contract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liability for damages and remediation;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regulatory penalties and civil and criminal fines;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suspension or termination of the development, manufacture, sale or use of certain of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our manufacturing processes or a need to substitute materials that may cost more or be less available;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to our reputation; and/or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expenses associated with compliance.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term loan and outstanding debt instruments may limit our activities.</w:t>
      </w:r>
    </w:p>
    <w:p>
      <w:pPr>
        <w:spacing w:after="0" w:line="144"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Our current revolving credit facility, term loan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and term loan require us to maintain compliance with specified financial ratios. If we breach any of the covenants under our revolving credit facility, the indentures governing our outstanding senior unsecured notes, the term loan facility or any future debt instruments to which we may become subject and do not obtain appropriate waivers, then, subject to applicable cure periods, our outstanding indebtedness thereunder could be declared immediately due and payable and/or we may be restricted from further borrowing under our revolving credit facility.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131"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97" w:lineRule="exact"/>
        <w:rPr>
          <w:sz w:val="20"/>
          <w:szCs w:val="20"/>
          <w:color w:val="auto"/>
        </w:rPr>
      </w:pPr>
    </w:p>
    <w:p>
      <w:pPr>
        <w:ind w:right="180" w:firstLine="486"/>
        <w:spacing w:after="0" w:line="297" w:lineRule="auto"/>
        <w:rPr>
          <w:sz w:val="20"/>
          <w:szCs w:val="20"/>
          <w:color w:val="auto"/>
        </w:rPr>
      </w:pPr>
      <w:r>
        <w:rPr>
          <w:rFonts w:ascii="Arial" w:cs="Arial" w:eastAsia="Arial" w:hAnsi="Arial"/>
          <w:sz w:val="16"/>
          <w:szCs w:val="16"/>
          <w:color w:val="auto"/>
        </w:rPr>
        <w:t>In connection with our United States government business, we are also subject to government audits and to review and approval of our policies, procedures, and internal controls for compliance with procurement regulations and applicable laws, such as the Cybersecurity Maturity Model Certification. In 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bookmarkStart w:id="36" w:name="page37"/>
    <w:bookmarkEnd w:id="36"/>
    <w:p>
      <w:pPr>
        <w:ind w:right="40" w:firstLine="486"/>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3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2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76"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results and prospects of our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and foreign government actions, including with respect to trade, travel, export and taxation;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rumors and speculation in the press, investment community or on social media about us, our customers or other companies in our industry;</w:t>
      </w:r>
    </w:p>
    <w:p>
      <w:pPr>
        <w:spacing w:after="0" w:line="88" w:lineRule="exact"/>
        <w:rPr>
          <w:rFonts w:ascii="Arial" w:cs="Arial" w:eastAsia="Arial" w:hAnsi="Arial"/>
          <w:sz w:val="17"/>
          <w:szCs w:val="17"/>
          <w:color w:val="auto"/>
        </w:rPr>
      </w:pPr>
    </w:p>
    <w:p>
      <w:pPr>
        <w:ind w:left="660" w:right="3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our customers or our competitors of significant new products, technical innovations, material transactions, acquisitions or dispositions, litigation, capital commitments or revised earnings estimates;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13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8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38" w:right="2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518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w w:val="93"/>
              </w:rPr>
              <w:t>Unregistered Sales of Equity Securities and Use of Proceeds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58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Paid Per Share (b)</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3, 2019 through November 30, 2019</w:t>
            </w:r>
          </w:p>
        </w:tc>
        <w:tc>
          <w:tcPr>
            <w:tcW w:w="16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172,693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112.36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169,169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2,051,923,846</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December 1, 2019 through December 28, 2019</w:t>
            </w:r>
          </w:p>
        </w:tc>
        <w:tc>
          <w:tcPr>
            <w:tcW w:w="1600" w:type="dxa"/>
            <w:vAlign w:val="bottom"/>
          </w:tcPr>
          <w:p>
            <w:pPr>
              <w:jc w:val="right"/>
              <w:ind w:right="78"/>
              <w:spacing w:after="0"/>
              <w:rPr>
                <w:sz w:val="20"/>
                <w:szCs w:val="20"/>
                <w:color w:val="auto"/>
              </w:rPr>
            </w:pPr>
            <w:r>
              <w:rPr>
                <w:rFonts w:ascii="Arial" w:cs="Arial" w:eastAsia="Arial" w:hAnsi="Arial"/>
                <w:sz w:val="18"/>
                <w:szCs w:val="18"/>
                <w:color w:val="auto"/>
              </w:rPr>
              <w:t>250,220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116.99</w:t>
            </w:r>
          </w:p>
        </w:tc>
        <w:tc>
          <w:tcPr>
            <w:tcW w:w="100" w:type="dxa"/>
            <w:vAlign w:val="bottom"/>
          </w:tcPr>
          <w:p>
            <w:pPr>
              <w:spacing w:after="0"/>
              <w:rPr>
                <w:sz w:val="21"/>
                <w:szCs w:val="21"/>
                <w:color w:val="auto"/>
              </w:rPr>
            </w:pPr>
          </w:p>
        </w:tc>
        <w:tc>
          <w:tcPr>
            <w:tcW w:w="1760" w:type="dxa"/>
            <w:vAlign w:val="bottom"/>
          </w:tcPr>
          <w:p>
            <w:pPr>
              <w:jc w:val="right"/>
              <w:ind w:right="60"/>
              <w:spacing w:after="0"/>
              <w:rPr>
                <w:sz w:val="20"/>
                <w:szCs w:val="20"/>
                <w:color w:val="auto"/>
              </w:rPr>
            </w:pPr>
            <w:r>
              <w:rPr>
                <w:rFonts w:ascii="Arial" w:cs="Arial" w:eastAsia="Arial" w:hAnsi="Arial"/>
                <w:sz w:val="18"/>
                <w:szCs w:val="18"/>
                <w:color w:val="auto"/>
              </w:rPr>
              <w:t>247,892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81"/>
              <w:spacing w:after="0"/>
              <w:rPr>
                <w:sz w:val="20"/>
                <w:szCs w:val="20"/>
                <w:color w:val="auto"/>
              </w:rPr>
            </w:pPr>
            <w:r>
              <w:rPr>
                <w:rFonts w:ascii="Arial" w:cs="Arial" w:eastAsia="Arial" w:hAnsi="Arial"/>
                <w:sz w:val="18"/>
                <w:szCs w:val="18"/>
                <w:color w:val="auto"/>
              </w:rPr>
              <w:t>2,022,928,480</w:t>
            </w: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29, 2019 through February 1, 2020</w:t>
            </w:r>
          </w:p>
        </w:tc>
        <w:tc>
          <w:tcPr>
            <w:tcW w:w="16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486,457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117.90</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432,021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1,972,048,542</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3580" w:type="dxa"/>
            <w:vAlign w:val="bottom"/>
          </w:tcPr>
          <w:p>
            <w:pPr>
              <w:ind w:left="112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909,370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116.60</w:t>
            </w:r>
          </w:p>
        </w:tc>
        <w:tc>
          <w:tcPr>
            <w:tcW w:w="100" w:type="dxa"/>
            <w:vAlign w:val="bottom"/>
          </w:tcPr>
          <w:p>
            <w:pPr>
              <w:spacing w:after="0"/>
              <w:rPr>
                <w:sz w:val="20"/>
                <w:szCs w:val="20"/>
                <w:color w:val="auto"/>
              </w:rPr>
            </w:pPr>
          </w:p>
        </w:tc>
        <w:tc>
          <w:tcPr>
            <w:tcW w:w="1760" w:type="dxa"/>
            <w:vAlign w:val="bottom"/>
            <w:tcBorders>
              <w:top w:val="single" w:sz="8" w:color="auto"/>
            </w:tcBorders>
          </w:tcPr>
          <w:p>
            <w:pPr>
              <w:jc w:val="right"/>
              <w:ind w:right="60"/>
              <w:spacing w:after="0"/>
              <w:rPr>
                <w:sz w:val="20"/>
                <w:szCs w:val="20"/>
                <w:color w:val="auto"/>
              </w:rPr>
            </w:pPr>
            <w:r>
              <w:rPr>
                <w:rFonts w:ascii="Arial" w:cs="Arial" w:eastAsia="Arial" w:hAnsi="Arial"/>
                <w:sz w:val="18"/>
                <w:szCs w:val="18"/>
                <w:color w:val="auto"/>
              </w:rPr>
              <w:t>849,082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81"/>
              <w:spacing w:after="0"/>
              <w:rPr>
                <w:sz w:val="20"/>
                <w:szCs w:val="20"/>
                <w:color w:val="auto"/>
              </w:rPr>
            </w:pPr>
            <w:r>
              <w:rPr>
                <w:rFonts w:ascii="Arial" w:cs="Arial" w:eastAsia="Arial" w:hAnsi="Arial"/>
                <w:sz w:val="18"/>
                <w:szCs w:val="18"/>
                <w:color w:val="auto"/>
              </w:rPr>
              <w:t>1,972,048,542</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right="200" w:hanging="328"/>
        <w:spacing w:after="0" w:line="258" w:lineRule="auto"/>
        <w:tabs>
          <w:tab w:leader="none" w:pos="6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60,288 shares withheld by us from employees to satisfy minimum employee tax obligations upon vesting of restricted stock units/awards granted to our employees under our equity compensation plans.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160" w:hanging="328"/>
        <w:spacing w:after="0" w:line="273" w:lineRule="auto"/>
        <w:tabs>
          <w:tab w:leader="none" w:pos="657"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Shares repurchased pursuant to the stock repurchase program publicly announced on August 12, 2004. Under the repurchase program, we may repurchase outstanding shares of our common stock from time to time in the open market and through privately negotiated transactions in an aggregate amount of up to $8.2 billion.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67" w:right="279" w:bottom="1440" w:gutter="0" w:footer="0" w:header="0"/>
        </w:sectPr>
      </w:pPr>
    </w:p>
    <w:bookmarkStart w:id="38" w:name="page39"/>
    <w:bookmarkEnd w:id="38"/>
    <w:p>
      <w:pPr>
        <w:ind w:left="2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360"/>
          </w:cols>
          <w:pgMar w:left="240" w:top="1067" w:right="29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Exhibit No.</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10.2†#</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10.3†#</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10.4†#</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32.1†*</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32.2†*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36" w:lineRule="exact"/>
        <w:rPr>
          <w:sz w:val="20"/>
          <w:szCs w:val="20"/>
          <w:color w:val="auto"/>
        </w:rPr>
      </w:pPr>
    </w:p>
    <w:p>
      <w:pPr>
        <w:ind w:right="220"/>
        <w:spacing w:after="0" w:line="235" w:lineRule="auto"/>
        <w:rPr>
          <w:rFonts w:ascii="Arial" w:cs="Arial" w:eastAsia="Arial" w:hAnsi="Arial"/>
          <w:sz w:val="18"/>
          <w:szCs w:val="18"/>
          <w:color w:val="0000FF"/>
        </w:rPr>
      </w:pPr>
      <w:hyperlink w:anchor="page41">
        <w:r>
          <w:rPr>
            <w:rFonts w:ascii="Arial" w:cs="Arial" w:eastAsia="Arial" w:hAnsi="Arial"/>
            <w:sz w:val="18"/>
            <w:szCs w:val="18"/>
            <w:u w:val="single" w:color="auto"/>
            <w:color w:val="0000FF"/>
          </w:rPr>
          <w:t>Form of Financial Metric Performance Restricted Stock Unit Agreement for Employees for usage under the Company's 2020 Equity</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Incentive Plan</w:t>
        </w:r>
        <w:r>
          <w:rPr>
            <w:rFonts w:ascii="Arial" w:cs="Arial" w:eastAsia="Arial" w:hAnsi="Arial"/>
            <w:sz w:val="18"/>
            <w:szCs w:val="18"/>
            <w:color w:val="000000"/>
          </w:rPr>
          <w:t>.</w:t>
        </w:r>
      </w:hyperlink>
    </w:p>
    <w:p>
      <w:pPr>
        <w:spacing w:after="0" w:line="1" w:lineRule="exact"/>
        <w:rPr>
          <w:sz w:val="20"/>
          <w:szCs w:val="20"/>
          <w:color w:val="auto"/>
        </w:rPr>
      </w:pPr>
    </w:p>
    <w:p>
      <w:pPr>
        <w:spacing w:after="0"/>
        <w:rPr>
          <w:rFonts w:ascii="Arial" w:cs="Arial" w:eastAsia="Arial" w:hAnsi="Arial"/>
          <w:sz w:val="16"/>
          <w:szCs w:val="16"/>
          <w:color w:val="0000FF"/>
        </w:rPr>
      </w:pPr>
      <w:hyperlink w:anchor="page92">
        <w:r>
          <w:rPr>
            <w:rFonts w:ascii="Arial" w:cs="Arial" w:eastAsia="Arial" w:hAnsi="Arial"/>
            <w:sz w:val="16"/>
            <w:szCs w:val="16"/>
            <w:u w:val="single" w:color="auto"/>
            <w:color w:val="0000FF"/>
          </w:rPr>
          <w:t>Form of Global Non-Qualified Stock Option Agreement for Employees for usage under the Company's 2020 Equity Incentive Plan</w:t>
        </w:r>
      </w:hyperlink>
      <w:r>
        <w:rPr>
          <w:rFonts w:ascii="Arial" w:cs="Arial" w:eastAsia="Arial" w:hAnsi="Arial"/>
          <w:sz w:val="16"/>
          <w:szCs w:val="16"/>
          <w:color w:val="000000"/>
        </w:rPr>
        <w:t>.</w:t>
      </w:r>
    </w:p>
    <w:p>
      <w:pPr>
        <w:spacing w:after="0" w:line="85" w:lineRule="exact"/>
        <w:rPr>
          <w:sz w:val="20"/>
          <w:szCs w:val="20"/>
          <w:color w:val="auto"/>
        </w:rPr>
      </w:pPr>
    </w:p>
    <w:p>
      <w:pPr>
        <w:spacing w:after="0"/>
        <w:rPr>
          <w:rFonts w:ascii="Arial" w:cs="Arial" w:eastAsia="Arial" w:hAnsi="Arial"/>
          <w:sz w:val="17"/>
          <w:szCs w:val="17"/>
          <w:color w:val="0000FF"/>
        </w:rPr>
      </w:pPr>
      <w:hyperlink w:anchor="page127">
        <w:r>
          <w:rPr>
            <w:rFonts w:ascii="Arial" w:cs="Arial" w:eastAsia="Arial" w:hAnsi="Arial"/>
            <w:sz w:val="17"/>
            <w:szCs w:val="17"/>
            <w:u w:val="single" w:color="auto"/>
            <w:color w:val="0000FF"/>
          </w:rPr>
          <w:t>Form of Global Restricted Stock Unit Agreement for Employees for usage under the Company's 2020 Equity Incentive Plan</w:t>
        </w:r>
      </w:hyperlink>
      <w:r>
        <w:rPr>
          <w:rFonts w:ascii="Arial" w:cs="Arial" w:eastAsia="Arial" w:hAnsi="Arial"/>
          <w:sz w:val="17"/>
          <w:szCs w:val="17"/>
          <w:color w:val="000000"/>
        </w:rPr>
        <w:t>.</w:t>
      </w:r>
    </w:p>
    <w:p>
      <w:pPr>
        <w:spacing w:after="0" w:line="75" w:lineRule="exact"/>
        <w:rPr>
          <w:sz w:val="20"/>
          <w:szCs w:val="20"/>
          <w:color w:val="auto"/>
        </w:rPr>
      </w:pPr>
    </w:p>
    <w:p>
      <w:pPr>
        <w:spacing w:after="0"/>
        <w:rPr>
          <w:rFonts w:ascii="Arial" w:cs="Arial" w:eastAsia="Arial" w:hAnsi="Arial"/>
          <w:sz w:val="18"/>
          <w:szCs w:val="18"/>
          <w:color w:val="0000FF"/>
        </w:rPr>
      </w:pPr>
      <w:hyperlink w:anchor="page173">
        <w:r>
          <w:rPr>
            <w:rFonts w:ascii="Arial" w:cs="Arial" w:eastAsia="Arial" w:hAnsi="Arial"/>
            <w:sz w:val="18"/>
            <w:szCs w:val="18"/>
            <w:u w:val="single" w:color="auto"/>
            <w:color w:val="0000FF"/>
          </w:rPr>
          <w:t>Form of Restricted Stock Unit Agreement for Directors for usage under the Company's 2020 Equity Incentive Plan</w:t>
        </w:r>
      </w:hyperlink>
      <w:r>
        <w:rPr>
          <w:rFonts w:ascii="Arial" w:cs="Arial" w:eastAsia="Arial" w:hAnsi="Arial"/>
          <w:sz w:val="18"/>
          <w:szCs w:val="18"/>
          <w:color w:val="000000"/>
        </w:rPr>
        <w:t>.</w:t>
      </w:r>
    </w:p>
    <w:p>
      <w:pPr>
        <w:spacing w:after="0" w:line="63" w:lineRule="exact"/>
        <w:rPr>
          <w:sz w:val="20"/>
          <w:szCs w:val="20"/>
          <w:color w:val="auto"/>
        </w:rPr>
      </w:pPr>
    </w:p>
    <w:p>
      <w:pPr>
        <w:ind w:right="720"/>
        <w:spacing w:after="0" w:line="235" w:lineRule="auto"/>
        <w:rPr>
          <w:rFonts w:ascii="Arial" w:cs="Arial" w:eastAsia="Arial" w:hAnsi="Arial"/>
          <w:sz w:val="18"/>
          <w:szCs w:val="18"/>
          <w:color w:val="0000FF"/>
        </w:rPr>
      </w:pPr>
      <w:hyperlink w:anchor="page180">
        <w:r>
          <w:rPr>
            <w:rFonts w:ascii="Arial" w:cs="Arial" w:eastAsia="Arial" w:hAnsi="Arial"/>
            <w:sz w:val="18"/>
            <w:szCs w:val="18"/>
            <w:u w:val="single" w:color="auto"/>
            <w:color w:val="0000FF"/>
          </w:rPr>
          <w:t>Form of Relative Total Shareholder Return Performance Restricted Stock Unit Agreement for Employees for usage under the</w:t>
        </w:r>
      </w:hyperlink>
      <w:r>
        <w:rPr>
          <w:rFonts w:ascii="Arial" w:cs="Arial" w:eastAsia="Arial" w:hAnsi="Arial"/>
          <w:sz w:val="18"/>
          <w:szCs w:val="18"/>
          <w:u w:val="single" w:color="auto"/>
          <w:color w:val="0000FF"/>
        </w:rPr>
        <w:t xml:space="preserve"> </w:t>
      </w:r>
      <w:hyperlink w:anchor="page180">
        <w:r>
          <w:rPr>
            <w:rFonts w:ascii="Arial" w:cs="Arial" w:eastAsia="Arial" w:hAnsi="Arial"/>
            <w:sz w:val="18"/>
            <w:szCs w:val="18"/>
            <w:u w:val="single" w:color="auto"/>
            <w:color w:val="0000FF"/>
          </w:rPr>
          <w:t>Company's 2020 Equity Incentive Plan</w:t>
        </w:r>
        <w:r>
          <w:rPr>
            <w:rFonts w:ascii="Arial" w:cs="Arial" w:eastAsia="Arial" w:hAnsi="Arial"/>
            <w:sz w:val="18"/>
            <w:szCs w:val="18"/>
            <w:color w:val="000000"/>
          </w:rPr>
          <w:t>.</w:t>
        </w:r>
      </w:hyperlink>
    </w:p>
    <w:p>
      <w:pPr>
        <w:spacing w:after="0" w:line="1" w:lineRule="exact"/>
        <w:rPr>
          <w:sz w:val="20"/>
          <w:szCs w:val="20"/>
          <w:color w:val="auto"/>
        </w:rPr>
      </w:pPr>
    </w:p>
    <w:p>
      <w:pPr>
        <w:ind w:right="400"/>
        <w:spacing w:after="0" w:line="234" w:lineRule="auto"/>
        <w:rPr>
          <w:rFonts w:ascii="Arial" w:cs="Arial" w:eastAsia="Arial" w:hAnsi="Arial"/>
          <w:sz w:val="18"/>
          <w:szCs w:val="18"/>
          <w:color w:val="0000FF"/>
        </w:rPr>
      </w:pPr>
      <w:hyperlink w:anchor="page194">
        <w:r>
          <w:rPr>
            <w:rFonts w:ascii="Arial" w:cs="Arial" w:eastAsia="Arial" w:hAnsi="Arial"/>
            <w:sz w:val="18"/>
            <w:szCs w:val="18"/>
            <w:u w:val="single" w:color="auto"/>
            <w:color w:val="0000FF"/>
          </w:rPr>
          <w:t>Certification Pursuant to Rule 13a-14(a) and 15d-14(a) of the Securities Exchange Act, as Adopted Pursuant to Section 302 of the</w:t>
        </w:r>
      </w:hyperlink>
      <w:r>
        <w:rPr>
          <w:rFonts w:ascii="Arial" w:cs="Arial" w:eastAsia="Arial" w:hAnsi="Arial"/>
          <w:sz w:val="18"/>
          <w:szCs w:val="18"/>
          <w:u w:val="single" w:color="auto"/>
          <w:color w:val="0000FF"/>
        </w:rPr>
        <w:t xml:space="preserve"> </w:t>
      </w:r>
      <w:hyperlink w:anchor="page194">
        <w:r>
          <w:rPr>
            <w:rFonts w:ascii="Arial" w:cs="Arial" w:eastAsia="Arial" w:hAnsi="Arial"/>
            <w:sz w:val="18"/>
            <w:szCs w:val="18"/>
            <w:u w:val="single" w:color="auto"/>
            <w:color w:val="0000FF"/>
          </w:rPr>
          <w:t>Sarbanes-Oxley Act of 2002 (Chief Executive Officer)</w:t>
        </w:r>
        <w:r>
          <w:rPr>
            <w:rFonts w:ascii="Arial" w:cs="Arial" w:eastAsia="Arial" w:hAnsi="Arial"/>
            <w:sz w:val="18"/>
            <w:szCs w:val="18"/>
            <w:color w:val="000000"/>
          </w:rPr>
          <w:t>.</w:t>
        </w:r>
      </w:hyperlink>
    </w:p>
    <w:p>
      <w:pPr>
        <w:spacing w:after="0" w:line="2" w:lineRule="exact"/>
        <w:rPr>
          <w:sz w:val="20"/>
          <w:szCs w:val="20"/>
          <w:color w:val="auto"/>
        </w:rPr>
      </w:pPr>
    </w:p>
    <w:p>
      <w:pPr>
        <w:ind w:right="400"/>
        <w:spacing w:after="0" w:line="234" w:lineRule="auto"/>
        <w:rPr>
          <w:rFonts w:ascii="Arial" w:cs="Arial" w:eastAsia="Arial" w:hAnsi="Arial"/>
          <w:sz w:val="18"/>
          <w:szCs w:val="18"/>
          <w:color w:val="0000FF"/>
        </w:rPr>
      </w:pPr>
      <w:hyperlink w:anchor="page195">
        <w:r>
          <w:rPr>
            <w:rFonts w:ascii="Arial" w:cs="Arial" w:eastAsia="Arial" w:hAnsi="Arial"/>
            <w:sz w:val="18"/>
            <w:szCs w:val="18"/>
            <w:u w:val="single" w:color="auto"/>
            <w:color w:val="0000FF"/>
          </w:rPr>
          <w:t>Certification Pursuant to Rule 13a-14(a) and 15d-14(a) of the Securities Exchange Act, as Adopted Pursuant to Section 302 of the</w:t>
        </w:r>
      </w:hyperlink>
      <w:r>
        <w:rPr>
          <w:rFonts w:ascii="Arial" w:cs="Arial" w:eastAsia="Arial" w:hAnsi="Arial"/>
          <w:sz w:val="18"/>
          <w:szCs w:val="18"/>
          <w:u w:val="single" w:color="auto"/>
          <w:color w:val="0000FF"/>
        </w:rPr>
        <w:t xml:space="preserve"> </w:t>
      </w:r>
      <w:hyperlink w:anchor="page195">
        <w:r>
          <w:rPr>
            <w:rFonts w:ascii="Arial" w:cs="Arial" w:eastAsia="Arial" w:hAnsi="Arial"/>
            <w:sz w:val="18"/>
            <w:szCs w:val="18"/>
            <w:u w:val="single" w:color="auto"/>
            <w:color w:val="0000FF"/>
          </w:rPr>
          <w:t>Sarbanes-Oxley Act of 2002 (Chief Financial Officer)</w:t>
        </w:r>
        <w:r>
          <w:rPr>
            <w:rFonts w:ascii="Arial" w:cs="Arial" w:eastAsia="Arial" w:hAnsi="Arial"/>
            <w:sz w:val="18"/>
            <w:szCs w:val="18"/>
            <w:color w:val="000000"/>
          </w:rPr>
          <w:t>.</w:t>
        </w:r>
      </w:hyperlink>
    </w:p>
    <w:p>
      <w:pPr>
        <w:spacing w:after="0" w:line="2" w:lineRule="exact"/>
        <w:rPr>
          <w:sz w:val="20"/>
          <w:szCs w:val="20"/>
          <w:color w:val="auto"/>
        </w:rPr>
      </w:pPr>
    </w:p>
    <w:p>
      <w:pPr>
        <w:spacing w:after="0"/>
        <w:rPr>
          <w:rFonts w:ascii="Arial" w:cs="Arial" w:eastAsia="Arial" w:hAnsi="Arial"/>
          <w:sz w:val="18"/>
          <w:szCs w:val="18"/>
          <w:color w:val="0000FF"/>
        </w:rPr>
      </w:pPr>
      <w:hyperlink w:anchor="page196">
        <w:r>
          <w:rPr>
            <w:rFonts w:ascii="Arial" w:cs="Arial" w:eastAsia="Arial" w:hAnsi="Arial"/>
            <w:sz w:val="18"/>
            <w:szCs w:val="18"/>
            <w:u w:val="single" w:color="auto"/>
            <w:color w:val="0000FF"/>
          </w:rPr>
          <w:t>Certification Pursuant to 18 U.S.C. Section 1350 (Chief Executive Officer)</w:t>
        </w:r>
      </w:hyperlink>
      <w:r>
        <w:rPr>
          <w:rFonts w:ascii="Arial" w:cs="Arial" w:eastAsia="Arial" w:hAnsi="Arial"/>
          <w:sz w:val="18"/>
          <w:szCs w:val="18"/>
          <w:color w:val="000000"/>
        </w:rPr>
        <w:t>.</w:t>
      </w:r>
    </w:p>
    <w:p>
      <w:pPr>
        <w:spacing w:after="0" w:line="62" w:lineRule="exact"/>
        <w:rPr>
          <w:sz w:val="20"/>
          <w:szCs w:val="20"/>
          <w:color w:val="auto"/>
        </w:rPr>
      </w:pPr>
    </w:p>
    <w:p>
      <w:pPr>
        <w:spacing w:after="0"/>
        <w:rPr>
          <w:rFonts w:ascii="Arial" w:cs="Arial" w:eastAsia="Arial" w:hAnsi="Arial"/>
          <w:sz w:val="18"/>
          <w:szCs w:val="18"/>
          <w:color w:val="0000FF"/>
        </w:rPr>
      </w:pPr>
      <w:hyperlink w:anchor="page197">
        <w:r>
          <w:rPr>
            <w:rFonts w:ascii="Arial" w:cs="Arial" w:eastAsia="Arial" w:hAnsi="Arial"/>
            <w:sz w:val="18"/>
            <w:szCs w:val="18"/>
            <w:u w:val="single" w:color="auto"/>
            <w:color w:val="0000FF"/>
          </w:rPr>
          <w:t>Certification Pursuant to 18 U.S.C. Section 1350 (Chief Financial Officer)</w:t>
        </w:r>
      </w:hyperlink>
      <w:r>
        <w:rPr>
          <w:rFonts w:ascii="Arial" w:cs="Arial" w:eastAsia="Arial" w:hAnsi="Arial"/>
          <w:sz w:val="18"/>
          <w:szCs w:val="18"/>
          <w:color w:val="000000"/>
        </w:rPr>
        <w:t>.</w:t>
      </w:r>
    </w:p>
    <w:p>
      <w:pPr>
        <w:spacing w:after="0" w:line="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8" w:lineRule="exact"/>
        <w:rPr>
          <w:sz w:val="20"/>
          <w:szCs w:val="20"/>
          <w:color w:val="auto"/>
        </w:rPr>
      </w:pPr>
    </w:p>
    <w:p>
      <w:pPr>
        <w:sectPr>
          <w:pgSz w:w="11900" w:h="16838" w:orient="portrait"/>
          <w:cols w:equalWidth="0" w:num="2">
            <w:col w:w="880" w:space="720"/>
            <w:col w:w="9760"/>
          </w:cols>
          <w:pgMar w:left="240" w:top="1067" w:right="299" w:bottom="1440" w:gutter="0" w:footer="0" w:header="0"/>
          <w:type w:val="continuous"/>
        </w:sectPr>
      </w:pPr>
    </w:p>
    <w:tbl>
      <w:tblPr>
        <w:tblLayout w:type="fixed"/>
        <w:tblInd w:w="2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3960" w:type="dxa"/>
            <w:vAlign w:val="bottom"/>
          </w:tcPr>
          <w:p>
            <w:pPr>
              <w:ind w:left="340"/>
              <w:spacing w:after="0"/>
              <w:rPr>
                <w:sz w:val="20"/>
                <w:szCs w:val="20"/>
                <w:color w:val="auto"/>
              </w:rPr>
            </w:pPr>
            <w:r>
              <w:rPr>
                <w:rFonts w:ascii="Arial" w:cs="Arial" w:eastAsia="Arial" w:hAnsi="Arial"/>
                <w:sz w:val="18"/>
                <w:szCs w:val="18"/>
                <w:color w:val="auto"/>
              </w:rPr>
              <w:t>Inline XBRL Schema Document.**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3960" w:type="dxa"/>
            <w:vAlign w:val="bottom"/>
          </w:tcPr>
          <w:p>
            <w:pPr>
              <w:ind w:left="340"/>
              <w:spacing w:after="0"/>
              <w:rPr>
                <w:sz w:val="20"/>
                <w:szCs w:val="20"/>
                <w:color w:val="auto"/>
              </w:rPr>
            </w:pPr>
            <w:r>
              <w:rPr>
                <w:rFonts w:ascii="Arial" w:cs="Arial" w:eastAsia="Arial" w:hAnsi="Arial"/>
                <w:sz w:val="18"/>
                <w:szCs w:val="18"/>
                <w:color w:val="auto"/>
                <w:w w:val="96"/>
              </w:rPr>
              <w:t>Inline XBRL Calculation Linkbase Document.**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960" w:type="dxa"/>
            <w:vAlign w:val="bottom"/>
          </w:tcPr>
          <w:p>
            <w:pPr>
              <w:ind w:left="340"/>
              <w:spacing w:after="0"/>
              <w:rPr>
                <w:sz w:val="20"/>
                <w:szCs w:val="20"/>
                <w:color w:val="auto"/>
              </w:rPr>
            </w:pPr>
            <w:r>
              <w:rPr>
                <w:rFonts w:ascii="Arial" w:cs="Arial" w:eastAsia="Arial" w:hAnsi="Arial"/>
                <w:sz w:val="18"/>
                <w:szCs w:val="18"/>
                <w:color w:val="auto"/>
              </w:rPr>
              <w:t>Inline XBRL Labels Linkbase Document.**</w:t>
            </w:r>
          </w:p>
        </w:tc>
      </w:tr>
      <w:tr>
        <w:trPr>
          <w:trHeight w:val="270"/>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3960" w:type="dxa"/>
            <w:vAlign w:val="bottom"/>
          </w:tcPr>
          <w:p>
            <w:pPr>
              <w:ind w:left="340"/>
              <w:spacing w:after="0"/>
              <w:rPr>
                <w:sz w:val="20"/>
                <w:szCs w:val="20"/>
                <w:color w:val="auto"/>
              </w:rPr>
            </w:pPr>
            <w:r>
              <w:rPr>
                <w:rFonts w:ascii="Arial" w:cs="Arial" w:eastAsia="Arial" w:hAnsi="Arial"/>
                <w:sz w:val="18"/>
                <w:szCs w:val="18"/>
                <w:color w:val="auto"/>
                <w:w w:val="93"/>
              </w:rPr>
              <w:t>Inline XBRL Presentation Linkbase Document.**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960" w:type="dxa"/>
            <w:vAlign w:val="bottom"/>
          </w:tcPr>
          <w:p>
            <w:pPr>
              <w:ind w:left="340"/>
              <w:spacing w:after="0"/>
              <w:rPr>
                <w:sz w:val="20"/>
                <w:szCs w:val="20"/>
                <w:color w:val="auto"/>
              </w:rPr>
            </w:pPr>
            <w:r>
              <w:rPr>
                <w:rFonts w:ascii="Arial" w:cs="Arial" w:eastAsia="Arial" w:hAnsi="Arial"/>
                <w:sz w:val="18"/>
                <w:szCs w:val="18"/>
                <w:color w:val="auto"/>
              </w:rPr>
              <w:t>Inline XBRL Definition Linkbase Document.**</w:t>
            </w:r>
          </w:p>
        </w:tc>
      </w:tr>
    </w:tbl>
    <w:p>
      <w:pPr>
        <w:spacing w:after="0" w:line="40" w:lineRule="exact"/>
        <w:rPr>
          <w:sz w:val="20"/>
          <w:szCs w:val="20"/>
          <w:color w:val="auto"/>
        </w:rPr>
      </w:pPr>
    </w:p>
    <w:p>
      <w:pPr>
        <w:ind w:left="1600" w:right="300" w:hanging="1234"/>
        <w:spacing w:after="0" w:line="277" w:lineRule="auto"/>
        <w:tabs>
          <w:tab w:leader="none" w:pos="1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8" w:lineRule="exact"/>
        <w:rPr>
          <w:sz w:val="20"/>
          <w:szCs w:val="20"/>
          <w:color w:val="auto"/>
        </w:rPr>
      </w:pPr>
    </w:p>
    <w:p>
      <w:pPr>
        <w:ind w:left="1600" w:hanging="1070"/>
        <w:spacing w:after="0"/>
        <w:tabs>
          <w:tab w:leader="none" w:pos="1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left="1600" w:hanging="1070"/>
        <w:spacing w:after="0"/>
        <w:tabs>
          <w:tab w:leader="none" w:pos="1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agreement.</w:t>
      </w:r>
    </w:p>
    <w:p>
      <w:pPr>
        <w:spacing w:after="0" w:line="63" w:lineRule="exact"/>
        <w:rPr>
          <w:sz w:val="20"/>
          <w:szCs w:val="20"/>
          <w:color w:val="auto"/>
        </w:rPr>
      </w:pPr>
    </w:p>
    <w:p>
      <w:pPr>
        <w:ind w:left="1600" w:right="20" w:hanging="1070"/>
        <w:spacing w:after="0" w:line="257" w:lineRule="auto"/>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6" w:lineRule="exact"/>
        <w:rPr>
          <w:sz w:val="20"/>
          <w:szCs w:val="20"/>
          <w:color w:val="auto"/>
        </w:rPr>
      </w:pPr>
    </w:p>
    <w:p>
      <w:pPr>
        <w:ind w:left="1600" w:hanging="1115"/>
        <w:spacing w:after="0"/>
        <w:tabs>
          <w:tab w:leader="none" w:pos="1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Attached as Exhibit 101 to this report are the following formatted in iXBRL (Inline Extensible Business Reporting Language): (i) Condensed Consolidated Statements of Income for the three months ended February 1, 2020 and February 2, 2019, (ii) Condensed Consolidated Statements of Comprehensive Income for the three months ended February 1, 2020 and February 2, 2019, (iii) Condensed Consolidated Balance Sheets at February 1, 2020 and November 2, 2019,</w:t>
      </w:r>
    </w:p>
    <w:p>
      <w:pPr>
        <w:ind w:right="540" w:firstLine="8"/>
        <w:spacing w:after="0" w:line="255" w:lineRule="auto"/>
        <w:tabs>
          <w:tab w:leader="none" w:pos="3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Condensed Consolidated Statements of Shareholders' Equity for the three months ended February 1, 2020 and February 2, 2019, (v) Condensed Consolidated Statements of Cash Flows for the three months ended February 1, 2020 and February 2, 2019 and (vi) Notes to Condensed Consolidated Financial Statements for the three months ended February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67" w:right="299" w:bottom="1440" w:gutter="0" w:footer="0" w:header="0"/>
          <w:type w:val="continuous"/>
        </w:sectPr>
      </w:pPr>
    </w:p>
    <w:bookmarkStart w:id="39" w:name="page40"/>
    <w:bookmarkEnd w:id="39"/>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7740" w:type="dxa"/>
            <w:vAlign w:val="bottom"/>
            <w:gridSpan w:val="2"/>
          </w:tcPr>
          <w:p>
            <w:pPr>
              <w:ind w:left="1500"/>
              <w:spacing w:after="0"/>
              <w:rPr>
                <w:sz w:val="20"/>
                <w:szCs w:val="20"/>
                <w:color w:val="auto"/>
              </w:rPr>
            </w:pPr>
            <w:r>
              <w:rPr>
                <w:rFonts w:ascii="Arial" w:cs="Arial" w:eastAsia="Arial" w:hAnsi="Arial"/>
                <w:sz w:val="18"/>
                <w:szCs w:val="18"/>
                <w:color w:val="auto"/>
              </w:rPr>
              <w:t>ANALOG DEVICES, INC.</w:t>
            </w:r>
          </w:p>
        </w:tc>
      </w:tr>
      <w:tr>
        <w:trPr>
          <w:trHeight w:val="540"/>
        </w:trPr>
        <w:tc>
          <w:tcPr>
            <w:tcW w:w="3280" w:type="dxa"/>
            <w:vAlign w:val="bottom"/>
          </w:tcPr>
          <w:p>
            <w:pPr>
              <w:spacing w:after="0"/>
              <w:rPr>
                <w:sz w:val="20"/>
                <w:szCs w:val="20"/>
                <w:color w:val="auto"/>
              </w:rPr>
            </w:pPr>
            <w:r>
              <w:rPr>
                <w:rFonts w:ascii="Arial" w:cs="Arial" w:eastAsia="Arial" w:hAnsi="Arial"/>
                <w:sz w:val="18"/>
                <w:szCs w:val="18"/>
                <w:color w:val="auto"/>
              </w:rPr>
              <w:t>Date: February 19, 2020</w:t>
            </w:r>
          </w:p>
        </w:tc>
        <w:tc>
          <w:tcPr>
            <w:tcW w:w="2020" w:type="dxa"/>
            <w:vAlign w:val="bottom"/>
          </w:tcPr>
          <w:p>
            <w:pPr>
              <w:ind w:left="1500"/>
              <w:spacing w:after="0"/>
              <w:rPr>
                <w:sz w:val="20"/>
                <w:szCs w:val="20"/>
                <w:color w:val="auto"/>
              </w:rPr>
            </w:pPr>
            <w:r>
              <w:rPr>
                <w:rFonts w:ascii="Arial" w:cs="Arial" w:eastAsia="Arial" w:hAnsi="Arial"/>
                <w:sz w:val="18"/>
                <w:szCs w:val="18"/>
                <w:color w:val="auto"/>
              </w:rPr>
              <w:t>By:</w:t>
            </w:r>
          </w:p>
        </w:tc>
        <w:tc>
          <w:tcPr>
            <w:tcW w:w="5720" w:type="dxa"/>
            <w:vAlign w:val="bottom"/>
          </w:tcPr>
          <w:p>
            <w:pPr>
              <w:ind w:left="140"/>
              <w:spacing w:after="0"/>
              <w:rPr>
                <w:sz w:val="20"/>
                <w:szCs w:val="20"/>
                <w:color w:val="auto"/>
              </w:rPr>
            </w:pPr>
            <w:r>
              <w:rPr>
                <w:rFonts w:ascii="Arial" w:cs="Arial" w:eastAsia="Arial" w:hAnsi="Arial"/>
                <w:sz w:val="18"/>
                <w:szCs w:val="18"/>
                <w:color w:val="auto"/>
              </w:rPr>
              <w:t>/s/ Vincent Roche</w:t>
            </w:r>
          </w:p>
        </w:tc>
      </w:tr>
      <w:tr>
        <w:trPr>
          <w:trHeight w:val="27"/>
        </w:trPr>
        <w:tc>
          <w:tcPr>
            <w:tcW w:w="3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Vincent Roche</w:t>
            </w:r>
          </w:p>
        </w:tc>
      </w:tr>
      <w:tr>
        <w:trPr>
          <w:trHeight w:val="270"/>
        </w:trPr>
        <w:tc>
          <w:tcPr>
            <w:tcW w:w="3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280" w:type="dxa"/>
            <w:vAlign w:val="bottom"/>
          </w:tcPr>
          <w:p>
            <w:pPr>
              <w:spacing w:after="0"/>
              <w:rPr>
                <w:sz w:val="20"/>
                <w:szCs w:val="20"/>
                <w:color w:val="auto"/>
              </w:rPr>
            </w:pPr>
            <w:r>
              <w:rPr>
                <w:rFonts w:ascii="Arial" w:cs="Arial" w:eastAsia="Arial" w:hAnsi="Arial"/>
                <w:sz w:val="18"/>
                <w:szCs w:val="18"/>
                <w:color w:val="auto"/>
              </w:rPr>
              <w:t>Date: February 19, 2020</w:t>
            </w:r>
          </w:p>
        </w:tc>
        <w:tc>
          <w:tcPr>
            <w:tcW w:w="2020" w:type="dxa"/>
            <w:vAlign w:val="bottom"/>
          </w:tcPr>
          <w:p>
            <w:pPr>
              <w:ind w:left="1500"/>
              <w:spacing w:after="0"/>
              <w:rPr>
                <w:sz w:val="20"/>
                <w:szCs w:val="20"/>
                <w:color w:val="auto"/>
              </w:rPr>
            </w:pPr>
            <w:r>
              <w:rPr>
                <w:rFonts w:ascii="Arial" w:cs="Arial" w:eastAsia="Arial" w:hAnsi="Arial"/>
                <w:sz w:val="18"/>
                <w:szCs w:val="18"/>
                <w:color w:val="auto"/>
              </w:rPr>
              <w:t>By:</w:t>
            </w:r>
          </w:p>
        </w:tc>
        <w:tc>
          <w:tcPr>
            <w:tcW w:w="5720" w:type="dxa"/>
            <w:vAlign w:val="bottom"/>
          </w:tcPr>
          <w:p>
            <w:pPr>
              <w:ind w:left="140"/>
              <w:spacing w:after="0"/>
              <w:rPr>
                <w:sz w:val="20"/>
                <w:szCs w:val="20"/>
                <w:color w:val="auto"/>
              </w:rPr>
            </w:pPr>
            <w:r>
              <w:rPr>
                <w:rFonts w:ascii="Arial" w:cs="Arial" w:eastAsia="Arial" w:hAnsi="Arial"/>
                <w:sz w:val="18"/>
                <w:szCs w:val="18"/>
                <w:color w:val="auto"/>
              </w:rPr>
              <w:t>/s/ Prashanth Mahendra-Rajah</w:t>
            </w:r>
          </w:p>
        </w:tc>
      </w:tr>
      <w:tr>
        <w:trPr>
          <w:trHeight w:val="27"/>
        </w:trPr>
        <w:tc>
          <w:tcPr>
            <w:tcW w:w="3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Prashanth Mahendra-Rajah</w:t>
            </w:r>
          </w:p>
        </w:tc>
      </w:tr>
      <w:tr>
        <w:trPr>
          <w:trHeight w:val="270"/>
        </w:trPr>
        <w:tc>
          <w:tcPr>
            <w:tcW w:w="3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70"/>
        </w:trPr>
        <w:tc>
          <w:tcPr>
            <w:tcW w:w="3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240" w:top="1013" w:right="61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Private &amp; Confidential (Addressee Only)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Participant Name</w:t>
      </w: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Employee ID</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Grant ID: {</w:t>
      </w:r>
      <w:r>
        <w:rPr>
          <w:rFonts w:ascii="Arial" w:cs="Arial" w:eastAsia="Arial" w:hAnsi="Arial"/>
          <w:sz w:val="20"/>
          <w:szCs w:val="20"/>
          <w:i w:val="1"/>
          <w:iCs w:val="1"/>
          <w:color w:val="auto"/>
        </w:rPr>
        <w:t>Client Grant ID</w:t>
      </w:r>
      <w:r>
        <w:rPr>
          <w:rFonts w:ascii="Arial" w:cs="Arial" w:eastAsia="Arial" w:hAnsi="Arial"/>
          <w:sz w:val="20"/>
          <w:szCs w:val="20"/>
          <w:color w:val="auto"/>
        </w:rPr>
        <w:t>}</w:t>
      </w:r>
    </w:p>
    <w:p>
      <w:pPr>
        <w:spacing w:after="0" w:line="38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1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Performance Restricted Stock Unit</w:t>
      </w:r>
      <w:r>
        <w:rPr>
          <w:rFonts w:ascii="Arial" w:cs="Arial" w:eastAsia="Arial" w:hAnsi="Arial"/>
          <w:sz w:val="20"/>
          <w:szCs w:val="20"/>
          <w:color w:val="auto"/>
        </w:rPr>
        <w:t>.</w:t>
      </w:r>
    </w:p>
    <w:p>
      <w:pPr>
        <w:spacing w:after="0" w:line="162" w:lineRule="exact"/>
        <w:rPr>
          <w:sz w:val="20"/>
          <w:szCs w:val="20"/>
          <w:color w:val="auto"/>
        </w:rPr>
      </w:pPr>
    </w:p>
    <w:p>
      <w:pPr>
        <w:jc w:val="both"/>
        <w:ind w:left="340"/>
        <w:spacing w:after="0" w:line="260" w:lineRule="auto"/>
        <w:rPr>
          <w:sz w:val="20"/>
          <w:szCs w:val="20"/>
          <w:color w:val="auto"/>
        </w:rPr>
      </w:pPr>
      <w:r>
        <w:rPr>
          <w:rFonts w:ascii="Arial" w:cs="Arial" w:eastAsia="Arial" w:hAnsi="Arial"/>
          <w:sz w:val="20"/>
          <w:szCs w:val="20"/>
          <w:color w:val="auto"/>
        </w:rPr>
        <w:t>Subject to the terms and conditions of the Plan and this Agreement, the Company has granted to the Participant that number of Performance RSUs (the “Award”) effective on the Date of Grant set forth below:</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20"/>
          <w:szCs w:val="20"/>
          <w:color w:val="0000CC"/>
        </w:rPr>
        <w:t>Date of Grant: {</w:t>
      </w:r>
      <w:r>
        <w:rPr>
          <w:rFonts w:ascii="Arial" w:cs="Arial" w:eastAsia="Arial" w:hAnsi="Arial"/>
          <w:sz w:val="20"/>
          <w:szCs w:val="20"/>
          <w:i w:val="1"/>
          <w:iCs w:val="1"/>
          <w:color w:val="0000CC"/>
        </w:rPr>
        <w:t>Grant Date</w:t>
      </w:r>
      <w:r>
        <w:rPr>
          <w:rFonts w:ascii="Arial" w:cs="Arial" w:eastAsia="Arial" w:hAnsi="Arial"/>
          <w:sz w:val="20"/>
          <w:szCs w:val="20"/>
          <w:color w:val="0000CC"/>
        </w:rPr>
        <w:t>}</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20"/>
          <w:szCs w:val="20"/>
          <w:color w:val="0000CC"/>
        </w:rPr>
        <w:t>Number of Performance RSUs (“Initial Grant Number”): {</w:t>
      </w:r>
      <w:r>
        <w:rPr>
          <w:rFonts w:ascii="Arial" w:cs="Arial" w:eastAsia="Arial" w:hAnsi="Arial"/>
          <w:sz w:val="20"/>
          <w:szCs w:val="20"/>
          <w:i w:val="1"/>
          <w:iCs w:val="1"/>
          <w:color w:val="0000CC"/>
        </w:rPr>
        <w:t>Number of Awards Granted</w:t>
      </w:r>
      <w:r>
        <w:rPr>
          <w:rFonts w:ascii="Arial" w:cs="Arial" w:eastAsia="Arial" w:hAnsi="Arial"/>
          <w:sz w:val="20"/>
          <w:szCs w:val="20"/>
          <w:color w:val="0000CC"/>
        </w:rPr>
        <w:t>}</w:t>
      </w:r>
    </w:p>
    <w:p>
      <w:pPr>
        <w:ind w:left="420"/>
        <w:spacing w:after="0"/>
        <w:rPr>
          <w:sz w:val="20"/>
          <w:szCs w:val="20"/>
          <w:color w:val="auto"/>
        </w:rPr>
      </w:pPr>
      <w:r>
        <w:rPr>
          <w:rFonts w:ascii="Arial" w:cs="Arial" w:eastAsia="Arial" w:hAnsi="Arial"/>
          <w:sz w:val="20"/>
          <w:szCs w:val="20"/>
          <w:color w:val="0000CC"/>
        </w:rPr>
        <w:t>Vesting Date: {</w:t>
      </w:r>
      <w:r>
        <w:rPr>
          <w:rFonts w:ascii="Arial" w:cs="Arial" w:eastAsia="Arial" w:hAnsi="Arial"/>
          <w:sz w:val="20"/>
          <w:szCs w:val="20"/>
          <w:i w:val="1"/>
          <w:iCs w:val="1"/>
          <w:color w:val="0000CC"/>
        </w:rPr>
        <w:t>Cliff Vesting Date</w:t>
      </w:r>
      <w:r>
        <w:rPr>
          <w:rFonts w:ascii="Arial" w:cs="Arial" w:eastAsia="Arial" w:hAnsi="Arial"/>
          <w:sz w:val="20"/>
          <w:szCs w:val="20"/>
          <w:color w:val="0000CC"/>
        </w:rPr>
        <w:t>}</w:t>
      </w:r>
    </w:p>
    <w:p>
      <w:pPr>
        <w:spacing w:after="0" w:line="146" w:lineRule="exact"/>
        <w:rPr>
          <w:sz w:val="20"/>
          <w:szCs w:val="20"/>
          <w:color w:val="auto"/>
        </w:rPr>
      </w:pPr>
    </w:p>
    <w:p>
      <w:pPr>
        <w:jc w:val="both"/>
        <w:ind w:left="340"/>
        <w:spacing w:after="0" w:line="260" w:lineRule="auto"/>
        <w:rPr>
          <w:sz w:val="20"/>
          <w:szCs w:val="20"/>
          <w:color w:val="auto"/>
        </w:rPr>
      </w:pPr>
      <w:r>
        <w:rPr>
          <w:rFonts w:ascii="Arial" w:cs="Arial" w:eastAsia="Arial" w:hAnsi="Arial"/>
          <w:sz w:val="19"/>
          <w:szCs w:val="19"/>
          <w:color w:val="auto"/>
        </w:rPr>
        <w:t xml:space="preserve">If the Participant resides in Australia, Canada, a European Economic Area or European Union member state, Hong Kong, India, Israel, Japan, Serbia, Switzerland, Taiwan, or Turkey, due to local legal requirements the Participant </w:t>
      </w:r>
      <w:r>
        <w:rPr>
          <w:rFonts w:ascii="Arial" w:cs="Arial" w:eastAsia="Arial" w:hAnsi="Arial"/>
          <w:sz w:val="19"/>
          <w:szCs w:val="19"/>
          <w:i w:val="1"/>
          <w:iCs w:val="1"/>
          <w:color w:val="auto"/>
        </w:rPr>
        <w:t>must accept</w:t>
      </w:r>
      <w:r>
        <w:rPr>
          <w:rFonts w:ascii="Arial" w:cs="Arial" w:eastAsia="Arial" w:hAnsi="Arial"/>
          <w:sz w:val="19"/>
          <w:szCs w:val="19"/>
          <w:color w:val="auto"/>
        </w:rPr>
        <w:t xml:space="preserve"> this Agreement no later than {</w:t>
      </w:r>
      <w:r>
        <w:rPr>
          <w:rFonts w:ascii="Arial" w:cs="Arial" w:eastAsia="Arial" w:hAnsi="Arial"/>
          <w:sz w:val="19"/>
          <w:szCs w:val="19"/>
          <w:i w:val="1"/>
          <w:iCs w:val="1"/>
          <w:color w:val="auto"/>
        </w:rPr>
        <w:t>Grant Custom 4</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this Award shall terminate and will become null and void</w:t>
      </w:r>
      <w:r>
        <w:rPr>
          <w:rFonts w:ascii="Arial" w:cs="Arial" w:eastAsia="Arial" w:hAnsi="Arial"/>
          <w:sz w:val="19"/>
          <w:szCs w:val="19"/>
          <w:color w:val="auto"/>
        </w:rPr>
        <w:t>. For purposes of this Agreement, the Participant is deemed to reside in the country where his or her Employer is located. In addition, if the Participant resides in Israel, written consent may be required by {</w:t>
      </w:r>
      <w:r>
        <w:rPr>
          <w:rFonts w:ascii="Arial" w:cs="Arial" w:eastAsia="Arial" w:hAnsi="Arial"/>
          <w:sz w:val="19"/>
          <w:szCs w:val="19"/>
          <w:i w:val="1"/>
          <w:iCs w:val="1"/>
          <w:color w:val="auto"/>
        </w:rPr>
        <w:t>Grant Custom 3</w:t>
      </w:r>
      <w:r>
        <w:rPr>
          <w:rFonts w:ascii="Arial" w:cs="Arial" w:eastAsia="Arial" w:hAnsi="Arial"/>
          <w:sz w:val="19"/>
          <w:szCs w:val="19"/>
          <w:color w:val="auto"/>
        </w:rPr>
        <w:t>}, the Participant should refer to Appendix B for details.</w:t>
      </w:r>
    </w:p>
    <w:p>
      <w:pPr>
        <w:spacing w:after="0" w:line="127" w:lineRule="exact"/>
        <w:rPr>
          <w:sz w:val="20"/>
          <w:szCs w:val="20"/>
          <w:color w:val="auto"/>
        </w:rPr>
      </w:pPr>
    </w:p>
    <w:p>
      <w:pPr>
        <w:jc w:val="both"/>
        <w:ind w:left="340"/>
        <w:spacing w:after="0" w:line="246" w:lineRule="auto"/>
        <w:rPr>
          <w:sz w:val="20"/>
          <w:szCs w:val="20"/>
          <w:color w:val="auto"/>
        </w:rPr>
      </w:pPr>
      <w:r>
        <w:rPr>
          <w:rFonts w:ascii="Arial" w:cs="Arial" w:eastAsia="Arial" w:hAnsi="Arial"/>
          <w:sz w:val="20"/>
          <w:szCs w:val="20"/>
          <w:color w:val="auto"/>
        </w:rPr>
        <w:t>If the Participant resides in the United States or any other country listed in Appendix B and not listed in the paragraph above and does not accept this Agreement by {</w:t>
      </w:r>
      <w:r>
        <w:rPr>
          <w:rFonts w:ascii="Arial" w:cs="Arial" w:eastAsia="Arial" w:hAnsi="Arial"/>
          <w:sz w:val="20"/>
          <w:szCs w:val="20"/>
          <w:i w:val="1"/>
          <w:iCs w:val="1"/>
          <w:color w:val="auto"/>
        </w:rPr>
        <w:t>Grant Custom 4</w:t>
      </w:r>
      <w:r>
        <w:rPr>
          <w:rFonts w:ascii="Arial" w:cs="Arial" w:eastAsia="Arial" w:hAnsi="Arial"/>
          <w:sz w:val="20"/>
          <w:szCs w:val="20"/>
          <w:color w:val="auto"/>
        </w:rPr>
        <w:t>},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w:t>
      </w:r>
      <w:r>
        <w:rPr>
          <w:rFonts w:ascii="Arial" w:cs="Arial" w:eastAsia="Arial" w:hAnsi="Arial"/>
          <w:sz w:val="20"/>
          <w:szCs w:val="20"/>
          <w:i w:val="1"/>
          <w:iCs w:val="1"/>
          <w:color w:val="auto"/>
        </w:rPr>
        <w:t>Grant Custom 4</w:t>
      </w:r>
      <w:r>
        <w:rPr>
          <w:rFonts w:ascii="Arial" w:cs="Arial" w:eastAsia="Arial" w:hAnsi="Arial"/>
          <w:sz w:val="20"/>
          <w:szCs w:val="20"/>
          <w:color w:val="auto"/>
        </w:rPr>
        <w:t>}.</w:t>
      </w:r>
    </w:p>
    <w:p>
      <w:pPr>
        <w:spacing w:after="0" w:line="138" w:lineRule="exact"/>
        <w:rPr>
          <w:sz w:val="20"/>
          <w:szCs w:val="20"/>
          <w:color w:val="auto"/>
        </w:rPr>
      </w:pPr>
    </w:p>
    <w:p>
      <w:pPr>
        <w:jc w:val="both"/>
        <w:ind w:left="340"/>
        <w:spacing w:after="0" w:line="246" w:lineRule="auto"/>
        <w:rPr>
          <w:sz w:val="20"/>
          <w:szCs w:val="20"/>
          <w:color w:val="auto"/>
        </w:rPr>
      </w:pPr>
      <w:r>
        <w:rPr>
          <w:rFonts w:ascii="Arial" w:cs="Arial" w:eastAsia="Arial" w:hAnsi="Arial"/>
          <w:sz w:val="20"/>
          <w:szCs w:val="20"/>
          <w:color w:val="auto"/>
        </w:rPr>
        <w:t>Each one (1) Performance RSU shall, if and when it vests in accordance with this Agreement, automatically convert into one (1) share of Common Stock</w:t>
      </w:r>
      <w:r>
        <w:rPr>
          <w:rFonts w:ascii="Arial" w:cs="Arial" w:eastAsia="Arial" w:hAnsi="Arial"/>
          <w:sz w:val="20"/>
          <w:szCs w:val="20"/>
          <w:color w:val="0000FF"/>
        </w:rPr>
        <w:t>,</w:t>
      </w:r>
      <w:r>
        <w:rPr>
          <w:rFonts w:ascii="Arial" w:cs="Arial" w:eastAsia="Arial" w:hAnsi="Arial"/>
          <w:sz w:val="20"/>
          <w:szCs w:val="20"/>
          <w:color w:val="auto"/>
        </w:rPr>
        <w:t xml:space="preserve">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41" w:name="page42"/>
    <w:bookmarkEnd w:id="41"/>
    <w:p>
      <w:pPr>
        <w:ind w:left="340" w:hanging="332"/>
        <w:spacing w:after="0"/>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Vesting and Conversion</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660" w:hanging="328"/>
        <w:spacing w:after="0" w:line="270"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Subject to the terms of the Plan and this Agreement, the Performance RSUs shall vest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9"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27"/>
        </w:numPr>
        <w:rPr>
          <w:rFonts w:ascii="Arial" w:cs="Arial" w:eastAsia="Arial" w:hAnsi="Arial"/>
          <w:sz w:val="19"/>
          <w:szCs w:val="19"/>
          <w:color w:val="auto"/>
        </w:rPr>
      </w:pPr>
      <w:r>
        <w:rPr>
          <w:rFonts w:ascii="Arial" w:cs="Arial" w:eastAsia="Arial" w:hAnsi="Arial"/>
          <w:sz w:val="19"/>
          <w:szCs w:val="19"/>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22" w:lineRule="exact"/>
        <w:rPr>
          <w:rFonts w:ascii="Arial" w:cs="Arial" w:eastAsia="Arial" w:hAnsi="Arial"/>
          <w:sz w:val="19"/>
          <w:szCs w:val="19"/>
          <w:color w:val="auto"/>
        </w:rPr>
      </w:pPr>
    </w:p>
    <w:p>
      <w:pPr>
        <w:jc w:val="both"/>
        <w:ind w:left="660" w:hanging="328"/>
        <w:spacing w:after="0" w:line="272"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event of the Participant’s death prior to the end of the Performance Period, the Unvested Performance RSUs shall vest immediately upon death based on the following attainment levels for each of the Performance Measurement Periods: (i) if the death occurs following the last day of a Performance Measurement Period, an attainment level based on the actual attainment level determined by the Compensation Committee of the Board for each of the Performance Measurement Periods ending prior to the Participant’s death; and (ii) if the termination occurs prior to the last day of a Performance Measurement Period, an attainment level equal to 100% for each of the Performance Measurement Periods that end subsequent to the Participant’s death. In the event of the Participant’s death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19" w:right="239" w:bottom="1440" w:gutter="0" w:footer="0" w:header="0"/>
        </w:sectPr>
      </w:pPr>
    </w:p>
    <w:bookmarkStart w:id="42" w:name="page43"/>
    <w:bookmarkEnd w:id="42"/>
    <w:p>
      <w:pPr>
        <w:jc w:val="both"/>
        <w:ind w:left="660" w:hanging="328"/>
        <w:spacing w:after="0" w:line="270"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In the event the Participant becomes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prior to the end of the Performance Period, the Unvested Performance RSUs shall vest immediately as of the date the Participant is determined to be Disabled (regardless of whether the Participant terminates employment prior to the Vesting Date) based on the following attainment levels for each of the Performance Periods: (i) if the Participant is determined to be Disabled following the last day of a Performance Measurement Period, an attainment level based on the actual attainment level determined by the Compensation Committee of the Board for each of the Performance Measurement Periods ending prior to the date that the Participant is determined to be Disabled; and (ii) if the Participant is determined to be Disabled prior to the last day of a Performance Measurement Period, an attainment level equal to 100% for each of the Performance Measurement Periods that end subsequent to the date that the Participants is determined to be Disabled. In the event the Participant is determined to be Disabled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 “Disabled” with respect to the Participant means, when and if, as a result of disease, injury or mental disorder, the Participant is incapable of engaging in regular service or occupation with the Company or the Employer (as defined in paragraph e) which has lasted or can be expected to last for a continuous period of not less than 12 months, as determined by the Company.</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0" w:val="left"/>
        </w:tabs>
        <w:numPr>
          <w:ilvl w:val="1"/>
          <w:numId w:val="28"/>
        </w:numPr>
        <w:rPr>
          <w:rFonts w:ascii="Arial" w:cs="Arial" w:eastAsia="Arial" w:hAnsi="Arial"/>
          <w:sz w:val="19"/>
          <w:szCs w:val="19"/>
          <w:color w:val="auto"/>
        </w:rPr>
      </w:pPr>
      <w:r>
        <w:rPr>
          <w:rFonts w:ascii="Arial" w:cs="Arial" w:eastAsia="Arial" w:hAnsi="Arial"/>
          <w:sz w:val="19"/>
          <w:szCs w:val="19"/>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24" w:lineRule="exact"/>
        <w:rPr>
          <w:rFonts w:ascii="Arial" w:cs="Arial" w:eastAsia="Arial" w:hAnsi="Arial"/>
          <w:sz w:val="19"/>
          <w:szCs w:val="19"/>
          <w:color w:val="auto"/>
        </w:rPr>
      </w:pPr>
    </w:p>
    <w:p>
      <w:pPr>
        <w:ind w:left="340" w:hanging="332"/>
        <w:spacing w:after="0"/>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660" w:hanging="328"/>
        <w:spacing w:after="0" w:line="260" w:lineRule="auto"/>
        <w:tabs>
          <w:tab w:leader="none" w:pos="65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Participant shall not sell, assign, transfer, pledge or otherwise encumber any Performance RSUs, either voluntarily or by operation of law.</w:t>
      </w:r>
    </w:p>
    <w:p>
      <w:pPr>
        <w:spacing w:after="0" w:line="122"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32" w:lineRule="exact"/>
        <w:rPr>
          <w:rFonts w:ascii="Arial" w:cs="Arial" w:eastAsia="Arial" w:hAnsi="Arial"/>
          <w:sz w:val="20"/>
          <w:szCs w:val="20"/>
          <w:color w:val="auto"/>
        </w:rPr>
      </w:pPr>
    </w:p>
    <w:p>
      <w:pPr>
        <w:jc w:val="both"/>
        <w:ind w:left="340" w:hanging="332"/>
        <w:spacing w:after="0" w:line="32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Not a Shareholder</w:t>
      </w:r>
      <w:r>
        <w:rPr>
          <w:rFonts w:ascii="Arial" w:cs="Arial" w:eastAsia="Arial" w:hAnsi="Arial"/>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9" w:right="239" w:bottom="1440" w:gutter="0" w:footer="0" w:header="0"/>
        </w:sectPr>
      </w:pPr>
    </w:p>
    <w:bookmarkStart w:id="43" w:name="page44"/>
    <w:bookmarkEnd w:id="43"/>
    <w:p>
      <w:pPr>
        <w:jc w:val="both"/>
        <w:ind w:left="340" w:hanging="332"/>
        <w:spacing w:after="0" w:line="278"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 The Performance RSUs and Shares, including the grant and issuance thereof, are subject to the provisions of the 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11"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Withholding Taxes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660" w:hanging="328"/>
        <w:spacing w:after="0" w:line="270"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22" w:lineRule="exact"/>
        <w:rPr>
          <w:rFonts w:ascii="Arial" w:cs="Arial" w:eastAsia="Arial" w:hAnsi="Arial"/>
          <w:sz w:val="18"/>
          <w:szCs w:val="18"/>
          <w:color w:val="auto"/>
        </w:rPr>
      </w:pPr>
    </w:p>
    <w:p>
      <w:pPr>
        <w:jc w:val="both"/>
        <w:ind w:left="660" w:hanging="328"/>
        <w:spacing w:after="0" w:line="246" w:lineRule="auto"/>
        <w:tabs>
          <w:tab w:leader="none" w:pos="648" w:val="left"/>
        </w:tabs>
        <w:numPr>
          <w:ilvl w:val="1"/>
          <w:numId w:val="30"/>
        </w:numPr>
        <w:rPr>
          <w:rFonts w:ascii="Arial" w:cs="Arial" w:eastAsia="Arial" w:hAnsi="Arial"/>
          <w:sz w:val="20"/>
          <w:szCs w:val="20"/>
          <w:color w:val="auto"/>
        </w:rPr>
      </w:pPr>
      <w:r>
        <w:rPr>
          <w:rFonts w:ascii="Arial" w:cs="Arial" w:eastAsia="Arial" w:hAnsi="Arial"/>
          <w:sz w:val="20"/>
          <w:szCs w:val="20"/>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37" w:lineRule="exact"/>
        <w:rPr>
          <w:rFonts w:ascii="Arial" w:cs="Arial" w:eastAsia="Arial" w:hAnsi="Arial"/>
          <w:sz w:val="20"/>
          <w:szCs w:val="20"/>
          <w:color w:val="auto"/>
        </w:rPr>
      </w:pPr>
    </w:p>
    <w:p>
      <w:pPr>
        <w:jc w:val="both"/>
        <w:ind w:left="980" w:hanging="428"/>
        <w:spacing w:after="0" w:line="244" w:lineRule="auto"/>
        <w:tabs>
          <w:tab w:leader="none" w:pos="980" w:val="left"/>
        </w:tabs>
        <w:numPr>
          <w:ilvl w:val="2"/>
          <w:numId w:val="30"/>
        </w:numPr>
        <w:rPr>
          <w:rFonts w:ascii="Arial" w:cs="Arial" w:eastAsia="Arial" w:hAnsi="Arial"/>
          <w:sz w:val="20"/>
          <w:szCs w:val="20"/>
          <w:color w:val="auto"/>
        </w:rPr>
      </w:pPr>
      <w:r>
        <w:rPr>
          <w:rFonts w:ascii="Arial" w:cs="Arial" w:eastAsia="Arial" w:hAnsi="Arial"/>
          <w:sz w:val="20"/>
          <w:szCs w:val="20"/>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40" w:lineRule="exact"/>
        <w:rPr>
          <w:rFonts w:ascii="Arial" w:cs="Arial" w:eastAsia="Arial" w:hAnsi="Arial"/>
          <w:sz w:val="20"/>
          <w:szCs w:val="20"/>
          <w:color w:val="auto"/>
        </w:rPr>
      </w:pPr>
    </w:p>
    <w:p>
      <w:pPr>
        <w:ind w:left="980" w:hanging="483"/>
        <w:spacing w:after="0" w:line="260" w:lineRule="auto"/>
        <w:tabs>
          <w:tab w:leader="none" w:pos="980" w:val="left"/>
        </w:tabs>
        <w:numPr>
          <w:ilvl w:val="2"/>
          <w:numId w:val="30"/>
        </w:numPr>
        <w:rPr>
          <w:rFonts w:ascii="Arial" w:cs="Arial" w:eastAsia="Arial" w:hAnsi="Arial"/>
          <w:sz w:val="20"/>
          <w:szCs w:val="20"/>
          <w:color w:val="auto"/>
        </w:rPr>
      </w:pPr>
      <w:r>
        <w:rPr>
          <w:rFonts w:ascii="Arial" w:cs="Arial" w:eastAsia="Arial" w:hAnsi="Arial"/>
          <w:sz w:val="20"/>
          <w:szCs w:val="20"/>
          <w:color w:val="auto"/>
        </w:rPr>
        <w:t>the Company may, in its discretion, withhold any amount necessary to pay the Tax-Related Items from the Participant’s salary or other amounts payable to the Participant; or</w:t>
      </w:r>
    </w:p>
    <w:p>
      <w:pPr>
        <w:spacing w:after="0" w:line="122" w:lineRule="exact"/>
        <w:rPr>
          <w:rFonts w:ascii="Arial" w:cs="Arial" w:eastAsia="Arial" w:hAnsi="Arial"/>
          <w:sz w:val="20"/>
          <w:szCs w:val="20"/>
          <w:color w:val="auto"/>
        </w:rPr>
      </w:pPr>
    </w:p>
    <w:p>
      <w:pPr>
        <w:ind w:left="980" w:hanging="538"/>
        <w:spacing w:after="0" w:line="260" w:lineRule="auto"/>
        <w:tabs>
          <w:tab w:leader="none" w:pos="980" w:val="left"/>
        </w:tabs>
        <w:numPr>
          <w:ilvl w:val="2"/>
          <w:numId w:val="30"/>
        </w:numPr>
        <w:rPr>
          <w:rFonts w:ascii="Arial" w:cs="Arial" w:eastAsia="Arial" w:hAnsi="Arial"/>
          <w:sz w:val="20"/>
          <w:szCs w:val="20"/>
          <w:color w:val="auto"/>
        </w:rPr>
      </w:pPr>
      <w:r>
        <w:rPr>
          <w:rFonts w:ascii="Arial" w:cs="Arial" w:eastAsia="Arial" w:hAnsi="Arial"/>
          <w:sz w:val="20"/>
          <w:szCs w:val="20"/>
          <w:color w:val="auto"/>
        </w:rPr>
        <w:t>the Company may withhold from proceeds of the sale of Shares either through a voluntary sale or through a mandatory sale arranged by the Company (on the Participant’s behalf pursuant to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9" w:right="239" w:bottom="1440" w:gutter="0" w:footer="0" w:header="0"/>
        </w:sectPr>
      </w:pPr>
    </w:p>
    <w:bookmarkStart w:id="44" w:name="page45"/>
    <w:bookmarkEnd w:id="44"/>
    <w:p>
      <w:pPr>
        <w:jc w:val="both"/>
        <w:ind w:left="980"/>
        <w:spacing w:after="0" w:line="263" w:lineRule="auto"/>
        <w:rPr>
          <w:sz w:val="20"/>
          <w:szCs w:val="20"/>
          <w:color w:val="auto"/>
        </w:rPr>
      </w:pPr>
      <w:r>
        <w:rPr>
          <w:rFonts w:ascii="Arial" w:cs="Arial" w:eastAsia="Arial" w:hAnsi="Arial"/>
          <w:sz w:val="19"/>
          <w:szCs w:val="19"/>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w:t>
      </w:r>
    </w:p>
    <w:p>
      <w:pPr>
        <w:spacing w:after="0" w:line="123" w:lineRule="exact"/>
        <w:rPr>
          <w:sz w:val="20"/>
          <w:szCs w:val="20"/>
          <w:color w:val="auto"/>
        </w:rPr>
      </w:pPr>
    </w:p>
    <w:p>
      <w:pPr>
        <w:jc w:val="both"/>
        <w:ind w:left="980"/>
        <w:spacing w:after="0" w:line="244" w:lineRule="auto"/>
        <w:rPr>
          <w:sz w:val="20"/>
          <w:szCs w:val="20"/>
          <w:color w:val="auto"/>
        </w:rPr>
      </w:pPr>
      <w:r>
        <w:rPr>
          <w:rFonts w:ascii="Arial" w:cs="Arial" w:eastAsia="Arial" w:hAnsi="Arial"/>
          <w:sz w:val="20"/>
          <w:szCs w:val="20"/>
          <w:color w:val="auto"/>
        </w:rPr>
        <w:t>The Company may withhold or account for Tax-Related Items by considering statutory withholding amounts or other applicable withholding rates, including maximum applicable rates in the Participant’s jurisdiction(s). If the obligation for Tax-Related Items is satisfied by withholding in Shares, for tax purposes, the Participant is deemed to have been issued the full number of Shares subject to the vested Performance RSU, notwithstanding that a number of the Shares are held back solely for the purpose of paying the Tax-Related Items.</w:t>
      </w:r>
    </w:p>
    <w:p>
      <w:pPr>
        <w:spacing w:after="0" w:line="141" w:lineRule="exact"/>
        <w:rPr>
          <w:sz w:val="20"/>
          <w:szCs w:val="20"/>
          <w:color w:val="auto"/>
        </w:rPr>
      </w:pPr>
    </w:p>
    <w:p>
      <w:pPr>
        <w:jc w:val="both"/>
        <w:ind w:left="980"/>
        <w:spacing w:after="0" w:line="273" w:lineRule="auto"/>
        <w:rPr>
          <w:sz w:val="20"/>
          <w:szCs w:val="20"/>
          <w:color w:val="auto"/>
        </w:rPr>
      </w:pPr>
      <w:r>
        <w:rPr>
          <w:rFonts w:ascii="Arial" w:cs="Arial" w:eastAsia="Arial" w:hAnsi="Arial"/>
          <w:sz w:val="18"/>
          <w:szCs w:val="18"/>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5" w:lineRule="exact"/>
        <w:rPr>
          <w:sz w:val="20"/>
          <w:szCs w:val="20"/>
          <w:color w:val="auto"/>
        </w:rPr>
      </w:pPr>
    </w:p>
    <w:p>
      <w:pPr>
        <w:jc w:val="both"/>
        <w:ind w:left="340" w:hanging="332"/>
        <w:spacing w:after="0" w:line="258" w:lineRule="auto"/>
        <w:tabs>
          <w:tab w:leader="none" w:pos="34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Option of Company to Deliver Cash</w:t>
      </w:r>
      <w:r>
        <w:rPr>
          <w:rFonts w:ascii="Arial" w:cs="Arial" w:eastAsia="Arial" w:hAnsi="Arial"/>
          <w:sz w:val="19"/>
          <w:szCs w:val="19"/>
          <w:color w:val="auto"/>
        </w:rPr>
        <w:t>. Notwithstanding any of the other provisions of this Agreement, and except as set forth in Appendix B, where share settlement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pursuant to Section 6 herein.</w:t>
      </w:r>
    </w:p>
    <w:p>
      <w:pPr>
        <w:spacing w:after="0" w:line="125" w:lineRule="exact"/>
        <w:rPr>
          <w:rFonts w:ascii="Arial" w:cs="Arial" w:eastAsia="Arial" w:hAnsi="Arial"/>
          <w:sz w:val="19"/>
          <w:szCs w:val="19"/>
          <w:color w:val="auto"/>
        </w:rPr>
      </w:pPr>
    </w:p>
    <w:p>
      <w:pPr>
        <w:jc w:val="both"/>
        <w:ind w:left="340" w:hanging="332"/>
        <w:spacing w:after="0" w:line="27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Repatriation and Other Legal Requirements</w:t>
      </w:r>
      <w:r>
        <w:rPr>
          <w:rFonts w:ascii="Arial" w:cs="Arial" w:eastAsia="Arial" w:hAnsi="Arial"/>
          <w:sz w:val="18"/>
          <w:szCs w:val="18"/>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9" w:right="239" w:bottom="1440" w:gutter="0" w:footer="0" w:header="0"/>
        </w:sectPr>
      </w:pPr>
    </w:p>
    <w:bookmarkStart w:id="45" w:name="page46"/>
    <w:bookmarkEnd w:id="45"/>
    <w:p>
      <w:pPr>
        <w:ind w:left="340" w:hanging="332"/>
        <w:spacing w:after="0"/>
        <w:tabs>
          <w:tab w:leader="none" w:pos="34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660" w:hanging="328"/>
        <w:spacing w:after="0" w:line="259" w:lineRule="auto"/>
        <w:tabs>
          <w:tab w:leader="none" w:pos="65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No Rights to Employment</w:t>
      </w:r>
      <w:r>
        <w:rPr>
          <w:rFonts w:ascii="Arial" w:cs="Arial" w:eastAsia="Arial" w:hAnsi="Arial"/>
          <w:sz w:val="19"/>
          <w:szCs w:val="19"/>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24" w:lineRule="exact"/>
        <w:rPr>
          <w:rFonts w:ascii="Arial" w:cs="Arial" w:eastAsia="Arial" w:hAnsi="Arial"/>
          <w:sz w:val="19"/>
          <w:szCs w:val="19"/>
          <w:color w:val="auto"/>
        </w:rPr>
      </w:pPr>
    </w:p>
    <w:p>
      <w:pPr>
        <w:jc w:val="both"/>
        <w:ind w:left="660" w:hanging="328"/>
        <w:spacing w:after="0" w:line="271" w:lineRule="auto"/>
        <w:tabs>
          <w:tab w:leader="none" w:pos="648"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Discretionary Nature</w:t>
      </w:r>
      <w:r>
        <w:rPr>
          <w:rFonts w:ascii="Arial" w:cs="Arial" w:eastAsia="Arial" w:hAnsi="Arial"/>
          <w:sz w:val="18"/>
          <w:szCs w:val="18"/>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20" w:lineRule="exact"/>
        <w:rPr>
          <w:rFonts w:ascii="Arial" w:cs="Arial" w:eastAsia="Arial" w:hAnsi="Arial"/>
          <w:sz w:val="18"/>
          <w:szCs w:val="18"/>
          <w:color w:val="auto"/>
        </w:rPr>
      </w:pPr>
    </w:p>
    <w:p>
      <w:pPr>
        <w:jc w:val="both"/>
        <w:ind w:left="660" w:hanging="328"/>
        <w:spacing w:after="0" w:line="243" w:lineRule="auto"/>
        <w:tabs>
          <w:tab w:leader="none" w:pos="650"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Exclusion from Termination Indemnities and Other Benefits</w:t>
      </w:r>
      <w:r>
        <w:rPr>
          <w:rFonts w:ascii="Arial" w:cs="Arial" w:eastAsia="Arial" w:hAnsi="Arial"/>
          <w:sz w:val="20"/>
          <w:szCs w:val="20"/>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42" w:lineRule="exact"/>
        <w:rPr>
          <w:rFonts w:ascii="Arial" w:cs="Arial" w:eastAsia="Arial" w:hAnsi="Arial"/>
          <w:sz w:val="20"/>
          <w:szCs w:val="20"/>
          <w:color w:val="auto"/>
        </w:rPr>
      </w:pPr>
    </w:p>
    <w:p>
      <w:pPr>
        <w:jc w:val="both"/>
        <w:ind w:left="660" w:hanging="328"/>
        <w:spacing w:after="0" w:line="242" w:lineRule="auto"/>
        <w:tabs>
          <w:tab w:leader="none" w:pos="648"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No Entitlement</w:t>
      </w:r>
      <w:r>
        <w:rPr>
          <w:rFonts w:ascii="Arial" w:cs="Arial" w:eastAsia="Arial" w:hAnsi="Arial"/>
          <w:sz w:val="20"/>
          <w:szCs w:val="20"/>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19" w:right="239" w:bottom="1440" w:gutter="0" w:footer="0" w:header="0"/>
        </w:sectPr>
      </w:pPr>
    </w:p>
    <w:bookmarkStart w:id="46" w:name="page47"/>
    <w:bookmarkEnd w:id="46"/>
    <w:p>
      <w:pPr>
        <w:jc w:val="both"/>
        <w:ind w:left="328" w:hanging="328"/>
        <w:spacing w:after="0" w:line="263" w:lineRule="auto"/>
        <w:tabs>
          <w:tab w:leader="none" w:pos="31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Exchange Rates</w:t>
      </w:r>
      <w:r>
        <w:rPr>
          <w:rFonts w:ascii="Arial" w:cs="Arial" w:eastAsia="Arial" w:hAnsi="Arial"/>
          <w:sz w:val="19"/>
          <w:szCs w:val="19"/>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22" w:lineRule="exact"/>
        <w:rPr>
          <w:rFonts w:ascii="Arial" w:cs="Arial" w:eastAsia="Arial" w:hAnsi="Arial"/>
          <w:sz w:val="19"/>
          <w:szCs w:val="19"/>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Future Value of Shares</w:t>
      </w:r>
      <w:r>
        <w:rPr>
          <w:rFonts w:ascii="Arial" w:cs="Arial" w:eastAsia="Arial" w:hAnsi="Arial"/>
          <w:sz w:val="18"/>
          <w:szCs w:val="18"/>
          <w:color w:val="auto"/>
        </w:rPr>
        <w:t>. The future value of the underlying Shares is unknown, indeterminable, and cannot be predicted with certainty.</w:t>
      </w:r>
    </w:p>
    <w:p>
      <w:pPr>
        <w:spacing w:after="0" w:line="184" w:lineRule="exact"/>
        <w:rPr>
          <w:rFonts w:ascii="Arial" w:cs="Arial" w:eastAsia="Arial" w:hAnsi="Arial"/>
          <w:sz w:val="18"/>
          <w:szCs w:val="18"/>
          <w:color w:val="auto"/>
        </w:rPr>
      </w:pPr>
    </w:p>
    <w:p>
      <w:pPr>
        <w:jc w:val="both"/>
        <w:ind w:left="328" w:hanging="328"/>
        <w:spacing w:after="0" w:line="250" w:lineRule="auto"/>
        <w:tabs>
          <w:tab w:leader="none" w:pos="31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32" w:lineRule="exact"/>
        <w:rPr>
          <w:rFonts w:ascii="Arial" w:cs="Arial" w:eastAsia="Arial" w:hAnsi="Arial"/>
          <w:sz w:val="20"/>
          <w:szCs w:val="20"/>
          <w:color w:val="auto"/>
        </w:rPr>
      </w:pPr>
    </w:p>
    <w:p>
      <w:pPr>
        <w:jc w:val="both"/>
        <w:ind w:left="328" w:hanging="328"/>
        <w:spacing w:after="0" w:line="250" w:lineRule="auto"/>
        <w:tabs>
          <w:tab w:leader="none" w:pos="31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32" w:lineRule="exact"/>
        <w:rPr>
          <w:rFonts w:ascii="Arial" w:cs="Arial" w:eastAsia="Arial" w:hAnsi="Arial"/>
          <w:sz w:val="20"/>
          <w:szCs w:val="20"/>
          <w:color w:val="auto"/>
        </w:rPr>
      </w:pPr>
    </w:p>
    <w:p>
      <w:pPr>
        <w:jc w:val="both"/>
        <w:ind w:left="328" w:hanging="328"/>
        <w:spacing w:after="0" w:line="278" w:lineRule="auto"/>
        <w:tabs>
          <w:tab w:leader="none" w:pos="32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Technology Way, Norwood, Massachusetts, 02062, Attention: Chief Financial Officer. Each notice to the Participant shall be addressed to the Participant at the Participant’s last known mailing or email address, as applicable, on the records of the Company.</w:t>
      </w:r>
    </w:p>
    <w:p>
      <w:pPr>
        <w:spacing w:after="0" w:line="111" w:lineRule="exact"/>
        <w:rPr>
          <w:rFonts w:ascii="Arial" w:cs="Arial" w:eastAsia="Arial" w:hAnsi="Arial"/>
          <w:sz w:val="18"/>
          <w:szCs w:val="18"/>
          <w:color w:val="auto"/>
        </w:rPr>
      </w:pPr>
    </w:p>
    <w:p>
      <w:pPr>
        <w:ind w:left="328" w:right="20" w:hanging="328"/>
        <w:spacing w:after="0" w:line="287" w:lineRule="auto"/>
        <w:tabs>
          <w:tab w:leader="none" w:pos="32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Pronouns</w:t>
      </w:r>
      <w:r>
        <w:rPr>
          <w:rFonts w:ascii="Arial" w:cs="Arial" w:eastAsia="Arial" w:hAnsi="Arial"/>
          <w:sz w:val="19"/>
          <w:szCs w:val="19"/>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98" w:lineRule="exact"/>
        <w:rPr>
          <w:rFonts w:ascii="Arial" w:cs="Arial" w:eastAsia="Arial" w:hAnsi="Arial"/>
          <w:sz w:val="19"/>
          <w:szCs w:val="19"/>
          <w:color w:val="auto"/>
        </w:rPr>
      </w:pPr>
    </w:p>
    <w:p>
      <w:pPr>
        <w:ind w:left="328" w:right="20" w:hanging="328"/>
        <w:spacing w:after="0" w:line="260" w:lineRule="auto"/>
        <w:tabs>
          <w:tab w:leader="none" w:pos="31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constitute the entire understanding between the parties, and supersede all prior agreements and understandings, relating to the subject matter of these documents.</w:t>
      </w:r>
    </w:p>
    <w:p>
      <w:pPr>
        <w:spacing w:after="0" w:line="122" w:lineRule="exact"/>
        <w:rPr>
          <w:rFonts w:ascii="Arial" w:cs="Arial" w:eastAsia="Arial" w:hAnsi="Arial"/>
          <w:sz w:val="20"/>
          <w:szCs w:val="20"/>
          <w:color w:val="auto"/>
        </w:rPr>
      </w:pPr>
    </w:p>
    <w:p>
      <w:pPr>
        <w:ind w:left="328" w:hanging="328"/>
        <w:spacing w:after="0" w:line="260" w:lineRule="auto"/>
        <w:tabs>
          <w:tab w:leader="none" w:pos="326"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interpreted and enforced in accordance with the internal laws of the Commonwealth of Massachusetts without regard to any applicable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8"/>
          </w:cols>
          <w:pgMar w:left="572" w:top="1419" w:right="239" w:bottom="1440" w:gutter="0" w:footer="0" w:header="0"/>
        </w:sectPr>
      </w:pPr>
    </w:p>
    <w:bookmarkStart w:id="47" w:name="page48"/>
    <w:bookmarkEnd w:id="47"/>
    <w:p>
      <w:pPr>
        <w:jc w:val="both"/>
        <w:ind w:left="328" w:hanging="328"/>
        <w:spacing w:after="0" w:line="270" w:lineRule="auto"/>
        <w:tabs>
          <w:tab w:leader="none" w:pos="31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6" w:lineRule="exact"/>
        <w:rPr>
          <w:rFonts w:ascii="Arial" w:cs="Arial" w:eastAsia="Arial" w:hAnsi="Arial"/>
          <w:sz w:val="18"/>
          <w:szCs w:val="18"/>
          <w:color w:val="auto"/>
        </w:rPr>
      </w:pPr>
    </w:p>
    <w:p>
      <w:pPr>
        <w:ind w:left="328" w:hanging="328"/>
        <w:spacing w:after="0" w:line="260" w:lineRule="auto"/>
        <w:tabs>
          <w:tab w:leader="none" w:pos="315"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interpretation and construction of any terms or conditions of this Agreement or the Plan, or other matters related to the Plan, by the Compensation Committee of the Board shall be final and conclusive.</w:t>
      </w:r>
    </w:p>
    <w:p>
      <w:pPr>
        <w:spacing w:after="0" w:line="122" w:lineRule="exact"/>
        <w:rPr>
          <w:rFonts w:ascii="Arial" w:cs="Arial" w:eastAsia="Arial" w:hAnsi="Arial"/>
          <w:sz w:val="20"/>
          <w:szCs w:val="20"/>
          <w:color w:val="auto"/>
        </w:rPr>
      </w:pPr>
    </w:p>
    <w:p>
      <w:pPr>
        <w:jc w:val="both"/>
        <w:ind w:left="328" w:hanging="328"/>
        <w:spacing w:after="0" w:line="246" w:lineRule="auto"/>
        <w:tabs>
          <w:tab w:leader="none" w:pos="315"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Participant’s Acceptance</w:t>
      </w:r>
      <w:r>
        <w:rPr>
          <w:rFonts w:ascii="Arial" w:cs="Arial" w:eastAsia="Arial" w:hAnsi="Arial"/>
          <w:sz w:val="20"/>
          <w:szCs w:val="20"/>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37" w:lineRule="exact"/>
        <w:rPr>
          <w:rFonts w:ascii="Arial" w:cs="Arial" w:eastAsia="Arial" w:hAnsi="Arial"/>
          <w:sz w:val="20"/>
          <w:szCs w:val="20"/>
          <w:color w:val="auto"/>
        </w:rPr>
      </w:pPr>
    </w:p>
    <w:p>
      <w:pPr>
        <w:jc w:val="both"/>
        <w:ind w:left="328" w:hanging="328"/>
        <w:spacing w:after="0" w:line="246" w:lineRule="auto"/>
        <w:tabs>
          <w:tab w:leader="none" w:pos="315"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37" w:lineRule="exact"/>
        <w:rPr>
          <w:rFonts w:ascii="Arial" w:cs="Arial" w:eastAsia="Arial" w:hAnsi="Arial"/>
          <w:sz w:val="20"/>
          <w:szCs w:val="20"/>
          <w:color w:val="auto"/>
        </w:rPr>
      </w:pPr>
    </w:p>
    <w:p>
      <w:pPr>
        <w:jc w:val="both"/>
        <w:ind w:left="328" w:hanging="328"/>
        <w:spacing w:after="0" w:line="244" w:lineRule="auto"/>
        <w:tabs>
          <w:tab w:leader="none" w:pos="315"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English Language</w:t>
      </w:r>
      <w:r>
        <w:rPr>
          <w:rFonts w:ascii="Arial" w:cs="Arial" w:eastAsia="Arial" w:hAnsi="Arial"/>
          <w:sz w:val="20"/>
          <w:szCs w:val="20"/>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8"/>
          </w:cols>
          <w:pgMar w:left="572" w:top="1419" w:right="239" w:bottom="1440" w:gutter="0" w:footer="0" w:header="0"/>
        </w:sectPr>
      </w:pPr>
    </w:p>
    <w:bookmarkStart w:id="48" w:name="page49"/>
    <w:bookmarkEnd w:id="48"/>
    <w:p>
      <w:pPr>
        <w:jc w:val="both"/>
        <w:ind w:left="328" w:hanging="328"/>
        <w:spacing w:after="0" w:line="259" w:lineRule="auto"/>
        <w:tabs>
          <w:tab w:leader="none" w:pos="323"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Appendix B</w:t>
      </w:r>
      <w:r>
        <w:rPr>
          <w:rFonts w:ascii="Arial" w:cs="Arial" w:eastAsia="Arial" w:hAnsi="Arial"/>
          <w:sz w:val="19"/>
          <w:szCs w:val="19"/>
          <w:color w:val="auto"/>
        </w:rPr>
        <w:t>. Notwithstanding any provisions herein to the contrary, if the Participant transfers the Participant’s residence and/or employment to a country other than the United States, the Performance RSUs shall be subject to any special terms and conditions for such country as may be set forth in Appendix B to this Agreement. Moreover, if the Participant relocates to one of the countries included in Appendix B, the special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24" w:lineRule="exact"/>
        <w:rPr>
          <w:rFonts w:ascii="Arial" w:cs="Arial" w:eastAsia="Arial" w:hAnsi="Arial"/>
          <w:sz w:val="19"/>
          <w:szCs w:val="19"/>
          <w:color w:val="auto"/>
        </w:rPr>
      </w:pPr>
    </w:p>
    <w:p>
      <w:pPr>
        <w:jc w:val="both"/>
        <w:ind w:left="328" w:hanging="328"/>
        <w:spacing w:after="0" w:line="244" w:lineRule="auto"/>
        <w:tabs>
          <w:tab w:leader="none" w:pos="321"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Additional Requirements</w:t>
      </w:r>
      <w:r>
        <w:rPr>
          <w:rFonts w:ascii="Arial" w:cs="Arial" w:eastAsia="Arial" w:hAnsi="Arial"/>
          <w:sz w:val="20"/>
          <w:szCs w:val="20"/>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40" w:lineRule="exact"/>
        <w:rPr>
          <w:rFonts w:ascii="Arial" w:cs="Arial" w:eastAsia="Arial" w:hAnsi="Arial"/>
          <w:sz w:val="20"/>
          <w:szCs w:val="20"/>
          <w:color w:val="auto"/>
        </w:rPr>
      </w:pPr>
    </w:p>
    <w:p>
      <w:pPr>
        <w:jc w:val="both"/>
        <w:ind w:left="328" w:hanging="328"/>
        <w:spacing w:after="0" w:line="263" w:lineRule="auto"/>
        <w:tabs>
          <w:tab w:leader="none" w:pos="326"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Private Placement</w:t>
      </w:r>
      <w:r>
        <w:rPr>
          <w:rFonts w:ascii="Arial" w:cs="Arial" w:eastAsia="Arial" w:hAnsi="Arial"/>
          <w:sz w:val="19"/>
          <w:szCs w:val="19"/>
          <w:color w:val="auto"/>
        </w:rPr>
        <w:t>. The Company has submitted filings in the United States in connection with the equity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22" w:lineRule="exact"/>
        <w:rPr>
          <w:rFonts w:ascii="Arial" w:cs="Arial" w:eastAsia="Arial" w:hAnsi="Arial"/>
          <w:sz w:val="19"/>
          <w:szCs w:val="19"/>
          <w:color w:val="auto"/>
        </w:rPr>
      </w:pPr>
    </w:p>
    <w:p>
      <w:pPr>
        <w:jc w:val="both"/>
        <w:ind w:left="328" w:hanging="328"/>
        <w:spacing w:after="0" w:line="246" w:lineRule="auto"/>
        <w:tabs>
          <w:tab w:leader="none" w:pos="315"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Changes in Capitalization</w:t>
      </w:r>
      <w:r>
        <w:rPr>
          <w:rFonts w:ascii="Arial" w:cs="Arial" w:eastAsia="Arial" w:hAnsi="Arial"/>
          <w:sz w:val="20"/>
          <w:szCs w:val="20"/>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37" w:lineRule="exact"/>
        <w:rPr>
          <w:rFonts w:ascii="Arial" w:cs="Arial" w:eastAsia="Arial" w:hAnsi="Arial"/>
          <w:sz w:val="20"/>
          <w:szCs w:val="20"/>
          <w:color w:val="auto"/>
        </w:rPr>
      </w:pPr>
    </w:p>
    <w:p>
      <w:pPr>
        <w:jc w:val="both"/>
        <w:ind w:left="328" w:hanging="328"/>
        <w:spacing w:after="0" w:line="246" w:lineRule="auto"/>
        <w:tabs>
          <w:tab w:leader="none" w:pos="315"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8"/>
          </w:cols>
          <w:pgMar w:left="572" w:top="1419" w:right="239" w:bottom="1440" w:gutter="0" w:footer="0" w:header="0"/>
        </w:sectPr>
      </w:pPr>
    </w:p>
    <w:bookmarkStart w:id="49" w:name="page50"/>
    <w:bookmarkEnd w:id="49"/>
    <w:p>
      <w:pPr>
        <w:jc w:val="both"/>
        <w:ind w:left="640" w:hanging="328"/>
        <w:spacing w:after="0" w:line="270" w:lineRule="auto"/>
        <w:tabs>
          <w:tab w:leader="none" w:pos="63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The Participant acknowledges that, depending on the Participant’s or the Participant’s broker’s country of residence or where the Common Stock is listed, the Participant may be subject to insider trading restrictions and/or market abuse laws in applicable jurisdictions which may affect the Participant’s ability to accept, acquire, sell, or otherwise dispose of Common Stock, rights to Common Stock (</w:t>
      </w:r>
      <w:r>
        <w:rPr>
          <w:rFonts w:ascii="Arial" w:cs="Arial" w:eastAsia="Arial" w:hAnsi="Arial"/>
          <w:sz w:val="18"/>
          <w:szCs w:val="18"/>
          <w:i w:val="1"/>
          <w:iCs w:val="1"/>
          <w:color w:val="auto"/>
        </w:rPr>
        <w:t>e.g.</w:t>
      </w:r>
      <w:r>
        <w:rPr>
          <w:rFonts w:ascii="Arial" w:cs="Arial" w:eastAsia="Arial" w:hAnsi="Arial"/>
          <w:sz w:val="18"/>
          <w:szCs w:val="18"/>
          <w:color w:val="auto"/>
        </w:rPr>
        <w:t>, Performance RSUs), or rights linked to the value of Common Stock (</w:t>
      </w:r>
      <w:r>
        <w:rPr>
          <w:rFonts w:ascii="Arial" w:cs="Arial" w:eastAsia="Arial" w:hAnsi="Arial"/>
          <w:sz w:val="18"/>
          <w:szCs w:val="18"/>
          <w:i w:val="1"/>
          <w:iCs w:val="1"/>
          <w:color w:val="auto"/>
        </w:rPr>
        <w:t>e.g.</w:t>
      </w:r>
      <w:r>
        <w:rPr>
          <w:rFonts w:ascii="Arial" w:cs="Arial" w:eastAsia="Arial" w:hAnsi="Arial"/>
          <w:sz w:val="18"/>
          <w:szCs w:val="18"/>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22" w:lineRule="exact"/>
        <w:rPr>
          <w:rFonts w:ascii="Arial" w:cs="Arial" w:eastAsia="Arial" w:hAnsi="Arial"/>
          <w:sz w:val="18"/>
          <w:szCs w:val="18"/>
          <w:color w:val="auto"/>
        </w:rPr>
      </w:pPr>
    </w:p>
    <w:p>
      <w:pPr>
        <w:jc w:val="both"/>
        <w:ind w:left="640" w:hanging="328"/>
        <w:spacing w:after="0" w:line="256" w:lineRule="auto"/>
        <w:tabs>
          <w:tab w:leader="none" w:pos="62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Foreign Asset/Account, Exchange Control, and Tax Reporting</w:t>
      </w:r>
      <w:r>
        <w:rPr>
          <w:rFonts w:ascii="Arial" w:cs="Arial" w:eastAsia="Arial" w:hAnsi="Arial"/>
          <w:sz w:val="19"/>
          <w:szCs w:val="19"/>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30" w:lineRule="exact"/>
        <w:rPr>
          <w:rFonts w:ascii="Arial" w:cs="Arial" w:eastAsia="Arial" w:hAnsi="Arial"/>
          <w:sz w:val="19"/>
          <w:szCs w:val="19"/>
          <w:color w:val="auto"/>
        </w:rPr>
      </w:pPr>
    </w:p>
    <w:p>
      <w:pPr>
        <w:jc w:val="both"/>
        <w:ind w:left="640" w:hanging="328"/>
        <w:spacing w:after="0" w:line="250" w:lineRule="auto"/>
        <w:tabs>
          <w:tab w:leader="none" w:pos="628"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60" w:type="dxa"/>
            <w:vAlign w:val="bottom"/>
            <w:gridSpan w:val="2"/>
          </w:tcPr>
          <w:p>
            <w:pPr>
              <w:spacing w:after="0"/>
              <w:rPr>
                <w:sz w:val="20"/>
                <w:szCs w:val="20"/>
                <w:color w:val="auto"/>
              </w:rPr>
            </w:pPr>
            <w:r>
              <w:rPr>
                <w:rFonts w:ascii="Arial" w:cs="Arial" w:eastAsia="Arial" w:hAnsi="Arial"/>
                <w:sz w:val="20"/>
                <w:szCs w:val="20"/>
                <w:color w:val="auto"/>
              </w:rPr>
              <w:t>By:   /s/ Ray Stata</w:t>
            </w:r>
          </w:p>
        </w:tc>
        <w:tc>
          <w:tcPr>
            <w:tcW w:w="5820" w:type="dxa"/>
            <w:vAlign w:val="bottom"/>
            <w:gridSpan w:val="2"/>
          </w:tcPr>
          <w:p>
            <w:pPr>
              <w:ind w:left="340"/>
              <w:spacing w:after="0"/>
              <w:rPr>
                <w:sz w:val="20"/>
                <w:szCs w:val="20"/>
                <w:color w:val="auto"/>
              </w:rPr>
            </w:pPr>
            <w:r>
              <w:rPr>
                <w:rFonts w:ascii="Arial" w:cs="Arial" w:eastAsia="Arial" w:hAnsi="Arial"/>
                <w:sz w:val="20"/>
                <w:szCs w:val="20"/>
                <w:color w:val="auto"/>
              </w:rPr>
              <w:t>By:   /s/ Vincent Roche</w:t>
            </w:r>
          </w:p>
        </w:tc>
      </w:tr>
      <w:tr>
        <w:trPr>
          <w:trHeight w:val="23"/>
        </w:trPr>
        <w:tc>
          <w:tcPr>
            <w:tcW w:w="54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54"/>
        </w:trPr>
        <w:tc>
          <w:tcPr>
            <w:tcW w:w="54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Arial" w:cs="Arial" w:eastAsia="Arial" w:hAnsi="Arial"/>
                <w:sz w:val="20"/>
                <w:szCs w:val="20"/>
                <w:color w:val="auto"/>
              </w:rPr>
              <w:t>Ray Stata, Chairman of the Board of Directors</w:t>
            </w:r>
          </w:p>
        </w:tc>
        <w:tc>
          <w:tcPr>
            <w:tcW w:w="840" w:type="dxa"/>
            <w:vAlign w:val="bottom"/>
          </w:tcPr>
          <w:p>
            <w:pPr>
              <w:spacing w:after="0"/>
              <w:rPr>
                <w:sz w:val="22"/>
                <w:szCs w:val="22"/>
                <w:color w:val="auto"/>
              </w:rPr>
            </w:pPr>
          </w:p>
        </w:tc>
        <w:tc>
          <w:tcPr>
            <w:tcW w:w="4980" w:type="dxa"/>
            <w:vAlign w:val="bottom"/>
          </w:tcPr>
          <w:p>
            <w:pPr>
              <w:ind w:left="20"/>
              <w:spacing w:after="0"/>
              <w:rPr>
                <w:sz w:val="20"/>
                <w:szCs w:val="20"/>
                <w:color w:val="auto"/>
              </w:rPr>
            </w:pPr>
            <w:r>
              <w:rPr>
                <w:rFonts w:ascii="Arial" w:cs="Arial" w:eastAsia="Arial" w:hAnsi="Arial"/>
                <w:sz w:val="20"/>
                <w:szCs w:val="20"/>
                <w:color w:val="auto"/>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1419"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b w:val="1"/>
          <w:bCs w:val="1"/>
          <w:color w:val="auto"/>
        </w:rPr>
        <w:t>APPENDIX A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jc w:val="both"/>
        <w:ind w:left="340" w:hanging="332"/>
        <w:spacing w:after="0" w:line="257" w:lineRule="auto"/>
        <w:tabs>
          <w:tab w:leader="none" w:pos="34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Performance Period</w:t>
      </w:r>
      <w:r>
        <w:rPr>
          <w:rFonts w:ascii="Arial" w:cs="Arial" w:eastAsia="Arial" w:hAnsi="Arial"/>
          <w:sz w:val="19"/>
          <w:szCs w:val="19"/>
          <w:color w:val="auto"/>
        </w:rPr>
        <w:t>. The three-year period beginning on the first day of the first quarter of the Company’s fiscal year 2020 and ending on the last day of the fourth quarter of the Company’s fiscal year 2022 (the “Performance Period”). The Performance Period shall consist of the following three performance measurement periods: (i) the one-year period commencing on the first day of the first quarter and ending on the last day of the fourth quarter of the Company’s fiscal year 2020 (“FY 2020 Period”); (ii) the two-year period beginning on the first day of the first quarter of the Company’s fiscal year 2020 and ending on the last day of the fourth quarter of the Company’s fiscal year 2021 (“Cumulative FY20/21 Period”) and (iii) and the three-year period beginning on the first day of the first quarter of the Company’s fiscal year 2020 and ending on the last day of the fourth quarter of the Company’s fiscal year 2022 (“Cumulative FY20/22 Period,” and collectively, the “Performance Measurement Periods”);</w:t>
      </w:r>
    </w:p>
    <w:p>
      <w:pPr>
        <w:spacing w:after="0" w:line="127" w:lineRule="exact"/>
        <w:rPr>
          <w:rFonts w:ascii="Arial" w:cs="Arial" w:eastAsia="Arial" w:hAnsi="Arial"/>
          <w:sz w:val="19"/>
          <w:szCs w:val="19"/>
          <w:color w:val="auto"/>
        </w:rPr>
      </w:pPr>
    </w:p>
    <w:p>
      <w:pPr>
        <w:ind w:left="340" w:hanging="332"/>
        <w:spacing w:after="0"/>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Vesting Date</w:t>
      </w:r>
      <w:r>
        <w:rPr>
          <w:rFonts w:ascii="Arial" w:cs="Arial" w:eastAsia="Arial" w:hAnsi="Arial"/>
          <w:sz w:val="20"/>
          <w:szCs w:val="20"/>
          <w:color w:val="auto"/>
          <w:highlight w:val="white"/>
        </w:rPr>
        <w:t>. {</w:t>
      </w:r>
      <w:r>
        <w:rPr>
          <w:rFonts w:ascii="Arial" w:cs="Arial" w:eastAsia="Arial" w:hAnsi="Arial"/>
          <w:sz w:val="20"/>
          <w:szCs w:val="20"/>
          <w:i w:val="1"/>
          <w:iCs w:val="1"/>
          <w:color w:val="auto"/>
          <w:highlight w:val="white"/>
        </w:rPr>
        <w:t>Cliff Vesting Date</w:t>
      </w:r>
      <w:r>
        <w:rPr>
          <w:rFonts w:ascii="Arial" w:cs="Arial" w:eastAsia="Arial" w:hAnsi="Arial"/>
          <w:sz w:val="20"/>
          <w:szCs w:val="20"/>
          <w:color w:val="auto"/>
          <w:highlight w:val="white"/>
        </w:rPr>
        <w:t>}.</w:t>
      </w:r>
    </w:p>
    <w:p>
      <w:pPr>
        <w:spacing w:after="0" w:line="161"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Determination Date</w:t>
      </w:r>
      <w:r>
        <w:rPr>
          <w:rFonts w:ascii="Arial" w:cs="Arial" w:eastAsia="Arial" w:hAnsi="Arial"/>
          <w:sz w:val="20"/>
          <w:szCs w:val="20"/>
          <w:color w:val="auto"/>
        </w:rPr>
        <w:t>: The date the Compensation Committee of the Board determines the level of attainment of the Operating Profit Goals for each of the three corresponding Performance Measurement Periods, which date shall be as soon as practicable following the last day of the applicable Performance Measurement Period.</w:t>
      </w:r>
    </w:p>
    <w:p>
      <w:pPr>
        <w:spacing w:after="0" w:line="132" w:lineRule="exact"/>
        <w:rPr>
          <w:rFonts w:ascii="Arial" w:cs="Arial" w:eastAsia="Arial" w:hAnsi="Arial"/>
          <w:sz w:val="20"/>
          <w:szCs w:val="20"/>
          <w:color w:val="auto"/>
        </w:rPr>
      </w:pPr>
    </w:p>
    <w:p>
      <w:pPr>
        <w:jc w:val="both"/>
        <w:ind w:left="340"/>
        <w:spacing w:after="0" w:line="282" w:lineRule="auto"/>
        <w:rPr>
          <w:rFonts w:ascii="Arial" w:cs="Arial" w:eastAsia="Arial" w:hAnsi="Arial"/>
          <w:sz w:val="20"/>
          <w:szCs w:val="20"/>
          <w:color w:val="auto"/>
        </w:rPr>
      </w:pPr>
      <w:r>
        <w:rPr>
          <w:rFonts w:ascii="Arial" w:cs="Arial" w:eastAsia="Arial" w:hAnsi="Arial"/>
          <w:sz w:val="18"/>
          <w:szCs w:val="18"/>
          <w:color w:val="auto"/>
        </w:rPr>
        <w:t>Subject to Section 2(a) through 2(d) of the Performance Restricted Stock Unit Agreement, the Participant shall vest on the Vesting Date in the number of Performance RSUs, if any, that the Compensation Committee of the Board determines to be eligible to vest based on the attainment level of the Operating Profit Goals and the attainment of the Minimum Profit Margin described in Section 4 below, provided the Participant continues to provide services to the Company or the Employer, or their respective successors, through the Vesting Date.</w:t>
      </w:r>
    </w:p>
    <w:p>
      <w:pPr>
        <w:spacing w:after="0" w:line="107" w:lineRule="exact"/>
        <w:rPr>
          <w:rFonts w:ascii="Arial" w:cs="Arial" w:eastAsia="Arial" w:hAnsi="Arial"/>
          <w:sz w:val="20"/>
          <w:szCs w:val="20"/>
          <w:color w:val="auto"/>
        </w:rPr>
      </w:pPr>
    </w:p>
    <w:p>
      <w:pPr>
        <w:jc w:val="both"/>
        <w:ind w:left="340" w:hanging="332"/>
        <w:spacing w:after="0" w:line="257" w:lineRule="auto"/>
        <w:tabs>
          <w:tab w:leader="none" w:pos="34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Performance Parameters</w:t>
      </w:r>
      <w:r>
        <w:rPr>
          <w:rFonts w:ascii="Arial" w:cs="Arial" w:eastAsia="Arial" w:hAnsi="Arial"/>
          <w:sz w:val="19"/>
          <w:szCs w:val="19"/>
          <w:color w:val="auto"/>
        </w:rPr>
        <w:t>. The Performance Parameters are based on the attainment of the Operating Profit Goals established for each of the Performance Measurement Periods and the Minimum Profit Margin for each of the Performance Measurement Periods. The attainment level, ranging from 0% to 200%, of the Operating Profit Goal applicable to each Performance Measurement Period shall be measured separately on each corresponding Determination Date and weighted equally. For the avoidance of doubt, a 0% attainment level shall be applied to a Performance Measurement Period if the Minimum Profit Margin with respect to the corresponding Performance Measurement Period has not been attained. The number of Performance RSUs that shall vest shall be equal to a number of Performance RSUs that is between 0% and 200% of the Initial Grant Number. Attainment among the Operation Profit Goal attainment levels is subject to interpolation on a linear basis.</w:t>
      </w:r>
    </w:p>
    <w:p>
      <w:pPr>
        <w:spacing w:after="0" w:line="127" w:lineRule="exact"/>
        <w:rPr>
          <w:rFonts w:ascii="Arial" w:cs="Arial" w:eastAsia="Arial" w:hAnsi="Arial"/>
          <w:sz w:val="19"/>
          <w:szCs w:val="19"/>
          <w:color w:val="auto"/>
        </w:rPr>
      </w:pPr>
    </w:p>
    <w:p>
      <w:pPr>
        <w:ind w:left="660" w:hanging="328"/>
        <w:spacing w:after="0" w:line="287" w:lineRule="auto"/>
        <w:tabs>
          <w:tab w:leader="none" w:pos="650" w:val="left"/>
        </w:tabs>
        <w:numPr>
          <w:ilvl w:val="1"/>
          <w:numId w:val="37"/>
        </w:numPr>
        <w:rPr>
          <w:rFonts w:ascii="Arial" w:cs="Arial" w:eastAsia="Arial" w:hAnsi="Arial"/>
          <w:sz w:val="19"/>
          <w:szCs w:val="19"/>
          <w:color w:val="auto"/>
        </w:rPr>
      </w:pPr>
      <w:r>
        <w:rPr>
          <w:rFonts w:ascii="Arial" w:cs="Arial" w:eastAsia="Arial" w:hAnsi="Arial"/>
          <w:sz w:val="19"/>
          <w:szCs w:val="19"/>
          <w:color w:val="auto"/>
        </w:rPr>
        <w:t>“Operating Profit Goal” shall mean the goal related to Non-GAAP Operating Profit Before Taxes for each of the Performance Measurement Periods approved by the Compensation Committee of the Board in connection with the grant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420"/>
          </w:cols>
          <w:pgMar w:left="240" w:top="1413" w:right="239" w:bottom="1440" w:gutter="0" w:footer="0" w:header="0"/>
        </w:sectPr>
      </w:pPr>
    </w:p>
    <w:bookmarkStart w:id="51" w:name="page52"/>
    <w:bookmarkEnd w:id="51"/>
    <w:p>
      <w:pPr>
        <w:jc w:val="both"/>
        <w:ind w:left="660" w:right="20" w:hanging="328"/>
        <w:spacing w:after="0" w:line="244"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“Minimum Profit Margin” means the minimum Profit Margin, as approved by the Compensation Committee of the Board in connection with the grant of the Award, that shall apply to each fiscal year and that must be attained with respect to a fiscal year as a condition to recognizing and applying the attainment level of the Operating Profit Goal for the corresponding Performance Measurement Period. “Profit Margin” means the quotient obtained by dividing Non-GAAP Operating Profit Before Taxes by Revenue for each of the Performance Measurement Periods.</w:t>
      </w:r>
    </w:p>
    <w:p>
      <w:pPr>
        <w:spacing w:after="0" w:line="140" w:lineRule="exact"/>
        <w:rPr>
          <w:rFonts w:ascii="Arial" w:cs="Arial" w:eastAsia="Arial" w:hAnsi="Arial"/>
          <w:sz w:val="20"/>
          <w:szCs w:val="20"/>
          <w:color w:val="auto"/>
        </w:rPr>
      </w:pPr>
    </w:p>
    <w:p>
      <w:pPr>
        <w:jc w:val="both"/>
        <w:ind w:left="660" w:right="20" w:hanging="328"/>
        <w:spacing w:after="0" w:line="246" w:lineRule="auto"/>
        <w:tabs>
          <w:tab w:leader="none" w:pos="650" w:val="left"/>
        </w:tabs>
        <w:numPr>
          <w:ilvl w:val="0"/>
          <w:numId w:val="38"/>
        </w:numPr>
        <w:rPr>
          <w:rFonts w:ascii="Arial" w:cs="Arial" w:eastAsia="Arial" w:hAnsi="Arial"/>
          <w:sz w:val="20"/>
          <w:szCs w:val="20"/>
          <w:color w:val="auto"/>
        </w:rPr>
      </w:pPr>
      <w:r>
        <w:rPr>
          <w:rFonts w:ascii="Arial" w:cs="Arial" w:eastAsia="Arial" w:hAnsi="Arial"/>
          <w:sz w:val="20"/>
          <w:szCs w:val="20"/>
          <w:color w:val="auto"/>
        </w:rPr>
        <w:t>“Non-GAAP Operating Profit Before Taxes” means Non-GAAP Operating Profit Before Taxes, as reported by the Company in its earnings press release furnished to the U.S. Securities and Exchange Commission, which shall be determined in accordance with GAAP and disclosed non-GAAP adjustments and further adjusted for the results of any acquisitions or divestitures of significant materiality to be reported in the Company’s 10-Q/10-K filings.</w:t>
      </w:r>
    </w:p>
    <w:p>
      <w:pPr>
        <w:spacing w:after="0" w:line="137" w:lineRule="exact"/>
        <w:rPr>
          <w:rFonts w:ascii="Arial" w:cs="Arial" w:eastAsia="Arial" w:hAnsi="Arial"/>
          <w:sz w:val="20"/>
          <w:szCs w:val="20"/>
          <w:color w:val="auto"/>
        </w:rPr>
      </w:pPr>
    </w:p>
    <w:p>
      <w:pPr>
        <w:ind w:left="660" w:right="40" w:hanging="328"/>
        <w:spacing w:after="0" w:line="316"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“Revenue” means non-GAAP Revenue, as reported by the Company in its earnings press release furnished to the U.S. Securities and Exchange Commission, which shall be determined in accordance with GAAP and disclosed non-GAAP adjustments.</w:t>
      </w:r>
    </w:p>
    <w:p>
      <w:pPr>
        <w:spacing w:after="0" w:line="76" w:lineRule="exact"/>
        <w:rPr>
          <w:rFonts w:ascii="Arial" w:cs="Arial" w:eastAsia="Arial" w:hAnsi="Arial"/>
          <w:sz w:val="18"/>
          <w:szCs w:val="18"/>
          <w:color w:val="auto"/>
        </w:rPr>
      </w:pPr>
    </w:p>
    <w:p>
      <w:pPr>
        <w:jc w:val="both"/>
        <w:ind w:left="660" w:right="20" w:hanging="328"/>
        <w:spacing w:after="0" w:line="250" w:lineRule="auto"/>
        <w:tabs>
          <w:tab w:leader="none" w:pos="65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definition of or method of determining Non-GAAP Operating Profit Before Taxes for purposes of ascertaining the attainment level of the Operating Profit Goal may, in the discretion of the Compensation Committee of the Board, be adjusted to eliminate the impact of any one or more of the following unanticipated events:</w:t>
      </w:r>
    </w:p>
    <w:p>
      <w:pPr>
        <w:spacing w:after="0" w:line="132" w:lineRule="exact"/>
        <w:rPr>
          <w:rFonts w:ascii="Arial" w:cs="Arial" w:eastAsia="Arial" w:hAnsi="Arial"/>
          <w:sz w:val="20"/>
          <w:szCs w:val="20"/>
          <w:color w:val="auto"/>
        </w:rPr>
      </w:pPr>
    </w:p>
    <w:p>
      <w:pPr>
        <w:jc w:val="both"/>
        <w:ind w:left="980" w:right="40" w:hanging="348"/>
        <w:spacing w:after="0" w:line="250" w:lineRule="auto"/>
        <w:tabs>
          <w:tab w:leader="none" w:pos="980" w:val="left"/>
        </w:tabs>
        <w:numPr>
          <w:ilvl w:val="1"/>
          <w:numId w:val="38"/>
        </w:numPr>
        <w:rPr>
          <w:rFonts w:ascii="Arial" w:cs="Arial" w:eastAsia="Arial" w:hAnsi="Arial"/>
          <w:sz w:val="20"/>
          <w:szCs w:val="20"/>
          <w:color w:val="auto"/>
        </w:rPr>
      </w:pPr>
      <w:r>
        <w:rPr>
          <w:rFonts w:ascii="Arial" w:cs="Arial" w:eastAsia="Arial" w:hAnsi="Arial"/>
          <w:sz w:val="20"/>
          <w:szCs w:val="20"/>
          <w:color w:val="auto"/>
        </w:rPr>
        <w:t>items related to a change in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32" w:lineRule="exact"/>
        <w:rPr>
          <w:rFonts w:ascii="Arial" w:cs="Arial" w:eastAsia="Arial" w:hAnsi="Arial"/>
          <w:sz w:val="20"/>
          <w:szCs w:val="20"/>
          <w:color w:val="auto"/>
        </w:rPr>
      </w:pPr>
    </w:p>
    <w:p>
      <w:pPr>
        <w:ind w:left="980" w:hanging="403"/>
        <w:spacing w:after="0"/>
        <w:tabs>
          <w:tab w:leader="none" w:pos="980" w:val="left"/>
        </w:tabs>
        <w:numPr>
          <w:ilvl w:val="1"/>
          <w:numId w:val="38"/>
        </w:numPr>
        <w:rPr>
          <w:rFonts w:ascii="Arial" w:cs="Arial" w:eastAsia="Arial" w:hAnsi="Arial"/>
          <w:sz w:val="20"/>
          <w:szCs w:val="20"/>
          <w:color w:val="auto"/>
        </w:rPr>
      </w:pPr>
      <w:r>
        <w:rPr>
          <w:rFonts w:ascii="Arial" w:cs="Arial" w:eastAsia="Arial" w:hAnsi="Arial"/>
          <w:sz w:val="20"/>
          <w:szCs w:val="20"/>
          <w:color w:val="auto"/>
        </w:rPr>
        <w:t>items relating to unusual or extraordinary corporate transactions, events or developments, or</w:t>
      </w:r>
    </w:p>
    <w:p>
      <w:pPr>
        <w:spacing w:after="0" w:line="161" w:lineRule="exact"/>
        <w:rPr>
          <w:rFonts w:ascii="Arial" w:cs="Arial" w:eastAsia="Arial" w:hAnsi="Arial"/>
          <w:sz w:val="20"/>
          <w:szCs w:val="20"/>
          <w:color w:val="auto"/>
        </w:rPr>
      </w:pPr>
    </w:p>
    <w:p>
      <w:pPr>
        <w:ind w:left="980" w:hanging="458"/>
        <w:spacing w:after="0"/>
        <w:tabs>
          <w:tab w:leader="none" w:pos="980" w:val="left"/>
        </w:tabs>
        <w:numPr>
          <w:ilvl w:val="1"/>
          <w:numId w:val="38"/>
        </w:numPr>
        <w:rPr>
          <w:rFonts w:ascii="Arial" w:cs="Arial" w:eastAsia="Arial" w:hAnsi="Arial"/>
          <w:sz w:val="20"/>
          <w:szCs w:val="20"/>
          <w:color w:val="auto"/>
        </w:rPr>
      </w:pPr>
      <w:r>
        <w:rPr>
          <w:rFonts w:ascii="Arial" w:cs="Arial" w:eastAsia="Arial" w:hAnsi="Arial"/>
          <w:sz w:val="20"/>
          <w:szCs w:val="20"/>
          <w:color w:val="auto"/>
        </w:rPr>
        <w:t>items relating to gains or losses for material litigation, arbitration and contractual settlements.</w:t>
      </w:r>
    </w:p>
    <w:p>
      <w:pPr>
        <w:spacing w:after="0" w:line="16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Examples illustrating the application of the Performance Parameters are set forth below, providing that the Minimum Profit Margin is met in each fiscal year:</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1180" w:type="dxa"/>
            <w:vAlign w:val="bottom"/>
            <w:tcBorders>
              <w:top w:val="single" w:sz="8" w:color="auto"/>
              <w:left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20"/>
                <w:szCs w:val="20"/>
                <w:color w:val="auto"/>
                <w:w w:val="89"/>
              </w:rPr>
              <w:t>Payout</w:t>
            </w:r>
          </w:p>
        </w:tc>
        <w:tc>
          <w:tcPr>
            <w:tcW w:w="298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20"/>
                <w:szCs w:val="20"/>
                <w:color w:val="auto"/>
                <w:w w:val="89"/>
              </w:rPr>
              <w:t>Number of Potential Shares Attained</w:t>
            </w:r>
          </w:p>
        </w:tc>
        <w:tc>
          <w:tcPr>
            <w:tcW w:w="7280" w:type="dxa"/>
            <w:vAlign w:val="bottom"/>
            <w:tcBorders>
              <w:top w:val="single" w:sz="8" w:color="auto"/>
              <w:right w:val="single" w:sz="8" w:color="auto"/>
            </w:tcBorders>
            <w:shd w:val="clear" w:color="auto" w:fill="C6D9F1"/>
          </w:tcPr>
          <w:p>
            <w:pPr>
              <w:ind w:left="2680"/>
              <w:spacing w:after="0"/>
              <w:rPr>
                <w:sz w:val="20"/>
                <w:szCs w:val="20"/>
                <w:color w:val="auto"/>
              </w:rPr>
            </w:pPr>
            <w:r>
              <w:rPr>
                <w:rFonts w:ascii="Arial" w:cs="Arial" w:eastAsia="Arial" w:hAnsi="Arial"/>
                <w:sz w:val="20"/>
                <w:szCs w:val="20"/>
                <w:color w:val="auto"/>
              </w:rPr>
              <w:t>Performance Parameters</w:t>
            </w:r>
          </w:p>
        </w:tc>
      </w:tr>
      <w:tr>
        <w:trPr>
          <w:trHeight w:val="255"/>
        </w:trPr>
        <w:tc>
          <w:tcPr>
            <w:tcW w:w="1180" w:type="dxa"/>
            <w:vAlign w:val="bottom"/>
            <w:tcBorders>
              <w:left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20"/>
                <w:szCs w:val="20"/>
                <w:color w:val="auto"/>
                <w:w w:val="84"/>
              </w:rPr>
              <w:t>Percent</w:t>
            </w:r>
          </w:p>
        </w:tc>
        <w:tc>
          <w:tcPr>
            <w:tcW w:w="2980" w:type="dxa"/>
            <w:vAlign w:val="bottom"/>
            <w:tcBorders>
              <w:bottom w:val="single" w:sz="8" w:color="auto"/>
              <w:right w:val="single" w:sz="8" w:color="auto"/>
            </w:tcBorders>
            <w:shd w:val="clear" w:color="auto" w:fill="C6D9F1"/>
          </w:tcPr>
          <w:p>
            <w:pPr>
              <w:spacing w:after="0"/>
              <w:rPr>
                <w:sz w:val="22"/>
                <w:szCs w:val="22"/>
                <w:color w:val="auto"/>
              </w:rPr>
            </w:pPr>
          </w:p>
        </w:tc>
        <w:tc>
          <w:tcPr>
            <w:tcW w:w="7280" w:type="dxa"/>
            <w:vAlign w:val="bottom"/>
            <w:tcBorders>
              <w:bottom w:val="single" w:sz="8" w:color="auto"/>
              <w:right w:val="single" w:sz="8" w:color="auto"/>
            </w:tcBorders>
            <w:shd w:val="clear" w:color="auto" w:fill="C6D9F1"/>
          </w:tcPr>
          <w:p>
            <w:pPr>
              <w:spacing w:after="0"/>
              <w:rPr>
                <w:sz w:val="22"/>
                <w:szCs w:val="22"/>
                <w:color w:val="auto"/>
              </w:rPr>
            </w:pPr>
          </w:p>
        </w:tc>
      </w:tr>
      <w:tr>
        <w:trPr>
          <w:trHeight w:val="225"/>
        </w:trPr>
        <w:tc>
          <w:tcPr>
            <w:tcW w:w="1180" w:type="dxa"/>
            <w:vAlign w:val="bottom"/>
            <w:tcBorders>
              <w:left w:val="single" w:sz="8" w:color="auto"/>
              <w:right w:val="single" w:sz="8" w:color="auto"/>
            </w:tcBorders>
          </w:tcPr>
          <w:p>
            <w:pPr>
              <w:jc w:val="center"/>
              <w:spacing w:after="0" w:line="225" w:lineRule="exact"/>
              <w:rPr>
                <w:sz w:val="20"/>
                <w:szCs w:val="20"/>
                <w:color w:val="auto"/>
              </w:rPr>
            </w:pPr>
            <w:r>
              <w:rPr>
                <w:rFonts w:ascii="Arial" w:cs="Arial" w:eastAsia="Arial" w:hAnsi="Arial"/>
                <w:sz w:val="20"/>
                <w:szCs w:val="20"/>
                <w:color w:val="auto"/>
                <w:w w:val="89"/>
              </w:rPr>
              <w:t>0%</w:t>
            </w:r>
          </w:p>
        </w:tc>
        <w:tc>
          <w:tcPr>
            <w:tcW w:w="2980" w:type="dxa"/>
            <w:vAlign w:val="bottom"/>
            <w:tcBorders>
              <w:right w:val="single" w:sz="8" w:color="auto"/>
            </w:tcBorders>
          </w:tcPr>
          <w:p>
            <w:pPr>
              <w:jc w:val="center"/>
              <w:spacing w:after="0" w:line="225" w:lineRule="exact"/>
              <w:rPr>
                <w:sz w:val="20"/>
                <w:szCs w:val="20"/>
                <w:color w:val="auto"/>
              </w:rPr>
            </w:pPr>
            <w:r>
              <w:rPr>
                <w:rFonts w:ascii="Arial" w:cs="Arial" w:eastAsia="Arial" w:hAnsi="Arial"/>
                <w:sz w:val="20"/>
                <w:szCs w:val="20"/>
                <w:color w:val="auto"/>
                <w:w w:val="89"/>
              </w:rPr>
              <w:t>0</w:t>
            </w:r>
          </w:p>
        </w:tc>
        <w:tc>
          <w:tcPr>
            <w:tcW w:w="7280" w:type="dxa"/>
            <w:vAlign w:val="bottom"/>
            <w:tcBorders>
              <w:right w:val="single" w:sz="8" w:color="auto"/>
            </w:tcBorders>
          </w:tcPr>
          <w:p>
            <w:pPr>
              <w:ind w:left="80"/>
              <w:spacing w:after="0" w:line="225" w:lineRule="exact"/>
              <w:rPr>
                <w:sz w:val="20"/>
                <w:szCs w:val="20"/>
                <w:color w:val="auto"/>
              </w:rPr>
            </w:pPr>
            <w:r>
              <w:rPr>
                <w:rFonts w:ascii="Arial" w:cs="Arial" w:eastAsia="Arial" w:hAnsi="Arial"/>
                <w:sz w:val="20"/>
                <w:szCs w:val="20"/>
                <w:color w:val="auto"/>
                <w:w w:val="97"/>
              </w:rPr>
              <w:t>Company Operating Profit Goal does not meet minimum threshold approved by the</w:t>
            </w:r>
          </w:p>
        </w:tc>
      </w:tr>
      <w:tr>
        <w:trPr>
          <w:trHeight w:val="255"/>
        </w:trPr>
        <w:tc>
          <w:tcPr>
            <w:tcW w:w="1180" w:type="dxa"/>
            <w:vAlign w:val="bottom"/>
            <w:tcBorders>
              <w:left w:val="single" w:sz="8" w:color="auto"/>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spacing w:after="0"/>
              <w:rPr>
                <w:sz w:val="22"/>
                <w:szCs w:val="22"/>
                <w:color w:val="auto"/>
              </w:rPr>
            </w:pPr>
          </w:p>
        </w:tc>
        <w:tc>
          <w:tcPr>
            <w:tcW w:w="7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Compensation Committee of the Board</w:t>
            </w:r>
          </w:p>
        </w:tc>
      </w:tr>
      <w:tr>
        <w:trPr>
          <w:trHeight w:val="225"/>
        </w:trPr>
        <w:tc>
          <w:tcPr>
            <w:tcW w:w="1180" w:type="dxa"/>
            <w:vAlign w:val="bottom"/>
            <w:tcBorders>
              <w:left w:val="single" w:sz="8" w:color="auto"/>
              <w:right w:val="single" w:sz="8" w:color="auto"/>
            </w:tcBorders>
          </w:tcPr>
          <w:p>
            <w:pPr>
              <w:jc w:val="center"/>
              <w:spacing w:after="0" w:line="225" w:lineRule="exact"/>
              <w:rPr>
                <w:sz w:val="20"/>
                <w:szCs w:val="20"/>
                <w:color w:val="auto"/>
              </w:rPr>
            </w:pPr>
            <w:r>
              <w:rPr>
                <w:rFonts w:ascii="Arial" w:cs="Arial" w:eastAsia="Arial" w:hAnsi="Arial"/>
                <w:sz w:val="20"/>
                <w:szCs w:val="20"/>
                <w:color w:val="auto"/>
                <w:w w:val="89"/>
              </w:rPr>
              <w:t>100%</w:t>
            </w:r>
          </w:p>
        </w:tc>
        <w:tc>
          <w:tcPr>
            <w:tcW w:w="2980" w:type="dxa"/>
            <w:vAlign w:val="bottom"/>
            <w:tcBorders>
              <w:right w:val="single" w:sz="8" w:color="auto"/>
            </w:tcBorders>
          </w:tcPr>
          <w:p>
            <w:pPr>
              <w:jc w:val="center"/>
              <w:spacing w:after="0" w:line="225" w:lineRule="exact"/>
              <w:rPr>
                <w:sz w:val="20"/>
                <w:szCs w:val="20"/>
                <w:color w:val="auto"/>
              </w:rPr>
            </w:pPr>
            <w:r>
              <w:rPr>
                <w:rFonts w:ascii="Arial" w:cs="Arial" w:eastAsia="Arial" w:hAnsi="Arial"/>
                <w:sz w:val="20"/>
                <w:szCs w:val="20"/>
                <w:color w:val="auto"/>
                <w:w w:val="92"/>
              </w:rPr>
              <w:t>{</w:t>
            </w:r>
            <w:r>
              <w:rPr>
                <w:rFonts w:ascii="Arial" w:cs="Arial" w:eastAsia="Arial" w:hAnsi="Arial"/>
                <w:sz w:val="20"/>
                <w:szCs w:val="20"/>
                <w:i w:val="1"/>
                <w:iCs w:val="1"/>
                <w:color w:val="auto"/>
                <w:w w:val="92"/>
              </w:rPr>
              <w:t>Number of Awards Granted</w:t>
            </w:r>
            <w:r>
              <w:rPr>
                <w:rFonts w:ascii="Arial" w:cs="Arial" w:eastAsia="Arial" w:hAnsi="Arial"/>
                <w:sz w:val="20"/>
                <w:szCs w:val="20"/>
                <w:color w:val="auto"/>
                <w:w w:val="92"/>
              </w:rPr>
              <w:t>}</w:t>
            </w:r>
          </w:p>
        </w:tc>
        <w:tc>
          <w:tcPr>
            <w:tcW w:w="7280" w:type="dxa"/>
            <w:vAlign w:val="bottom"/>
            <w:tcBorders>
              <w:right w:val="single" w:sz="8" w:color="auto"/>
            </w:tcBorders>
          </w:tcPr>
          <w:p>
            <w:pPr>
              <w:ind w:left="80"/>
              <w:spacing w:after="0" w:line="225" w:lineRule="exact"/>
              <w:rPr>
                <w:sz w:val="20"/>
                <w:szCs w:val="20"/>
                <w:color w:val="auto"/>
              </w:rPr>
            </w:pPr>
            <w:r>
              <w:rPr>
                <w:rFonts w:ascii="Arial" w:cs="Arial" w:eastAsia="Arial" w:hAnsi="Arial"/>
                <w:sz w:val="20"/>
                <w:szCs w:val="20"/>
                <w:color w:val="auto"/>
                <w:w w:val="92"/>
              </w:rPr>
              <w:t>Company Operating Profit Goal meets target approved by Compensation Committee of</w:t>
            </w:r>
          </w:p>
        </w:tc>
      </w:tr>
      <w:tr>
        <w:trPr>
          <w:trHeight w:val="255"/>
        </w:trPr>
        <w:tc>
          <w:tcPr>
            <w:tcW w:w="1180" w:type="dxa"/>
            <w:vAlign w:val="bottom"/>
            <w:tcBorders>
              <w:left w:val="single" w:sz="8" w:color="auto"/>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spacing w:after="0"/>
              <w:rPr>
                <w:sz w:val="22"/>
                <w:szCs w:val="22"/>
                <w:color w:val="auto"/>
              </w:rPr>
            </w:pPr>
          </w:p>
        </w:tc>
        <w:tc>
          <w:tcPr>
            <w:tcW w:w="7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the Board</w:t>
            </w:r>
          </w:p>
        </w:tc>
      </w:tr>
      <w:tr>
        <w:trPr>
          <w:trHeight w:val="225"/>
        </w:trPr>
        <w:tc>
          <w:tcPr>
            <w:tcW w:w="1180" w:type="dxa"/>
            <w:vAlign w:val="bottom"/>
            <w:tcBorders>
              <w:left w:val="single" w:sz="8" w:color="auto"/>
              <w:right w:val="single" w:sz="8" w:color="auto"/>
            </w:tcBorders>
          </w:tcPr>
          <w:p>
            <w:pPr>
              <w:jc w:val="center"/>
              <w:spacing w:after="0" w:line="225" w:lineRule="exact"/>
              <w:rPr>
                <w:sz w:val="20"/>
                <w:szCs w:val="20"/>
                <w:color w:val="auto"/>
              </w:rPr>
            </w:pPr>
            <w:r>
              <w:rPr>
                <w:rFonts w:ascii="Arial" w:cs="Arial" w:eastAsia="Arial" w:hAnsi="Arial"/>
                <w:sz w:val="20"/>
                <w:szCs w:val="20"/>
                <w:color w:val="auto"/>
                <w:w w:val="89"/>
              </w:rPr>
              <w:t>200%</w:t>
            </w:r>
          </w:p>
        </w:tc>
        <w:tc>
          <w:tcPr>
            <w:tcW w:w="2980" w:type="dxa"/>
            <w:vAlign w:val="bottom"/>
            <w:tcBorders>
              <w:right w:val="single" w:sz="8" w:color="auto"/>
            </w:tcBorders>
          </w:tcPr>
          <w:p>
            <w:pPr>
              <w:jc w:val="center"/>
              <w:spacing w:after="0" w:line="225" w:lineRule="exact"/>
              <w:rPr>
                <w:sz w:val="20"/>
                <w:szCs w:val="20"/>
                <w:color w:val="auto"/>
              </w:rPr>
            </w:pPr>
            <w:r>
              <w:rPr>
                <w:rFonts w:ascii="Arial" w:cs="Arial" w:eastAsia="Arial" w:hAnsi="Arial"/>
                <w:sz w:val="20"/>
                <w:szCs w:val="20"/>
                <w:color w:val="auto"/>
                <w:w w:val="94"/>
              </w:rPr>
              <w:t>{</w:t>
            </w:r>
            <w:r>
              <w:rPr>
                <w:rFonts w:ascii="Arial" w:cs="Arial" w:eastAsia="Arial" w:hAnsi="Arial"/>
                <w:sz w:val="20"/>
                <w:szCs w:val="20"/>
                <w:i w:val="1"/>
                <w:iCs w:val="1"/>
                <w:color w:val="auto"/>
                <w:w w:val="94"/>
              </w:rPr>
              <w:t>Grant Custom 2</w:t>
            </w:r>
            <w:r>
              <w:rPr>
                <w:rFonts w:ascii="Arial" w:cs="Arial" w:eastAsia="Arial" w:hAnsi="Arial"/>
                <w:sz w:val="20"/>
                <w:szCs w:val="20"/>
                <w:color w:val="auto"/>
                <w:w w:val="94"/>
              </w:rPr>
              <w:t>}</w:t>
            </w:r>
          </w:p>
        </w:tc>
        <w:tc>
          <w:tcPr>
            <w:tcW w:w="7280" w:type="dxa"/>
            <w:vAlign w:val="bottom"/>
            <w:tcBorders>
              <w:right w:val="single" w:sz="8" w:color="auto"/>
            </w:tcBorders>
          </w:tcPr>
          <w:p>
            <w:pPr>
              <w:ind w:left="80"/>
              <w:spacing w:after="0" w:line="225" w:lineRule="exact"/>
              <w:rPr>
                <w:sz w:val="20"/>
                <w:szCs w:val="20"/>
                <w:color w:val="auto"/>
              </w:rPr>
            </w:pPr>
            <w:r>
              <w:rPr>
                <w:rFonts w:ascii="Arial" w:cs="Arial" w:eastAsia="Arial" w:hAnsi="Arial"/>
                <w:sz w:val="20"/>
                <w:szCs w:val="20"/>
                <w:color w:val="auto"/>
                <w:w w:val="92"/>
              </w:rPr>
              <w:t>Company Operating Profit Goal meets or exceeds the maximum target approved by the</w:t>
            </w:r>
          </w:p>
        </w:tc>
      </w:tr>
      <w:tr>
        <w:trPr>
          <w:trHeight w:val="255"/>
        </w:trPr>
        <w:tc>
          <w:tcPr>
            <w:tcW w:w="1180" w:type="dxa"/>
            <w:vAlign w:val="bottom"/>
            <w:tcBorders>
              <w:left w:val="single" w:sz="8" w:color="auto"/>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spacing w:after="0"/>
              <w:rPr>
                <w:sz w:val="22"/>
                <w:szCs w:val="22"/>
                <w:color w:val="auto"/>
              </w:rPr>
            </w:pPr>
          </w:p>
        </w:tc>
        <w:tc>
          <w:tcPr>
            <w:tcW w:w="7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Compensation Committee of the Board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440"/>
          </w:cols>
          <w:pgMar w:left="240" w:top="1419" w:right="21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b w:val="1"/>
          <w:bCs w:val="1"/>
          <w:color w:val="auto"/>
        </w:rPr>
        <w:t>APPENDIX B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38"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2019.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11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3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TERMS AND CONDITIONS APPLICABLE TO PARTICIPANTS OUTSIDE THE U.S.</w:t>
      </w:r>
    </w:p>
    <w:p>
      <w:pPr>
        <w:spacing w:after="0" w:line="16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i w:val="1"/>
          <w:iCs w:val="1"/>
          <w:u w:val="single" w:color="auto"/>
          <w:color w:val="auto"/>
        </w:rPr>
        <w:t>Data Privacy Information and Consent</w:t>
      </w:r>
      <w:r>
        <w:rPr>
          <w:rFonts w:ascii="Arial" w:cs="Arial" w:eastAsia="Arial" w:hAnsi="Arial"/>
          <w:sz w:val="20"/>
          <w:szCs w:val="20"/>
          <w:b w:val="1"/>
          <w:bCs w:val="1"/>
          <w:i w:val="1"/>
          <w:iCs w:val="1"/>
          <w:color w:val="auto"/>
        </w:rPr>
        <w:t>. The Company is located at One Technology Way, Norwood, Massachusetts, 02062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38" w:lineRule="exact"/>
        <w:rPr>
          <w:sz w:val="20"/>
          <w:szCs w:val="20"/>
          <w:color w:val="auto"/>
        </w:rPr>
      </w:pPr>
    </w:p>
    <w:p>
      <w:pPr>
        <w:jc w:val="both"/>
        <w:ind w:left="340" w:hanging="332"/>
        <w:spacing w:after="0" w:line="258" w:lineRule="auto"/>
        <w:tabs>
          <w:tab w:leader="none" w:pos="330" w:val="left"/>
        </w:tabs>
        <w:numPr>
          <w:ilvl w:val="0"/>
          <w:numId w:val="3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Collection and Usage</w:t>
      </w:r>
      <w:r>
        <w:rPr>
          <w:rFonts w:ascii="Arial" w:cs="Arial" w:eastAsia="Arial" w:hAnsi="Arial"/>
          <w:sz w:val="19"/>
          <w:szCs w:val="19"/>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B-1</w:t>
      </w:r>
    </w:p>
    <w:p>
      <w:pPr>
        <w:sectPr>
          <w:pgSz w:w="11900" w:h="16838" w:orient="portrait"/>
          <w:cols w:equalWidth="0" w:num="1">
            <w:col w:w="11420"/>
          </w:cols>
          <w:pgMar w:left="240" w:top="11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jc w:val="both"/>
        <w:ind w:left="340" w:hanging="332"/>
        <w:spacing w:after="0" w:line="276"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Stock Plan Administration Service Providers</w:t>
      </w:r>
      <w:r>
        <w:rPr>
          <w:rFonts w:ascii="Arial" w:cs="Arial" w:eastAsia="Arial" w:hAnsi="Arial"/>
          <w:sz w:val="18"/>
          <w:szCs w:val="18"/>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1" w:lineRule="exact"/>
        <w:rPr>
          <w:rFonts w:ascii="Arial" w:cs="Arial" w:eastAsia="Arial" w:hAnsi="Arial"/>
          <w:sz w:val="18"/>
          <w:szCs w:val="18"/>
          <w:color w:val="auto"/>
        </w:rPr>
      </w:pPr>
    </w:p>
    <w:p>
      <w:pPr>
        <w:jc w:val="both"/>
        <w:ind w:left="340" w:hanging="332"/>
        <w:spacing w:after="0" w:line="269" w:lineRule="auto"/>
        <w:tabs>
          <w:tab w:leader="none" w:pos="33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The United States is subject to adequacy decisions by the European Commission and Swizterland acknowledging that the United States provides an adequate level of protection for personal data transferred to organizations in the United States that have self-certified under the EU/U.S. and Swiss/U.S. Privacy Shield Frameworks. In the absence of self-certification under the EU/U.S. and Swiss/U.S. Privacy Shield Frameworks, an appropriate level of protection for personal data transferred to the United States can be ensured by implementing appropriate safeguards such as the EU Standard Contractual Clauses. The Company is not self-certified under the EU/U.S. and Swiss/U.S. Privacy Shield Frameworks.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25" w:lineRule="exact"/>
        <w:rPr>
          <w:rFonts w:ascii="Arial" w:cs="Arial" w:eastAsia="Arial" w:hAnsi="Arial"/>
          <w:sz w:val="18"/>
          <w:szCs w:val="18"/>
          <w:color w:val="auto"/>
        </w:rPr>
      </w:pPr>
    </w:p>
    <w:p>
      <w:pPr>
        <w:jc w:val="both"/>
        <w:ind w:left="340" w:right="20" w:hanging="332"/>
        <w:spacing w:after="0" w:line="246" w:lineRule="auto"/>
        <w:tabs>
          <w:tab w:leader="none" w:pos="328" w:val="left"/>
        </w:tabs>
        <w:numPr>
          <w:ilvl w:val="0"/>
          <w:numId w:val="40"/>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Data Retention</w:t>
      </w:r>
      <w:r>
        <w:rPr>
          <w:rFonts w:ascii="Arial" w:cs="Arial" w:eastAsia="Arial" w:hAnsi="Arial"/>
          <w:sz w:val="20"/>
          <w:szCs w:val="20"/>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and security laws. If the Company keeps data longer, it would be to satisfy legal or regulatory obligations and the Company’s legal basis would be relevant laws or regulations.</w:t>
      </w:r>
    </w:p>
    <w:p>
      <w:pPr>
        <w:spacing w:after="0" w:line="137" w:lineRule="exact"/>
        <w:rPr>
          <w:rFonts w:ascii="Arial" w:cs="Arial" w:eastAsia="Arial" w:hAnsi="Arial"/>
          <w:sz w:val="20"/>
          <w:szCs w:val="20"/>
          <w:color w:val="auto"/>
        </w:rPr>
      </w:pPr>
    </w:p>
    <w:p>
      <w:pPr>
        <w:jc w:val="both"/>
        <w:ind w:left="340" w:hanging="332"/>
        <w:spacing w:after="0" w:line="244" w:lineRule="auto"/>
        <w:tabs>
          <w:tab w:leader="none" w:pos="330" w:val="left"/>
        </w:tabs>
        <w:numPr>
          <w:ilvl w:val="0"/>
          <w:numId w:val="40"/>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Voluntariness and Consequences of Consent Denial or Withdrawal</w:t>
      </w:r>
      <w:r>
        <w:rPr>
          <w:rFonts w:ascii="Arial" w:cs="Arial" w:eastAsia="Arial" w:hAnsi="Arial"/>
          <w:sz w:val="20"/>
          <w:szCs w:val="20"/>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B-2</w:t>
      </w:r>
    </w:p>
    <w:p>
      <w:pPr>
        <w:sectPr>
          <w:pgSz w:w="11900" w:h="16838" w:orient="portrait"/>
          <w:cols w:equalWidth="0" w:num="1">
            <w:col w:w="11420"/>
          </w:cols>
          <w:pgMar w:left="240" w:top="116"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color w:val="auto"/>
        </w:rPr>
        <w:t>APPENDIX B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jc w:val="both"/>
        <w:ind w:left="340" w:hanging="332"/>
        <w:spacing w:after="0" w:line="258" w:lineRule="auto"/>
        <w:tabs>
          <w:tab w:leader="none" w:pos="335" w:val="left"/>
        </w:tabs>
        <w:numPr>
          <w:ilvl w:val="0"/>
          <w:numId w:val="4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Technology Way, Norwood, Massachusetts, 02062 U.S.A., Attention: Stock Plan Administrator.</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If the Participant resides in a European Economic Area or European Union member state and agrees with the data processing practices described in this notice, the Participant declares his or her consent by clicking “Accept Your Grant” on the Accepting Your Grants page on Fidelity’s participant website.</w:t>
      </w:r>
    </w:p>
    <w:p>
      <w:pPr>
        <w:spacing w:after="0" w:line="13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The Participant acknowledges that he or she is sufficiently proficient in English, or has consulted with an advisor who is sufficiently proficient in English, to understand the terms and conditions of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168"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u w:val="single" w:color="auto"/>
          <w:color w:val="auto"/>
        </w:rPr>
        <w:t>Australian Offer Documen</w:t>
      </w:r>
      <w:r>
        <w:rPr>
          <w:rFonts w:ascii="Arial" w:cs="Arial" w:eastAsia="Arial" w:hAnsi="Arial"/>
          <w:sz w:val="20"/>
          <w:szCs w:val="20"/>
          <w:color w:val="auto"/>
        </w:rPr>
        <w:t>t. This offer of Performance RSUs is intended to comply with the provisions of the Corporations Act 2001, ASIC Regulatory Guide 49 and ASIC Class Order CO 14/1000. Additional details are set forth in the Offer Document for the offer of Performance RSUs to Australian resident employees, which is attached hereto as Appendix C.</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16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Arial" w:cs="Arial" w:eastAsia="Arial" w:hAnsi="Arial"/>
          <w:sz w:val="18"/>
          <w:szCs w:val="18"/>
          <w:i w:val="1"/>
          <w:iCs w:val="1"/>
          <w:color w:val="auto"/>
        </w:rPr>
        <w:t>Standmeldung/Wertpapiere</w:t>
      </w:r>
      <w:r>
        <w:rPr>
          <w:rFonts w:ascii="Arial" w:cs="Arial" w:eastAsia="Arial" w:hAnsi="Arial"/>
          <w:sz w:val="18"/>
          <w:szCs w:val="18"/>
          <w:color w:val="auto"/>
        </w:rPr>
        <w:t>.” An exemption applies if the value of the securities held outside Austria as of December 31 does not exceed certain thresholds. If applicable, the deadline for filing the annual report is January 31 of the following year.</w:t>
      </w:r>
    </w:p>
    <w:p>
      <w:pPr>
        <w:spacing w:after="0" w:line="108"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Participant’s cash accounts abroad meets or exceeds a certain threshold, then the movements and the balance of all accounts must be reported monthly, as of the last day of the month, on or before the 15th day of the following month, using the form “</w:t>
      </w:r>
      <w:r>
        <w:rPr>
          <w:rFonts w:ascii="Arial" w:cs="Arial" w:eastAsia="Arial" w:hAnsi="Arial"/>
          <w:sz w:val="18"/>
          <w:szCs w:val="18"/>
          <w:i w:val="1"/>
          <w:iCs w:val="1"/>
          <w:color w:val="auto"/>
        </w:rPr>
        <w:t>Meldungen SI-Forderungen und/oder SI-Verpflichtungen</w:t>
      </w:r>
      <w:r>
        <w:rPr>
          <w:rFonts w:ascii="Arial" w:cs="Arial" w:eastAsia="Arial" w:hAnsi="Arial"/>
          <w:sz w:val="18"/>
          <w:szCs w:val="18"/>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16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u w:val="single" w:color="auto"/>
          <w:color w:val="auto"/>
        </w:rPr>
        <w:t>Foreign Asset / Account Reporting Information</w:t>
      </w:r>
      <w:r>
        <w:rPr>
          <w:rFonts w:ascii="Arial" w:cs="Arial" w:eastAsia="Arial" w:hAnsi="Arial"/>
          <w:sz w:val="18"/>
          <w:szCs w:val="18"/>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B-3</w:t>
      </w:r>
    </w:p>
    <w:p>
      <w:pPr>
        <w:sectPr>
          <w:pgSz w:w="11900" w:h="16838" w:orient="portrait"/>
          <w:cols w:equalWidth="0" w:num="1">
            <w:col w:w="11420"/>
          </w:cols>
          <w:pgMar w:left="240" w:top="118" w:right="239" w:bottom="1440" w:gutter="0" w:footer="0" w:header="0"/>
        </w:sectPr>
      </w:pPr>
    </w:p>
    <w:bookmarkStart w:id="55" w:name="page56"/>
    <w:bookmarkEnd w:id="55"/>
    <w:p>
      <w:pPr>
        <w:jc w:val="center"/>
        <w:ind w:right="-119"/>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2020 EQUITY INCENTIVE PLAN</w:t>
      </w:r>
    </w:p>
    <w:p>
      <w:pPr>
        <w:jc w:val="center"/>
        <w:ind w:right="-11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u w:val="single" w:color="auto"/>
          <w:color w:val="auto"/>
        </w:rPr>
        <w:t>Stock Exchange Tax</w:t>
      </w:r>
      <w:r>
        <w:rPr>
          <w:rFonts w:ascii="Arial" w:cs="Arial" w:eastAsia="Arial" w:hAnsi="Arial"/>
          <w:sz w:val="18"/>
          <w:szCs w:val="18"/>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111" w:lineRule="exact"/>
        <w:rPr>
          <w:sz w:val="20"/>
          <w:szCs w:val="20"/>
          <w:color w:val="auto"/>
        </w:rPr>
      </w:pPr>
    </w:p>
    <w:p>
      <w:pPr>
        <w:jc w:val="both"/>
        <w:ind w:right="520"/>
        <w:spacing w:after="0" w:line="269" w:lineRule="auto"/>
        <w:rPr>
          <w:sz w:val="20"/>
          <w:szCs w:val="20"/>
          <w:color w:val="auto"/>
        </w:rPr>
      </w:pPr>
      <w:r>
        <w:rPr>
          <w:rFonts w:ascii="Arial" w:cs="Arial" w:eastAsia="Arial" w:hAnsi="Arial"/>
          <w:sz w:val="19"/>
          <w:szCs w:val="19"/>
          <w:u w:val="single" w:color="auto"/>
          <w:color w:val="auto"/>
        </w:rPr>
        <w:t>Brokerage Account Tax</w:t>
      </w:r>
      <w:r>
        <w:rPr>
          <w:rFonts w:ascii="Arial" w:cs="Arial" w:eastAsia="Arial" w:hAnsi="Arial"/>
          <w:sz w:val="19"/>
          <w:szCs w:val="19"/>
          <w:color w:val="auto"/>
        </w:rPr>
        <w:t>: A brokerage account tax applies to Belgian residents if the average annual value of securities (including Shares acquired under the Plan) held in a brokerage account exceeds certain thresholds. Belgian residents should consult with a personal tax or financial advisor for additional details on their obligations with respect to the brokerage account tax.</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Issuance of Shares</w:t>
      </w:r>
      <w:r>
        <w:rPr>
          <w:rFonts w:ascii="Arial" w:cs="Arial" w:eastAsia="Arial" w:hAnsi="Arial"/>
          <w:sz w:val="20"/>
          <w:szCs w:val="20"/>
          <w:color w:val="auto"/>
        </w:rPr>
        <w:t>: This provision supplements Section 2 of the Agreement:</w:t>
      </w:r>
    </w:p>
    <w:p>
      <w:pPr>
        <w:spacing w:after="0" w:line="162"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12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138"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The following supplements Section 2 of the Agreement (except Section 2(d) regarding disability) as well as any other section required to give effect to the same:</w:t>
      </w:r>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9"/>
          <w:szCs w:val="19"/>
          <w:u w:val="single" w:color="auto"/>
          <w:color w:val="auto"/>
        </w:rPr>
        <w:t>Foreign Asset / Account Reporting Information</w:t>
      </w:r>
      <w:r>
        <w:rPr>
          <w:rFonts w:ascii="Arial" w:cs="Arial" w:eastAsia="Arial" w:hAnsi="Arial"/>
          <w:sz w:val="19"/>
          <w:szCs w:val="19"/>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B-4</w:t>
      </w:r>
    </w:p>
    <w:p>
      <w:pPr>
        <w:sectPr>
          <w:pgSz w:w="11900" w:h="16838" w:orient="portrait"/>
          <w:cols w:equalWidth="0" w:num="1">
            <w:col w:w="11320"/>
          </w:cols>
          <w:pgMar w:left="240" w:top="116" w:right="33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2020 EQUITY INCENTIVE PLAN</w:t>
      </w:r>
    </w:p>
    <w:p>
      <w:pPr>
        <w:jc w:val="center"/>
        <w:ind w:right="-3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terms and conditions apply if the Participant is in Quebec:</w:t>
      </w:r>
    </w:p>
    <w:p>
      <w:pPr>
        <w:spacing w:after="0" w:line="16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This provision supplements the Data Privacy Information and Consent provision in the Terms and Conditions for Participants Outside the U.S. set forth above:</w:t>
      </w:r>
    </w:p>
    <w:p>
      <w:pPr>
        <w:spacing w:after="0" w:line="12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French Language Acknowledgment</w:t>
      </w:r>
      <w:r>
        <w:rPr>
          <w:rFonts w:ascii="Arial" w:cs="Arial" w:eastAsia="Arial" w:hAnsi="Arial"/>
          <w:sz w:val="20"/>
          <w:szCs w:val="20"/>
          <w:color w:val="auto"/>
        </w:rPr>
        <w:t>. This provision supplements Section 9(q) of the Agreement:</w:t>
      </w:r>
    </w:p>
    <w:p>
      <w:pPr>
        <w:spacing w:after="0" w:line="16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23"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168"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32" w:lineRule="exact"/>
        <w:rPr>
          <w:sz w:val="20"/>
          <w:szCs w:val="20"/>
          <w:color w:val="auto"/>
        </w:rPr>
      </w:pPr>
    </w:p>
    <w:p>
      <w:pPr>
        <w:ind w:right="160"/>
        <w:spacing w:after="0" w:line="257" w:lineRule="auto"/>
        <w:rPr>
          <w:sz w:val="20"/>
          <w:szCs w:val="20"/>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B-5</w:t>
      </w:r>
    </w:p>
    <w:p>
      <w:pPr>
        <w:sectPr>
          <w:pgSz w:w="11900" w:h="16838" w:orient="portrait"/>
          <w:cols w:equalWidth="0" w:num="1">
            <w:col w:w="11380"/>
          </w:cols>
          <w:pgMar w:left="240" w:top="116" w:right="27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jc w:val="center"/>
        <w:ind w:right="-1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u w:val="single" w:color="auto"/>
          <w:color w:val="auto"/>
        </w:rPr>
        <w:t>Exchange Control Requirements</w:t>
      </w:r>
      <w:r>
        <w:rPr>
          <w:rFonts w:ascii="Arial" w:cs="Arial" w:eastAsia="Arial" w:hAnsi="Arial"/>
          <w:sz w:val="19"/>
          <w:szCs w:val="19"/>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12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38"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141"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u w:val="single" w:color="auto"/>
          <w:color w:val="auto"/>
        </w:rPr>
        <w:t>Tax Liability</w:t>
      </w:r>
      <w:r>
        <w:rPr>
          <w:rFonts w:ascii="Arial" w:cs="Arial" w:eastAsia="Arial" w:hAnsi="Arial"/>
          <w:sz w:val="20"/>
          <w:szCs w:val="20"/>
          <w:color w:val="auto"/>
        </w:rPr>
        <w:t>. Taxes are due at the time of vesting of the Performance RSUs. The Participant understands and agrees that Tax-Related Items may be taken by the Employer from the Participant’s salary or other cash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20"/>
          <w:szCs w:val="20"/>
          <w:u w:val="single" w:color="auto"/>
          <w:color w:val="auto"/>
        </w:rPr>
        <w:t>Danish Stock Option Act</w:t>
      </w:r>
      <w:r>
        <w:rPr>
          <w:rFonts w:ascii="Arial" w:cs="Arial" w:eastAsia="Arial" w:hAnsi="Arial"/>
          <w:sz w:val="20"/>
          <w:szCs w:val="20"/>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Exclusion from Termination Indemnities and Other Benefits</w:t>
      </w:r>
      <w:r>
        <w:rPr>
          <w:rFonts w:ascii="Arial" w:cs="Arial" w:eastAsia="Arial" w:hAnsi="Arial"/>
          <w:sz w:val="20"/>
          <w:szCs w:val="20"/>
          <w:color w:val="auto"/>
        </w:rPr>
        <w:t>. This provision supplements Section 9(c) in the Agreement:</w:t>
      </w:r>
    </w:p>
    <w:p>
      <w:pPr>
        <w:spacing w:after="0" w:line="162" w:lineRule="exact"/>
        <w:rPr>
          <w:sz w:val="20"/>
          <w:szCs w:val="20"/>
          <w:color w:val="auto"/>
        </w:rPr>
      </w:pPr>
    </w:p>
    <w:p>
      <w:pPr>
        <w:ind w:right="660"/>
        <w:spacing w:after="0" w:line="260" w:lineRule="auto"/>
        <w:rPr>
          <w:sz w:val="20"/>
          <w:szCs w:val="20"/>
          <w:color w:val="auto"/>
        </w:rPr>
      </w:pPr>
      <w:r>
        <w:rPr>
          <w:rFonts w:ascii="Arial" w:cs="Arial" w:eastAsia="Arial" w:hAnsi="Arial"/>
          <w:sz w:val="20"/>
          <w:szCs w:val="20"/>
          <w:color w:val="auto"/>
        </w:rPr>
        <w:t>By accepting the Performance RSUs, the Participant acknowledges that he or she understands and agrees that this grant relates to future services to be performed and is not a bonus or compensation for past services.</w:t>
      </w:r>
    </w:p>
    <w:p>
      <w:pPr>
        <w:spacing w:after="0" w:line="123"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168"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xml:space="preserve"> If the Participant transfers funds into Egypt in connection with the sale of Shares, the Participant is required to transfer the funds through a registered bank in Egypt.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B-6</w:t>
      </w:r>
    </w:p>
    <w:p>
      <w:pPr>
        <w:sectPr>
          <w:pgSz w:w="11900" w:h="16838" w:orient="portrait"/>
          <w:cols w:equalWidth="0" w:num="1">
            <w:col w:w="11420"/>
          </w:cols>
          <w:pgMar w:left="240" w:top="116"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0"/>
          <w:szCs w:val="20"/>
          <w:b w:val="1"/>
          <w:bCs w:val="1"/>
          <w:color w:val="auto"/>
        </w:rPr>
        <w:t>APPENDIX B TO</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jc w:val="center"/>
        <w:ind w:right="-1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168"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u w:val="single" w:color="auto"/>
          <w:color w:val="auto"/>
        </w:rPr>
        <w:t>French-Qualified Performance RSUs</w:t>
      </w:r>
      <w:r>
        <w:rPr>
          <w:rFonts w:ascii="Arial" w:cs="Arial" w:eastAsia="Arial" w:hAnsi="Arial"/>
          <w:sz w:val="20"/>
          <w:szCs w:val="20"/>
          <w:color w:val="auto"/>
        </w:rPr>
        <w:t>. The Performance RSUs are intended to qualify for the favorable tax and social security regime in France under Section L. 225-197-1 to L. 225-197-6-1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139"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u w:val="single" w:color="auto"/>
          <w:color w:val="auto"/>
        </w:rPr>
        <w:t>Plan Terms</w:t>
      </w:r>
      <w:r>
        <w:rPr>
          <w:rFonts w:ascii="Arial" w:cs="Arial" w:eastAsia="Arial" w:hAnsi="Arial"/>
          <w:sz w:val="18"/>
          <w:szCs w:val="18"/>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This provision supplements Section 2 in the Agreement:</w:t>
      </w:r>
    </w:p>
    <w:p>
      <w:pPr>
        <w:spacing w:after="0" w:line="16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Except in the event of the Participant’s death or Disability (as defined in the French Sub-plan and as determined under Section 2(d) of the Agreement) to benefit from the favorable tax and social security regime, no vesting shall occur prior to the first anniversary of the Date of Grant, or such other minimum period as required for the vesting period applicable to French-qualified Performance RSUs under Section L.225-197-1 of the French Commercial Code, as amended, or relevant Sections of the French Tax Code or the French Social Security Code, as amended.</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This provision supplements Section 2(d) in the Agreement:</w:t>
      </w:r>
    </w:p>
    <w:p>
      <w:pPr>
        <w:spacing w:after="0" w:line="162"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In the event the Participant becomes Disabled (as defined in the French Sub-plan and as determined under Section 2(d) of the Agreement), the Unvested Performance RSUs as of the date of the Participant’s termination shall vest in full as of the date of the termination, as determined under Section 2(d) of the Agreement.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Restriction on Transfer and Sale of Shares</w:t>
      </w:r>
      <w:r>
        <w:rPr>
          <w:rFonts w:ascii="Arial" w:cs="Arial" w:eastAsia="Arial" w:hAnsi="Arial"/>
          <w:sz w:val="20"/>
          <w:szCs w:val="20"/>
          <w:color w:val="auto"/>
        </w:rPr>
        <w:t>. This provision supplements Section 3 in the Agreement:</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Participant may not sell or transfer the Shares issued at vesting of the Performance RSUs prior to the second anniversary of each of the respective vesting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B-7</w:t>
      </w:r>
    </w:p>
    <w:p>
      <w:pPr>
        <w:sectPr>
          <w:pgSz w:w="11900" w:h="16838" w:orient="portrait"/>
          <w:cols w:equalWidth="0" w:num="1">
            <w:col w:w="11420"/>
          </w:cols>
          <w:pgMar w:left="240" w:top="118"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jc w:val="center"/>
        <w:ind w:right="-1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Further, as long as the Performance RSUs and the Shares acquired at vesting of the Performance RSUs maintain their French-qualified status, the Shares cannot be sold during certain “Closed Periods” as provided for by Section L. 225-197-1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Changes in Capitalization</w:t>
      </w:r>
      <w:r>
        <w:rPr>
          <w:rFonts w:ascii="Arial" w:cs="Arial" w:eastAsia="Arial" w:hAnsi="Arial"/>
          <w:sz w:val="20"/>
          <w:szCs w:val="20"/>
          <w:color w:val="auto"/>
        </w:rPr>
        <w:t>. This provision supplements Section 9(u) in the Agreement:</w:t>
      </w:r>
    </w:p>
    <w:p>
      <w:pPr>
        <w:spacing w:after="0" w:line="162"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Certain adjustments may disqualify the Performance RSUs, in which case they may no longer benefit from favorable tax and social security treatment in France.</w:t>
      </w:r>
    </w:p>
    <w:p>
      <w:pPr>
        <w:spacing w:after="0" w:line="123"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u w:val="single" w:color="auto"/>
          <w:color w:val="auto"/>
        </w:rPr>
        <w:t>Language Consent</w:t>
      </w:r>
      <w:r>
        <w:rPr>
          <w:rFonts w:ascii="Arial" w:cs="Arial" w:eastAsia="Arial" w:hAnsi="Arial"/>
          <w:sz w:val="20"/>
          <w:szCs w:val="20"/>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23"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76" w:lineRule="exact"/>
        <w:rPr>
          <w:sz w:val="20"/>
          <w:szCs w:val="20"/>
          <w:color w:val="auto"/>
        </w:rPr>
      </w:pPr>
    </w:p>
    <w:p>
      <w:pPr>
        <w:ind w:right="500"/>
        <w:spacing w:after="0" w:line="250" w:lineRule="auto"/>
        <w:rPr>
          <w:sz w:val="20"/>
          <w:szCs w:val="20"/>
          <w:color w:val="auto"/>
        </w:rPr>
      </w:pPr>
      <w:r>
        <w:rPr>
          <w:rFonts w:ascii="Arial" w:cs="Arial" w:eastAsia="Arial" w:hAnsi="Arial"/>
          <w:sz w:val="20"/>
          <w:szCs w:val="20"/>
          <w:i w:val="1"/>
          <w:iCs w:val="1"/>
          <w:u w:val="single" w:color="auto"/>
          <w:color w:val="auto"/>
        </w:rPr>
        <w:t>Consentement a la Langue</w:t>
      </w:r>
      <w:r>
        <w:rPr>
          <w:rFonts w:ascii="Arial" w:cs="Arial" w:eastAsia="Arial" w:hAnsi="Arial"/>
          <w:sz w:val="20"/>
          <w:szCs w:val="20"/>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32" w:lineRule="exact"/>
        <w:rPr>
          <w:sz w:val="20"/>
          <w:szCs w:val="20"/>
          <w:color w:val="auto"/>
        </w:rPr>
      </w:pPr>
    </w:p>
    <w:p>
      <w:pPr>
        <w:jc w:val="both"/>
        <w:ind w:right="340"/>
        <w:spacing w:after="0" w:line="386"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16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can be accessed via the Bundesbank’s website (www.bundesbank.de) and is available in both German and English. It is Participant’s responsibility to comply with this reporting obligation and the Participant should consult with his or her personal tax advisor in this regard.</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If the Participant’s acquisition of Shares under the Plan leads to a “qualified participation” at any point during the calendar year, the Participant will need to report the acquisition when the Participant files his or her tax return for the relevant year. A qualified participation is attained if (i) the value of the Shares acquired exceeds a certain threshold or (ii) in the unlikely event the Participant holds shares of Common Stock exceeding a certain threshold of the total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168"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u w:val="single" w:color="auto"/>
          <w:color w:val="auto"/>
        </w:rPr>
        <w:t>Sale of Shares</w:t>
      </w:r>
      <w:r>
        <w:rPr>
          <w:rFonts w:ascii="Arial" w:cs="Arial" w:eastAsia="Arial" w:hAnsi="Arial"/>
          <w:sz w:val="20"/>
          <w:szCs w:val="20"/>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B-8</w:t>
      </w:r>
    </w:p>
    <w:p>
      <w:pPr>
        <w:sectPr>
          <w:pgSz w:w="11900" w:h="16838" w:orient="portrait"/>
          <w:cols w:equalWidth="0" w:num="1">
            <w:col w:w="11420"/>
          </w:cols>
          <w:pgMar w:left="240" w:top="116"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APPENDIX B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u w:val="single" w:color="auto"/>
          <w:color w:val="auto"/>
        </w:rPr>
        <w:t>Securities Law Notice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WARNING</w:t>
      </w:r>
      <w:r>
        <w:rPr>
          <w:rFonts w:ascii="Arial" w:cs="Arial" w:eastAsia="Arial" w:hAnsi="Arial"/>
          <w:sz w:val="18"/>
          <w:szCs w:val="18"/>
          <w:i w:val="1"/>
          <w:iCs w:val="1"/>
          <w:color w:val="auto"/>
        </w:rPr>
        <w:t>: The contents of this document have not been reviewed by any regulatory authority in Hong Kong. The</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Participant should exercise 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168"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u w:val="single" w:color="auto"/>
          <w:color w:val="auto"/>
        </w:rPr>
        <w:t>Exchange Control Notification</w:t>
      </w:r>
      <w:r>
        <w:rPr>
          <w:rFonts w:ascii="Arial" w:cs="Arial" w:eastAsia="Arial" w:hAnsi="Arial"/>
          <w:sz w:val="19"/>
          <w:szCs w:val="19"/>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27"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Manner of Payment</w:t>
      </w:r>
      <w:r>
        <w:rPr>
          <w:rFonts w:ascii="Arial" w:cs="Arial" w:eastAsia="Arial" w:hAnsi="Arial"/>
          <w:sz w:val="20"/>
          <w:szCs w:val="20"/>
          <w:color w:val="auto"/>
        </w:rPr>
        <w:t>. This provision replaces Section 7 of the Agreement:</w:t>
      </w:r>
    </w:p>
    <w:p>
      <w:pPr>
        <w:spacing w:after="0" w:line="16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Notwithstanding any discretion in the Plan or the Agreement to the contrary, upon vesting of the Performance RSUs, Shares will be issued to the Participant. In no event will the Award be paid to the Participant in the form of cash.</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Exclusion from Termination Indemnities and Other Benefits</w:t>
      </w:r>
      <w:r>
        <w:rPr>
          <w:rFonts w:ascii="Arial" w:cs="Arial" w:eastAsia="Arial" w:hAnsi="Arial"/>
          <w:sz w:val="20"/>
          <w:szCs w:val="20"/>
          <w:color w:val="auto"/>
        </w:rPr>
        <w:t>. This provision supplements Section 9(c) of the Agreement:</w:t>
      </w:r>
    </w:p>
    <w:p>
      <w:pPr>
        <w:spacing w:after="0" w:line="16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By accepting the Performance RSUs, the Participant acknowledges, understands, and agrees that the benefits received under the Plan will not be taken into account for any redundancy or unfair dismissal claim.</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Isreal</w:t>
      </w:r>
    </w:p>
    <w:p>
      <w:pPr>
        <w:spacing w:after="0" w:line="168"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u w:val="single" w:color="auto"/>
          <w:color w:val="auto"/>
        </w:rPr>
        <w:t>Trust Arrangement</w:t>
      </w:r>
      <w:r>
        <w:rPr>
          <w:rFonts w:ascii="Arial" w:cs="Arial" w:eastAsia="Arial" w:hAnsi="Arial"/>
          <w:sz w:val="20"/>
          <w:szCs w:val="20"/>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B-9</w:t>
      </w:r>
    </w:p>
    <w:p>
      <w:pPr>
        <w:sectPr>
          <w:pgSz w:w="11900" w:h="16838" w:orient="portrait"/>
          <w:cols w:equalWidth="0" w:num="1">
            <w:col w:w="11420"/>
          </w:cols>
          <w:pgMar w:left="240" w:top="118"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jc w:val="center"/>
        <w:ind w:right="-1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i w:val="1"/>
          <w:iCs w:val="1"/>
          <w:color w:val="auto"/>
        </w:rPr>
        <w:t>If the Participant resides in Israel has not already signed an Israeli Appendix in connection with grants made under the Plan, then the Participant must print, sign and deliver the signed copy of the Israeli Appendix attached hereto as Appendix E within 45 days to: Stock Plan Administrator, Analog Devices, Inc., One Technology Way, Norwood, Massachusetts, 02062 U.S.A. If Analog Devices, (Israel) Ltd. or Analog Devices, Inc. does not receive the signed Israeli Appendix within 45 days, the Performance RSUs shall terminate and will become null and void.</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This provision supplements Section 2(a) in the Agreement:</w:t>
      </w:r>
    </w:p>
    <w:p>
      <w:pPr>
        <w:spacing w:after="0" w:line="162"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 This provision supplements Section 3(a) in the Agreement:</w:t>
      </w:r>
    </w:p>
    <w:p>
      <w:pPr>
        <w:spacing w:after="0" w:line="162" w:lineRule="exact"/>
        <w:rPr>
          <w:sz w:val="20"/>
          <w:szCs w:val="20"/>
          <w:color w:val="auto"/>
        </w:rPr>
      </w:pPr>
    </w:p>
    <w:p>
      <w:pPr>
        <w:jc w:val="both"/>
        <w:ind w:right="520"/>
        <w:spacing w:after="0" w:line="250" w:lineRule="auto"/>
        <w:rPr>
          <w:sz w:val="20"/>
          <w:szCs w:val="20"/>
          <w:color w:val="auto"/>
        </w:rPr>
      </w:pPr>
      <w:r>
        <w:rPr>
          <w:rFonts w:ascii="Arial" w:cs="Arial" w:eastAsia="Arial" w:hAnsi="Arial"/>
          <w:sz w:val="20"/>
          <w:szCs w:val="20"/>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Manner of Payment</w:t>
      </w:r>
      <w:r>
        <w:rPr>
          <w:rFonts w:ascii="Arial" w:cs="Arial" w:eastAsia="Arial" w:hAnsi="Arial"/>
          <w:sz w:val="20"/>
          <w:szCs w:val="20"/>
          <w:color w:val="auto"/>
        </w:rPr>
        <w:t>. This provision replaces Section 7 of the Agreement:</w:t>
      </w:r>
    </w:p>
    <w:p>
      <w:pPr>
        <w:spacing w:after="0" w:line="16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u w:val="single" w:color="auto"/>
          <w:color w:val="auto"/>
        </w:rPr>
        <w:t>Plan Document Acknowledgment</w:t>
      </w:r>
      <w:r>
        <w:rPr>
          <w:rFonts w:ascii="Arial" w:cs="Arial" w:eastAsia="Arial" w:hAnsi="Arial"/>
          <w:sz w:val="20"/>
          <w:szCs w:val="20"/>
          <w:color w:val="auto"/>
        </w:rPr>
        <w:t>. In accepting the Performance RSU, the Participant acknowledges that a copy of the Plan was made available to the Participant, and that the Participant has reviewed the Plan and the Agreement, including Appendix A, in their entirety and fully understand and accept all provisions of the Plan, the Agreement and Appendix 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Participant further acknowledges that he or she has read and specifically and expressly approves the following provision in the Agreement: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Vesting and Conversion, Withholding Taxes, and Miscellaneous.</w:t>
      </w:r>
    </w:p>
    <w:p>
      <w:pPr>
        <w:spacing w:after="0" w:line="146"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u w:val="single" w:color="auto"/>
          <w:color w:val="auto"/>
        </w:rPr>
        <w:t>Foreign Asset Tax</w:t>
      </w:r>
      <w:r>
        <w:rPr>
          <w:rFonts w:ascii="Arial" w:cs="Arial" w:eastAsia="Arial" w:hAnsi="Arial"/>
          <w:sz w:val="20"/>
          <w:szCs w:val="20"/>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138"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B-10</w:t>
      </w:r>
    </w:p>
    <w:p>
      <w:pPr>
        <w:sectPr>
          <w:pgSz w:w="11900" w:h="16838" w:orient="portrait"/>
          <w:cols w:equalWidth="0" w:num="1">
            <w:col w:w="11420"/>
          </w:cols>
          <w:pgMar w:left="240" w:top="116"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168"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u w:val="single" w:color="auto"/>
          <w:color w:val="auto"/>
        </w:rPr>
        <w:t>Foreign Asset / Account Reporting Information</w:t>
      </w:r>
      <w:r>
        <w:rPr>
          <w:rFonts w:ascii="Arial" w:cs="Arial" w:eastAsia="Arial" w:hAnsi="Arial"/>
          <w:sz w:val="19"/>
          <w:szCs w:val="19"/>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Korea</w:t>
      </w:r>
    </w:p>
    <w:p>
      <w:pPr>
        <w:spacing w:after="0" w:line="16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Director Notification</w:t>
      </w:r>
      <w:r>
        <w:rPr>
          <w:rFonts w:ascii="Arial" w:cs="Arial" w:eastAsia="Arial" w:hAnsi="Arial"/>
          <w:sz w:val="19"/>
          <w:szCs w:val="19"/>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12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This provision replaces the Data Privacy Information and Consent provision in the Terms and Conditions for Participants Outside the U.S.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B-11</w:t>
      </w:r>
    </w:p>
    <w:p>
      <w:pPr>
        <w:sectPr>
          <w:pgSz w:w="11900" w:h="16838" w:orient="portrait"/>
          <w:cols w:equalWidth="0" w:num="1">
            <w:col w:w="11420"/>
          </w:cols>
          <w:pgMar w:left="240" w:top="116" w:right="23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2020 EQUITY INCENTIVE PLAN</w:t>
      </w:r>
    </w:p>
    <w:p>
      <w:pPr>
        <w:jc w:val="center"/>
        <w:ind w:right="20"/>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51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6"/>
              </w:rPr>
              <w:t>The Participant hereby explicitly and unambiguously consents</w:t>
            </w:r>
          </w:p>
        </w:tc>
        <w:tc>
          <w:tcPr>
            <w:tcW w:w="100" w:type="dxa"/>
            <w:vAlign w:val="bottom"/>
          </w:tcPr>
          <w:p>
            <w:pPr>
              <w:spacing w:after="0"/>
              <w:rPr>
                <w:sz w:val="22"/>
                <w:szCs w:val="22"/>
                <w:color w:val="auto"/>
              </w:rPr>
            </w:pPr>
          </w:p>
        </w:tc>
        <w:tc>
          <w:tcPr>
            <w:tcW w:w="6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88"/>
              </w:rPr>
              <w:t>Peserta dengan ini secara eksplicit, secara sukarela dan tanpa sebarang</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89"/>
              </w:rPr>
              <w:t>to the collection, use and transfer, in electronic or other form,</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89"/>
              </w:rPr>
              <w:t>keraguan  mengizinkan  pengumpulan,  penggunaan  dan  pemindahan,</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91"/>
              </w:rPr>
              <w:t>of his or her personal data as described in this document by</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3"/>
              </w:rPr>
              <w:t>dalam bentuk elektronik atau lain-lain, data peribadinya seperti yang</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93"/>
              </w:rPr>
              <w:t>and among, as applicable, the Employer, and the Company</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1"/>
              </w:rPr>
              <w:t>dinyatakan dalam dokumen ini, oleh dan di antara, sebagaimana yang</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86"/>
              </w:rPr>
              <w:t>and its subsidiaries for the exclusive purpose of implementing,</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3"/>
              </w:rPr>
              <w:t>berkenaan, Majikan, Syarikat, dan mana-mana anak Syarikatnya bagi</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89"/>
              </w:rPr>
              <w:t>administering and managing the Participant’s participation in</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2"/>
              </w:rPr>
              <w:t>tujuan ekslusif untuk membantu dalam pelaksanaan, pentadbiran dan</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rPr>
              <w:t>the Plan.</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87"/>
              </w:rPr>
              <w:t>pengurusan penyertaan Peserta dalam Pelan Peserta memahami bahawa</w:t>
            </w:r>
          </w:p>
        </w:tc>
      </w:tr>
      <w:tr>
        <w:trPr>
          <w:trHeight w:val="230"/>
        </w:trPr>
        <w:tc>
          <w:tcPr>
            <w:tcW w:w="51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2"/>
              </w:rPr>
              <w:t>Syarikat dan Majikan mungkin memegang maklumat peribadi tertentu</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93"/>
              </w:rPr>
              <w:t>The  Participant  understands  that  the  Company  and  the</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89"/>
              </w:rPr>
              <w:t>tentang Peserta, termasuk, tetapi tidak terhad kepada, namanya, alamat</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93"/>
              </w:rPr>
              <w:t>Employer may hold certain personal information about the</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3"/>
              </w:rPr>
              <w:t>rumah dan nombor telefon, tarikh lahir, nombor insurans sosial atau</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96"/>
              </w:rPr>
              <w:t>Participant, including, but not limited to, his or her name,</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0"/>
              </w:rPr>
              <w:t>nombor pengenalan lain, gaji, kewarganegaraan, jawatan, apa-apa syer</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94"/>
              </w:rPr>
              <w:t>home address and telephone number, date of birth, social</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4"/>
              </w:rPr>
              <w:t>dalam saham atau jawatan pengarah yang dipegang dalam Syarikat,</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97"/>
              </w:rPr>
              <w:t>insurance number or other identification number, salary,</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1"/>
              </w:rPr>
              <w:t>butir-butir semua Performance RSUs atau apa-apa hak lain untuk syer</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89"/>
              </w:rPr>
              <w:t>nationality, job title, any shares of stock or directorships held</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3"/>
              </w:rPr>
              <w:t>dalam saham yang dianugerahkan, dibatalkan, dilaksanakan, terletak</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89"/>
              </w:rPr>
              <w:t>in the Company, details of all Performance RSUs or any other</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86"/>
              </w:rPr>
              <w:t>hak, tidak diletak hak ataupun yang belum dijelaskan bagi faedah Peserta,</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90"/>
              </w:rPr>
              <w:t>entitlement to shares of stock awarded, canceled, exercised,</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88"/>
              </w:rPr>
              <w:t>untuk tujuan eksklusif bagi melaksanakan, mentadbir dan menguruskan</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89"/>
              </w:rPr>
              <w:t>vested, unvested or outstanding in the Participant’s favor, for</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89"/>
              </w:rPr>
              <w:t>Pelan (“Data”). Sumber Data adalah daripada Majikan dan juga daripada</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87"/>
              </w:rPr>
              <w:t>the purpose of implementing, administering and managing the</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2"/>
              </w:rPr>
              <w:t>maklumat yang dibekalkan oleh Peserta kepada Syarikat dan Majikan</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90"/>
              </w:rPr>
              <w:t>Plan (“Data”). The source of the Data is the Employer as well</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4"/>
              </w:rPr>
              <w:t>berkenaan  dengan  Performance  RSUs.  Penerima  Anugerah  juga</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93"/>
              </w:rPr>
              <w:t>as information the Participant is providing to the Company</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5"/>
              </w:rPr>
              <w:t>memahami bahawa Data mungkin dipindahkan kepada Fidelity atau</w:t>
            </w:r>
          </w:p>
        </w:tc>
      </w:tr>
      <w:tr>
        <w:trPr>
          <w:trHeight w:val="230"/>
        </w:trPr>
        <w:tc>
          <w:tcPr>
            <w:tcW w:w="528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b w:val="1"/>
                <w:bCs w:val="1"/>
                <w:i w:val="1"/>
                <w:iCs w:val="1"/>
                <w:color w:val="auto"/>
                <w:w w:val="90"/>
              </w:rPr>
              <w:t>and the Employer in connection with the Performance RSUs.</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0"/>
              </w:rPr>
              <w:t>mana-mana pihak ketiga yang mungkin dipilih oleh Syarikat pada masa</w:t>
            </w:r>
          </w:p>
        </w:tc>
      </w:tr>
      <w:tr>
        <w:trPr>
          <w:trHeight w:val="230"/>
        </w:trPr>
        <w:tc>
          <w:tcPr>
            <w:tcW w:w="51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87"/>
              </w:rPr>
              <w:t>depan, yang membantu dalam pelaksanaan, pentadbiran dan pengurusan</w:t>
            </w:r>
          </w:p>
        </w:tc>
      </w:tr>
      <w:tr>
        <w:trPr>
          <w:trHeight w:val="230"/>
        </w:trPr>
        <w:tc>
          <w:tcPr>
            <w:tcW w:w="51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88"/>
              </w:rPr>
              <w:t>Pelan, bahawa penerima-penerima ini mungkin berada di negara Peserta</w:t>
            </w:r>
          </w:p>
        </w:tc>
      </w:tr>
      <w:tr>
        <w:trPr>
          <w:trHeight w:val="230"/>
        </w:trPr>
        <w:tc>
          <w:tcPr>
            <w:tcW w:w="51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1"/>
              </w:rPr>
              <w:t>atau di tempat lain, dan bahawa negara penerima (contohnya, Amerika</w:t>
            </w:r>
          </w:p>
        </w:tc>
      </w:tr>
      <w:tr>
        <w:trPr>
          <w:trHeight w:val="230"/>
        </w:trPr>
        <w:tc>
          <w:tcPr>
            <w:tcW w:w="51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5"/>
              </w:rPr>
              <w:t>Syarikat)  mungkin  mempunyai  undang-undang  privasi  data  dan</w:t>
            </w:r>
          </w:p>
        </w:tc>
      </w:tr>
      <w:tr>
        <w:trPr>
          <w:trHeight w:val="230"/>
        </w:trPr>
        <w:tc>
          <w:tcPr>
            <w:tcW w:w="51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88"/>
              </w:rPr>
              <w:t>perlindungan yang berbeza daripada negara Peserta. Peserta memahami</w:t>
            </w:r>
          </w:p>
        </w:tc>
      </w:tr>
      <w:tr>
        <w:trPr>
          <w:trHeight w:val="230"/>
        </w:trPr>
        <w:tc>
          <w:tcPr>
            <w:tcW w:w="51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2"/>
              </w:rPr>
              <w:t>bahawa  dia  boleh  meminta  senarai  nama  dan  alamat  mana-mana</w:t>
            </w:r>
          </w:p>
        </w:tc>
      </w:tr>
      <w:tr>
        <w:trPr>
          <w:trHeight w:val="230"/>
        </w:trPr>
        <w:tc>
          <w:tcPr>
            <w:tcW w:w="51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w w:val="95"/>
              </w:rPr>
              <w:t>penerima   Data   dengan   menghubungi   wakil   sumber   manusia</w:t>
            </w:r>
          </w:p>
        </w:tc>
      </w:tr>
      <w:tr>
        <w:trPr>
          <w:trHeight w:val="250"/>
        </w:trPr>
        <w:tc>
          <w:tcPr>
            <w:tcW w:w="518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i w:val="1"/>
                <w:iCs w:val="1"/>
                <w:color w:val="auto"/>
              </w:rPr>
              <w:t>tempatannya.</w:t>
            </w:r>
          </w:p>
        </w:tc>
      </w:tr>
      <w:tr>
        <w:trPr>
          <w:trHeight w:val="23"/>
        </w:trPr>
        <w:tc>
          <w:tcPr>
            <w:tcW w:w="5180" w:type="dxa"/>
            <w:vAlign w:val="bottom"/>
            <w:tcBorders>
              <w:left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Appendix B-12</w:t>
      </w:r>
    </w:p>
    <w:p>
      <w:pPr>
        <w:sectPr>
          <w:pgSz w:w="11900" w:h="16838" w:orient="portrait"/>
          <w:cols w:equalWidth="0" w:num="1">
            <w:col w:w="11440"/>
          </w:cols>
          <w:pgMar w:left="240" w:top="116" w:right="21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APPENDIX B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118" w:right="2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The Participant understands that Data may be transferred to Fidelity or any other third parties as may be selected by the Company in the future, which are assisting in the implementation, administration and management of the Plan, that these recipients may be located in the Participant’s country or elsewhere and that the recipients’ country (e.g., the United States) may have different data privacy laws and protections than the Participant’s country. The Participant understands that he or she may request a list with the names and addresses of any potential recipients of the Data by contacting his or her local human resources representative. The Participant authorizes the Company, Fidelity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including any requisite transfer of such Data as may be required to a broker or other third party with whom the Participant may elect to deposit any Shares acquired upon settlement of the Award.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Participant understands, however, that refusing or withdrawing his or her consent may affect the Participant’s ability to participate in the Plan. For more information on the consequences of a refusal to consent or withdrawal of consent, the Participant understands that he or she may contact his or her regional stock plan administrator at 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32848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Peserta memberi kuasa kepada Syarikat, Fidelity, dan mana-mana penerima lain yang mungkin membantu Syarikat (masa sekarang atau pada masa depan) untuk melaksanakan, mentadbir dan menguruskan penyertaan Peserta dalam Pelan untuk menerima, memiliki, menggunakan, mengekalkan dan memindahkan Data, dalam bentuk elektronik atau lain-lain, semata-mata dengan tujuan untuk melaksanakan, mentadbir dan menguruskan penyertaan Peserta dalam Pelan, termasuk apa-apa pemindahan Data yang diperlukan kepada broker atau pihak ketiga dengan siapa Peserta mungkin pilih untuk mendepositkan apa-apa Saham yang diperolehi di atas penyelesaian Anugera</w:t>
      </w:r>
      <w:r>
        <w:rPr>
          <w:rFonts w:ascii="Arial" w:cs="Arial" w:eastAsia="Arial" w:hAnsi="Arial"/>
          <w:sz w:val="16"/>
          <w:szCs w:val="16"/>
          <w:b w:val="1"/>
          <w:bCs w:val="1"/>
          <w:i w:val="1"/>
          <w:iCs w:val="1"/>
          <w:color w:val="222222"/>
        </w:rPr>
        <w:t>h. Peserta memahami bahawa Data akan dipegang hanya untuk</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i w:val="1"/>
          <w:iCs w:val="1"/>
          <w:color w:val="222222"/>
        </w:rPr>
        <w:t>tempoh yang diperlukan untuk melaksanakan, mentadbir dan menguruskan penyertaannya d</w:t>
      </w:r>
      <w:r>
        <w:rPr>
          <w:rFonts w:ascii="Arial" w:cs="Arial" w:eastAsia="Arial" w:hAnsi="Arial"/>
          <w:sz w:val="16"/>
          <w:szCs w:val="16"/>
          <w:b w:val="1"/>
          <w:bCs w:val="1"/>
          <w:i w:val="1"/>
          <w:iCs w:val="1"/>
          <w:color w:val="000000"/>
        </w:rPr>
        <w:t>alam Pelan ters</w:t>
      </w:r>
      <w:r>
        <w:rPr>
          <w:rFonts w:ascii="Arial" w:cs="Arial" w:eastAsia="Arial" w:hAnsi="Arial"/>
          <w:sz w:val="16"/>
          <w:szCs w:val="16"/>
          <w:b w:val="1"/>
          <w:bCs w:val="1"/>
          <w:i w:val="1"/>
          <w:iCs w:val="1"/>
          <w:color w:val="222222"/>
        </w:rPr>
        <w:t>eb</w:t>
      </w:r>
      <w:r>
        <w:rPr>
          <w:rFonts w:ascii="Arial" w:cs="Arial" w:eastAsia="Arial" w:hAnsi="Arial"/>
          <w:sz w:val="16"/>
          <w:szCs w:val="16"/>
          <w:b w:val="1"/>
          <w:bCs w:val="1"/>
          <w:i w:val="1"/>
          <w:iCs w:val="1"/>
          <w:color w:val="000000"/>
        </w:rPr>
        <w:t>ut. Peserta memahami</w:t>
      </w:r>
      <w:r>
        <w:rPr>
          <w:rFonts w:ascii="Arial" w:cs="Arial" w:eastAsia="Arial" w:hAnsi="Arial"/>
          <w:sz w:val="16"/>
          <w:szCs w:val="16"/>
          <w:b w:val="1"/>
          <w:bCs w:val="1"/>
          <w:i w:val="1"/>
          <w:iCs w:val="1"/>
          <w:color w:val="222222"/>
        </w:rPr>
        <w:t xml:space="preserve"> </w:t>
      </w:r>
      <w:r>
        <w:rPr>
          <w:rFonts w:ascii="Arial" w:cs="Arial" w:eastAsia="Arial" w:hAnsi="Arial"/>
          <w:sz w:val="16"/>
          <w:szCs w:val="16"/>
          <w:b w:val="1"/>
          <w:bCs w:val="1"/>
          <w:i w:val="1"/>
          <w:iCs w:val="1"/>
          <w:color w:val="000000"/>
        </w:rPr>
        <w:t>bahawa dia boleh, pada bila-bila ma</w:t>
      </w:r>
      <w:r>
        <w:rPr>
          <w:rFonts w:ascii="Arial" w:cs="Arial" w:eastAsia="Arial" w:hAnsi="Arial"/>
          <w:sz w:val="16"/>
          <w:szCs w:val="16"/>
          <w:b w:val="1"/>
          <w:bCs w:val="1"/>
          <w:i w:val="1"/>
          <w:iCs w:val="1"/>
          <w:color w:val="222222"/>
        </w:rPr>
        <w:t>sa, melihat data, meminta maklumat</w:t>
      </w:r>
      <w:r>
        <w:rPr>
          <w:rFonts w:ascii="Arial" w:cs="Arial" w:eastAsia="Arial" w:hAnsi="Arial"/>
          <w:sz w:val="16"/>
          <w:szCs w:val="16"/>
          <w:b w:val="1"/>
          <w:bCs w:val="1"/>
          <w:i w:val="1"/>
          <w:iCs w:val="1"/>
          <w:color w:val="000000"/>
        </w:rPr>
        <w:t xml:space="preserve"> </w:t>
      </w:r>
      <w:r>
        <w:rPr>
          <w:rFonts w:ascii="Arial" w:cs="Arial" w:eastAsia="Arial" w:hAnsi="Arial"/>
          <w:sz w:val="16"/>
          <w:szCs w:val="16"/>
          <w:b w:val="1"/>
          <w:bCs w:val="1"/>
          <w:i w:val="1"/>
          <w:iCs w:val="1"/>
          <w:color w:val="222222"/>
        </w:rPr>
        <w:t>tambahan mengenai penyimpanan dan pemprosesan Data, meminta bahawa pindaan-pindaan dilaksanakan ke atas Data atau menolak atau menarik balik persetujuan dalam ini, dalam mana-mana kes, tanpa kos, dengan menghubungi secara bertulis wakil sumber manusia tempatannya. Pese</w:t>
      </w:r>
      <w:r>
        <w:rPr>
          <w:rFonts w:ascii="Arial" w:cs="Arial" w:eastAsia="Arial" w:hAnsi="Arial"/>
          <w:sz w:val="16"/>
          <w:szCs w:val="16"/>
          <w:b w:val="1"/>
          <w:bCs w:val="1"/>
          <w:i w:val="1"/>
          <w:iCs w:val="1"/>
          <w:color w:val="000000"/>
        </w:rPr>
        <w:t>rta memah</w:t>
      </w:r>
      <w:r>
        <w:rPr>
          <w:rFonts w:ascii="Arial" w:cs="Arial" w:eastAsia="Arial" w:hAnsi="Arial"/>
          <w:sz w:val="16"/>
          <w:szCs w:val="16"/>
          <w:b w:val="1"/>
          <w:bCs w:val="1"/>
          <w:i w:val="1"/>
          <w:iCs w:val="1"/>
          <w:color w:val="222222"/>
        </w:rPr>
        <w:t xml:space="preserve">ami bahawa keengganan atau penarikan balik persetujuannya boleh menjejaskan keupayaannya untuk mengambil bahagian </w:t>
      </w:r>
      <w:r>
        <w:rPr>
          <w:rFonts w:ascii="Arial" w:cs="Arial" w:eastAsia="Arial" w:hAnsi="Arial"/>
          <w:sz w:val="16"/>
          <w:szCs w:val="16"/>
          <w:b w:val="1"/>
          <w:bCs w:val="1"/>
          <w:i w:val="1"/>
          <w:iCs w:val="1"/>
          <w:color w:val="000000"/>
        </w:rPr>
        <w:t>dalam</w:t>
      </w:r>
      <w:r>
        <w:rPr>
          <w:rFonts w:ascii="Arial" w:cs="Arial" w:eastAsia="Arial" w:hAnsi="Arial"/>
          <w:sz w:val="16"/>
          <w:szCs w:val="16"/>
          <w:b w:val="1"/>
          <w:bCs w:val="1"/>
          <w:i w:val="1"/>
          <w:iCs w:val="1"/>
          <w:color w:val="222222"/>
        </w:rPr>
        <w:t xml:space="preserve"> Pelan. Untuk maklumat lanjut mengenai akibat keen</w:t>
      </w:r>
      <w:r>
        <w:rPr>
          <w:rFonts w:ascii="Arial" w:cs="Arial" w:eastAsia="Arial" w:hAnsi="Arial"/>
          <w:sz w:val="16"/>
          <w:szCs w:val="16"/>
          <w:b w:val="1"/>
          <w:bCs w:val="1"/>
          <w:i w:val="1"/>
          <w:iCs w:val="1"/>
          <w:color w:val="000000"/>
        </w:rPr>
        <w:t>gga</w:t>
      </w:r>
      <w:r>
        <w:rPr>
          <w:rFonts w:ascii="Arial" w:cs="Arial" w:eastAsia="Arial" w:hAnsi="Arial"/>
          <w:sz w:val="16"/>
          <w:szCs w:val="16"/>
          <w:b w:val="1"/>
          <w:bCs w:val="1"/>
          <w:i w:val="1"/>
          <w:iCs w:val="1"/>
          <w:color w:val="222222"/>
        </w:rPr>
        <w:t>nannya untuk memberikan keizinan atau penarikan balik keizinan, Peserta fahami bahawa dia boleh menghubungi pentadbir pelan saham sera</w:t>
      </w:r>
      <w:r>
        <w:rPr>
          <w:rFonts w:ascii="Arial" w:cs="Arial" w:eastAsia="Arial" w:hAnsi="Arial"/>
          <w:sz w:val="16"/>
          <w:szCs w:val="16"/>
          <w:b w:val="1"/>
          <w:bCs w:val="1"/>
          <w:i w:val="1"/>
          <w:iCs w:val="1"/>
          <w:color w:val="000000"/>
        </w:rPr>
        <w:t>ntau di Stock_Plan_Admin@An</w:t>
      </w:r>
      <w:r>
        <w:rPr>
          <w:rFonts w:ascii="Arial" w:cs="Arial" w:eastAsia="Arial" w:hAnsi="Arial"/>
          <w:sz w:val="16"/>
          <w:szCs w:val="16"/>
          <w:b w:val="1"/>
          <w:bCs w:val="1"/>
          <w:i w:val="1"/>
          <w:iCs w:val="1"/>
          <w:color w:val="222222"/>
        </w:rPr>
        <w:t>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2031365</wp:posOffset>
            </wp:positionV>
            <wp:extent cx="39020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729" w:lineRule="exact"/>
        <w:rPr>
          <w:sz w:val="20"/>
          <w:szCs w:val="20"/>
          <w:color w:val="auto"/>
        </w:rPr>
      </w:pPr>
    </w:p>
    <w:p>
      <w:pPr>
        <w:sectPr>
          <w:pgSz w:w="11900" w:h="16838" w:orient="portrait"/>
          <w:cols w:equalWidth="0" w:num="2">
            <w:col w:w="5080" w:space="200"/>
            <w:col w:w="6100"/>
          </w:cols>
          <w:pgMar w:left="260" w:top="118"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Appendix B-13</w:t>
      </w:r>
    </w:p>
    <w:p>
      <w:pPr>
        <w:sectPr>
          <w:pgSz w:w="11900" w:h="16838" w:orient="portrait"/>
          <w:cols w:equalWidth="0" w:num="1">
            <w:col w:w="11380"/>
          </w:cols>
          <w:pgMar w:left="260" w:top="118" w:right="25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168" w:lineRule="exact"/>
        <w:rPr>
          <w:sz w:val="20"/>
          <w:szCs w:val="20"/>
          <w:color w:val="auto"/>
        </w:rPr>
      </w:pPr>
    </w:p>
    <w:p>
      <w:pPr>
        <w:ind w:right="60"/>
        <w:spacing w:after="0" w:line="316" w:lineRule="auto"/>
        <w:rPr>
          <w:sz w:val="20"/>
          <w:szCs w:val="20"/>
          <w:color w:val="auto"/>
        </w:rPr>
      </w:pPr>
      <w:r>
        <w:rPr>
          <w:rFonts w:ascii="Arial" w:cs="Arial" w:eastAsia="Arial" w:hAnsi="Arial"/>
          <w:sz w:val="16"/>
          <w:szCs w:val="16"/>
          <w:u w:val="single" w:color="auto"/>
          <w:color w:val="auto"/>
        </w:rPr>
        <w:t>Acknowledgment of the Agreement</w:t>
      </w:r>
      <w:r>
        <w:rPr>
          <w:rFonts w:ascii="Arial" w:cs="Arial" w:eastAsia="Arial" w:hAnsi="Arial"/>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8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Labor Law Policy and Acknowledgment</w:t>
      </w:r>
      <w:r>
        <w:rPr>
          <w:rFonts w:ascii="Arial" w:cs="Arial" w:eastAsia="Arial" w:hAnsi="Arial"/>
          <w:sz w:val="20"/>
          <w:szCs w:val="20"/>
          <w:color w:val="auto"/>
        </w:rPr>
        <w:t>. By participating in the Plan, the Participant expressly recognizes that Analog Devices, Inc., with registered offices at One Technology Way, Norwood, Massachusetts, 02062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u w:val="single" w:color="auto"/>
          <w:color w:val="auto"/>
        </w:rPr>
        <w:t>Reconocimiento del Contrato</w:t>
      </w:r>
      <w:r>
        <w:rPr>
          <w:rFonts w:ascii="Arial" w:cs="Arial" w:eastAsia="Arial" w:hAnsi="Arial"/>
          <w:sz w:val="18"/>
          <w:szCs w:val="18"/>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B-14</w:t>
      </w:r>
    </w:p>
    <w:p>
      <w:pPr>
        <w:sectPr>
          <w:pgSz w:w="11900" w:h="16838" w:orient="portrait"/>
          <w:cols w:equalWidth="0" w:num="1">
            <w:col w:w="11420"/>
          </w:cols>
          <w:pgMar w:left="240" w:top="116"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jc w:val="center"/>
        <w:ind w:right="-1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u w:val="single" w:color="auto"/>
          <w:color w:val="auto"/>
        </w:rPr>
        <w:t>Política de Legislación Laboral y Reconocimiento</w:t>
      </w:r>
      <w:r>
        <w:rPr>
          <w:rFonts w:ascii="Arial" w:cs="Arial" w:eastAsia="Arial" w:hAnsi="Arial"/>
          <w:sz w:val="19"/>
          <w:szCs w:val="19"/>
          <w:i w:val="1"/>
          <w:iCs w:val="1"/>
          <w:color w:val="auto"/>
        </w:rPr>
        <w:t>. Al participar en el Plan, usted reconoce expresamente que Analog Devices, Inc., con oficinas registradas en One Technology Way, Norwood, Massachusetts, 02062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 Entitlement</w:t>
      </w:r>
      <w:r>
        <w:rPr>
          <w:rFonts w:ascii="Arial" w:cs="Arial" w:eastAsia="Arial" w:hAnsi="Arial"/>
          <w:sz w:val="20"/>
          <w:szCs w:val="20"/>
          <w:color w:val="auto"/>
        </w:rPr>
        <w:t>. This provision supplements Section 9(d) of the Agreement:</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By accepting the RSU, the Participant acknowledges that the RSU is intended as an incentive for the Participant to remain employed with the Employer and is not intended as remuneration for labor performed.</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168"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securities being offered or sold herein have not been registered with the Philippines Securities and Exchange Commission (“PSEC”) under its Securities Regulation Code (the “SRC”).</w:t>
      </w:r>
    </w:p>
    <w:p>
      <w:pPr>
        <w:spacing w:after="0" w:line="123"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The grant of Performance RSUs is being made pursuant to an exemption from registration under Section 10.2 of the SRC that has been approved by the PSEC.</w:t>
      </w:r>
    </w:p>
    <w:p>
      <w:pPr>
        <w:spacing w:after="0" w:line="123"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B-15</w:t>
      </w:r>
    </w:p>
    <w:p>
      <w:pPr>
        <w:sectPr>
          <w:pgSz w:w="11900" w:h="16838" w:orient="portrait"/>
          <w:cols w:equalWidth="0" w:num="1">
            <w:col w:w="11420"/>
          </w:cols>
          <w:pgMar w:left="240" w:top="116"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138"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Arial" w:cs="Arial" w:eastAsia="Arial" w:hAnsi="Arial"/>
          <w:sz w:val="20"/>
          <w:szCs w:val="20"/>
          <w:i w:val="1"/>
          <w:iCs w:val="1"/>
          <w:color w:val="auto"/>
        </w:rPr>
        <w:t>If the Participant has questions with regard to the application of</w:t>
      </w:r>
      <w:r>
        <w:rPr>
          <w:rFonts w:ascii="Arial" w:cs="Arial" w:eastAsia="Arial" w:hAnsi="Arial"/>
          <w:sz w:val="20"/>
          <w:szCs w:val="20"/>
          <w:color w:val="auto"/>
        </w:rPr>
        <w:t xml:space="preserve"> </w:t>
      </w:r>
      <w:r>
        <w:rPr>
          <w:rFonts w:ascii="Arial" w:cs="Arial" w:eastAsia="Arial" w:hAnsi="Arial"/>
          <w:sz w:val="20"/>
          <w:szCs w:val="20"/>
          <w:i w:val="1"/>
          <w:iCs w:val="1"/>
          <w:color w:val="auto"/>
        </w:rPr>
        <w:t>Philippines securities laws to the disposal or sale of Shares acquired under the Plan the Participant should consult with his or her legal advisor.</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168"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168"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16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grant of Performance RSUs and the issuance of any Shares are not subject to the regulations concerning public offers and private placements under the Law on Capital Markets.</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B-16</w:t>
      </w:r>
    </w:p>
    <w:p>
      <w:pPr>
        <w:sectPr>
          <w:pgSz w:w="11900" w:h="16838" w:orient="portrait"/>
          <w:cols w:equalWidth="0" w:num="1">
            <w:col w:w="11420"/>
          </w:cols>
          <w:pgMar w:left="240" w:top="116"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0"/>
          <w:szCs w:val="20"/>
          <w:b w:val="1"/>
          <w:bCs w:val="1"/>
          <w:color w:val="auto"/>
        </w:rPr>
        <w:t>APPENDIX B TO</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jc w:val="center"/>
        <w:ind w:right="-1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168"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Performance RSUs were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w:t>
      </w:r>
    </w:p>
    <w:p>
      <w:pPr>
        <w:spacing w:after="0" w:line="125"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u w:val="single" w:color="auto"/>
          <w:color w:val="auto"/>
        </w:rPr>
        <w:t>Chief Executive Officer and Director Notification</w:t>
      </w:r>
      <w:r>
        <w:rPr>
          <w:rFonts w:ascii="Arial" w:cs="Arial" w:eastAsia="Arial" w:hAnsi="Arial"/>
          <w:sz w:val="18"/>
          <w:szCs w:val="18"/>
          <w:color w:val="auto"/>
        </w:rPr>
        <w:t>. If the Participant is the Chief Executive Officer (“CEO”) or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Arial" w:cs="Arial" w:eastAsia="Arial" w:hAnsi="Arial"/>
          <w:sz w:val="18"/>
          <w:szCs w:val="18"/>
          <w:i w:val="1"/>
          <w:iCs w:val="1"/>
          <w:color w:val="auto"/>
        </w:rPr>
        <w:t>e.g.</w:t>
      </w:r>
      <w:r>
        <w:rPr>
          <w:rFonts w:ascii="Arial" w:cs="Arial" w:eastAsia="Arial" w:hAnsi="Arial"/>
          <w:sz w:val="18"/>
          <w:szCs w:val="18"/>
          <w:color w:val="auto"/>
        </w:rPr>
        <w:t xml:space="preserve"> upon vesting of the Performance RSUs or when Shares are subsequently sold). In addition, a notification must be made of the Participant’s interests in the Company or any related company within two (2) business days of becoming a CEO or director, associate director, or shadow director.</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 Entitlement</w:t>
      </w:r>
      <w:r>
        <w:rPr>
          <w:rFonts w:ascii="Arial" w:cs="Arial" w:eastAsia="Arial" w:hAnsi="Arial"/>
          <w:sz w:val="20"/>
          <w:szCs w:val="20"/>
          <w:color w:val="auto"/>
        </w:rPr>
        <w:t>. This provision supplements Section 9(d) of the Agreement:</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any Performance RSUs will not economically or otherwise bind the Company or any of its subsidiaries on an ongoing basis. Consequently, the Participant understands that the Performance RSUs are granted on the assumption and condition that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B-17</w:t>
      </w:r>
    </w:p>
    <w:p>
      <w:pPr>
        <w:sectPr>
          <w:pgSz w:w="11900" w:h="16838" w:orient="portrait"/>
          <w:cols w:equalWidth="0" w:num="1">
            <w:col w:w="11420"/>
          </w:cols>
          <w:pgMar w:left="240" w:top="118"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jc w:val="center"/>
        <w:ind w:right="-1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Arial" w:cs="Arial" w:eastAsia="Arial" w:hAnsi="Arial"/>
          <w:sz w:val="16"/>
          <w:szCs w:val="16"/>
          <w:i w:val="1"/>
          <w:iCs w:val="1"/>
          <w:color w:val="auto"/>
        </w:rPr>
        <w:t>despido improcedente</w:t>
      </w:r>
      <w:r>
        <w:rPr>
          <w:rFonts w:ascii="Arial" w:cs="Arial" w:eastAsia="Arial" w:hAnsi="Arial"/>
          <w:sz w:val="16"/>
          <w:szCs w:val="16"/>
          <w:color w:val="auto"/>
        </w:rPr>
        <w:t>”);</w:t>
      </w:r>
    </w:p>
    <w:p>
      <w:pPr>
        <w:spacing w:after="0" w:line="3" w:lineRule="exact"/>
        <w:rPr>
          <w:sz w:val="20"/>
          <w:szCs w:val="20"/>
          <w:color w:val="auto"/>
        </w:rPr>
      </w:pPr>
    </w:p>
    <w:p>
      <w:pPr>
        <w:ind w:firstLine="8"/>
        <w:spacing w:after="0" w:line="254" w:lineRule="auto"/>
        <w:tabs>
          <w:tab w:leader="none" w:pos="2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The Participant acknowledges that he or she has read and specifically accepts the conditions referred to in Section 2 of the Agreement.</w:t>
      </w:r>
    </w:p>
    <w:p>
      <w:pPr>
        <w:spacing w:after="0" w:line="173" w:lineRule="exact"/>
        <w:rPr>
          <w:sz w:val="20"/>
          <w:szCs w:val="20"/>
          <w:color w:val="auto"/>
        </w:rPr>
      </w:pPr>
    </w:p>
    <w:p>
      <w:pPr>
        <w:spacing w:after="0" w:line="282" w:lineRule="auto"/>
        <w:rPr>
          <w:sz w:val="20"/>
          <w:szCs w:val="20"/>
          <w:color w:val="auto"/>
        </w:rPr>
      </w:pPr>
      <w:r>
        <w:rPr>
          <w:rFonts w:ascii="Arial" w:cs="Arial" w:eastAsia="Arial" w:hAnsi="Arial"/>
          <w:sz w:val="18"/>
          <w:szCs w:val="18"/>
          <w:u w:val="single" w:color="auto"/>
          <w:color w:val="auto"/>
        </w:rPr>
        <w:t>Securities Law Notification</w:t>
      </w:r>
      <w:r>
        <w:rPr>
          <w:rFonts w:ascii="Arial" w:cs="Arial" w:eastAsia="Arial" w:hAnsi="Arial"/>
          <w:sz w:val="18"/>
          <w:szCs w:val="18"/>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Arial" w:cs="Arial" w:eastAsia="Arial" w:hAnsi="Arial"/>
          <w:sz w:val="18"/>
          <w:szCs w:val="18"/>
          <w:i w:val="1"/>
          <w:iCs w:val="1"/>
          <w:color w:val="auto"/>
        </w:rPr>
        <w:t>Comisión Nacional del Mercado de Valores</w:t>
      </w:r>
      <w:r>
        <w:rPr>
          <w:rFonts w:ascii="Arial" w:cs="Arial" w:eastAsia="Arial" w:hAnsi="Arial"/>
          <w:sz w:val="18"/>
          <w:szCs w:val="18"/>
          <w:color w:val="auto"/>
        </w:rPr>
        <w:t>, and does not constitute a public offering prospectus.</w:t>
      </w:r>
    </w:p>
    <w:p>
      <w:pPr>
        <w:spacing w:after="0" w:line="10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u w:val="single" w:color="auto"/>
          <w:color w:val="auto"/>
        </w:rPr>
        <w:t>Exchange Control Notification</w:t>
      </w:r>
      <w:r>
        <w:rPr>
          <w:rFonts w:ascii="Arial" w:cs="Arial" w:eastAsia="Arial" w:hAnsi="Arial"/>
          <w:sz w:val="18"/>
          <w:szCs w:val="18"/>
          <w:color w:val="auto"/>
        </w:rPr>
        <w:t xml:space="preserve">. The Participant acknowledges that he or she must declare any Shares that are acquired under the Plan to the </w:t>
      </w:r>
      <w:r>
        <w:rPr>
          <w:rFonts w:ascii="Arial" w:cs="Arial" w:eastAsia="Arial" w:hAnsi="Arial"/>
          <w:sz w:val="18"/>
          <w:szCs w:val="18"/>
          <w:i w:val="1"/>
          <w:iCs w:val="1"/>
          <w:color w:val="auto"/>
        </w:rPr>
        <w:t xml:space="preserve">Dirección General de Comercio e Inversiones </w:t>
      </w:r>
      <w:r>
        <w:rPr>
          <w:rFonts w:ascii="Arial" w:cs="Arial" w:eastAsia="Arial" w:hAnsi="Arial"/>
          <w:sz w:val="18"/>
          <w:szCs w:val="18"/>
          <w:color w:val="auto"/>
        </w:rPr>
        <w:t>of the Ministry of Economy and Competitiveness (the “DGCI”). After the initial declaration,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declaration must be filed with the DGCI on an annual basis each January while the shares are owned; however, if the value of the Shares or the sale proceeds exceed a certain amount, a declaration must be filed within one month of the acquisition or sale, as applicable.</w:t>
      </w:r>
    </w:p>
    <w:p>
      <w:pPr>
        <w:spacing w:after="0" w:line="108"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u w:val="single" w:color="auto"/>
          <w:color w:val="auto"/>
        </w:rPr>
        <w:t>Foreign Asset / Account Reporting Information</w:t>
      </w:r>
      <w:r>
        <w:rPr>
          <w:rFonts w:ascii="Arial" w:cs="Arial" w:eastAsia="Arial" w:hAnsi="Arial"/>
          <w:sz w:val="19"/>
          <w:szCs w:val="19"/>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125"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B-18</w:t>
      </w:r>
    </w:p>
    <w:p>
      <w:pPr>
        <w:sectPr>
          <w:pgSz w:w="11900" w:h="16838" w:orient="portrait"/>
          <w:cols w:equalWidth="0" w:num="1">
            <w:col w:w="11400"/>
          </w:cols>
          <w:pgMar w:left="240" w:top="116" w:right="25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20"/>
          <w:szCs w:val="20"/>
          <w:b w:val="1"/>
          <w:bCs w:val="1"/>
          <w:color w:val="auto"/>
        </w:rPr>
        <w:t>APPENDIX B TO</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2020 EQUITY INCENTIVE PLAN</w:t>
      </w:r>
    </w:p>
    <w:p>
      <w:pPr>
        <w:jc w:val="center"/>
        <w:ind w:right="-5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168"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grant of Performance RSUs and the issuance of any Shares is not intended to be a public offering in Switzerland and is therefore not subject to registration in Switzerland. Neither this document nor any materials relating to the Performance RSUs constitutes a prospectus as such term is understood pursuant to article 652a of the Swiss Code of Obligations, and neither this document nor any other materials relating to the Performance RSUs may be publicly distributed nor otherwise made publicly available in Switzerland. Neither this document nor any other offering or marketing material relating to the Performance RSUs has been or will be filed with, approved or supervised by any Swiss regulatory authority (in particular, the Swiss Financial Supervisory Authority (FINMA)).</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111"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Performance RSUs and participation in the Plan is made available only to employees of the Company and the Employer. It is not a public offer of securities by a Taiwanese company. Therefore, it is exempt from registration in Taiwan.</w:t>
      </w:r>
    </w:p>
    <w:p>
      <w:pPr>
        <w:spacing w:after="0" w:line="99"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Individuals may acquire foreign currency (including proceeds from the sale of Shares) into Taiwan up to US$5,000,000 per year without justification.</w:t>
      </w:r>
    </w:p>
    <w:p>
      <w:pPr>
        <w:spacing w:after="0" w:line="123"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168" w:lineRule="exact"/>
        <w:rPr>
          <w:sz w:val="20"/>
          <w:szCs w:val="20"/>
          <w:color w:val="auto"/>
        </w:rPr>
      </w:pPr>
    </w:p>
    <w:p>
      <w:pPr>
        <w:jc w:val="both"/>
        <w:ind w:right="480"/>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32"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B-19</w:t>
      </w:r>
    </w:p>
    <w:p>
      <w:pPr>
        <w:sectPr>
          <w:pgSz w:w="11900" w:h="16838" w:orient="portrait"/>
          <w:cols w:equalWidth="0" w:num="1">
            <w:col w:w="11360"/>
          </w:cols>
          <w:pgMar w:left="240" w:top="118" w:right="29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jc w:val="center"/>
        <w:ind w:right="-1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This provision supplements Section 6 of the Agreement:</w:t>
      </w:r>
    </w:p>
    <w:p>
      <w:pPr>
        <w:spacing w:after="0" w:line="162"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Without limitation to Section 6 of the Agreement, the Participant agrees that the Participant is liable for all Tax-Related Items and hereby covenants to pay all such Tax-Related Items, as and when requested by the Company or the Employer or by Her Majesty’s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27"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recovered from the Participant by any of the means referred to in Section 6 of the Agreement.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Manner of Payment</w:t>
      </w:r>
      <w:r>
        <w:rPr>
          <w:rFonts w:ascii="Arial" w:cs="Arial" w:eastAsia="Arial" w:hAnsi="Arial"/>
          <w:sz w:val="20"/>
          <w:szCs w:val="20"/>
          <w:color w:val="auto"/>
        </w:rPr>
        <w:t>. This provision replaces Section 7 of the Agreement:</w:t>
      </w:r>
    </w:p>
    <w:p>
      <w:pPr>
        <w:spacing w:after="0" w:line="162"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23" w:lineRule="exact"/>
        <w:rPr>
          <w:sz w:val="20"/>
          <w:szCs w:val="20"/>
          <w:color w:val="auto"/>
        </w:rPr>
      </w:pPr>
    </w:p>
    <w:p>
      <w:pPr>
        <w:jc w:val="both"/>
        <w:ind w:right="380"/>
        <w:spacing w:after="0" w:line="250" w:lineRule="auto"/>
        <w:rPr>
          <w:sz w:val="20"/>
          <w:szCs w:val="20"/>
          <w:color w:val="auto"/>
        </w:rPr>
      </w:pPr>
      <w:r>
        <w:rPr>
          <w:rFonts w:ascii="Arial" w:cs="Arial" w:eastAsia="Arial" w:hAnsi="Arial"/>
          <w:sz w:val="20"/>
          <w:szCs w:val="20"/>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132"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u w:val="single" w:color="auto"/>
          <w:color w:val="auto"/>
        </w:rPr>
        <w:t>Joint Election</w:t>
      </w:r>
      <w:r>
        <w:rPr>
          <w:rFonts w:ascii="Arial" w:cs="Arial" w:eastAsia="Arial" w:hAnsi="Arial"/>
          <w:sz w:val="19"/>
          <w:szCs w:val="19"/>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11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B-20</w:t>
      </w:r>
    </w:p>
    <w:p>
      <w:pPr>
        <w:sectPr>
          <w:pgSz w:w="11900" w:h="16838" w:orient="portrait"/>
          <w:cols w:equalWidth="0" w:num="1">
            <w:col w:w="11400"/>
          </w:cols>
          <w:pgMar w:left="240" w:top="116" w:right="259" w:bottom="1440" w:gutter="0" w:footer="0" w:header="0"/>
        </w:sectPr>
      </w:pPr>
    </w:p>
    <w:bookmarkStart w:id="72" w:name="page73"/>
    <w:bookmarkEnd w:id="72"/>
    <w:p>
      <w:pPr>
        <w:jc w:val="center"/>
        <w:ind w:right="-119"/>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2020 EQUITY INCENTIVE PLAN</w:t>
      </w:r>
    </w:p>
    <w:p>
      <w:pPr>
        <w:jc w:val="center"/>
        <w:ind w:right="-11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20"/>
          <w:szCs w:val="20"/>
          <w:i w:val="1"/>
          <w:iCs w:val="1"/>
          <w:color w:val="auto"/>
        </w:rPr>
        <w:t>The Joint Election is attached hereto as Appendix F.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B-21</w:t>
      </w:r>
    </w:p>
    <w:p>
      <w:pPr>
        <w:sectPr>
          <w:pgSz w:w="11900" w:h="16838" w:orient="portrait"/>
          <w:cols w:equalWidth="0" w:num="1">
            <w:col w:w="11320"/>
          </w:cols>
          <w:pgMar w:left="240" w:top="116"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9"/>
          <w:szCs w:val="19"/>
          <w:b w:val="1"/>
          <w:bCs w:val="1"/>
          <w:color w:val="auto"/>
        </w:rPr>
        <w:t>PPENDIX 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OFFER DOCUMENT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OFFER OF PERFORMANCE RESTRICTED STOCK UNITS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 AUSTRALIAN RESIDENT EMPLOYEES</w:t>
      </w:r>
    </w:p>
    <w:p>
      <w:pPr>
        <w:spacing w:after="0" w:line="200" w:lineRule="exact"/>
        <w:rPr>
          <w:sz w:val="20"/>
          <w:szCs w:val="20"/>
          <w:color w:val="auto"/>
        </w:rPr>
      </w:pPr>
    </w:p>
    <w:p>
      <w:pPr>
        <w:spacing w:after="0" w:line="331"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auto"/>
        </w:rPr>
        <w:t>Investment in shares involves a degree of risk. Eligible employees who elect to participate in the Plan should monitor their participation and consider all risk factors relevant to the acquisition of shares of common stock under the Plan as set out in this Offer Document and the Additional Documents.</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Any information contained in this Offer Document and the Additional Documents is general in nature. It is not advice or information specific to your particular circumstances.</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Employees should consider obtaining their own financial product advice from an independent person who is licensed by the Australian Securities and Investments Commission to give such advice.</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pleased to provide you with this offer to participate in the Analog Devices, Inc. 2020 Equity Incentive Plan (the “Plan”). This Offer Document sets out information regarding the grant of performance restricted stock units (“Performance RSUs”) over shares of common stock (“Shares”) of Analog Devices, Inc. (the “Company”) to Australian resident employees and directors of the Company and its Australian Subsidiary.</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has adopted the Plan to enable the Company and its subsidiaries to attract, retain and motivate their employees by providing such persons with equity ownership opportunities that are intended to better align the interests of such persons with those of the Company’s stockholders. The Plan and this Offer Document are intended to comply with the provisions of the Corporations Act 2001, ASIC Regulatory Guide 49 and ASIC Class Order CO 14/1000.</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Any capitalized term used but not defined herein shall have the meaning ascribed to such term in the Plan.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OFFER</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is an Offer of Performance RSUs, as may be granted from time to time by the Company, to certain eligible employees in accordance with the Plan.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TERMS OF GRANT</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terms of the grant of Performance RSUs incorporate the rules of the Plan, this Offer Document and the Global Performance Restricted Stock Unit Agreement, and Appendix A thereto (the “Agreement”). By accepting a grant of Performance RSUs, you will be bound by the rules of the Plan, this Offer Document and the Agreement.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ADDITIONAL DOCUMENTS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In addition to the information set out in this Offer Document, attached are copies of the following documents:</w:t>
      </w:r>
    </w:p>
    <w:p>
      <w:pPr>
        <w:spacing w:after="0" w:line="162"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Plan;</w:t>
      </w:r>
    </w:p>
    <w:p>
      <w:pPr>
        <w:spacing w:after="0" w:line="161" w:lineRule="exact"/>
        <w:rPr>
          <w:rFonts w:ascii="Arial" w:cs="Arial" w:eastAsia="Arial" w:hAnsi="Arial"/>
          <w:sz w:val="20"/>
          <w:szCs w:val="20"/>
          <w:color w:val="auto"/>
        </w:rPr>
      </w:pPr>
    </w:p>
    <w:p>
      <w:pPr>
        <w:ind w:left="660" w:hanging="652"/>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Plan Prospectus; and</w:t>
      </w:r>
    </w:p>
    <w:p>
      <w:pPr>
        <w:spacing w:after="0" w:line="161" w:lineRule="exact"/>
        <w:rPr>
          <w:rFonts w:ascii="Arial" w:cs="Arial" w:eastAsia="Arial" w:hAnsi="Arial"/>
          <w:sz w:val="20"/>
          <w:szCs w:val="20"/>
          <w:color w:val="auto"/>
        </w:rPr>
      </w:pPr>
    </w:p>
    <w:p>
      <w:pPr>
        <w:ind w:left="640" w:hanging="632"/>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Agreement.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(collectively, the “Additional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C-1</w:t>
      </w:r>
    </w:p>
    <w:p>
      <w:pPr>
        <w:sectPr>
          <w:pgSz w:w="11900" w:h="16838" w:orient="portrait"/>
          <w:cols w:equalWidth="0" w:num="1">
            <w:col w:w="11420"/>
          </w:cols>
          <w:pgMar w:left="240" w:top="112"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9"/>
          <w:szCs w:val="19"/>
          <w:b w:val="1"/>
          <w:bCs w:val="1"/>
          <w:color w:val="auto"/>
        </w:rPr>
        <w:t>PPENDIX 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OFFER DOCUMENT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 OF PERFORMANCE RESTRICTED STOCK UNITS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AUSTRALIAN RESIDENT EMPLOYEES</w:t>
      </w:r>
    </w:p>
    <w:p>
      <w:pPr>
        <w:spacing w:after="0" w:line="200" w:lineRule="exact"/>
        <w:rPr>
          <w:sz w:val="20"/>
          <w:szCs w:val="20"/>
          <w:color w:val="auto"/>
        </w:rPr>
      </w:pPr>
    </w:p>
    <w:p>
      <w:pPr>
        <w:spacing w:after="0" w:line="3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Agreement sets out, among other details, the vesting conditions applicable to your Performance RSUs, information on the settlement of your Performance RSUs and the consequences of a change in the nature or status of your employment.</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other Additional Documents provide further information to assist you to make an informed investment decision in relation to your participation in the Plan. Neither the Plan nor the 2020 Equity Incentive Plan Prospectus is a prospectus for the purposes of the </w:t>
      </w:r>
      <w:r>
        <w:rPr>
          <w:rFonts w:ascii="Arial" w:cs="Arial" w:eastAsia="Arial" w:hAnsi="Arial"/>
          <w:sz w:val="20"/>
          <w:szCs w:val="20"/>
          <w:i w:val="1"/>
          <w:iCs w:val="1"/>
          <w:color w:val="auto"/>
        </w:rPr>
        <w:t>Corporations</w:t>
      </w:r>
      <w:r>
        <w:rPr>
          <w:rFonts w:ascii="Arial" w:cs="Arial" w:eastAsia="Arial" w:hAnsi="Arial"/>
          <w:sz w:val="20"/>
          <w:szCs w:val="20"/>
          <w:color w:val="auto"/>
        </w:rPr>
        <w:t xml:space="preserve"> </w:t>
      </w:r>
      <w:r>
        <w:rPr>
          <w:rFonts w:ascii="Arial" w:cs="Arial" w:eastAsia="Arial" w:hAnsi="Arial"/>
          <w:sz w:val="20"/>
          <w:szCs w:val="20"/>
          <w:i w:val="1"/>
          <w:iCs w:val="1"/>
          <w:color w:val="auto"/>
        </w:rPr>
        <w:t>Act</w:t>
      </w:r>
      <w:r>
        <w:rPr>
          <w:rFonts w:ascii="Arial" w:cs="Arial" w:eastAsia="Arial" w:hAnsi="Arial"/>
          <w:sz w:val="20"/>
          <w:szCs w:val="20"/>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RELIANCE ON STATEMENTS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WHO IS ELIGIBLE TO PARTICIPATE?</w:t>
      </w:r>
    </w:p>
    <w:p>
      <w:pPr>
        <w:spacing w:after="0" w:line="16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ACCEPTING AN AWARD</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Agreement sets out additional terms and conditions of your Performance RSU award. You are not required to affirmatively accept your Performance RSU award in writing.</w:t>
      </w:r>
    </w:p>
    <w:p>
      <w:pPr>
        <w:spacing w:after="0" w:line="117"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WHAT ARE THE MATERIAL TERMS OF THE PERFORMANCE RSUs?</w:t>
      </w:r>
    </w:p>
    <w:p>
      <w:pPr>
        <w:spacing w:after="0" w:line="161"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(a) What are Performance RSUs?</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Performance RSUs represent the right to receive Shares upon fulfilment of the vesting conditions set out in your Agreement. The Performance RSUs are considered “restricted” because they are subject to forfeiture and restrictions on transfer until they vest. The restrictions are set forth in your Agreement. When your Performance RSUs vest, you will be issued Shares at no monetary cost (other than applicable taxes) to you. Notwithstanding anything to the contrary in the Plan, the Agreement, or any related document, your Performance RSUs will be settled in Shares.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 Do I have to pay any money to receive the Performance RSUs?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 You pay no monetary consideration to receive the Performance RSUs, nor do you pay anything to receive the Shares upon vesting (other than applicable taxes).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 How many Shares will I receive upon vesting of my Performance RSUs?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details of your Performance RSUs and the number of Shares subject to the award are set out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C-2</w:t>
      </w:r>
    </w:p>
    <w:p>
      <w:pPr>
        <w:sectPr>
          <w:pgSz w:w="11900" w:h="16838" w:orient="portrait"/>
          <w:cols w:equalWidth="0" w:num="1">
            <w:col w:w="11420"/>
          </w:cols>
          <w:pgMar w:left="240" w:top="112"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9"/>
          <w:szCs w:val="19"/>
          <w:b w:val="1"/>
          <w:bCs w:val="1"/>
          <w:color w:val="auto"/>
        </w:rPr>
        <w:t>PPENDIX 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 DOCUMENT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 OF PERFORMANCE RESTRICTED STOCK UNITS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AUSTRALIAN RESIDENT EMPLOYEES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When do I become a stockholder?</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You are not a stockholder merely as a result of holding Performance RSUs. The Performance RSUs will not entitle you to any shareholder rights, including the right to vote the Shares or receive dividends, notices of meetings, proxy statements and other materials provided to stockholders, until the restrictions lapse at vesting and the Performance RSUs are paid out in Shares. In this regard, you are not recorded as the owner of the Shares prior to vesting. You should refer to your Agreement for details of the consequences of a change in the nature of your employment.</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Can I transfer the Performance RSUs to someone else?</w:t>
      </w:r>
    </w:p>
    <w:p>
      <w:pPr>
        <w:spacing w:after="0" w:line="16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No. The Performance RSUs are generally non-transferable, unless otherwise provided in your Agreement; however, once Shares are issued upon vesting, the Shares will be freely tradeable (subject to the Company’s policies and applicable laws regarding insider trading).</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What happens if my employment with the Company or Australian Subsidiary terminates?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Your right to any unvested Performance RSUs will terminate when you terminate employment with the Company or any subsidiary of the Company for reasons including, but not limited to, retirement, resignation, lay-off, discharge, or other change of employment status.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WHAT IS A SHARE IN THE COMPANY</w:t>
      </w:r>
    </w:p>
    <w:p>
      <w:pPr>
        <w:spacing w:after="0" w:line="16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Common stock of a U.S. corporation is analogous to an ordinary share of an Australian corporation. Each holder of a Share is entitled to one vote for every Share held in the Company.</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Dividends may be paid on the Shares out of any funds of the Company legally available for dividends at the discretion of the board of directors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The Shares are traded on the Nasdaq Global Select Market in the United States of America and are traded under the symbol “ADI”.</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Shares are not liable to any further calls for payment of capital or for other assessment by the Company and have no sinking fund provisions, pre-emptive rights, conversion rights or redemption provisions.</w:t>
      </w:r>
    </w:p>
    <w:p>
      <w:pPr>
        <w:spacing w:after="0" w:line="117" w:lineRule="exact"/>
        <w:rPr>
          <w:sz w:val="20"/>
          <w:szCs w:val="20"/>
          <w:color w:val="auto"/>
        </w:rPr>
      </w:pPr>
    </w:p>
    <w:p>
      <w:pPr>
        <w:ind w:right="20" w:firstLine="8"/>
        <w:spacing w:after="0" w:line="267" w:lineRule="auto"/>
        <w:tabs>
          <w:tab w:leader="none" w:pos="252"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HOW CAN I OBTAIN UPDATED INDICATIVE EXAMPLES OF THE CURRENT MARKET PRICE IN AUSTRALIAN DOLLARS?</w:t>
      </w:r>
    </w:p>
    <w:p>
      <w:pPr>
        <w:spacing w:after="0" w:line="116"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You may ascertain the current market price of the Shares as traded on the Nasdaq at http://www.nasdaq.com under the code “ADI”. The Australian dollar equivalent of that price can be obtained at: http://www.rba.gov.au/statistics/frequency/exchange-rates.html.</w:t>
      </w:r>
    </w:p>
    <w:p>
      <w:pPr>
        <w:spacing w:after="0" w:line="99"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This will not be a prediction of what the market price per Share will be when the Performance RSUs vest or settle or of the applicable exchange rate on the actual date of vesting or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C-3</w:t>
      </w:r>
    </w:p>
    <w:p>
      <w:pPr>
        <w:sectPr>
          <w:pgSz w:w="11900" w:h="16838" w:orient="portrait"/>
          <w:cols w:equalWidth="0" w:num="1">
            <w:col w:w="11420"/>
          </w:cols>
          <w:pgMar w:left="240" w:top="112"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9"/>
          <w:szCs w:val="19"/>
          <w:b w:val="1"/>
          <w:bCs w:val="1"/>
          <w:color w:val="auto"/>
        </w:rPr>
        <w:t>PPENDIX 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 DOCUMENT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 OF PERFORMANCE RESTRICTED STOCK UNITS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AUSTRALIAN RESIDENT EMPLOYEES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WHAT ADDITIONAL RISK FACTORS APPLY TO AUSTRALIAN RESIDENTS’ PARTICIPATION IN THE PLAN?</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http://www.sec.gov/, on the Company’s “Investor Relations” page at http://investor.analog.com/, and upon request to the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In addition, you should be aware that the Australian dollar value of the Shares you may acquire at vesting will be affected by the U.S.</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dollar/Australian dollar exchange rate. Participation in the Plan involves certain risks related to fluctuations in this rate of exchange.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PLAN MODIFICATION, TERMINATION ETC.</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WHAT ARE THE AUSTRALIAN TAX CONSEQUENCES OF PARTICIPATION IN THE PLAN?</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is a summary of the tax consequences as of October 2019 for an Australian resident employee who receives Performance RSUs under the Plan. You may also be subject to Medicare levy and surcharge.</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note that for Performance RSUs granted under the Plan prior to 1 July 2015, different employee share scheme rules apply. The following taxation summary applies only to Performance RSUs granted on or after 1 July 2015. If you hold Performance RSUs granted before 1 July 2015, please consult with your personal tax advisor on the applicable tax treatment.</w:t>
      </w:r>
    </w:p>
    <w:p>
      <w:pPr>
        <w:spacing w:after="0" w:line="13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summary is necessarily general in nature and does not purport to be tax advice in relation to an actual or potential recipient of Performance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C-4</w:t>
      </w:r>
    </w:p>
    <w:p>
      <w:pPr>
        <w:sectPr>
          <w:pgSz w:w="11900" w:h="16838" w:orient="portrait"/>
          <w:cols w:equalWidth="0" w:num="1">
            <w:col w:w="11420"/>
          </w:cols>
          <w:pgMar w:left="240" w:top="11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9"/>
          <w:szCs w:val="19"/>
          <w:b w:val="1"/>
          <w:bCs w:val="1"/>
          <w:color w:val="auto"/>
        </w:rPr>
        <w:t>PPENDIX 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 DOCUMENT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 OF PERFORMANCE RESTRICTED STOCK UNITS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AUSTRALIAN RESIDENT EMPLOYEES</w:t>
      </w:r>
    </w:p>
    <w:p>
      <w:pPr>
        <w:spacing w:after="0" w:line="200" w:lineRule="exact"/>
        <w:rPr>
          <w:sz w:val="20"/>
          <w:szCs w:val="20"/>
          <w:color w:val="auto"/>
        </w:rPr>
      </w:pPr>
    </w:p>
    <w:p>
      <w:pPr>
        <w:spacing w:after="0" w:line="33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If you are a citizen or resident of another country for local tax law purposes or if you transfer employment to another country after the Performance RSUs are granted to you, the information contained in this summary may not be applicable to you. </w:t>
      </w:r>
      <w:r>
        <w:rPr>
          <w:rFonts w:ascii="Arial" w:cs="Arial" w:eastAsia="Arial" w:hAnsi="Arial"/>
          <w:sz w:val="19"/>
          <w:szCs w:val="19"/>
          <w:i w:val="1"/>
          <w:iCs w:val="1"/>
          <w:color w:val="auto"/>
        </w:rPr>
        <w:t>You should seek appropriate</w:t>
      </w:r>
      <w:r>
        <w:rPr>
          <w:rFonts w:ascii="Arial" w:cs="Arial" w:eastAsia="Arial" w:hAnsi="Arial"/>
          <w:sz w:val="19"/>
          <w:szCs w:val="19"/>
          <w:color w:val="auto"/>
        </w:rPr>
        <w:t xml:space="preserve"> </w:t>
      </w:r>
      <w:r>
        <w:rPr>
          <w:rFonts w:ascii="Arial" w:cs="Arial" w:eastAsia="Arial" w:hAnsi="Arial"/>
          <w:sz w:val="19"/>
          <w:szCs w:val="19"/>
          <w:i w:val="1"/>
          <w:iCs w:val="1"/>
          <w:color w:val="auto"/>
        </w:rPr>
        <w:t>professional advice as to how the tax or other laws in Australia and in your country apply to your specific situation.</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are awarded Performance RSUs under the Plan, you should not rely on this summary as anything other than a broad guide, and you should obtain independent taxation advice specific to your particular circumstances before making the decision to accept the Performance RSUs.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What is the effect of the grant of the Performance RSUs?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The Australian tax legislation contains specific rules, in Division 83A of the </w:t>
      </w:r>
      <w:r>
        <w:rPr>
          <w:rFonts w:ascii="Arial" w:cs="Arial" w:eastAsia="Arial" w:hAnsi="Arial"/>
          <w:sz w:val="19"/>
          <w:szCs w:val="19"/>
          <w:i w:val="1"/>
          <w:iCs w:val="1"/>
          <w:color w:val="auto"/>
        </w:rPr>
        <w:t>Income Tax Assessment Act 1997</w:t>
      </w:r>
      <w:r>
        <w:rPr>
          <w:rFonts w:ascii="Arial" w:cs="Arial" w:eastAsia="Arial" w:hAnsi="Arial"/>
          <w:sz w:val="19"/>
          <w:szCs w:val="19"/>
          <w:color w:val="auto"/>
        </w:rPr>
        <w:t>, governing the taxation of shares and rights (called “ESS interests”) acquired by employees under employee share schemes. The Performance RSUs granted under the Plan should be regarded as a right to acquire shares and accordingly, an ESS interest for these purposes.</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Your assessable income includes the ESS interest at grant, unless the ESS interest is subject to a “real risk of forfeiture,” in which case you will be subject to deferred taxation.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In the case of the Performance RSUs, the “real risk of forfeiture” test requires that:</w:t>
      </w:r>
    </w:p>
    <w:p>
      <w:pPr>
        <w:spacing w:after="0" w:line="162" w:lineRule="exact"/>
        <w:rPr>
          <w:sz w:val="20"/>
          <w:szCs w:val="20"/>
          <w:color w:val="auto"/>
        </w:rPr>
      </w:pPr>
    </w:p>
    <w:p>
      <w:pPr>
        <w:ind w:left="660" w:hanging="4"/>
        <w:spacing w:after="0" w:line="260" w:lineRule="auto"/>
        <w:tabs>
          <w:tab w:leader="none" w:pos="896"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there must be a real risk that, under the conditions of the Plan, you will forfeit the Performance RSUs or lose them (other than by disposing of them or in connection with the vesting of the Performance RSUs); or</w:t>
      </w:r>
    </w:p>
    <w:p>
      <w:pPr>
        <w:spacing w:after="0" w:line="122" w:lineRule="exact"/>
        <w:rPr>
          <w:rFonts w:ascii="Arial" w:cs="Arial" w:eastAsia="Arial" w:hAnsi="Arial"/>
          <w:sz w:val="20"/>
          <w:szCs w:val="20"/>
          <w:color w:val="auto"/>
        </w:rPr>
      </w:pPr>
    </w:p>
    <w:p>
      <w:pPr>
        <w:ind w:left="660" w:right="20" w:hanging="4"/>
        <w:spacing w:after="0" w:line="260" w:lineRule="auto"/>
        <w:tabs>
          <w:tab w:leader="none" w:pos="951"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there must be a real risk that if your Performance RSUs vest, under the conditions of the Plan, you will forfeit the underlying Shares or lose them other than by disposing of them.</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terms of your Performance RSU award are set out in the Additional Documents. It is understood that your Performance RSUs will satisfy the real risk of forfeiture test and that you will be subject to deferred taxation (</w:t>
      </w:r>
      <w:r>
        <w:rPr>
          <w:rFonts w:ascii="Arial" w:cs="Arial" w:eastAsia="Arial" w:hAnsi="Arial"/>
          <w:sz w:val="20"/>
          <w:szCs w:val="20"/>
          <w:i w:val="1"/>
          <w:iCs w:val="1"/>
          <w:color w:val="auto"/>
        </w:rPr>
        <w:t>i.e.</w:t>
      </w:r>
      <w:r>
        <w:rPr>
          <w:rFonts w:ascii="Arial" w:cs="Arial" w:eastAsia="Arial" w:hAnsi="Arial"/>
          <w:sz w:val="20"/>
          <w:szCs w:val="20"/>
          <w:color w:val="auto"/>
        </w:rPr>
        <w:t>, you generally should not be subject to tax when the Performance RSUs are granted to you).</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 When will you be taxed if your Performance RSUs are subject to a real risk of forfeiture?</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will be required to include an amount in your assessable income for the income year (</w:t>
      </w:r>
      <w:r>
        <w:rPr>
          <w:rFonts w:ascii="Arial" w:cs="Arial" w:eastAsia="Arial" w:hAnsi="Arial"/>
          <w:sz w:val="20"/>
          <w:szCs w:val="20"/>
          <w:i w:val="1"/>
          <w:iCs w:val="1"/>
          <w:color w:val="auto"/>
        </w:rPr>
        <w:t>i.e.</w:t>
      </w:r>
      <w:r>
        <w:rPr>
          <w:rFonts w:ascii="Arial" w:cs="Arial" w:eastAsia="Arial" w:hAnsi="Arial"/>
          <w:sz w:val="20"/>
          <w:szCs w:val="20"/>
          <w:color w:val="auto"/>
        </w:rPr>
        <w:t>, the financial year ending 30 June) in which the earliest of the following events occurs in relation to the Performance RSUs (the “ESS deferred taxing point”).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Your ESS deferred taxing point will be the earliest of the following:</w:t>
      </w:r>
    </w:p>
    <w:p>
      <w:pPr>
        <w:spacing w:after="0" w:line="162" w:lineRule="exact"/>
        <w:rPr>
          <w:sz w:val="20"/>
          <w:szCs w:val="20"/>
          <w:color w:val="auto"/>
        </w:rPr>
      </w:pPr>
    </w:p>
    <w:p>
      <w:pPr>
        <w:ind w:left="660" w:hanging="4"/>
        <w:spacing w:after="0" w:line="260" w:lineRule="auto"/>
        <w:tabs>
          <w:tab w:leader="none" w:pos="896" w:val="left"/>
        </w:tabs>
        <w:numPr>
          <w:ilvl w:val="0"/>
          <w:numId w:val="47"/>
        </w:numPr>
        <w:rPr>
          <w:rFonts w:ascii="Arial" w:cs="Arial" w:eastAsia="Arial" w:hAnsi="Arial"/>
          <w:sz w:val="20"/>
          <w:szCs w:val="20"/>
          <w:color w:val="auto"/>
        </w:rPr>
      </w:pPr>
      <w:r>
        <w:rPr>
          <w:rFonts w:ascii="Arial" w:cs="Arial" w:eastAsia="Arial" w:hAnsi="Arial"/>
          <w:sz w:val="20"/>
          <w:szCs w:val="20"/>
          <w:color w:val="auto"/>
        </w:rPr>
        <w:t>when there are no longer any genuine restrictions on the vesting of the Performance RSUs and there is no real risk of you forfeiting your Performance RSUs;</w:t>
      </w:r>
    </w:p>
    <w:p>
      <w:pPr>
        <w:spacing w:after="0" w:line="122" w:lineRule="exact"/>
        <w:rPr>
          <w:rFonts w:ascii="Arial" w:cs="Arial" w:eastAsia="Arial" w:hAnsi="Arial"/>
          <w:sz w:val="20"/>
          <w:szCs w:val="20"/>
          <w:color w:val="auto"/>
        </w:rPr>
      </w:pPr>
    </w:p>
    <w:p>
      <w:pPr>
        <w:ind w:left="940" w:hanging="284"/>
        <w:spacing w:after="0"/>
        <w:tabs>
          <w:tab w:leader="none" w:pos="9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when the Performance RSUs are settled and there is no genuine restriction on the disposal of the underlying Shares; and</w:t>
      </w:r>
    </w:p>
    <w:p>
      <w:pPr>
        <w:spacing w:after="0" w:line="173" w:lineRule="exact"/>
        <w:rPr>
          <w:rFonts w:ascii="Arial" w:cs="Arial" w:eastAsia="Arial" w:hAnsi="Arial"/>
          <w:sz w:val="19"/>
          <w:szCs w:val="19"/>
          <w:color w:val="auto"/>
        </w:rPr>
      </w:pPr>
    </w:p>
    <w:p>
      <w:pPr>
        <w:ind w:left="1000" w:hanging="344"/>
        <w:spacing w:after="0"/>
        <w:tabs>
          <w:tab w:leader="none" w:pos="10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your cessation of employment (but see Section 11(e)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C-5</w:t>
      </w:r>
    </w:p>
    <w:p>
      <w:pPr>
        <w:sectPr>
          <w:pgSz w:w="11900" w:h="16838" w:orient="portrait"/>
          <w:cols w:equalWidth="0" w:num="1">
            <w:col w:w="11420"/>
          </w:cols>
          <w:pgMar w:left="240" w:top="11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9"/>
          <w:szCs w:val="19"/>
          <w:b w:val="1"/>
          <w:bCs w:val="1"/>
          <w:color w:val="auto"/>
        </w:rPr>
        <w:t>PPENDIX 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 DOCUMENT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 OF PERFORMANCE RESTRICTED STOCK UNITS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AUSTRALIAN RESIDENT EMPLOYEES</w:t>
      </w:r>
    </w:p>
    <w:p>
      <w:pPr>
        <w:spacing w:after="0" w:line="200" w:lineRule="exact"/>
        <w:rPr>
          <w:sz w:val="20"/>
          <w:szCs w:val="20"/>
          <w:color w:val="auto"/>
        </w:rPr>
      </w:pPr>
    </w:p>
    <w:p>
      <w:pPr>
        <w:spacing w:after="0" w:line="3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Generally, this means that you will be subject to tax when your Performance RSUs vest. However, the ESS deferred taxing point for your Performance RSUs will be moved to the time you sell the underlying Shares if you sell the shares within 30 days of the original ESS deferred 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08" w:lineRule="exact"/>
        <w:rPr>
          <w:sz w:val="20"/>
          <w:szCs w:val="20"/>
          <w:color w:val="auto"/>
        </w:rPr>
      </w:pPr>
    </w:p>
    <w:p>
      <w:pPr>
        <w:ind w:right="1980"/>
        <w:spacing w:after="0" w:line="510" w:lineRule="auto"/>
        <w:rPr>
          <w:sz w:val="20"/>
          <w:szCs w:val="20"/>
          <w:color w:val="auto"/>
        </w:rPr>
      </w:pPr>
      <w:r>
        <w:rPr>
          <w:rFonts w:ascii="Arial" w:cs="Arial" w:eastAsia="Arial" w:hAnsi="Arial"/>
          <w:sz w:val="16"/>
          <w:szCs w:val="16"/>
          <w:color w:val="auto"/>
        </w:rPr>
        <w:t xml:space="preserve">In addition to income taxes, the assessable amount may also be subject to Medicare Levy and surcharge (if applicable). </w:t>
      </w:r>
      <w:r>
        <w:rPr>
          <w:rFonts w:ascii="Arial" w:cs="Arial" w:eastAsia="Arial" w:hAnsi="Arial"/>
          <w:sz w:val="16"/>
          <w:szCs w:val="16"/>
          <w:b w:val="1"/>
          <w:bCs w:val="1"/>
          <w:color w:val="auto"/>
        </w:rPr>
        <w:t>(c) What is the amount to be included in your assessable income if an ESS deferred taxing point occurs?</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amount you must include in your assessable income in the income year (</w:t>
      </w:r>
      <w:r>
        <w:rPr>
          <w:rFonts w:ascii="Arial" w:cs="Arial" w:eastAsia="Arial" w:hAnsi="Arial"/>
          <w:sz w:val="20"/>
          <w:szCs w:val="20"/>
          <w:i w:val="1"/>
          <w:iCs w:val="1"/>
          <w:color w:val="auto"/>
        </w:rPr>
        <w:t>i.e.</w:t>
      </w:r>
      <w:r>
        <w:rPr>
          <w:rFonts w:ascii="Arial" w:cs="Arial" w:eastAsia="Arial" w:hAnsi="Arial"/>
          <w:sz w:val="20"/>
          <w:szCs w:val="20"/>
          <w:color w:val="auto"/>
        </w:rPr>
        <w:t>, the financial year ending 30 June) in which the ESS deferred taxing point occurs in relation to your Performance RSUs (</w:t>
      </w:r>
      <w:r>
        <w:rPr>
          <w:rFonts w:ascii="Arial" w:cs="Arial" w:eastAsia="Arial" w:hAnsi="Arial"/>
          <w:sz w:val="20"/>
          <w:szCs w:val="20"/>
          <w:i w:val="1"/>
          <w:iCs w:val="1"/>
          <w:color w:val="auto"/>
        </w:rPr>
        <w:t>i.e.,</w:t>
      </w:r>
      <w:r>
        <w:rPr>
          <w:rFonts w:ascii="Arial" w:cs="Arial" w:eastAsia="Arial" w:hAnsi="Arial"/>
          <w:sz w:val="20"/>
          <w:szCs w:val="20"/>
          <w:color w:val="auto"/>
        </w:rPr>
        <w:t xml:space="preserve"> typically at vesting) will be the difference between the “market value” of the underlying Shares at the ESS deferred taxing point and the cost base of the Performance RSUs (which should be nil because you do not have to pay anything to acquire the Performance RSUs or the underlying Shares).</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Performance RSUs (which, again, should be nil).</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What is the market value of the Underlying Shares?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“market value” of the Performance RSUs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Performance RSUs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What happens if I cease employment before my Performance RSUs vest?</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cease employment with your employer prior to the vesting date of some or all of your Performance RSUs and the Performance RSUs do not vest upon termination of employment (</w:t>
      </w:r>
      <w:r>
        <w:rPr>
          <w:rFonts w:ascii="Arial" w:cs="Arial" w:eastAsia="Arial" w:hAnsi="Arial"/>
          <w:sz w:val="20"/>
          <w:szCs w:val="20"/>
          <w:i w:val="1"/>
          <w:iCs w:val="1"/>
          <w:color w:val="auto"/>
        </w:rPr>
        <w:t>i.e.,</w:t>
      </w:r>
      <w:r>
        <w:rPr>
          <w:rFonts w:ascii="Arial" w:cs="Arial" w:eastAsia="Arial" w:hAnsi="Arial"/>
          <w:sz w:val="20"/>
          <w:szCs w:val="20"/>
          <w:color w:val="auto"/>
        </w:rPr>
        <w:t xml:space="preserve"> they are forfeited), you may be treated as having never acquired the forfeited Performance RSUs in which case, no amount will be included in your assessable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C-6</w:t>
      </w:r>
    </w:p>
    <w:p>
      <w:pPr>
        <w:sectPr>
          <w:pgSz w:w="11900" w:h="16838" w:orient="portrait"/>
          <w:cols w:equalWidth="0" w:num="1">
            <w:col w:w="11420"/>
          </w:cols>
          <w:pgMar w:left="240" w:top="11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9"/>
          <w:szCs w:val="19"/>
          <w:b w:val="1"/>
          <w:bCs w:val="1"/>
          <w:color w:val="auto"/>
        </w:rPr>
        <w:t>PPENDIX 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 DOCUMENT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OFFER OF PERFORMANCE RESTRICTED STOCK UNITS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AUSTRALIAN RESIDENT EMPLOYEES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What tax consequences will arise when I sell my Shares?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sell the Shares acquired upon vesting of your Performance RSUs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sell the Shares acquired upon vesting of your Performance RSUs more than 30 days after the original ESS deferred taxing point, you will be subject to capital gains taxation to the extent that the sales proceeds exceed your cost basis in the Shares sold, assuming that the sale of Shares occurs in an arm’s -length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12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You are responsible for reporting any income you realize from the sale of Shares acquired upon vesting of Performance RSUs and paying any applicable taxes due on such income.</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 What are the taxation consequences if a dividend is paid on the Shares?</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you vest in the Performance RSUs and become a Company stockholder, you may be entitled to receive dividends on the Shares obtained from vesting in the Performance RSUs if the board of directors of the Company, in its discretion, declares a dividend. Any dividends paid on Shares will be subject to income tax in Australia in the tax year they are paid (even where such dividends are reinvested in Shares). The dividends are also subject to U.S. federal income tax withheld at source. You may be entitled to a foreign tax credit against your Australian income tax for the U.S. federal income tax withheld on any dividends.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 What are the tax withholding and reporting obligations associated with the Performance RSUs?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will be responsible for reporting on your tax return and paying any tax liability in relation to the Performance RSUs and any Shares issued to you at vesting. It is also your responsibility to report and pay any tax liability on the sale of any Shares acquired under the Plan any dividends received.</w:t>
      </w:r>
    </w:p>
    <w:p>
      <w:pPr>
        <w:spacing w:after="0" w:line="13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Your employer will be required to withhold tax due on the Performance RSUs only if you have not provided your Tax File Number or Australian Business Number, as applicable, to your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C-7</w:t>
      </w:r>
    </w:p>
    <w:p>
      <w:pPr>
        <w:sectPr>
          <w:pgSz w:w="11900" w:h="16838" w:orient="portrait"/>
          <w:cols w:equalWidth="0" w:num="1">
            <w:col w:w="11420"/>
          </w:cols>
          <w:pgMar w:left="240" w:top="112"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9"/>
          <w:szCs w:val="19"/>
          <w:b w:val="1"/>
          <w:bCs w:val="1"/>
          <w:color w:val="auto"/>
        </w:rPr>
        <w:t>PPENDIX 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OFFER DOCUMENT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OFFER OF PERFORMANCE RESTRICTED STOCK UNITS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 AUSTRALIAN RESIDENT EMPLOYEES</w:t>
      </w:r>
    </w:p>
    <w:p>
      <w:pPr>
        <w:spacing w:after="0" w:line="200" w:lineRule="exact"/>
        <w:rPr>
          <w:sz w:val="20"/>
          <w:szCs w:val="20"/>
          <w:color w:val="auto"/>
        </w:rPr>
      </w:pPr>
    </w:p>
    <w:p>
      <w:pPr>
        <w:spacing w:after="0" w:line="33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 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Arial" w:cs="Arial" w:eastAsia="Arial" w:hAnsi="Arial"/>
          <w:sz w:val="18"/>
          <w:szCs w:val="18"/>
          <w:i w:val="1"/>
          <w:iCs w:val="1"/>
          <w:color w:val="auto"/>
        </w:rPr>
        <w:t>You will be responsible for determining this amount and calculating your tax accordingly.</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WHAT ARE THE U.S. TAX CONSEQUENCES OF PARTICIPATION IN THE PLAN?</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Australian residents who are not U.S. citizens or tax residents should not be subject to U.S. tax by reason only of the award or vesting of the Performance RSUs and/or the sale of Shares, except with respect to dividends as described above. However, liability for U.S. tax may accrue if an Australian resident is otherwise subject to U.S. tax.</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is only an indication of the likely U.S. tax consequences for an Australian resident who is awarded Performance RSUs under the Plan.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Each Australian resident should seek his or her own advice as to the U.S. tax consequences of the Plan.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We urge you to carefully review the information contained in this Offer Document and the Additional Documents.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C-8</w:t>
      </w:r>
    </w:p>
    <w:p>
      <w:pPr>
        <w:sectPr>
          <w:pgSz w:w="11900" w:h="16838" w:orient="portrait"/>
          <w:cols w:equalWidth="0" w:num="1">
            <w:col w:w="11420"/>
          </w:cols>
          <w:pgMar w:left="240" w:top="11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20"/>
          <w:szCs w:val="20"/>
          <w:b w:val="1"/>
          <w:bCs w:val="1"/>
          <w:u w:val="single" w:color="auto"/>
          <w:color w:val="auto"/>
        </w:rPr>
        <w:t>APPENDIX D</w:t>
      </w:r>
    </w:p>
    <w:p>
      <w:pPr>
        <w:spacing w:after="0" w:line="230"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EMPLOYER INFORMATION STATEMENT – DENMARK</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RESTRICTED STOCK UNIT GRANT ON {</w:t>
      </w:r>
      <w:r>
        <w:rPr>
          <w:rFonts w:ascii="Arial" w:cs="Arial" w:eastAsia="Arial" w:hAnsi="Arial"/>
          <w:sz w:val="20"/>
          <w:szCs w:val="20"/>
          <w:b w:val="1"/>
          <w:bCs w:val="1"/>
          <w:i w:val="1"/>
          <w:iCs w:val="1"/>
          <w:color w:val="auto"/>
        </w:rPr>
        <w:t>GRANT DATE</w:t>
      </w:r>
      <w:r>
        <w:rPr>
          <w:rFonts w:ascii="Arial" w:cs="Arial" w:eastAsia="Arial" w:hAnsi="Arial"/>
          <w:sz w:val="20"/>
          <w:szCs w:val="20"/>
          <w:b w:val="1"/>
          <w:bCs w:val="1"/>
          <w:color w:val="auto"/>
        </w:rPr>
        <w:t>}</w:t>
      </w:r>
    </w:p>
    <w:p>
      <w:pPr>
        <w:spacing w:after="0" w:line="37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1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Date of Grant</w:t>
      </w:r>
    </w:p>
    <w:p>
      <w:pPr>
        <w:spacing w:after="0" w:line="167" w:lineRule="exact"/>
        <w:rPr>
          <w:rFonts w:ascii="Arial" w:cs="Arial" w:eastAsia="Arial" w:hAnsi="Arial"/>
          <w:sz w:val="20"/>
          <w:szCs w:val="20"/>
          <w:color w:val="auto"/>
        </w:rPr>
      </w:pPr>
    </w:p>
    <w:p>
      <w:pPr>
        <w:ind w:left="340"/>
        <w:spacing w:after="0" w:line="260" w:lineRule="auto"/>
        <w:rPr>
          <w:rFonts w:ascii="Arial" w:cs="Arial" w:eastAsia="Arial" w:hAnsi="Arial"/>
          <w:sz w:val="20"/>
          <w:szCs w:val="20"/>
          <w:color w:val="auto"/>
        </w:rPr>
      </w:pPr>
      <w:r>
        <w:rPr>
          <w:rFonts w:ascii="Arial" w:cs="Arial" w:eastAsia="Arial" w:hAnsi="Arial"/>
          <w:sz w:val="20"/>
          <w:szCs w:val="20"/>
          <w:color w:val="auto"/>
        </w:rPr>
        <w:t>The Company approved the grant of Performance RSUs under the Plan on {</w:t>
      </w:r>
      <w:r>
        <w:rPr>
          <w:rFonts w:ascii="Arial" w:cs="Arial" w:eastAsia="Arial" w:hAnsi="Arial"/>
          <w:sz w:val="20"/>
          <w:szCs w:val="20"/>
          <w:i w:val="1"/>
          <w:iCs w:val="1"/>
          <w:color w:val="auto"/>
        </w:rPr>
        <w:t>Grant Date</w:t>
      </w:r>
      <w:r>
        <w:rPr>
          <w:rFonts w:ascii="Arial" w:cs="Arial" w:eastAsia="Arial" w:hAnsi="Arial"/>
          <w:sz w:val="20"/>
          <w:szCs w:val="20"/>
          <w:color w:val="auto"/>
        </w:rPr>
        <w:t>}. On this basis, the Date of Grant for your Performance RSUs is {</w:t>
      </w:r>
      <w:r>
        <w:rPr>
          <w:rFonts w:ascii="Arial" w:cs="Arial" w:eastAsia="Arial" w:hAnsi="Arial"/>
          <w:sz w:val="20"/>
          <w:szCs w:val="20"/>
          <w:i w:val="1"/>
          <w:iCs w:val="1"/>
          <w:color w:val="auto"/>
        </w:rPr>
        <w:t>Grant Date</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ind w:left="340" w:hanging="332"/>
        <w:spacing w:after="0"/>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Terms and Conditions of the Performance RSU Grant</w:t>
      </w:r>
    </w:p>
    <w:p>
      <w:pPr>
        <w:spacing w:after="0" w:line="167" w:lineRule="exact"/>
        <w:rPr>
          <w:rFonts w:ascii="Arial" w:cs="Arial" w:eastAsia="Arial" w:hAnsi="Arial"/>
          <w:sz w:val="20"/>
          <w:szCs w:val="20"/>
          <w:color w:val="auto"/>
        </w:rPr>
      </w:pPr>
    </w:p>
    <w:p>
      <w:pPr>
        <w:jc w:val="both"/>
        <w:ind w:left="340"/>
        <w:spacing w:after="0" w:line="274" w:lineRule="auto"/>
        <w:rPr>
          <w:rFonts w:ascii="Arial" w:cs="Arial" w:eastAsia="Arial" w:hAnsi="Arial"/>
          <w:sz w:val="20"/>
          <w:szCs w:val="20"/>
          <w:color w:val="auto"/>
        </w:rPr>
      </w:pPr>
      <w:r>
        <w:rPr>
          <w:rFonts w:ascii="Arial" w:cs="Arial" w:eastAsia="Arial" w:hAnsi="Arial"/>
          <w:sz w:val="18"/>
          <w:szCs w:val="18"/>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09" w:lineRule="exact"/>
        <w:rPr>
          <w:rFonts w:ascii="Arial" w:cs="Arial" w:eastAsia="Arial" w:hAnsi="Arial"/>
          <w:sz w:val="20"/>
          <w:szCs w:val="20"/>
          <w:color w:val="auto"/>
        </w:rPr>
      </w:pPr>
    </w:p>
    <w:p>
      <w:pPr>
        <w:ind w:left="340" w:hanging="332"/>
        <w:spacing w:after="0"/>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Vesting Date of Performance RSUs</w:t>
      </w:r>
    </w:p>
    <w:p>
      <w:pPr>
        <w:spacing w:after="0" w:line="167" w:lineRule="exact"/>
        <w:rPr>
          <w:rFonts w:ascii="Arial" w:cs="Arial" w:eastAsia="Arial" w:hAnsi="Arial"/>
          <w:sz w:val="20"/>
          <w:szCs w:val="20"/>
          <w:color w:val="auto"/>
        </w:rPr>
      </w:pPr>
    </w:p>
    <w:p>
      <w:pPr>
        <w:jc w:val="both"/>
        <w:ind w:left="340"/>
        <w:spacing w:after="0" w:line="246" w:lineRule="auto"/>
        <w:rPr>
          <w:rFonts w:ascii="Arial" w:cs="Arial" w:eastAsia="Arial" w:hAnsi="Arial"/>
          <w:sz w:val="20"/>
          <w:szCs w:val="20"/>
          <w:color w:val="auto"/>
        </w:rPr>
      </w:pPr>
      <w:r>
        <w:rPr>
          <w:rFonts w:ascii="Arial" w:cs="Arial" w:eastAsia="Arial" w:hAnsi="Arial"/>
          <w:sz w:val="20"/>
          <w:szCs w:val="20"/>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37" w:lineRule="exact"/>
        <w:rPr>
          <w:rFonts w:ascii="Arial" w:cs="Arial" w:eastAsia="Arial" w:hAnsi="Arial"/>
          <w:sz w:val="20"/>
          <w:szCs w:val="20"/>
          <w:color w:val="auto"/>
        </w:rPr>
      </w:pPr>
    </w:p>
    <w:p>
      <w:pPr>
        <w:ind w:left="340"/>
        <w:spacing w:after="0" w:line="260" w:lineRule="auto"/>
        <w:rPr>
          <w:rFonts w:ascii="Arial" w:cs="Arial" w:eastAsia="Arial" w:hAnsi="Arial"/>
          <w:sz w:val="20"/>
          <w:szCs w:val="20"/>
          <w:color w:val="auto"/>
        </w:rPr>
      </w:pPr>
      <w:r>
        <w:rPr>
          <w:rFonts w:ascii="Arial" w:cs="Arial" w:eastAsia="Arial" w:hAnsi="Arial"/>
          <w:sz w:val="20"/>
          <w:szCs w:val="20"/>
          <w:color w:val="auto"/>
        </w:rPr>
        <w:t>When your Performance RSUs vest, the Company will issue one share of the Company’s common stock to you in settlement of each vested Performance RSU.</w:t>
      </w:r>
    </w:p>
    <w:p>
      <w:pPr>
        <w:spacing w:after="0" w:line="116" w:lineRule="exact"/>
        <w:rPr>
          <w:rFonts w:ascii="Arial" w:cs="Arial" w:eastAsia="Arial" w:hAnsi="Arial"/>
          <w:sz w:val="20"/>
          <w:szCs w:val="20"/>
          <w:color w:val="auto"/>
        </w:rPr>
      </w:pPr>
    </w:p>
    <w:p>
      <w:pPr>
        <w:ind w:left="340" w:hanging="332"/>
        <w:spacing w:after="0"/>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Exercise Price</w:t>
      </w:r>
    </w:p>
    <w:p>
      <w:pPr>
        <w:spacing w:after="0" w:line="167" w:lineRule="exact"/>
        <w:rPr>
          <w:rFonts w:ascii="Arial" w:cs="Arial" w:eastAsia="Arial" w:hAnsi="Arial"/>
          <w:sz w:val="20"/>
          <w:szCs w:val="20"/>
          <w:color w:val="auto"/>
        </w:rPr>
      </w:pPr>
    </w:p>
    <w:p>
      <w:pPr>
        <w:ind w:left="340"/>
        <w:spacing w:after="0" w:line="287" w:lineRule="auto"/>
        <w:rPr>
          <w:rFonts w:ascii="Arial" w:cs="Arial" w:eastAsia="Arial" w:hAnsi="Arial"/>
          <w:sz w:val="20"/>
          <w:szCs w:val="20"/>
          <w:color w:val="auto"/>
        </w:rPr>
      </w:pPr>
      <w:r>
        <w:rPr>
          <w:rFonts w:ascii="Arial" w:cs="Arial" w:eastAsia="Arial" w:hAnsi="Arial"/>
          <w:sz w:val="19"/>
          <w:szCs w:val="19"/>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92" w:lineRule="exact"/>
        <w:rPr>
          <w:rFonts w:ascii="Arial" w:cs="Arial" w:eastAsia="Arial" w:hAnsi="Arial"/>
          <w:sz w:val="20"/>
          <w:szCs w:val="20"/>
          <w:color w:val="auto"/>
        </w:rPr>
      </w:pPr>
    </w:p>
    <w:p>
      <w:pPr>
        <w:ind w:left="340" w:hanging="332"/>
        <w:spacing w:after="0"/>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b w:val="1"/>
          <w:bCs w:val="1"/>
          <w:color w:val="auto"/>
        </w:rPr>
        <w:t>Your Rights upon Termination of Service</w:t>
      </w:r>
    </w:p>
    <w:p>
      <w:pPr>
        <w:spacing w:after="0" w:line="167" w:lineRule="exact"/>
        <w:rPr>
          <w:rFonts w:ascii="Arial" w:cs="Arial" w:eastAsia="Arial" w:hAnsi="Arial"/>
          <w:sz w:val="20"/>
          <w:szCs w:val="20"/>
          <w:color w:val="auto"/>
        </w:rPr>
      </w:pPr>
    </w:p>
    <w:p>
      <w:pPr>
        <w:jc w:val="both"/>
        <w:ind w:left="340"/>
        <w:spacing w:after="0" w:line="250" w:lineRule="auto"/>
        <w:rPr>
          <w:rFonts w:ascii="Arial" w:cs="Arial" w:eastAsia="Arial" w:hAnsi="Arial"/>
          <w:sz w:val="20"/>
          <w:szCs w:val="20"/>
          <w:color w:val="auto"/>
        </w:rPr>
      </w:pPr>
      <w:r>
        <w:rPr>
          <w:rFonts w:ascii="Arial" w:cs="Arial" w:eastAsia="Arial" w:hAnsi="Arial"/>
          <w:sz w:val="20"/>
          <w:szCs w:val="20"/>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D-1</w:t>
      </w:r>
    </w:p>
    <w:p>
      <w:pPr>
        <w:sectPr>
          <w:pgSz w:w="11900" w:h="16838" w:orient="portrait"/>
          <w:cols w:equalWidth="0" w:num="1">
            <w:col w:w="11420"/>
          </w:cols>
          <w:pgMar w:left="240" w:top="11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0"/>
          <w:szCs w:val="20"/>
          <w:b w:val="1"/>
          <w:bCs w:val="1"/>
          <w:u w:val="single" w:color="auto"/>
          <w:color w:val="auto"/>
        </w:rPr>
        <w:t>APPENDIX D</w:t>
      </w:r>
    </w:p>
    <w:p>
      <w:pPr>
        <w:spacing w:after="0" w:line="230"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EMPLOYER INFORMATION STATEMENT – DENMARK</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RESTRICTED STOCK UNIT GRANT ON {</w:t>
      </w:r>
      <w:r>
        <w:rPr>
          <w:rFonts w:ascii="Arial" w:cs="Arial" w:eastAsia="Arial" w:hAnsi="Arial"/>
          <w:sz w:val="20"/>
          <w:szCs w:val="20"/>
          <w:b w:val="1"/>
          <w:bCs w:val="1"/>
          <w:i w:val="1"/>
          <w:iCs w:val="1"/>
          <w:color w:val="auto"/>
        </w:rPr>
        <w:t>GRANT DATE</w:t>
      </w:r>
      <w:r>
        <w:rPr>
          <w:rFonts w:ascii="Arial" w:cs="Arial" w:eastAsia="Arial" w:hAnsi="Arial"/>
          <w:sz w:val="20"/>
          <w:szCs w:val="20"/>
          <w:b w:val="1"/>
          <w:bCs w:val="1"/>
          <w:color w:val="auto"/>
        </w:rPr>
        <w:t>}</w:t>
      </w:r>
    </w:p>
    <w:p>
      <w:pPr>
        <w:spacing w:after="0" w:line="369"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Financial Aspects of Participating in the Plan</w:t>
      </w:r>
    </w:p>
    <w:p>
      <w:pPr>
        <w:spacing w:after="0" w:line="167" w:lineRule="exact"/>
        <w:rPr>
          <w:rFonts w:ascii="Arial" w:cs="Arial" w:eastAsia="Arial" w:hAnsi="Arial"/>
          <w:sz w:val="20"/>
          <w:szCs w:val="20"/>
          <w:color w:val="auto"/>
        </w:rPr>
      </w:pPr>
    </w:p>
    <w:p>
      <w:pPr>
        <w:jc w:val="both"/>
        <w:ind w:left="340"/>
        <w:spacing w:after="0" w:line="246" w:lineRule="auto"/>
        <w:rPr>
          <w:rFonts w:ascii="Arial" w:cs="Arial" w:eastAsia="Arial" w:hAnsi="Arial"/>
          <w:sz w:val="20"/>
          <w:szCs w:val="20"/>
          <w:color w:val="auto"/>
        </w:rPr>
      </w:pPr>
      <w:r>
        <w:rPr>
          <w:rFonts w:ascii="Arial" w:cs="Arial" w:eastAsia="Arial" w:hAnsi="Arial"/>
          <w:sz w:val="20"/>
          <w:szCs w:val="20"/>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37" w:lineRule="exact"/>
        <w:rPr>
          <w:rFonts w:ascii="Arial" w:cs="Arial" w:eastAsia="Arial" w:hAnsi="Arial"/>
          <w:sz w:val="20"/>
          <w:szCs w:val="20"/>
          <w:color w:val="auto"/>
        </w:rPr>
      </w:pPr>
    </w:p>
    <w:p>
      <w:pPr>
        <w:jc w:val="both"/>
        <w:ind w:left="340"/>
        <w:spacing w:after="0" w:line="246" w:lineRule="auto"/>
        <w:rPr>
          <w:rFonts w:ascii="Arial" w:cs="Arial" w:eastAsia="Arial" w:hAnsi="Arial"/>
          <w:sz w:val="20"/>
          <w:szCs w:val="20"/>
          <w:color w:val="auto"/>
        </w:rPr>
      </w:pPr>
      <w:r>
        <w:rPr>
          <w:rFonts w:ascii="Arial" w:cs="Arial" w:eastAsia="Arial" w:hAnsi="Arial"/>
          <w:sz w:val="20"/>
          <w:szCs w:val="20"/>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131" w:lineRule="exact"/>
        <w:rPr>
          <w:rFonts w:ascii="Arial" w:cs="Arial" w:eastAsia="Arial" w:hAnsi="Arial"/>
          <w:sz w:val="20"/>
          <w:szCs w:val="20"/>
          <w:color w:val="auto"/>
        </w:rPr>
      </w:pPr>
    </w:p>
    <w:p>
      <w:pPr>
        <w:ind w:left="340" w:hanging="332"/>
        <w:spacing w:after="0"/>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Other Issues</w:t>
      </w:r>
    </w:p>
    <w:p>
      <w:pPr>
        <w:spacing w:after="0" w:line="167" w:lineRule="exact"/>
        <w:rPr>
          <w:rFonts w:ascii="Arial" w:cs="Arial" w:eastAsia="Arial" w:hAnsi="Arial"/>
          <w:sz w:val="20"/>
          <w:szCs w:val="20"/>
          <w:color w:val="auto"/>
        </w:rPr>
      </w:pPr>
    </w:p>
    <w:p>
      <w:pPr>
        <w:jc w:val="both"/>
        <w:ind w:left="340"/>
        <w:spacing w:after="0" w:line="250" w:lineRule="auto"/>
        <w:rPr>
          <w:rFonts w:ascii="Arial" w:cs="Arial" w:eastAsia="Arial" w:hAnsi="Arial"/>
          <w:sz w:val="20"/>
          <w:szCs w:val="20"/>
          <w:color w:val="auto"/>
        </w:rPr>
      </w:pPr>
      <w:r>
        <w:rPr>
          <w:rFonts w:ascii="Arial" w:cs="Arial" w:eastAsia="Arial" w:hAnsi="Arial"/>
          <w:sz w:val="20"/>
          <w:szCs w:val="20"/>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rFonts w:ascii="Arial" w:cs="Arial" w:eastAsia="Arial" w:hAnsi="Arial"/>
          <w:sz w:val="20"/>
          <w:szCs w:val="20"/>
          <w:color w:val="auto"/>
        </w:rPr>
      </w:pPr>
    </w:p>
    <w:p>
      <w:pPr>
        <w:spacing w:after="0" w:line="337" w:lineRule="exact"/>
        <w:rPr>
          <w:rFonts w:ascii="Arial" w:cs="Arial" w:eastAsia="Arial" w:hAnsi="Arial"/>
          <w:sz w:val="20"/>
          <w:szCs w:val="20"/>
          <w:color w:val="auto"/>
        </w:rPr>
      </w:pPr>
    </w:p>
    <w:p>
      <w:pPr>
        <w:jc w:val="both"/>
        <w:ind w:left="340" w:right="9360"/>
        <w:spacing w:after="0" w:line="278" w:lineRule="auto"/>
        <w:rPr>
          <w:rFonts w:ascii="Arial" w:cs="Arial" w:eastAsia="Arial" w:hAnsi="Arial"/>
          <w:sz w:val="20"/>
          <w:szCs w:val="20"/>
          <w:color w:val="auto"/>
        </w:rPr>
      </w:pPr>
      <w:r>
        <w:rPr>
          <w:rFonts w:ascii="Arial" w:cs="Arial" w:eastAsia="Arial" w:hAnsi="Arial"/>
          <w:sz w:val="18"/>
          <w:szCs w:val="18"/>
          <w:color w:val="auto"/>
        </w:rPr>
        <w:t>Notice Provided By: Analog Devices, Inc. One Technology Way Norwood, MA 02062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D-2</w:t>
      </w:r>
    </w:p>
    <w:p>
      <w:pPr>
        <w:sectPr>
          <w:pgSz w:w="11900" w:h="16838" w:orient="portrait"/>
          <w:cols w:equalWidth="0" w:num="1">
            <w:col w:w="11420"/>
          </w:cols>
          <w:pgMar w:left="240" w:top="11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b w:val="1"/>
          <w:bCs w:val="1"/>
          <w:color w:val="auto"/>
        </w:rPr>
        <w:t>ARBEJDSGIVERERKLÆRING – DANMARK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Tildeling af “Restricted Stock Units” den {</w:t>
      </w:r>
      <w:r>
        <w:rPr>
          <w:rFonts w:ascii="Arial" w:cs="Arial" w:eastAsia="Arial" w:hAnsi="Arial"/>
          <w:sz w:val="22"/>
          <w:szCs w:val="22"/>
          <w:b w:val="1"/>
          <w:bCs w:val="1"/>
          <w:i w:val="1"/>
          <w:iCs w:val="1"/>
          <w:color w:val="auto"/>
        </w:rPr>
        <w:t>GRANTDATE</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44"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Arial" w:cs="Arial" w:eastAsia="Arial" w:hAnsi="Arial"/>
          <w:sz w:val="20"/>
          <w:szCs w:val="20"/>
          <w:i w:val="1"/>
          <w:iCs w:val="1"/>
          <w:color w:val="auto"/>
        </w:rPr>
        <w:t>Global Performance Restricted Stock Unit Agreement</w:t>
      </w:r>
      <w:r>
        <w:rPr>
          <w:rFonts w:ascii="Arial" w:cs="Arial" w:eastAsia="Arial" w:hAnsi="Arial"/>
          <w:sz w:val="20"/>
          <w:szCs w:val="20"/>
          <w:color w:val="auto"/>
        </w:rPr>
        <w:t xml:space="preserve"> (“Aftalen”), i tillægget til Aftalen og i Ordningen.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Tildelingsdato</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Selskabets godkendte den {</w:t>
      </w:r>
      <w:r>
        <w:rPr>
          <w:rFonts w:ascii="Arial" w:cs="Arial" w:eastAsia="Arial" w:hAnsi="Arial"/>
          <w:sz w:val="20"/>
          <w:szCs w:val="20"/>
          <w:i w:val="1"/>
          <w:iCs w:val="1"/>
          <w:color w:val="auto"/>
        </w:rPr>
        <w:t>Grant Date</w:t>
      </w:r>
      <w:r>
        <w:rPr>
          <w:rFonts w:ascii="Arial" w:cs="Arial" w:eastAsia="Arial" w:hAnsi="Arial"/>
          <w:sz w:val="20"/>
          <w:szCs w:val="20"/>
          <w:color w:val="auto"/>
        </w:rPr>
        <w:t>} tildelingen af RSU’er i henhold til Ordningen. Tildelingsdatoen for dine RSU’er er således den {</w:t>
      </w:r>
      <w:r>
        <w:rPr>
          <w:rFonts w:ascii="Arial" w:cs="Arial" w:eastAsia="Arial" w:hAnsi="Arial"/>
          <w:sz w:val="20"/>
          <w:szCs w:val="20"/>
          <w:i w:val="1"/>
          <w:iCs w:val="1"/>
          <w:color w:val="auto"/>
        </w:rPr>
        <w:t>Grant</w:t>
      </w:r>
      <w:r>
        <w:rPr>
          <w:rFonts w:ascii="Arial" w:cs="Arial" w:eastAsia="Arial" w:hAnsi="Arial"/>
          <w:sz w:val="20"/>
          <w:szCs w:val="20"/>
          <w:color w:val="auto"/>
        </w:rPr>
        <w:t xml:space="preserve"> </w:t>
      </w:r>
      <w:r>
        <w:rPr>
          <w:rFonts w:ascii="Arial" w:cs="Arial" w:eastAsia="Arial" w:hAnsi="Arial"/>
          <w:sz w:val="20"/>
          <w:szCs w:val="20"/>
          <w:i w:val="1"/>
          <w:iCs w:val="1"/>
          <w:color w:val="auto"/>
        </w:rPr>
        <w:t>Date</w:t>
      </w:r>
      <w:r>
        <w:rPr>
          <w:rFonts w:ascii="Arial" w:cs="Arial" w:eastAsia="Arial" w:hAnsi="Arial"/>
          <w:sz w:val="20"/>
          <w:szCs w:val="20"/>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Vilkår og betingelser for RSU-tildelingen</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Modningsdato for RSU’er</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Når RSU’erne modnes, udsteder Selskabet én ordinær aktie i Selskabet til dig for hver RSU, der er modnet.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Udnyttelseskurs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Da hver RSU giver dig ret til at modtage én ordinær aktie i Selskabet på modningsdatoen, uden at du vil skulle betale nogen omkostninger eller andre beløb, er der ingen udnyttelseskurs forbundet med RSU’erne.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Din retsstilling i forbindelse med fratræden</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D-3</w:t>
      </w:r>
    </w:p>
    <w:p>
      <w:pPr>
        <w:sectPr>
          <w:pgSz w:w="11900" w:h="16838" w:orient="portrait"/>
          <w:cols w:equalWidth="0" w:num="1">
            <w:col w:w="11420"/>
          </w:cols>
          <w:pgMar w:left="240" w:top="35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b w:val="1"/>
          <w:bCs w:val="1"/>
          <w:color w:val="auto"/>
        </w:rPr>
        <w:t>ARBEJDSGIVERERKLÆRING – DANMARK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Tildeling af “Restricted Stock Units” den {</w:t>
      </w:r>
      <w:r>
        <w:rPr>
          <w:rFonts w:ascii="Arial" w:cs="Arial" w:eastAsia="Arial" w:hAnsi="Arial"/>
          <w:sz w:val="22"/>
          <w:szCs w:val="22"/>
          <w:b w:val="1"/>
          <w:bCs w:val="1"/>
          <w:i w:val="1"/>
          <w:iCs w:val="1"/>
          <w:color w:val="auto"/>
        </w:rPr>
        <w:t>GRANTDATE</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Økonomiske aspekter ved at deltage i Ordningen</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Diverse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Denne Erklæring har ikke til formål at ændre bestemmelserne i Ordningen eller Aftalen (eller i et dertil tilhørende dokument), og Ordningen og</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Aftalen (og eventuelle dertil tilhørende dokumenter) har forrang i tilfælde af flertydighed. Dine lovfæstede rettigheder i henhold til</w:t>
      </w:r>
    </w:p>
    <w:p>
      <w:pPr>
        <w:spacing w:after="0"/>
        <w:rPr>
          <w:sz w:val="20"/>
          <w:szCs w:val="20"/>
          <w:color w:val="auto"/>
        </w:rPr>
      </w:pPr>
      <w:r>
        <w:rPr>
          <w:rFonts w:ascii="Arial" w:cs="Arial" w:eastAsia="Arial" w:hAnsi="Arial"/>
          <w:sz w:val="20"/>
          <w:szCs w:val="20"/>
          <w:color w:val="auto"/>
        </w:rPr>
        <w:t>Aktieoptionsloven har dog forrang i tilfælde af flertydighed.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Meddelelse afgivet af:</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Analog Devices, Inc.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One Technology Way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Norwood, MA 02062</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D-4</w:t>
      </w:r>
    </w:p>
    <w:p>
      <w:pPr>
        <w:sectPr>
          <w:pgSz w:w="11900" w:h="16838" w:orient="portrait"/>
          <w:cols w:equalWidth="0" w:num="1">
            <w:col w:w="11420"/>
          </w:cols>
          <w:pgMar w:left="240" w:top="355"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0"/>
          <w:szCs w:val="20"/>
          <w:b w:val="1"/>
          <w:bCs w:val="1"/>
          <w:u w:val="single" w:color="auto"/>
          <w:color w:val="auto"/>
        </w:rPr>
        <w:t>APPENDIX 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ISRAELI APPENDIX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u w:val="single" w:color="auto"/>
          <w:color w:val="auto"/>
        </w:rPr>
        <w:t>Trust Arrangement</w:t>
      </w:r>
      <w:r>
        <w:rPr>
          <w:rFonts w:ascii="Arial" w:cs="Arial" w:eastAsia="Arial" w:hAnsi="Arial"/>
          <w:sz w:val="18"/>
          <w:szCs w:val="18"/>
          <w:b w:val="1"/>
          <w:bCs w:val="1"/>
          <w:color w:val="auto"/>
        </w:rPr>
        <w:t>. If the Participant resides in Israel and has not already signed an Israeli Appendix in connection with grants made under the Analog Devices, Inc. 2020 Stock Incentive Plan (the “Plan”), then the Participant must print, sign &amp; deliver the signed copy of this Israeli Appendix within 45 days to: Stock Plan Administrator, Analog Devices, Inc., Norwood, Massachusetts, 02062 USA.</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The Participant hereby understands and agrees that the Performance RSUs are offered subject to and in accordance with the terms of the Israeli Sub-Plan (the “Israeli Sub-Plan”) to the Plan under the 102 Capital Gains Track (as defined in the Israeli Sub-Plan), the Trust Agreement between the trustee appointed by Analog Devices, (Israel) Ltd. (the “Trustee”), Global Performance Restricted Stock Unit Agreement, including Appendix A thereto (collectively, the “Restricted Stock Unit Agreement”), and the Plan. In the event of any inconsistencies among the Israeli Sub-Plan, the Restricted Stock Unit Agreement, and/or the Plan, the Participant agrees that the Israeli Sub-Plan will govern the Performance RSUs granted to the Participant in Israel.</w:t>
      </w:r>
    </w:p>
    <w:p>
      <w:pPr>
        <w:spacing w:after="0" w:line="119"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color w:val="auto"/>
        </w:rPr>
        <w:t>Please sign this Israeli Appendix and return it to the address shown on the top within 45 days of receipt. If Analog Devices, (Israel) Ltd. or Analog Devices, Inc. does not receive your signed Israel Appendix, your Performance RSUs shall terminate and will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6980" w:val="left"/>
        </w:tabs>
        <w:rPr>
          <w:sz w:val="20"/>
          <w:szCs w:val="20"/>
          <w:color w:val="auto"/>
        </w:rPr>
      </w:pPr>
      <w:r>
        <w:rPr>
          <w:rFonts w:ascii="Arial" w:cs="Arial" w:eastAsia="Arial" w:hAnsi="Arial"/>
          <w:sz w:val="20"/>
          <w:szCs w:val="20"/>
          <w:color w:val="auto"/>
        </w:rPr>
        <w:t>Name: {</w:t>
      </w:r>
      <w:r>
        <w:rPr>
          <w:rFonts w:ascii="Arial" w:cs="Arial" w:eastAsia="Arial" w:hAnsi="Arial"/>
          <w:sz w:val="20"/>
          <w:szCs w:val="20"/>
          <w:i w:val="1"/>
          <w:iCs w:val="1"/>
          <w:color w:val="auto"/>
        </w:rPr>
        <w:t>Participant Name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E-1</w:t>
      </w:r>
    </w:p>
    <w:p>
      <w:pPr>
        <w:sectPr>
          <w:pgSz w:w="11900" w:h="16838" w:orient="portrait"/>
          <w:cols w:equalWidth="0" w:num="1">
            <w:col w:w="11420"/>
          </w:cols>
          <w:pgMar w:left="240" w:top="1413" w:right="239" w:bottom="1440" w:gutter="0" w:footer="0" w:header="0"/>
        </w:sectPr>
      </w:pPr>
    </w:p>
    <w:bookmarkStart w:id="86" w:name="page87"/>
    <w:bookmarkEnd w:id="86"/>
    <w:p>
      <w:pPr>
        <w:ind w:left="4960"/>
        <w:spacing w:after="0"/>
        <w:rPr>
          <w:sz w:val="20"/>
          <w:szCs w:val="20"/>
          <w:color w:val="auto"/>
        </w:rPr>
      </w:pPr>
      <w:r>
        <w:rPr>
          <w:rFonts w:ascii="Arial" w:cs="Arial" w:eastAsia="Arial" w:hAnsi="Arial"/>
          <w:sz w:val="20"/>
          <w:szCs w:val="20"/>
          <w:b w:val="1"/>
          <w:bCs w:val="1"/>
          <w:color w:val="auto"/>
        </w:rPr>
        <w:t>APPENDIX F TO</w:t>
      </w:r>
    </w:p>
    <w:p>
      <w:pPr>
        <w:spacing w:after="0" w:line="144"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Onscreen disclaimer</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Clicking on the “ACCEPT” box indicates your acceptance of the Election. You should read the “Important Note on the Election to Transfer Employer NICs” before accepting the Election.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 on the Election to Transfer Employer NICs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By entering into the Election:</w:t>
      </w:r>
    </w:p>
    <w:p>
      <w:pPr>
        <w:spacing w:after="0" w:line="162"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you agree that any employer’s NICs liability that may arise in connection with your Awards will be transferred to you;</w:t>
      </w:r>
    </w:p>
    <w:p>
      <w:pPr>
        <w:spacing w:after="0" w:line="161"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50"/>
        </w:numPr>
        <w:rPr>
          <w:rFonts w:ascii="Arial" w:cs="Arial" w:eastAsia="Arial" w:hAnsi="Arial"/>
          <w:sz w:val="20"/>
          <w:szCs w:val="20"/>
          <w:color w:val="auto"/>
        </w:rPr>
      </w:pPr>
      <w:r>
        <w:rPr>
          <w:rFonts w:ascii="Arial" w:cs="Arial" w:eastAsia="Arial" w:hAnsi="Arial"/>
          <w:sz w:val="20"/>
          <w:szCs w:val="20"/>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spacing w:after="0" w:line="132"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50"/>
        </w:numPr>
        <w:rPr>
          <w:rFonts w:ascii="Arial" w:cs="Arial" w:eastAsia="Arial" w:hAnsi="Arial"/>
          <w:sz w:val="20"/>
          <w:szCs w:val="20"/>
          <w:color w:val="auto"/>
        </w:rPr>
      </w:pPr>
      <w:r>
        <w:rPr>
          <w:rFonts w:ascii="Arial" w:cs="Arial" w:eastAsia="Arial" w:hAnsi="Arial"/>
          <w:sz w:val="20"/>
          <w:szCs w:val="20"/>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Please read the Election carefully before accepting the Election.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F-1</w:t>
      </w:r>
    </w:p>
    <w:p>
      <w:pPr>
        <w:sectPr>
          <w:pgSz w:w="11900" w:h="16838" w:orient="portrait"/>
          <w:cols w:equalWidth="0" w:num="1">
            <w:col w:w="11420"/>
          </w:cols>
          <w:pgMar w:left="240" w:top="116" w:right="239" w:bottom="1440" w:gutter="0" w:footer="0" w:header="0"/>
        </w:sectPr>
      </w:pPr>
    </w:p>
    <w:bookmarkStart w:id="87" w:name="page88"/>
    <w:bookmarkEnd w:id="87"/>
    <w:p>
      <w:pPr>
        <w:ind w:left="4960"/>
        <w:spacing w:after="0"/>
        <w:rPr>
          <w:sz w:val="20"/>
          <w:szCs w:val="20"/>
          <w:color w:val="auto"/>
        </w:rPr>
      </w:pPr>
      <w:r>
        <w:rPr>
          <w:rFonts w:ascii="Arial" w:cs="Arial" w:eastAsia="Arial" w:hAnsi="Arial"/>
          <w:sz w:val="20"/>
          <w:szCs w:val="20"/>
          <w:b w:val="1"/>
          <w:bCs w:val="1"/>
          <w:color w:val="auto"/>
        </w:rPr>
        <w:t>APPENDIX F TO</w:t>
      </w:r>
    </w:p>
    <w:p>
      <w:pPr>
        <w:spacing w:after="0" w:line="144"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This Election is between:</w:t>
      </w:r>
    </w:p>
    <w:p>
      <w:pPr>
        <w:spacing w:after="0" w:line="156"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T</w:t>
      </w:r>
      <w:r>
        <w:rPr>
          <w:rFonts w:ascii="Arial" w:cs="Arial" w:eastAsia="Arial" w:hAnsi="Arial"/>
          <w:sz w:val="20"/>
          <w:szCs w:val="20"/>
          <w:color w:val="auto"/>
        </w:rPr>
        <w:t>he individual who has obtained authorized access to this Election (the “</w:t>
      </w:r>
      <w:r>
        <w:rPr>
          <w:rFonts w:ascii="Arial" w:cs="Arial" w:eastAsia="Arial" w:hAnsi="Arial"/>
          <w:sz w:val="20"/>
          <w:szCs w:val="20"/>
          <w:b w:val="1"/>
          <w:bCs w:val="1"/>
          <w:color w:val="auto"/>
        </w:rPr>
        <w:t>Employee</w:t>
      </w:r>
      <w:r>
        <w:rPr>
          <w:rFonts w:ascii="Arial" w:cs="Arial" w:eastAsia="Arial" w:hAnsi="Arial"/>
          <w:sz w:val="20"/>
          <w:szCs w:val="20"/>
          <w:color w:val="auto"/>
        </w:rPr>
        <w:t>”), who is employed by one of the employing companies listed in the attached schedule (the “</w:t>
      </w:r>
      <w:r>
        <w:rPr>
          <w:rFonts w:ascii="Arial" w:cs="Arial" w:eastAsia="Arial" w:hAnsi="Arial"/>
          <w:sz w:val="20"/>
          <w:szCs w:val="20"/>
          <w:b w:val="1"/>
          <w:bCs w:val="1"/>
          <w:color w:val="auto"/>
        </w:rPr>
        <w:t>Employer</w:t>
      </w:r>
      <w:r>
        <w:rPr>
          <w:rFonts w:ascii="Arial" w:cs="Arial" w:eastAsia="Arial" w:hAnsi="Arial"/>
          <w:sz w:val="20"/>
          <w:szCs w:val="20"/>
          <w:color w:val="auto"/>
        </w:rPr>
        <w:t>”) and who is eligible to receive restricted stock units and/or stock options (“</w:t>
      </w:r>
      <w:r>
        <w:rPr>
          <w:rFonts w:ascii="Arial" w:cs="Arial" w:eastAsia="Arial" w:hAnsi="Arial"/>
          <w:sz w:val="20"/>
          <w:szCs w:val="20"/>
          <w:b w:val="1"/>
          <w:bCs w:val="1"/>
          <w:color w:val="auto"/>
        </w:rPr>
        <w:t>Awards</w:t>
      </w:r>
      <w:r>
        <w:rPr>
          <w:rFonts w:ascii="Arial" w:cs="Arial" w:eastAsia="Arial" w:hAnsi="Arial"/>
          <w:sz w:val="20"/>
          <w:szCs w:val="20"/>
          <w:color w:val="auto"/>
        </w:rPr>
        <w:t>”) pursuant to the Analog Devices, Inc. 2020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 and</w:t>
      </w:r>
    </w:p>
    <w:p>
      <w:pPr>
        <w:spacing w:after="0" w:line="124" w:lineRule="exact"/>
        <w:rPr>
          <w:sz w:val="20"/>
          <w:szCs w:val="20"/>
          <w:color w:val="auto"/>
        </w:rPr>
      </w:pPr>
    </w:p>
    <w:p>
      <w:pPr>
        <w:ind w:left="660" w:hanging="652"/>
        <w:spacing w:after="0" w:line="267" w:lineRule="auto"/>
        <w:tabs>
          <w:tab w:leader="none" w:pos="299"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Analog Devices, Inc. of One Technology Way, Norwood, Massachusetts 02062, U.S.A. (the “</w:t>
      </w:r>
      <w:r>
        <w:rPr>
          <w:rFonts w:ascii="Arial" w:cs="Arial" w:eastAsia="Arial" w:hAnsi="Arial"/>
          <w:sz w:val="20"/>
          <w:szCs w:val="20"/>
          <w:b w:val="1"/>
          <w:bCs w:val="1"/>
          <w:color w:val="auto"/>
        </w:rPr>
        <w:t>Company</w:t>
      </w:r>
      <w:r>
        <w:rPr>
          <w:rFonts w:ascii="Arial" w:cs="Arial" w:eastAsia="Arial" w:hAnsi="Arial"/>
          <w:sz w:val="20"/>
          <w:szCs w:val="20"/>
          <w:color w:val="auto"/>
        </w:rPr>
        <w:t>”), which may grant Awards under the Plans and is entering into this Election on behalf of the Employer.</w:t>
      </w:r>
    </w:p>
    <w:p>
      <w:pPr>
        <w:spacing w:after="0" w:line="110"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Introduction</w:t>
      </w:r>
    </w:p>
    <w:p>
      <w:pPr>
        <w:spacing w:after="0" w:line="168" w:lineRule="exact"/>
        <w:rPr>
          <w:sz w:val="20"/>
          <w:szCs w:val="20"/>
          <w:color w:val="auto"/>
        </w:rPr>
      </w:pPr>
    </w:p>
    <w:p>
      <w:pPr>
        <w:ind w:left="660" w:right="440" w:hanging="647"/>
        <w:spacing w:after="0" w:line="260" w:lineRule="auto"/>
        <w:rPr>
          <w:sz w:val="20"/>
          <w:szCs w:val="20"/>
          <w:color w:val="auto"/>
        </w:rPr>
      </w:pPr>
      <w:r>
        <w:rPr>
          <w:rFonts w:ascii="Arial" w:cs="Arial" w:eastAsia="Arial" w:hAnsi="Arial"/>
          <w:sz w:val="20"/>
          <w:szCs w:val="20"/>
          <w:color w:val="auto"/>
        </w:rPr>
        <w:t>1.1 This Election relates to all Awards granted to the Employee or assumed and converted under the Plan up to the termination dates of the Plans.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1.2 In this Election the following words and phrases have the following meanings:</w:t>
      </w:r>
    </w:p>
    <w:p>
      <w:pPr>
        <w:spacing w:after="0" w:line="156"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Chargeable Event</w:t>
      </w:r>
      <w:r>
        <w:rPr>
          <w:rFonts w:ascii="Arial" w:cs="Arial" w:eastAsia="Arial" w:hAnsi="Arial"/>
          <w:sz w:val="20"/>
          <w:szCs w:val="20"/>
          <w:color w:val="auto"/>
        </w:rPr>
        <w:t>” means any event giving rise to Relevant Employment Income.</w:t>
      </w:r>
    </w:p>
    <w:p>
      <w:pPr>
        <w:spacing w:after="0" w:line="161" w:lineRule="exact"/>
        <w:rPr>
          <w:rFonts w:ascii="Arial" w:cs="Arial" w:eastAsia="Arial" w:hAnsi="Arial"/>
          <w:sz w:val="20"/>
          <w:szCs w:val="20"/>
          <w:color w:val="auto"/>
        </w:rPr>
      </w:pPr>
    </w:p>
    <w:p>
      <w:pPr>
        <w:ind w:left="960" w:hanging="304"/>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Employment Income</w:t>
      </w:r>
      <w:r>
        <w:rPr>
          <w:rFonts w:ascii="Arial" w:cs="Arial" w:eastAsia="Arial" w:hAnsi="Arial"/>
          <w:sz w:val="18"/>
          <w:szCs w:val="18"/>
          <w:color w:val="auto"/>
        </w:rPr>
        <w:t>" from Awards on which employer's National Insurance Contributions becomes due is defined as:</w:t>
      </w:r>
    </w:p>
    <w:p>
      <w:pPr>
        <w:spacing w:after="0" w:line="190" w:lineRule="exact"/>
        <w:rPr>
          <w:rFonts w:ascii="Arial" w:cs="Arial" w:eastAsia="Arial" w:hAnsi="Arial"/>
          <w:sz w:val="18"/>
          <w:szCs w:val="18"/>
          <w:color w:val="auto"/>
        </w:rPr>
      </w:pPr>
    </w:p>
    <w:p>
      <w:pPr>
        <w:ind w:left="1300" w:hanging="506"/>
        <w:spacing w:after="0" w:line="260" w:lineRule="auto"/>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an amount that counts as employment income of the earner under section 426 ITEPA (restricted securities: charge on certain post-acquisition events);</w:t>
      </w:r>
    </w:p>
    <w:p>
      <w:pPr>
        <w:spacing w:after="0" w:line="122" w:lineRule="exact"/>
        <w:rPr>
          <w:rFonts w:ascii="Arial" w:cs="Arial" w:eastAsia="Arial" w:hAnsi="Arial"/>
          <w:sz w:val="20"/>
          <w:szCs w:val="20"/>
          <w:color w:val="auto"/>
        </w:rPr>
      </w:pPr>
    </w:p>
    <w:p>
      <w:pPr>
        <w:ind w:left="1300" w:right="20" w:hanging="561"/>
        <w:spacing w:after="0" w:line="260" w:lineRule="auto"/>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an amount that counts as employment income of the earner under section 438 of ITEPA (convertible securities: charge on certain post-acquisition events); or</w:t>
      </w:r>
    </w:p>
    <w:p>
      <w:pPr>
        <w:spacing w:after="0" w:line="122" w:lineRule="exact"/>
        <w:rPr>
          <w:rFonts w:ascii="Arial" w:cs="Arial" w:eastAsia="Arial" w:hAnsi="Arial"/>
          <w:sz w:val="20"/>
          <w:szCs w:val="20"/>
          <w:color w:val="auto"/>
        </w:rPr>
      </w:pPr>
    </w:p>
    <w:p>
      <w:pPr>
        <w:ind w:left="1300" w:hanging="616"/>
        <w:spacing w:after="0" w:line="260" w:lineRule="auto"/>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any gain that is treated as remuneration derived from the earner's employment by virtue of section 4(4)(a) SSCBA, including without limitation:</w:t>
      </w:r>
    </w:p>
    <w:p>
      <w:pPr>
        <w:spacing w:after="0" w:line="122" w:lineRule="exact"/>
        <w:rPr>
          <w:rFonts w:ascii="Arial" w:cs="Arial" w:eastAsia="Arial" w:hAnsi="Arial"/>
          <w:sz w:val="20"/>
          <w:szCs w:val="20"/>
          <w:color w:val="auto"/>
        </w:rPr>
      </w:pPr>
    </w:p>
    <w:p>
      <w:pPr>
        <w:ind w:left="1940" w:hanging="311"/>
        <w:spacing w:after="0"/>
        <w:tabs>
          <w:tab w:leader="none" w:pos="1940" w:val="left"/>
        </w:tabs>
        <w:numPr>
          <w:ilvl w:val="2"/>
          <w:numId w:val="53"/>
        </w:numPr>
        <w:rPr>
          <w:rFonts w:ascii="Arial" w:cs="Arial" w:eastAsia="Arial" w:hAnsi="Arial"/>
          <w:sz w:val="20"/>
          <w:szCs w:val="20"/>
          <w:color w:val="auto"/>
        </w:rPr>
      </w:pPr>
      <w:r>
        <w:rPr>
          <w:rFonts w:ascii="Arial" w:cs="Arial" w:eastAsia="Arial" w:hAnsi="Arial"/>
          <w:sz w:val="20"/>
          <w:szCs w:val="20"/>
          <w:color w:val="auto"/>
        </w:rPr>
        <w:t>the acquisition of securities pursuant to the Awards (within the meaning of section 477(3)(a) of ITEPA);</w:t>
      </w:r>
    </w:p>
    <w:p>
      <w:pPr>
        <w:spacing w:after="0" w:line="161" w:lineRule="exact"/>
        <w:rPr>
          <w:rFonts w:ascii="Arial" w:cs="Arial" w:eastAsia="Arial" w:hAnsi="Arial"/>
          <w:sz w:val="20"/>
          <w:szCs w:val="20"/>
          <w:color w:val="auto"/>
        </w:rPr>
      </w:pPr>
    </w:p>
    <w:p>
      <w:pPr>
        <w:ind w:left="1960" w:hanging="331"/>
        <w:spacing w:after="0" w:line="260" w:lineRule="auto"/>
        <w:tabs>
          <w:tab w:leader="none" w:pos="1954" w:val="left"/>
        </w:tabs>
        <w:numPr>
          <w:ilvl w:val="2"/>
          <w:numId w:val="53"/>
        </w:numPr>
        <w:rPr>
          <w:rFonts w:ascii="Arial" w:cs="Arial" w:eastAsia="Arial" w:hAnsi="Arial"/>
          <w:sz w:val="20"/>
          <w:szCs w:val="20"/>
          <w:color w:val="auto"/>
        </w:rPr>
      </w:pPr>
      <w:r>
        <w:rPr>
          <w:rFonts w:ascii="Arial" w:cs="Arial" w:eastAsia="Arial" w:hAnsi="Arial"/>
          <w:sz w:val="20"/>
          <w:szCs w:val="20"/>
          <w:color w:val="auto"/>
        </w:rPr>
        <w:t>the assignment (if applicable) or release of the Awards in return for consideration (within the meaning of section 477(3)(b) of ITEPA);</w:t>
      </w:r>
    </w:p>
    <w:p>
      <w:pPr>
        <w:spacing w:after="0" w:line="122" w:lineRule="exact"/>
        <w:rPr>
          <w:rFonts w:ascii="Arial" w:cs="Arial" w:eastAsia="Arial" w:hAnsi="Arial"/>
          <w:sz w:val="20"/>
          <w:szCs w:val="20"/>
          <w:color w:val="auto"/>
        </w:rPr>
      </w:pPr>
    </w:p>
    <w:p>
      <w:pPr>
        <w:ind w:left="1960" w:hanging="331"/>
        <w:spacing w:after="0" w:line="260" w:lineRule="auto"/>
        <w:tabs>
          <w:tab w:leader="none" w:pos="1954" w:val="left"/>
        </w:tabs>
        <w:numPr>
          <w:ilvl w:val="2"/>
          <w:numId w:val="53"/>
        </w:numPr>
        <w:rPr>
          <w:rFonts w:ascii="Arial" w:cs="Arial" w:eastAsia="Arial" w:hAnsi="Arial"/>
          <w:sz w:val="20"/>
          <w:szCs w:val="20"/>
          <w:color w:val="auto"/>
        </w:rPr>
      </w:pPr>
      <w:r>
        <w:rPr>
          <w:rFonts w:ascii="Arial" w:cs="Arial" w:eastAsia="Arial" w:hAnsi="Arial"/>
          <w:sz w:val="20"/>
          <w:szCs w:val="20"/>
          <w:color w:val="auto"/>
        </w:rPr>
        <w:t>the receipt of a benefit in connection with the Awards, other than a benefit within (i) or (ii) above (within the meaning of section 477(3)(c) of ITEPA);</w:t>
      </w:r>
    </w:p>
    <w:p>
      <w:pPr>
        <w:spacing w:after="0" w:line="116" w:lineRule="exact"/>
        <w:rPr>
          <w:rFonts w:ascii="Arial" w:cs="Arial" w:eastAsia="Arial" w:hAnsi="Arial"/>
          <w:sz w:val="20"/>
          <w:szCs w:val="20"/>
          <w:color w:val="auto"/>
        </w:rPr>
      </w:pPr>
    </w:p>
    <w:p>
      <w:pPr>
        <w:ind w:left="980" w:hanging="324"/>
        <w:spacing w:after="0"/>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ITEPA</w:t>
      </w:r>
      <w:r>
        <w:rPr>
          <w:rFonts w:ascii="Arial" w:cs="Arial" w:eastAsia="Arial" w:hAnsi="Arial"/>
          <w:sz w:val="20"/>
          <w:szCs w:val="20"/>
          <w:color w:val="auto"/>
        </w:rPr>
        <w:t>” means the Income Tax (Earnings and Pensions) Act 2003.</w:t>
      </w:r>
    </w:p>
    <w:p>
      <w:pPr>
        <w:spacing w:after="0" w:line="161" w:lineRule="exact"/>
        <w:rPr>
          <w:rFonts w:ascii="Arial" w:cs="Arial" w:eastAsia="Arial" w:hAnsi="Arial"/>
          <w:sz w:val="20"/>
          <w:szCs w:val="20"/>
          <w:color w:val="auto"/>
        </w:rPr>
      </w:pPr>
    </w:p>
    <w:p>
      <w:pPr>
        <w:ind w:left="960" w:hanging="304"/>
        <w:spacing w:after="0"/>
        <w:tabs>
          <w:tab w:leader="none" w:pos="9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SSCBA</w:t>
      </w:r>
      <w:r>
        <w:rPr>
          <w:rFonts w:ascii="Arial" w:cs="Arial" w:eastAsia="Arial" w:hAnsi="Arial"/>
          <w:sz w:val="20"/>
          <w:szCs w:val="20"/>
          <w:color w:val="auto"/>
        </w:rPr>
        <w:t>” means the Social Security Contributions and Benefits Act 1992.</w:t>
      </w:r>
    </w:p>
    <w:p>
      <w:pPr>
        <w:spacing w:after="0" w:line="168" w:lineRule="exact"/>
        <w:rPr>
          <w:sz w:val="20"/>
          <w:szCs w:val="20"/>
          <w:color w:val="auto"/>
        </w:rPr>
      </w:pPr>
    </w:p>
    <w:p>
      <w:pPr>
        <w:ind w:left="660" w:right="200" w:hanging="647"/>
        <w:spacing w:after="0" w:line="275" w:lineRule="auto"/>
        <w:rPr>
          <w:sz w:val="20"/>
          <w:szCs w:val="20"/>
          <w:color w:val="auto"/>
        </w:rPr>
      </w:pPr>
      <w:r>
        <w:rPr>
          <w:rFonts w:ascii="Arial" w:cs="Arial" w:eastAsia="Arial" w:hAnsi="Arial"/>
          <w:sz w:val="18"/>
          <w:szCs w:val="18"/>
          <w:color w:val="auto"/>
        </w:rPr>
        <w:t>1.3 This Election relates to the employer’s secondary Class 1 National Insurance Contributions (the “Employer’s Liability”) which may arise on Relevant Employment Income in respect of the Awards pursuant to section 4(4)(a) and/or paragraph 3B(1A) of Schedule 1 of the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SSCBA.</w:t>
      </w:r>
    </w:p>
    <w:p>
      <w:pPr>
        <w:spacing w:after="0" w:line="146" w:lineRule="exact"/>
        <w:rPr>
          <w:sz w:val="20"/>
          <w:szCs w:val="20"/>
          <w:color w:val="auto"/>
        </w:rPr>
      </w:pPr>
    </w:p>
    <w:p>
      <w:pPr>
        <w:ind w:left="660" w:right="640" w:hanging="647"/>
        <w:spacing w:after="0" w:line="250" w:lineRule="auto"/>
        <w:rPr>
          <w:sz w:val="20"/>
          <w:szCs w:val="20"/>
          <w:color w:val="auto"/>
        </w:rPr>
      </w:pPr>
      <w:r>
        <w:rPr>
          <w:rFonts w:ascii="Arial" w:cs="Arial" w:eastAsia="Arial" w:hAnsi="Arial"/>
          <w:sz w:val="20"/>
          <w:szCs w:val="20"/>
          <w:color w:val="auto"/>
        </w:rPr>
        <w:t>1.4 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F-2</w:t>
      </w:r>
    </w:p>
    <w:p>
      <w:pPr>
        <w:sectPr>
          <w:pgSz w:w="11900" w:h="16838" w:orient="portrait"/>
          <w:cols w:equalWidth="0" w:num="1">
            <w:col w:w="11420"/>
          </w:cols>
          <w:pgMar w:left="240" w:top="116" w:right="239" w:bottom="1440" w:gutter="0" w:footer="0" w:header="0"/>
        </w:sectPr>
      </w:pPr>
    </w:p>
    <w:bookmarkStart w:id="88" w:name="page89"/>
    <w:bookmarkEnd w:id="88"/>
    <w:p>
      <w:pPr>
        <w:ind w:left="4960"/>
        <w:spacing w:after="0"/>
        <w:rPr>
          <w:sz w:val="20"/>
          <w:szCs w:val="20"/>
          <w:color w:val="auto"/>
        </w:rPr>
      </w:pPr>
      <w:r>
        <w:rPr>
          <w:rFonts w:ascii="Arial" w:cs="Arial" w:eastAsia="Arial" w:hAnsi="Arial"/>
          <w:sz w:val="20"/>
          <w:szCs w:val="20"/>
          <w:b w:val="1"/>
          <w:bCs w:val="1"/>
          <w:color w:val="auto"/>
        </w:rPr>
        <w:t>APPENDIX F TO</w:t>
      </w:r>
    </w:p>
    <w:p>
      <w:pPr>
        <w:spacing w:after="0" w:line="144"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70" w:lineRule="exact"/>
        <w:rPr>
          <w:sz w:val="20"/>
          <w:szCs w:val="20"/>
          <w:color w:val="auto"/>
        </w:rPr>
      </w:pPr>
    </w:p>
    <w:p>
      <w:pPr>
        <w:ind w:left="660" w:hanging="647"/>
        <w:spacing w:after="0" w:line="287" w:lineRule="auto"/>
        <w:rPr>
          <w:sz w:val="20"/>
          <w:szCs w:val="20"/>
          <w:color w:val="auto"/>
        </w:rPr>
      </w:pPr>
      <w:r>
        <w:rPr>
          <w:rFonts w:ascii="Arial" w:cs="Arial" w:eastAsia="Arial" w:hAnsi="Arial"/>
          <w:sz w:val="19"/>
          <w:szCs w:val="19"/>
          <w:color w:val="auto"/>
        </w:rPr>
        <w:t>1.5 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The Election</w:t>
      </w:r>
    </w:p>
    <w:p>
      <w:pPr>
        <w:spacing w:after="0" w:line="168" w:lineRule="exact"/>
        <w:rPr>
          <w:sz w:val="20"/>
          <w:szCs w:val="20"/>
          <w:color w:val="auto"/>
        </w:rPr>
      </w:pPr>
    </w:p>
    <w:p>
      <w:pPr>
        <w:ind w:left="660" w:right="160"/>
        <w:spacing w:after="0" w:line="246" w:lineRule="auto"/>
        <w:rPr>
          <w:sz w:val="20"/>
          <w:szCs w:val="20"/>
          <w:color w:val="auto"/>
        </w:rPr>
      </w:pPr>
      <w:r>
        <w:rPr>
          <w:rFonts w:ascii="Arial" w:cs="Arial" w:eastAsia="Arial" w:hAnsi="Arial"/>
          <w:sz w:val="20"/>
          <w:szCs w:val="20"/>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pacing w:after="0" w:line="132"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Payment of the Employer’s Liability</w:t>
      </w:r>
    </w:p>
    <w:p>
      <w:pPr>
        <w:spacing w:after="0" w:line="168" w:lineRule="exact"/>
        <w:rPr>
          <w:sz w:val="20"/>
          <w:szCs w:val="20"/>
          <w:color w:val="auto"/>
        </w:rPr>
      </w:pPr>
    </w:p>
    <w:p>
      <w:pPr>
        <w:ind w:left="660" w:right="840" w:hanging="647"/>
        <w:spacing w:after="0" w:line="260" w:lineRule="auto"/>
        <w:rPr>
          <w:sz w:val="20"/>
          <w:szCs w:val="20"/>
          <w:color w:val="auto"/>
        </w:rPr>
      </w:pPr>
      <w:r>
        <w:rPr>
          <w:rFonts w:ascii="Arial" w:cs="Arial" w:eastAsia="Arial" w:hAnsi="Arial"/>
          <w:sz w:val="20"/>
          <w:szCs w:val="20"/>
          <w:color w:val="auto"/>
        </w:rPr>
        <w:t>3.1 The Employee hereby authorizes the Company and/or the Employer to collect the Employer’s Liability in respect of any Relevant Employment Income from the Employee at any time after the Chargeable Event:</w:t>
      </w:r>
    </w:p>
    <w:p>
      <w:pPr>
        <w:spacing w:after="0" w:line="123" w:lineRule="exact"/>
        <w:rPr>
          <w:sz w:val="20"/>
          <w:szCs w:val="20"/>
          <w:color w:val="auto"/>
        </w:rPr>
      </w:pPr>
    </w:p>
    <w:p>
      <w:pPr>
        <w:ind w:left="1620" w:right="20" w:hanging="826"/>
        <w:spacing w:after="0" w:line="260" w:lineRule="auto"/>
        <w:tabs>
          <w:tab w:leader="none" w:pos="16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by deduction from salary or any other payment payable to the Employee at any time on or after the date of the Chargeable Event; and/or</w:t>
      </w:r>
    </w:p>
    <w:p>
      <w:pPr>
        <w:spacing w:after="0" w:line="122" w:lineRule="exact"/>
        <w:rPr>
          <w:rFonts w:ascii="Arial" w:cs="Arial" w:eastAsia="Arial" w:hAnsi="Arial"/>
          <w:sz w:val="20"/>
          <w:szCs w:val="20"/>
          <w:color w:val="auto"/>
        </w:rPr>
      </w:pPr>
    </w:p>
    <w:p>
      <w:pPr>
        <w:ind w:left="1620" w:hanging="881"/>
        <w:spacing w:after="0"/>
        <w:tabs>
          <w:tab w:leader="none" w:pos="16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directly from the Employee by payment in cash or cleared funds; and/or</w:t>
      </w:r>
    </w:p>
    <w:p>
      <w:pPr>
        <w:spacing w:after="0" w:line="161" w:lineRule="exact"/>
        <w:rPr>
          <w:rFonts w:ascii="Arial" w:cs="Arial" w:eastAsia="Arial" w:hAnsi="Arial"/>
          <w:sz w:val="20"/>
          <w:szCs w:val="20"/>
          <w:color w:val="auto"/>
        </w:rPr>
      </w:pPr>
    </w:p>
    <w:p>
      <w:pPr>
        <w:ind w:left="1620" w:hanging="936"/>
        <w:spacing w:after="0" w:line="260" w:lineRule="auto"/>
        <w:tabs>
          <w:tab w:leader="none" w:pos="16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by arranging, on behalf of the Employee, for the sale of some of the securities which the Employee is entitled to receive in respect of the Awards; and/or</w:t>
      </w:r>
    </w:p>
    <w:p>
      <w:pPr>
        <w:spacing w:after="0" w:line="122" w:lineRule="exact"/>
        <w:rPr>
          <w:rFonts w:ascii="Arial" w:cs="Arial" w:eastAsia="Arial" w:hAnsi="Arial"/>
          <w:sz w:val="20"/>
          <w:szCs w:val="20"/>
          <w:color w:val="auto"/>
        </w:rPr>
      </w:pPr>
    </w:p>
    <w:p>
      <w:pPr>
        <w:ind w:left="1620" w:hanging="925"/>
        <w:spacing w:after="0"/>
        <w:tabs>
          <w:tab w:leader="none" w:pos="16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by any other means specified in the applicable award agreement.</w:t>
      </w:r>
    </w:p>
    <w:p>
      <w:pPr>
        <w:spacing w:after="0" w:line="162" w:lineRule="exact"/>
        <w:rPr>
          <w:sz w:val="20"/>
          <w:szCs w:val="20"/>
          <w:color w:val="auto"/>
        </w:rPr>
      </w:pPr>
    </w:p>
    <w:p>
      <w:pPr>
        <w:ind w:left="660" w:hanging="647"/>
        <w:spacing w:after="0" w:line="260" w:lineRule="auto"/>
        <w:rPr>
          <w:sz w:val="20"/>
          <w:szCs w:val="20"/>
          <w:color w:val="auto"/>
        </w:rPr>
      </w:pPr>
      <w:r>
        <w:rPr>
          <w:rFonts w:ascii="Arial" w:cs="Arial" w:eastAsia="Arial" w:hAnsi="Arial"/>
          <w:sz w:val="20"/>
          <w:szCs w:val="20"/>
          <w:color w:val="auto"/>
        </w:rPr>
        <w:t>3.2 The Company hereby reserves for itself and the Employer the right to withhold the transfer of any securities in respect of the Awards to the Employee until full payment of the Employer’s Liability is received.</w:t>
      </w:r>
    </w:p>
    <w:p>
      <w:pPr>
        <w:spacing w:after="0" w:line="123" w:lineRule="exact"/>
        <w:rPr>
          <w:sz w:val="20"/>
          <w:szCs w:val="20"/>
          <w:color w:val="auto"/>
        </w:rPr>
      </w:pPr>
    </w:p>
    <w:p>
      <w:pPr>
        <w:ind w:left="660" w:right="80" w:hanging="647"/>
        <w:spacing w:after="0" w:line="269" w:lineRule="auto"/>
        <w:rPr>
          <w:sz w:val="20"/>
          <w:szCs w:val="20"/>
          <w:color w:val="auto"/>
        </w:rPr>
      </w:pPr>
      <w:r>
        <w:rPr>
          <w:rFonts w:ascii="Arial" w:cs="Arial" w:eastAsia="Arial" w:hAnsi="Arial"/>
          <w:sz w:val="19"/>
          <w:szCs w:val="19"/>
          <w:color w:val="auto"/>
        </w:rPr>
        <w:t>3.3 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0"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b w:val="1"/>
          <w:bCs w:val="1"/>
          <w:color w:val="auto"/>
        </w:rPr>
        <w:t>Duration of Election</w:t>
      </w:r>
    </w:p>
    <w:p>
      <w:pPr>
        <w:spacing w:after="0" w:line="168" w:lineRule="exact"/>
        <w:rPr>
          <w:sz w:val="20"/>
          <w:szCs w:val="20"/>
          <w:color w:val="auto"/>
        </w:rPr>
      </w:pPr>
    </w:p>
    <w:p>
      <w:pPr>
        <w:ind w:left="660" w:right="200" w:hanging="647"/>
        <w:spacing w:after="0" w:line="260" w:lineRule="auto"/>
        <w:rPr>
          <w:sz w:val="20"/>
          <w:szCs w:val="20"/>
          <w:color w:val="auto"/>
        </w:rPr>
      </w:pPr>
      <w:r>
        <w:rPr>
          <w:rFonts w:ascii="Arial" w:cs="Arial" w:eastAsia="Arial" w:hAnsi="Arial"/>
          <w:sz w:val="20"/>
          <w:szCs w:val="20"/>
          <w:color w:val="auto"/>
        </w:rPr>
        <w:t>4.1 The Employee and the Company agree to be bound by the terms of this Election regardless of whether the Employee is transferred abroad or is not employed by the Employer on the date on which the Employer’s Liability becomes due.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4.2 This Election will continue in effect until the earliest of the following:</w:t>
      </w:r>
    </w:p>
    <w:p>
      <w:pPr>
        <w:spacing w:after="0" w:line="162" w:lineRule="exact"/>
        <w:rPr>
          <w:sz w:val="20"/>
          <w:szCs w:val="20"/>
          <w:color w:val="auto"/>
        </w:rPr>
      </w:pPr>
    </w:p>
    <w:p>
      <w:pPr>
        <w:ind w:left="1620" w:hanging="907"/>
        <w:spacing w:after="0"/>
        <w:tabs>
          <w:tab w:leader="none" w:pos="16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Employee and the Company agree in writing that it should cease to have effect;</w:t>
      </w:r>
    </w:p>
    <w:p>
      <w:pPr>
        <w:spacing w:after="0" w:line="161" w:lineRule="exact"/>
        <w:rPr>
          <w:rFonts w:ascii="Arial" w:cs="Arial" w:eastAsia="Arial" w:hAnsi="Arial"/>
          <w:sz w:val="20"/>
          <w:szCs w:val="20"/>
          <w:color w:val="auto"/>
        </w:rPr>
      </w:pPr>
    </w:p>
    <w:p>
      <w:pPr>
        <w:ind w:left="1620" w:hanging="962"/>
        <w:spacing w:after="0"/>
        <w:tabs>
          <w:tab w:leader="none" w:pos="16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on the date the Company serves written notice on the Employee terminating its effect;</w:t>
      </w:r>
    </w:p>
    <w:p>
      <w:pPr>
        <w:spacing w:after="0" w:line="161" w:lineRule="exact"/>
        <w:rPr>
          <w:rFonts w:ascii="Arial" w:cs="Arial" w:eastAsia="Arial" w:hAnsi="Arial"/>
          <w:sz w:val="20"/>
          <w:szCs w:val="20"/>
          <w:color w:val="auto"/>
        </w:rPr>
      </w:pPr>
    </w:p>
    <w:p>
      <w:pPr>
        <w:ind w:left="1620" w:hanging="1017"/>
        <w:spacing w:after="0"/>
        <w:tabs>
          <w:tab w:leader="none" w:pos="16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on the date HM Revenue &amp; Customs withdraws approval of this Election;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F-3</w:t>
      </w:r>
    </w:p>
    <w:p>
      <w:pPr>
        <w:sectPr>
          <w:pgSz w:w="11900" w:h="16838" w:orient="portrait"/>
          <w:cols w:equalWidth="0" w:num="1">
            <w:col w:w="11420"/>
          </w:cols>
          <w:pgMar w:left="240" w:top="115" w:right="239" w:bottom="1440" w:gutter="0" w:footer="0" w:header="0"/>
        </w:sectPr>
      </w:pPr>
    </w:p>
    <w:bookmarkStart w:id="89" w:name="page90"/>
    <w:bookmarkEnd w:id="89"/>
    <w:p>
      <w:pPr>
        <w:ind w:left="4960"/>
        <w:spacing w:after="0"/>
        <w:rPr>
          <w:sz w:val="20"/>
          <w:szCs w:val="20"/>
          <w:color w:val="auto"/>
        </w:rPr>
      </w:pPr>
      <w:r>
        <w:rPr>
          <w:rFonts w:ascii="Arial" w:cs="Arial" w:eastAsia="Arial" w:hAnsi="Arial"/>
          <w:sz w:val="20"/>
          <w:szCs w:val="20"/>
          <w:b w:val="1"/>
          <w:bCs w:val="1"/>
          <w:color w:val="auto"/>
        </w:rPr>
        <w:t>APPENDIX F TO</w:t>
      </w:r>
    </w:p>
    <w:p>
      <w:pPr>
        <w:spacing w:after="0" w:line="144"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2020 EQUITY INCENTIVE PLAN</w:t>
      </w:r>
    </w:p>
    <w:p>
      <w:pPr>
        <w:jc w:val="center"/>
        <w:ind w:right="-1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70" w:lineRule="exact"/>
        <w:rPr>
          <w:sz w:val="20"/>
          <w:szCs w:val="20"/>
          <w:color w:val="auto"/>
        </w:rPr>
      </w:pPr>
    </w:p>
    <w:p>
      <w:pPr>
        <w:ind w:left="1620" w:hanging="1006"/>
        <w:spacing w:after="0" w:line="260" w:lineRule="auto"/>
        <w:tabs>
          <w:tab w:leader="none" w:pos="16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after due payment of the Employer’s Liability in respect of the entirety of the Awards to which this Election relates or could relate, such that the Election ceases to have effect in accordance with its terms.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4.3 This Election will continue in force regardless of whether the Employee ceases to be an employee of the Employer.</w:t>
      </w:r>
    </w:p>
    <w:p>
      <w:pPr>
        <w:spacing w:after="0" w:line="162" w:lineRule="exact"/>
        <w:rPr>
          <w:sz w:val="20"/>
          <w:szCs w:val="20"/>
          <w:color w:val="auto"/>
        </w:rPr>
      </w:pPr>
    </w:p>
    <w:p>
      <w:pPr>
        <w:jc w:val="both"/>
        <w:ind w:left="660" w:hanging="647"/>
        <w:spacing w:after="0" w:line="291" w:lineRule="auto"/>
        <w:rPr>
          <w:sz w:val="20"/>
          <w:szCs w:val="20"/>
          <w:color w:val="auto"/>
        </w:rPr>
      </w:pPr>
      <w:r>
        <w:rPr>
          <w:rFonts w:ascii="Arial" w:cs="Arial" w:eastAsia="Arial" w:hAnsi="Arial"/>
          <w:sz w:val="18"/>
          <w:szCs w:val="18"/>
          <w:color w:val="auto"/>
        </w:rPr>
        <w:t>4.4 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Acceptance by the Employee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The Employee acknowledges that, by clicking on the “ACCEPT” box, the Employee agrees to be bound by the terms of this Election.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Acceptance by Analog Devices, Inc.</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Signature for and on behalf of Analog Devices,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Kevin P. Lanouette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27305</wp:posOffset>
            </wp:positionV>
            <wp:extent cx="34220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4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Kevin P. Lanouette, Assistant General Counsel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Date: {</w:t>
      </w:r>
      <w:r>
        <w:rPr>
          <w:rFonts w:ascii="Arial" w:cs="Arial" w:eastAsia="Arial" w:hAnsi="Arial"/>
          <w:sz w:val="20"/>
          <w:szCs w:val="20"/>
          <w:i w:val="1"/>
          <w:iCs w:val="1"/>
          <w:color w:val="auto"/>
        </w:rPr>
        <w:t>Grant Date</w:t>
      </w:r>
      <w:r>
        <w:rPr>
          <w:rFonts w:ascii="Arial" w:cs="Arial" w:eastAsia="Arial" w:hAnsi="Arial"/>
          <w:sz w:val="20"/>
          <w:szCs w:val="20"/>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w:t>
      </w:r>
      <w:r>
        <w:rPr>
          <w:rFonts w:ascii="Arial" w:cs="Arial" w:eastAsia="Arial" w:hAnsi="Arial"/>
          <w:sz w:val="20"/>
          <w:szCs w:val="20"/>
          <w:i w:val="1"/>
          <w:iCs w:val="1"/>
          <w:color w:val="auto"/>
        </w:rPr>
        <w:t>Participant Name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F-4</w:t>
      </w:r>
    </w:p>
    <w:p>
      <w:pPr>
        <w:sectPr>
          <w:pgSz w:w="11900" w:h="16838" w:orient="portrait"/>
          <w:cols w:equalWidth="0" w:num="1">
            <w:col w:w="11420"/>
          </w:cols>
          <w:pgMar w:left="240" w:top="115" w:right="239" w:bottom="1440" w:gutter="0" w:footer="0" w:header="0"/>
        </w:sectPr>
      </w:pPr>
    </w:p>
    <w:bookmarkStart w:id="90" w:name="page91"/>
    <w:bookmarkEnd w:id="90"/>
    <w:p>
      <w:pPr>
        <w:ind w:left="4960"/>
        <w:spacing w:after="0"/>
        <w:rPr>
          <w:sz w:val="20"/>
          <w:szCs w:val="20"/>
          <w:color w:val="auto"/>
        </w:rPr>
      </w:pPr>
      <w:r>
        <w:rPr>
          <w:rFonts w:ascii="Arial" w:cs="Arial" w:eastAsia="Arial" w:hAnsi="Arial"/>
          <w:sz w:val="20"/>
          <w:szCs w:val="20"/>
          <w:b w:val="1"/>
          <w:bCs w:val="1"/>
          <w:color w:val="auto"/>
        </w:rPr>
        <w:t>APPENDIX F TO</w:t>
      </w:r>
    </w:p>
    <w:p>
      <w:pPr>
        <w:spacing w:after="0" w:line="144"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2020 EQUITY INCENTIVE PLAN</w:t>
      </w:r>
    </w:p>
    <w:p>
      <w:pPr>
        <w:ind w:left="2940"/>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64" w:lineRule="exact"/>
        <w:rPr>
          <w:sz w:val="20"/>
          <w:szCs w:val="20"/>
          <w:color w:val="auto"/>
        </w:rPr>
      </w:pPr>
    </w:p>
    <w:p>
      <w:pPr>
        <w:ind w:left="4280"/>
        <w:spacing w:after="0"/>
        <w:rPr>
          <w:sz w:val="20"/>
          <w:szCs w:val="20"/>
          <w:color w:val="auto"/>
        </w:rPr>
      </w:pPr>
      <w:r>
        <w:rPr>
          <w:rFonts w:ascii="Arial" w:cs="Arial" w:eastAsia="Arial" w:hAnsi="Arial"/>
          <w:sz w:val="20"/>
          <w:szCs w:val="20"/>
          <w:b w:val="1"/>
          <w:bCs w:val="1"/>
          <w:u w:val="single" w:color="auto"/>
          <w:color w:val="auto"/>
        </w:rPr>
        <w:t>Schedule of Employer Companies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are employer companies to which this Election may apply: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each company, provide the following details: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Analog Devices Limited</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Registered Office:</w:t>
            </w:r>
          </w:p>
        </w:tc>
        <w:tc>
          <w:tcPr>
            <w:tcW w:w="5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15 Pressing Lane, Blyth Road, Hayes, England, UB3 1EP</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Company Registration Number:</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00895439</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Corporation Tax Reference: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6873689030216A</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PAYE Reference: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120/A4055</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794"/>
        </w:trPr>
        <w:tc>
          <w:tcPr>
            <w:tcW w:w="5320" w:type="dxa"/>
            <w:vAlign w:val="bottom"/>
          </w:tcPr>
          <w:p>
            <w:pPr>
              <w:spacing w:after="0"/>
              <w:rPr>
                <w:sz w:val="20"/>
                <w:szCs w:val="20"/>
                <w:color w:val="auto"/>
              </w:rPr>
            </w:pPr>
            <w:r>
              <w:rPr>
                <w:rFonts w:ascii="Arial" w:cs="Arial" w:eastAsia="Arial" w:hAnsi="Arial"/>
                <w:sz w:val="20"/>
                <w:szCs w:val="20"/>
                <w:color w:val="auto"/>
              </w:rPr>
              <w:t>Linear Technology (UK) Limited</w:t>
            </w:r>
          </w:p>
        </w:tc>
        <w:tc>
          <w:tcPr>
            <w:tcW w:w="5380" w:type="dxa"/>
            <w:vAlign w:val="bottom"/>
          </w:tcPr>
          <w:p>
            <w:pPr>
              <w:spacing w:after="0"/>
              <w:rPr>
                <w:sz w:val="24"/>
                <w:szCs w:val="24"/>
                <w:color w:val="auto"/>
              </w:rPr>
            </w:pPr>
          </w:p>
        </w:tc>
      </w:tr>
      <w:tr>
        <w:trPr>
          <w:trHeight w:val="185"/>
        </w:trPr>
        <w:tc>
          <w:tcPr>
            <w:tcW w:w="532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tcPr>
          <w:p>
            <w:pPr>
              <w:spacing w:after="0"/>
              <w:rPr>
                <w:sz w:val="16"/>
                <w:szCs w:val="16"/>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Registered Office: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3 The Listons, Liston Road, Marlow, Buckinghamshire, SL7 1FD</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Company Registration Number:</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02149602</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Corporation Tax Reference: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120PA00148447</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PAYE Reference: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120/L30589</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Appendix F-5</w:t>
      </w:r>
    </w:p>
    <w:p>
      <w:pPr>
        <w:sectPr>
          <w:pgSz w:w="11900" w:h="16838" w:orient="portrait"/>
          <w:cols w:equalWidth="0" w:num="1">
            <w:col w:w="10700"/>
          </w:cols>
          <w:pgMar w:left="240" w:top="115" w:right="95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NON-QUALIFIED STOCK OPTION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Private &amp; Confidential (Addressee Only)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Participant Name</w:t>
      </w:r>
      <w:r>
        <w:rPr>
          <w:rFonts w:ascii="Arial" w:cs="Arial" w:eastAsia="Arial" w:hAnsi="Arial"/>
          <w:sz w:val="20"/>
          <w:szCs w:val="20"/>
          <w:color w:val="auto"/>
        </w:rPr>
        <w:t>}</w:t>
      </w:r>
    </w:p>
    <w:p>
      <w:pPr>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Employee ID</w:t>
      </w:r>
      <w:r>
        <w:rPr>
          <w:rFonts w:ascii="Arial" w:cs="Arial" w:eastAsia="Arial" w:hAnsi="Arial"/>
          <w:sz w:val="20"/>
          <w:szCs w:val="20"/>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Grant ID: {</w:t>
      </w:r>
      <w:r>
        <w:rPr>
          <w:rFonts w:ascii="Arial" w:cs="Arial" w:eastAsia="Arial" w:hAnsi="Arial"/>
          <w:sz w:val="20"/>
          <w:szCs w:val="20"/>
          <w:i w:val="1"/>
          <w:iCs w:val="1"/>
          <w:color w:val="auto"/>
        </w:rPr>
        <w:t>Client Grant ID</w:t>
      </w:r>
      <w:r>
        <w:rPr>
          <w:rFonts w:ascii="Arial" w:cs="Arial" w:eastAsia="Arial" w:hAnsi="Arial"/>
          <w:sz w:val="20"/>
          <w:szCs w:val="20"/>
          <w:color w:val="auto"/>
        </w:rPr>
        <w:t>}</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2020 Equity Incentive Plan (the “Plan”), and this Global Non-Qualified Stock Option Agreement, including Appendix A, which includes any applicable country-specific provisions. This Global Non-Qualified Stock Option Agreement, together with Appendix A, is referred to as the “Agreement.” The grant of this Option reflects the Company’s confidence in the Optionee’s commitment and contributions to the success and continued growth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All terms not defined herein shall have the meanings assigned to such terms in the Plan.</w:t>
      </w:r>
    </w:p>
    <w:p>
      <w:pPr>
        <w:spacing w:after="0" w:line="162" w:lineRule="exact"/>
        <w:rPr>
          <w:sz w:val="20"/>
          <w:szCs w:val="20"/>
          <w:color w:val="auto"/>
        </w:rPr>
      </w:pPr>
    </w:p>
    <w:p>
      <w:pPr>
        <w:ind w:left="340" w:hanging="332"/>
        <w:spacing w:after="0" w:line="316"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Subject to the terms and conditions of the Plan and this Agreement, the Company has granted to the Optionee an Option to purchase that number of shares of the Company’s Common Stock (the “Option Shares”) effective on the Date of Grant set forth below:</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0000CC"/>
        </w:rPr>
        <w:t>Date of Grant: {</w:t>
      </w:r>
      <w:r>
        <w:rPr>
          <w:rFonts w:ascii="Arial" w:cs="Arial" w:eastAsia="Arial" w:hAnsi="Arial"/>
          <w:sz w:val="20"/>
          <w:szCs w:val="20"/>
          <w:b w:val="1"/>
          <w:bCs w:val="1"/>
          <w:i w:val="1"/>
          <w:iCs w:val="1"/>
          <w:color w:val="0000CC"/>
        </w:rPr>
        <w:t>Grant Date</w:t>
      </w:r>
      <w:r>
        <w:rPr>
          <w:rFonts w:ascii="Arial" w:cs="Arial" w:eastAsia="Arial" w:hAnsi="Arial"/>
          <w:sz w:val="20"/>
          <w:szCs w:val="20"/>
          <w:b w:val="1"/>
          <w:bCs w:val="1"/>
          <w:color w:val="0000CC"/>
        </w:rPr>
        <w: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0000CC"/>
        </w:rPr>
        <w:t>Number of Option Shares Granted: {</w:t>
      </w:r>
      <w:r>
        <w:rPr>
          <w:rFonts w:ascii="Arial" w:cs="Arial" w:eastAsia="Arial" w:hAnsi="Arial"/>
          <w:sz w:val="20"/>
          <w:szCs w:val="20"/>
          <w:b w:val="1"/>
          <w:bCs w:val="1"/>
          <w:i w:val="1"/>
          <w:iCs w:val="1"/>
          <w:color w:val="0000CC"/>
        </w:rPr>
        <w:t>Number of Awards Granted</w:t>
      </w:r>
      <w:r>
        <w:rPr>
          <w:rFonts w:ascii="Arial" w:cs="Arial" w:eastAsia="Arial" w:hAnsi="Arial"/>
          <w:sz w:val="20"/>
          <w:szCs w:val="20"/>
          <w:b w:val="1"/>
          <w:bCs w:val="1"/>
          <w:color w:val="0000CC"/>
        </w:rPr>
        <w:t>}</w:t>
      </w:r>
    </w:p>
    <w:p>
      <w:pPr>
        <w:ind w:left="660"/>
        <w:spacing w:after="0"/>
        <w:rPr>
          <w:sz w:val="20"/>
          <w:szCs w:val="20"/>
          <w:color w:val="auto"/>
        </w:rPr>
      </w:pPr>
      <w:r>
        <w:rPr>
          <w:rFonts w:ascii="Arial" w:cs="Arial" w:eastAsia="Arial" w:hAnsi="Arial"/>
          <w:sz w:val="20"/>
          <w:szCs w:val="20"/>
          <w:b w:val="1"/>
          <w:bCs w:val="1"/>
          <w:color w:val="0000CC"/>
        </w:rPr>
        <w:t>Option Exercise Price Per Share: {</w:t>
      </w:r>
      <w:r>
        <w:rPr>
          <w:rFonts w:ascii="Arial" w:cs="Arial" w:eastAsia="Arial" w:hAnsi="Arial"/>
          <w:sz w:val="20"/>
          <w:szCs w:val="20"/>
          <w:b w:val="1"/>
          <w:bCs w:val="1"/>
          <w:i w:val="1"/>
          <w:iCs w:val="1"/>
          <w:color w:val="0000CC"/>
        </w:rPr>
        <w:t>Grant Price</w:t>
      </w:r>
      <w:r>
        <w:rPr>
          <w:rFonts w:ascii="Arial" w:cs="Arial" w:eastAsia="Arial" w:hAnsi="Arial"/>
          <w:sz w:val="20"/>
          <w:szCs w:val="20"/>
          <w:b w:val="1"/>
          <w:bCs w:val="1"/>
          <w:color w:val="0000CC"/>
        </w:rPr>
        <w:t>}</w:t>
      </w:r>
    </w:p>
    <w:p>
      <w:pPr>
        <w:spacing w:after="0" w:line="146" w:lineRule="exact"/>
        <w:rPr>
          <w:sz w:val="20"/>
          <w:szCs w:val="20"/>
          <w:color w:val="auto"/>
        </w:rPr>
      </w:pPr>
    </w:p>
    <w:p>
      <w:pPr>
        <w:jc w:val="both"/>
        <w:ind w:left="340" w:hanging="332"/>
        <w:spacing w:after="0" w:line="250" w:lineRule="auto"/>
        <w:tabs>
          <w:tab w:leader="none" w:pos="34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Vesting and Exercise of Option</w:t>
      </w:r>
      <w:r>
        <w:rPr>
          <w:rFonts w:ascii="Arial" w:cs="Arial" w:eastAsia="Arial" w:hAnsi="Arial"/>
          <w:sz w:val="20"/>
          <w:szCs w:val="20"/>
          <w:color w:val="auto"/>
          <w:highlight w:val="white"/>
        </w:rPr>
        <w:t>. Subject to the Optionee’s continued employment with the Company or the Employer (as defined in 3(h)</w:t>
      </w:r>
      <w:r>
        <w:rPr>
          <w:rFonts w:ascii="Arial" w:cs="Arial" w:eastAsia="Arial" w:hAnsi="Arial"/>
          <w:sz w:val="20"/>
          <w:szCs w:val="20"/>
          <w:color w:val="auto"/>
        </w:rPr>
        <w:t xml:space="preserve"> below) and other limitations set forth in this Agreement and the Plan, the Option will vest as to a set number of shares on each of the scheduled vesting dates. {</w:t>
      </w:r>
      <w:r>
        <w:rPr>
          <w:rFonts w:ascii="Arial" w:cs="Arial" w:eastAsia="Arial" w:hAnsi="Arial"/>
          <w:sz w:val="20"/>
          <w:szCs w:val="20"/>
          <w:i w:val="1"/>
          <w:iCs w:val="1"/>
          <w:color w:val="auto"/>
        </w:rPr>
        <w:t>Vesting Schedule</w:t>
      </w:r>
      <w:r>
        <w:rPr>
          <w:rFonts w:ascii="Arial" w:cs="Arial" w:eastAsia="Arial" w:hAnsi="Arial"/>
          <w:sz w:val="20"/>
          <w:szCs w:val="20"/>
          <w:color w:val="auto"/>
        </w:rPr>
        <w:t>}.</w:t>
      </w:r>
    </w:p>
    <w:p>
      <w:pPr>
        <w:spacing w:after="0" w:line="132" w:lineRule="exact"/>
        <w:rPr>
          <w:rFonts w:ascii="Arial" w:cs="Arial" w:eastAsia="Arial" w:hAnsi="Arial"/>
          <w:sz w:val="20"/>
          <w:szCs w:val="20"/>
          <w:color w:val="auto"/>
        </w:rPr>
      </w:pPr>
    </w:p>
    <w:p>
      <w:pPr>
        <w:ind w:left="340"/>
        <w:spacing w:after="0" w:line="316" w:lineRule="auto"/>
        <w:rPr>
          <w:rFonts w:ascii="Arial" w:cs="Arial" w:eastAsia="Arial" w:hAnsi="Arial"/>
          <w:sz w:val="20"/>
          <w:szCs w:val="20"/>
          <w:color w:val="auto"/>
        </w:rPr>
      </w:pPr>
      <w:r>
        <w:rPr>
          <w:rFonts w:ascii="Arial" w:cs="Arial" w:eastAsia="Arial" w:hAnsi="Arial"/>
          <w:sz w:val="18"/>
          <w:szCs w:val="18"/>
          <w:color w:val="auto"/>
        </w:rPr>
        <w:t>The right of exercise is cumulative, so that an Option, once vested, may be exercised, in whole or in part, at any time up to {</w:t>
      </w:r>
      <w:r>
        <w:rPr>
          <w:rFonts w:ascii="Arial" w:cs="Arial" w:eastAsia="Arial" w:hAnsi="Arial"/>
          <w:sz w:val="18"/>
          <w:szCs w:val="18"/>
          <w:i w:val="1"/>
          <w:iCs w:val="1"/>
          <w:color w:val="auto"/>
        </w:rPr>
        <w:t>Expiration</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the expiration date, or such earlier date as provided in Section 3 below or in the country-specific provisions in Appendix A.</w:t>
      </w:r>
    </w:p>
    <w:p>
      <w:pPr>
        <w:spacing w:after="0" w:line="76" w:lineRule="exact"/>
        <w:rPr>
          <w:rFonts w:ascii="Arial" w:cs="Arial" w:eastAsia="Arial" w:hAnsi="Arial"/>
          <w:sz w:val="20"/>
          <w:szCs w:val="20"/>
          <w:color w:val="auto"/>
        </w:rPr>
      </w:pPr>
    </w:p>
    <w:p>
      <w:pPr>
        <w:ind w:left="340" w:hanging="332"/>
        <w:spacing w:after="0"/>
        <w:tabs>
          <w:tab w:leader="none" w:pos="34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Term of Option; Termination of Employment</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84" w:lineRule="exact"/>
        <w:rPr>
          <w:rFonts w:ascii="Arial" w:cs="Arial" w:eastAsia="Arial" w:hAnsi="Arial"/>
          <w:sz w:val="18"/>
          <w:szCs w:val="18"/>
          <w:color w:val="auto"/>
        </w:rPr>
      </w:pPr>
    </w:p>
    <w:p>
      <w:pPr>
        <w:ind w:left="660" w:right="20" w:hanging="328"/>
        <w:spacing w:after="0" w:line="316" w:lineRule="auto"/>
        <w:tabs>
          <w:tab w:leader="none" w:pos="6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Except as otherwise provided herein, the Option shall be exercisable by the Optionee (or his or her successor in interest) following the termination of the Optionee’s employment only to the extent that the Option was vested on or prior to the date of such termination.</w:t>
      </w:r>
    </w:p>
    <w:p>
      <w:pPr>
        <w:spacing w:after="0" w:line="76" w:lineRule="exact"/>
        <w:rPr>
          <w:rFonts w:ascii="Arial" w:cs="Arial" w:eastAsia="Arial" w:hAnsi="Arial"/>
          <w:sz w:val="18"/>
          <w:szCs w:val="18"/>
          <w:color w:val="auto"/>
        </w:rPr>
      </w:pPr>
    </w:p>
    <w:p>
      <w:pPr>
        <w:jc w:val="both"/>
        <w:ind w:left="660" w:right="20" w:hanging="328"/>
        <w:spacing w:after="0" w:line="282" w:lineRule="auto"/>
        <w:tabs>
          <w:tab w:leader="none" w:pos="65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vesting of 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the Employer (as defined in Section 3(h)) (except by reason of retirement after attaining age 60 as provided below) or on the date his or her employment is terminated by the Company or the Employer without “Cause” (as defined in paragraph (d)), but any Option that is vested on the date of such termination shall continue to be exercisable for a period of three (3) months following such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6" w:right="239" w:bottom="1440" w:gutter="0" w:footer="0" w:header="0"/>
        </w:sectPr>
      </w:pPr>
    </w:p>
    <w:bookmarkStart w:id="92" w:name="page93"/>
    <w:bookmarkEnd w:id="92"/>
    <w:p>
      <w:pPr>
        <w:jc w:val="both"/>
        <w:ind w:left="660" w:hanging="328"/>
        <w:spacing w:after="0" w:line="246" w:lineRule="auto"/>
        <w:tabs>
          <w:tab w:leader="none" w:pos="648" w:val="left"/>
        </w:tabs>
        <w:numPr>
          <w:ilvl w:val="1"/>
          <w:numId w:val="61"/>
        </w:numPr>
        <w:rPr>
          <w:rFonts w:ascii="Arial" w:cs="Arial" w:eastAsia="Arial" w:hAnsi="Arial"/>
          <w:sz w:val="20"/>
          <w:szCs w:val="20"/>
          <w:color w:val="auto"/>
        </w:rPr>
      </w:pPr>
      <w:r>
        <w:rPr>
          <w:rFonts w:ascii="Arial" w:cs="Arial" w:eastAsia="Arial" w:hAnsi="Arial"/>
          <w:sz w:val="20"/>
          <w:szCs w:val="20"/>
          <w:color w:val="auto"/>
        </w:rPr>
        <w:t xml:space="preserve">The Option shall terminate on the date the Optionee’s employment with the Company or the Employer is terminated by the Company or one of its subsidiaries </w:t>
      </w:r>
      <w:r>
        <w:rPr>
          <w:rFonts w:ascii="Arial" w:cs="Arial" w:eastAsia="Arial" w:hAnsi="Arial"/>
          <w:sz w:val="20"/>
          <w:szCs w:val="20"/>
          <w:u w:val="single" w:color="auto"/>
          <w:color w:val="auto"/>
        </w:rPr>
        <w:t>for “Cause</w:t>
      </w:r>
      <w:r>
        <w:rPr>
          <w:rFonts w:ascii="Arial" w:cs="Arial" w:eastAsia="Arial" w:hAnsi="Arial"/>
          <w:sz w:val="20"/>
          <w:szCs w:val="20"/>
          <w:color w:val="auto"/>
        </w:rPr>
        <w:t>”, and all Option Shares that are then vested shall forthwith cease to be exercisable. “Cause” for this purpose means unsatisfactory job performance (as determined by the Company), willful misconduct, fraud, gross negligence, disobedience or dishonesty, or as otherwise determined under applicable law.</w:t>
      </w:r>
    </w:p>
    <w:p>
      <w:pPr>
        <w:spacing w:after="0" w:line="137" w:lineRule="exact"/>
        <w:rPr>
          <w:rFonts w:ascii="Arial" w:cs="Arial" w:eastAsia="Arial" w:hAnsi="Arial"/>
          <w:sz w:val="20"/>
          <w:szCs w:val="20"/>
          <w:color w:val="auto"/>
        </w:rPr>
      </w:pPr>
    </w:p>
    <w:p>
      <w:pPr>
        <w:jc w:val="both"/>
        <w:ind w:left="660" w:hanging="328"/>
        <w:spacing w:after="0" w:line="250" w:lineRule="auto"/>
        <w:tabs>
          <w:tab w:leader="none" w:pos="650" w:val="left"/>
        </w:tabs>
        <w:numPr>
          <w:ilvl w:val="1"/>
          <w:numId w:val="61"/>
        </w:numPr>
        <w:rPr>
          <w:rFonts w:ascii="Arial" w:cs="Arial" w:eastAsia="Arial" w:hAnsi="Arial"/>
          <w:sz w:val="20"/>
          <w:szCs w:val="20"/>
          <w:color w:val="auto"/>
        </w:rPr>
      </w:pPr>
      <w:r>
        <w:rPr>
          <w:rFonts w:ascii="Arial" w:cs="Arial" w:eastAsia="Arial" w:hAnsi="Arial"/>
          <w:sz w:val="20"/>
          <w:szCs w:val="20"/>
          <w:color w:val="auto"/>
        </w:rPr>
        <w:t xml:space="preserve">Upon the </w:t>
      </w:r>
      <w:r>
        <w:rPr>
          <w:rFonts w:ascii="Arial" w:cs="Arial" w:eastAsia="Arial" w:hAnsi="Arial"/>
          <w:sz w:val="20"/>
          <w:szCs w:val="20"/>
          <w:u w:val="single" w:color="auto"/>
          <w:color w:val="auto"/>
        </w:rPr>
        <w:t>death</w:t>
      </w:r>
      <w:r>
        <w:rPr>
          <w:rFonts w:ascii="Arial" w:cs="Arial" w:eastAsia="Arial" w:hAnsi="Arial"/>
          <w:sz w:val="20"/>
          <w:szCs w:val="20"/>
          <w:color w:val="auto"/>
        </w:rPr>
        <w:t xml:space="preserve"> of the Optionee while he or 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132" w:lineRule="exact"/>
        <w:rPr>
          <w:rFonts w:ascii="Arial" w:cs="Arial" w:eastAsia="Arial" w:hAnsi="Arial"/>
          <w:sz w:val="20"/>
          <w:szCs w:val="20"/>
          <w:color w:val="auto"/>
        </w:rPr>
      </w:pPr>
    </w:p>
    <w:p>
      <w:pPr>
        <w:jc w:val="both"/>
        <w:ind w:left="660" w:hanging="328"/>
        <w:spacing w:after="0" w:line="260" w:lineRule="auto"/>
        <w:tabs>
          <w:tab w:leader="none" w:pos="655" w:val="left"/>
        </w:tabs>
        <w:numPr>
          <w:ilvl w:val="1"/>
          <w:numId w:val="61"/>
        </w:numPr>
        <w:rPr>
          <w:rFonts w:ascii="Arial" w:cs="Arial" w:eastAsia="Arial" w:hAnsi="Arial"/>
          <w:sz w:val="19"/>
          <w:szCs w:val="19"/>
          <w:color w:val="auto"/>
        </w:rPr>
      </w:pPr>
      <w:r>
        <w:rPr>
          <w:rFonts w:ascii="Arial" w:cs="Arial" w:eastAsia="Arial" w:hAnsi="Arial"/>
          <w:sz w:val="19"/>
          <w:szCs w:val="19"/>
          <w:color w:val="auto"/>
        </w:rPr>
        <w:t>If the Optionee’s employment with the Company or the Employer terminates by reason of the retirement of the Optionee after attaining age 60, the vesting of the Option shall terminate on the date of such retirement, but any Option that is vested on the date of such retirement shall continue to be exercisable over the remaining term of the Option; provided that all then-exercisable Options held by such Optionee shall immediately cease to be exercisable in the event that such Optionee becomes an employee of any competitor of the Company or the Employer (as determined in the sole discretion of the Company).</w:t>
      </w:r>
    </w:p>
    <w:p>
      <w:pPr>
        <w:spacing w:after="0" w:line="126" w:lineRule="exact"/>
        <w:rPr>
          <w:rFonts w:ascii="Arial" w:cs="Arial" w:eastAsia="Arial" w:hAnsi="Arial"/>
          <w:sz w:val="19"/>
          <w:szCs w:val="19"/>
          <w:color w:val="auto"/>
        </w:rPr>
      </w:pPr>
    </w:p>
    <w:p>
      <w:pPr>
        <w:jc w:val="both"/>
        <w:ind w:left="660" w:hanging="328"/>
        <w:spacing w:after="0" w:line="259" w:lineRule="auto"/>
        <w:tabs>
          <w:tab w:leader="none" w:pos="648"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If the Optionee becomes </w:t>
      </w:r>
      <w:r>
        <w:rPr>
          <w:rFonts w:ascii="Arial" w:cs="Arial" w:eastAsia="Arial" w:hAnsi="Arial"/>
          <w:sz w:val="19"/>
          <w:szCs w:val="19"/>
          <w:u w:val="single" w:color="auto"/>
          <w:color w:val="auto"/>
        </w:rPr>
        <w:t>Disabled</w:t>
      </w:r>
      <w:r>
        <w:rPr>
          <w:rFonts w:ascii="Arial" w:cs="Arial" w:eastAsia="Arial" w:hAnsi="Arial"/>
          <w:sz w:val="19"/>
          <w:szCs w:val="19"/>
          <w:color w:val="auto"/>
        </w:rPr>
        <w:t>, regardless of whether Optionee terminates employment with the Company or the Employer, the Option shall vest and become exercisable in full on the date the Optionee is determined to be Disabled and shall continue to be exercisable until the date that is ten (10) years after the Date of Grant, at which time the Option shall terminate. “Disabled” with respect to the Optionee means, when and if, as a result of disease, injury or mental disorder, the Optionee is incapable of engaging in regular service or occupation with the Company or the Employer (as defined in paragraph (h)) which has lasted or can be expected to last for a continuous period of not less than 12 months, as determined by the Company.</w:t>
      </w:r>
    </w:p>
    <w:p>
      <w:pPr>
        <w:spacing w:after="0" w:line="124" w:lineRule="exact"/>
        <w:rPr>
          <w:rFonts w:ascii="Arial" w:cs="Arial" w:eastAsia="Arial" w:hAnsi="Arial"/>
          <w:sz w:val="19"/>
          <w:szCs w:val="19"/>
          <w:color w:val="auto"/>
        </w:rPr>
      </w:pPr>
    </w:p>
    <w:p>
      <w:pPr>
        <w:jc w:val="both"/>
        <w:ind w:left="660" w:hanging="328"/>
        <w:spacing w:after="0" w:line="259" w:lineRule="auto"/>
        <w:tabs>
          <w:tab w:leader="none" w:pos="648" w:val="left"/>
        </w:tabs>
        <w:numPr>
          <w:ilvl w:val="1"/>
          <w:numId w:val="61"/>
        </w:numPr>
        <w:rPr>
          <w:rFonts w:ascii="Arial" w:cs="Arial" w:eastAsia="Arial" w:hAnsi="Arial"/>
          <w:sz w:val="19"/>
          <w:szCs w:val="19"/>
          <w:color w:val="auto"/>
        </w:rPr>
      </w:pPr>
      <w:r>
        <w:rPr>
          <w:rFonts w:ascii="Arial" w:cs="Arial" w:eastAsia="Arial" w:hAnsi="Arial"/>
          <w:sz w:val="19"/>
          <w:szCs w:val="19"/>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an Optionee transfer employment to become a director, consultant or advisor to the Company or the Employer following the Date of Grant, he or she will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24" w:lineRule="exact"/>
        <w:rPr>
          <w:rFonts w:ascii="Arial" w:cs="Arial" w:eastAsia="Arial" w:hAnsi="Arial"/>
          <w:sz w:val="19"/>
          <w:szCs w:val="19"/>
          <w:color w:val="auto"/>
        </w:rPr>
      </w:pPr>
    </w:p>
    <w:p>
      <w:pPr>
        <w:jc w:val="both"/>
        <w:ind w:left="660" w:hanging="328"/>
        <w:spacing w:after="0" w:line="291" w:lineRule="auto"/>
        <w:tabs>
          <w:tab w:leader="none" w:pos="658"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9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Payment of Exercise Price</w:t>
      </w:r>
      <w:r>
        <w:rPr>
          <w:rFonts w:ascii="Arial" w:cs="Arial" w:eastAsia="Arial" w:hAnsi="Arial"/>
          <w:sz w:val="20"/>
          <w:szCs w:val="20"/>
          <w:color w:val="auto"/>
        </w:rPr>
        <w:t>. The following payment methods may be used to purchase Option Shares: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1"/>
          <w:numId w:val="62"/>
        </w:numPr>
        <w:rPr>
          <w:rFonts w:ascii="Arial" w:cs="Arial" w:eastAsia="Arial" w:hAnsi="Arial"/>
          <w:sz w:val="20"/>
          <w:szCs w:val="20"/>
          <w:color w:val="auto"/>
        </w:rPr>
      </w:pPr>
      <w:r>
        <w:rPr>
          <w:rFonts w:ascii="Arial" w:cs="Arial" w:eastAsia="Arial" w:hAnsi="Arial"/>
          <w:sz w:val="20"/>
          <w:szCs w:val="20"/>
          <w:color w:val="auto"/>
        </w:rPr>
        <w:t>A cashless exercise in a manner described in Section 5(f)(2) of the Plan.</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1"/>
          <w:numId w:val="62"/>
        </w:numPr>
        <w:rPr>
          <w:rFonts w:ascii="Arial" w:cs="Arial" w:eastAsia="Arial" w:hAnsi="Arial"/>
          <w:sz w:val="20"/>
          <w:szCs w:val="20"/>
          <w:color w:val="auto"/>
        </w:rPr>
      </w:pPr>
      <w:r>
        <w:rPr>
          <w:rFonts w:ascii="Arial" w:cs="Arial" w:eastAsia="Arial" w:hAnsi="Arial"/>
          <w:sz w:val="20"/>
          <w:szCs w:val="20"/>
          <w:color w:val="auto"/>
        </w:rPr>
        <w:t>Cash or check payable to the Company.</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(by actual delivery or attestation) in accordance with Section 5(f)(3)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419" w:right="239" w:bottom="1440" w:gutter="0" w:footer="0" w:header="0"/>
        </w:sectPr>
      </w:pPr>
    </w:p>
    <w:bookmarkStart w:id="93" w:name="page94"/>
    <w:bookmarkEnd w:id="93"/>
    <w:p>
      <w:pPr>
        <w:ind w:left="340"/>
        <w:spacing w:after="0"/>
        <w:rPr>
          <w:sz w:val="20"/>
          <w:szCs w:val="20"/>
          <w:color w:val="auto"/>
        </w:rPr>
      </w:pPr>
      <w:r>
        <w:rPr>
          <w:rFonts w:ascii="Arial" w:cs="Arial" w:eastAsia="Arial" w:hAnsi="Arial"/>
          <w:sz w:val="20"/>
          <w:szCs w:val="20"/>
          <w:color w:val="auto"/>
        </w:rPr>
        <w:t>(d) Any combination of the above methods.</w:t>
      </w:r>
    </w:p>
    <w:p>
      <w:pPr>
        <w:spacing w:after="0" w:line="161" w:lineRule="exact"/>
        <w:rPr>
          <w:sz w:val="20"/>
          <w:szCs w:val="20"/>
          <w:color w:val="auto"/>
        </w:rPr>
      </w:pPr>
    </w:p>
    <w:p>
      <w:pPr>
        <w:jc w:val="both"/>
        <w:ind w:left="340" w:hanging="332"/>
        <w:spacing w:after="0" w:line="246" w:lineRule="auto"/>
        <w:tabs>
          <w:tab w:leader="none" w:pos="34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Non-Transferability of Option</w:t>
      </w:r>
      <w:r>
        <w:rPr>
          <w:rFonts w:ascii="Arial" w:cs="Arial" w:eastAsia="Arial" w:hAnsi="Arial"/>
          <w:sz w:val="20"/>
          <w:szCs w:val="20"/>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37"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This Option is subject to adjustment (including with respect to vesting of the Option Shares) upon certain changes in the Common Stock and certain other events, including a Change in Control Event or a Reorganization Event, as provided in Section 10 of the Plan.</w:t>
      </w:r>
    </w:p>
    <w:p>
      <w:pPr>
        <w:spacing w:after="0" w:line="132" w:lineRule="exact"/>
        <w:rPr>
          <w:rFonts w:ascii="Arial" w:cs="Arial" w:eastAsia="Arial" w:hAnsi="Arial"/>
          <w:sz w:val="20"/>
          <w:szCs w:val="20"/>
          <w:color w:val="auto"/>
        </w:rPr>
      </w:pPr>
    </w:p>
    <w:p>
      <w:pPr>
        <w:jc w:val="both"/>
        <w:ind w:left="340" w:hanging="332"/>
        <w:spacing w:after="0" w:line="270"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Regardless of any action the Company or the Employer, if different, takes with respect to any or all income tax, social insurance, payroll tax, fringe benefits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Tax-Related Items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122" w:lineRule="exact"/>
        <w:rPr>
          <w:rFonts w:ascii="Arial" w:cs="Arial" w:eastAsia="Arial" w:hAnsi="Arial"/>
          <w:sz w:val="18"/>
          <w:szCs w:val="18"/>
          <w:color w:val="auto"/>
        </w:rPr>
      </w:pPr>
    </w:p>
    <w:p>
      <w:pPr>
        <w:jc w:val="both"/>
        <w:ind w:left="340"/>
        <w:spacing w:after="0" w:line="256" w:lineRule="auto"/>
        <w:rPr>
          <w:rFonts w:ascii="Arial" w:cs="Arial" w:eastAsia="Arial" w:hAnsi="Arial"/>
          <w:sz w:val="18"/>
          <w:szCs w:val="18"/>
          <w:color w:val="auto"/>
        </w:rPr>
      </w:pPr>
      <w:r>
        <w:rPr>
          <w:rFonts w:ascii="Arial" w:cs="Arial" w:eastAsia="Arial" w:hAnsi="Arial"/>
          <w:sz w:val="19"/>
          <w:szCs w:val="19"/>
          <w:color w:val="auto"/>
        </w:rPr>
        <w:t>Prior to the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if any, with regard to all Tax-Related Items by one or a combination of the following: (i) withholding from the Optionee’s wages or other cash compensation paid to the Optionee by the Company and/or the Employer; or (ii) withholding from proceeds of the sale of Option Shares acquired at exercise of the Option either through a voluntary sale or through a mandatory sale arranged by the Company (on the Optionee’s behalf pursuant to this authorization). The Company may withhold or account for Tax-Related Items by considering statutory withholding amounts or other applicable withholding rates in the Optionee’s jurisdiction(s), including maximum applicable rates. No fractional Option Shares will be issued pursuant to the grant of the Option and the issuance of Option Shares hereunder.</w:t>
      </w:r>
    </w:p>
    <w:p>
      <w:pPr>
        <w:spacing w:after="0" w:line="130"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9"/>
          <w:szCs w:val="19"/>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419" w:right="239" w:bottom="1440" w:gutter="0" w:footer="0" w:header="0"/>
        </w:sectPr>
      </w:pPr>
    </w:p>
    <w:bookmarkStart w:id="94" w:name="page95"/>
    <w:bookmarkEnd w:id="94"/>
    <w:p>
      <w:pPr>
        <w:ind w:left="332" w:hanging="332"/>
        <w:spacing w:after="0"/>
        <w:tabs>
          <w:tab w:leader="none" w:pos="33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Option, the Optionee acknowledges, understands and agrees that:</w:t>
      </w:r>
    </w:p>
    <w:p>
      <w:pPr>
        <w:spacing w:after="0" w:line="161" w:lineRule="exact"/>
        <w:rPr>
          <w:rFonts w:ascii="Arial" w:cs="Arial" w:eastAsia="Arial" w:hAnsi="Arial"/>
          <w:sz w:val="20"/>
          <w:szCs w:val="20"/>
          <w:color w:val="auto"/>
        </w:rPr>
      </w:pPr>
    </w:p>
    <w:p>
      <w:pPr>
        <w:ind w:left="652" w:right="20" w:hanging="328"/>
        <w:spacing w:after="0" w:line="260" w:lineRule="auto"/>
        <w:tabs>
          <w:tab w:leader="none" w:pos="642"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may be amended, suspended or terminated by the Company at any time, to the extent permitted by the Plan;</w:t>
      </w:r>
    </w:p>
    <w:p>
      <w:pPr>
        <w:spacing w:after="0" w:line="122" w:lineRule="exact"/>
        <w:rPr>
          <w:rFonts w:ascii="Arial" w:cs="Arial" w:eastAsia="Arial" w:hAnsi="Arial"/>
          <w:sz w:val="20"/>
          <w:szCs w:val="20"/>
          <w:color w:val="auto"/>
        </w:rPr>
      </w:pPr>
    </w:p>
    <w:p>
      <w:pPr>
        <w:ind w:left="652" w:hanging="328"/>
        <w:spacing w:after="0" w:line="260" w:lineRule="auto"/>
        <w:tabs>
          <w:tab w:leader="none" w:pos="64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grant of the Option is exceptional, voluntary and occasional and does not create any contractual or other right to receive future grants of options, or benefits in lieu of options, even if options have been granted repeatedly in the past;</w:t>
      </w:r>
    </w:p>
    <w:p>
      <w:pPr>
        <w:spacing w:after="0" w:line="122" w:lineRule="exact"/>
        <w:rPr>
          <w:rFonts w:ascii="Arial" w:cs="Arial" w:eastAsia="Arial" w:hAnsi="Arial"/>
          <w:sz w:val="20"/>
          <w:szCs w:val="20"/>
          <w:color w:val="auto"/>
        </w:rPr>
      </w:pPr>
    </w:p>
    <w:p>
      <w:pPr>
        <w:ind w:left="632" w:hanging="308"/>
        <w:spacing w:after="0"/>
        <w:tabs>
          <w:tab w:leader="none" w:pos="632" w:val="left"/>
        </w:tabs>
        <w:numPr>
          <w:ilvl w:val="1"/>
          <w:numId w:val="64"/>
        </w:numPr>
        <w:rPr>
          <w:rFonts w:ascii="Arial" w:cs="Arial" w:eastAsia="Arial" w:hAnsi="Arial"/>
          <w:sz w:val="20"/>
          <w:szCs w:val="20"/>
          <w:color w:val="auto"/>
        </w:rPr>
      </w:pPr>
      <w:r>
        <w:rPr>
          <w:rFonts w:ascii="Arial" w:cs="Arial" w:eastAsia="Arial" w:hAnsi="Arial"/>
          <w:sz w:val="20"/>
          <w:szCs w:val="20"/>
          <w:color w:val="auto"/>
        </w:rPr>
        <w:t>all decisions with respect to future option grants, if any, will be at the sole discretion of the Company;</w:t>
      </w:r>
    </w:p>
    <w:p>
      <w:pPr>
        <w:spacing w:after="0" w:line="161" w:lineRule="exact"/>
        <w:rPr>
          <w:rFonts w:ascii="Arial" w:cs="Arial" w:eastAsia="Arial" w:hAnsi="Arial"/>
          <w:sz w:val="20"/>
          <w:szCs w:val="20"/>
          <w:color w:val="auto"/>
        </w:rPr>
      </w:pPr>
    </w:p>
    <w:p>
      <w:pPr>
        <w:ind w:left="652" w:hanging="328"/>
        <w:spacing w:after="0" w:line="287" w:lineRule="auto"/>
        <w:tabs>
          <w:tab w:leader="none" w:pos="640"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98" w:lineRule="exact"/>
        <w:rPr>
          <w:rFonts w:ascii="Arial" w:cs="Arial" w:eastAsia="Arial" w:hAnsi="Arial"/>
          <w:sz w:val="19"/>
          <w:szCs w:val="19"/>
          <w:color w:val="auto"/>
        </w:rPr>
      </w:pPr>
    </w:p>
    <w:p>
      <w:pPr>
        <w:ind w:left="632" w:hanging="308"/>
        <w:spacing w:after="0"/>
        <w:tabs>
          <w:tab w:leader="none" w:pos="632"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Optionee is voluntarily participating in the Plan;</w:t>
      </w:r>
    </w:p>
    <w:p>
      <w:pPr>
        <w:spacing w:after="0" w:line="161" w:lineRule="exact"/>
        <w:rPr>
          <w:rFonts w:ascii="Arial" w:cs="Arial" w:eastAsia="Arial" w:hAnsi="Arial"/>
          <w:sz w:val="20"/>
          <w:szCs w:val="20"/>
          <w:color w:val="auto"/>
        </w:rPr>
      </w:pPr>
    </w:p>
    <w:p>
      <w:pPr>
        <w:jc w:val="both"/>
        <w:ind w:left="652" w:hanging="328"/>
        <w:spacing w:after="0" w:line="244" w:lineRule="auto"/>
        <w:tabs>
          <w:tab w:leader="none" w:pos="647"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Option and any Option Shares acquired under the Plan, and the income and value of same, are not part of normal or expected compensation or salary for any purposes, including, but not limited to, calculating any severance, resignation, termination, redundancy, dismissal, end of service payments, bonuses, long-service awards, holiday pay, pension or retirement or welfare benefits or similar payments and in no event should be considered as compensation for, or relating in any way to, past services for the Company or the Employer;</w:t>
      </w:r>
    </w:p>
    <w:p>
      <w:pPr>
        <w:spacing w:after="0" w:line="140" w:lineRule="exact"/>
        <w:rPr>
          <w:rFonts w:ascii="Arial" w:cs="Arial" w:eastAsia="Arial" w:hAnsi="Arial"/>
          <w:sz w:val="20"/>
          <w:szCs w:val="20"/>
          <w:color w:val="auto"/>
        </w:rPr>
      </w:pPr>
    </w:p>
    <w:p>
      <w:pPr>
        <w:ind w:left="652" w:hanging="328"/>
        <w:spacing w:after="0" w:line="260" w:lineRule="auto"/>
        <w:tabs>
          <w:tab w:leader="none" w:pos="64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Option grant and the Optionee’s participation in the Plan will not be interpreted to form or amend an employment or service contract or relationship with the Company or the Employer;</w:t>
      </w:r>
    </w:p>
    <w:p>
      <w:pPr>
        <w:spacing w:after="0" w:line="122" w:lineRule="exact"/>
        <w:rPr>
          <w:rFonts w:ascii="Arial" w:cs="Arial" w:eastAsia="Arial" w:hAnsi="Arial"/>
          <w:sz w:val="20"/>
          <w:szCs w:val="20"/>
          <w:color w:val="auto"/>
        </w:rPr>
      </w:pPr>
    </w:p>
    <w:p>
      <w:pPr>
        <w:ind w:left="632" w:hanging="308"/>
        <w:spacing w:after="0"/>
        <w:tabs>
          <w:tab w:leader="none" w:pos="632"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future value of the Option Shares underlying the Option is unknown, indeterminable, and cannot be predicted with certainty;</w:t>
      </w:r>
    </w:p>
    <w:p>
      <w:pPr>
        <w:spacing w:after="0" w:line="173" w:lineRule="exact"/>
        <w:rPr>
          <w:rFonts w:ascii="Arial" w:cs="Arial" w:eastAsia="Arial" w:hAnsi="Arial"/>
          <w:sz w:val="19"/>
          <w:szCs w:val="19"/>
          <w:color w:val="auto"/>
        </w:rPr>
      </w:pPr>
    </w:p>
    <w:p>
      <w:pPr>
        <w:ind w:left="652" w:hanging="328"/>
        <w:spacing w:after="0"/>
        <w:tabs>
          <w:tab w:leader="none" w:pos="652" w:val="left"/>
        </w:tabs>
        <w:numPr>
          <w:ilvl w:val="1"/>
          <w:numId w:val="64"/>
        </w:numPr>
        <w:rPr>
          <w:rFonts w:ascii="Arial" w:cs="Arial" w:eastAsia="Arial" w:hAnsi="Arial"/>
          <w:sz w:val="20"/>
          <w:szCs w:val="20"/>
          <w:color w:val="auto"/>
        </w:rPr>
      </w:pPr>
      <w:r>
        <w:rPr>
          <w:rFonts w:ascii="Arial" w:cs="Arial" w:eastAsia="Arial" w:hAnsi="Arial"/>
          <w:sz w:val="20"/>
          <w:szCs w:val="20"/>
          <w:color w:val="auto"/>
        </w:rPr>
        <w:t>if the underlying Option Shares do not increase in value, the Option will have no value;</w:t>
      </w:r>
    </w:p>
    <w:p>
      <w:pPr>
        <w:spacing w:after="0" w:line="161" w:lineRule="exact"/>
        <w:rPr>
          <w:rFonts w:ascii="Arial" w:cs="Arial" w:eastAsia="Arial" w:hAnsi="Arial"/>
          <w:sz w:val="20"/>
          <w:szCs w:val="20"/>
          <w:color w:val="auto"/>
        </w:rPr>
      </w:pPr>
    </w:p>
    <w:p>
      <w:pPr>
        <w:ind w:left="652" w:hanging="328"/>
        <w:spacing w:after="0" w:line="260" w:lineRule="auto"/>
        <w:tabs>
          <w:tab w:leader="none" w:pos="650" w:val="left"/>
        </w:tabs>
        <w:numPr>
          <w:ilvl w:val="1"/>
          <w:numId w:val="64"/>
        </w:numPr>
        <w:rPr>
          <w:rFonts w:ascii="Arial" w:cs="Arial" w:eastAsia="Arial" w:hAnsi="Arial"/>
          <w:sz w:val="20"/>
          <w:szCs w:val="20"/>
          <w:color w:val="auto"/>
        </w:rPr>
      </w:pPr>
      <w:r>
        <w:rPr>
          <w:rFonts w:ascii="Arial" w:cs="Arial" w:eastAsia="Arial" w:hAnsi="Arial"/>
          <w:sz w:val="20"/>
          <w:szCs w:val="20"/>
          <w:color w:val="auto"/>
        </w:rPr>
        <w:t>if the Optionee exercises the Option and acquires Option Shares, the value of such Option Shares may increase or decrease in value, even below the Exercise Price;</w:t>
      </w:r>
    </w:p>
    <w:p>
      <w:pPr>
        <w:spacing w:after="0" w:line="122" w:lineRule="exact"/>
        <w:rPr>
          <w:rFonts w:ascii="Arial" w:cs="Arial" w:eastAsia="Arial" w:hAnsi="Arial"/>
          <w:sz w:val="20"/>
          <w:szCs w:val="20"/>
          <w:color w:val="auto"/>
        </w:rPr>
      </w:pPr>
    </w:p>
    <w:p>
      <w:pPr>
        <w:ind w:left="652" w:hanging="328"/>
        <w:spacing w:after="0" w:line="260" w:lineRule="auto"/>
        <w:tabs>
          <w:tab w:leader="none" w:pos="640" w:val="left"/>
        </w:tabs>
        <w:numPr>
          <w:ilvl w:val="1"/>
          <w:numId w:val="64"/>
        </w:numPr>
        <w:rPr>
          <w:rFonts w:ascii="Arial" w:cs="Arial" w:eastAsia="Arial" w:hAnsi="Arial"/>
          <w:sz w:val="20"/>
          <w:szCs w:val="20"/>
          <w:color w:val="auto"/>
        </w:rPr>
      </w:pPr>
      <w:r>
        <w:rPr>
          <w:rFonts w:ascii="Arial" w:cs="Arial" w:eastAsia="Arial" w:hAnsi="Arial"/>
          <w:sz w:val="20"/>
          <w:szCs w:val="20"/>
          <w:color w:val="auto"/>
        </w:rPr>
        <w:t>for Optionees who reside outside the U.S. and/or the Company is not the Optionee’s employer, the following additional provisions shall apply:</w:t>
      </w:r>
    </w:p>
    <w:p>
      <w:pPr>
        <w:spacing w:after="0" w:line="122" w:lineRule="exact"/>
        <w:rPr>
          <w:rFonts w:ascii="Arial" w:cs="Arial" w:eastAsia="Arial" w:hAnsi="Arial"/>
          <w:sz w:val="20"/>
          <w:szCs w:val="20"/>
          <w:color w:val="auto"/>
        </w:rPr>
      </w:pPr>
    </w:p>
    <w:p>
      <w:pPr>
        <w:ind w:left="1292" w:hanging="506"/>
        <w:spacing w:after="0" w:line="260" w:lineRule="auto"/>
        <w:tabs>
          <w:tab w:leader="none" w:pos="1292" w:val="left"/>
        </w:tabs>
        <w:numPr>
          <w:ilvl w:val="2"/>
          <w:numId w:val="64"/>
        </w:numPr>
        <w:rPr>
          <w:rFonts w:ascii="Arial" w:cs="Arial" w:eastAsia="Arial" w:hAnsi="Arial"/>
          <w:sz w:val="20"/>
          <w:szCs w:val="20"/>
          <w:color w:val="auto"/>
        </w:rPr>
      </w:pPr>
      <w:r>
        <w:rPr>
          <w:rFonts w:ascii="Arial" w:cs="Arial" w:eastAsia="Arial" w:hAnsi="Arial"/>
          <w:sz w:val="20"/>
          <w:szCs w:val="20"/>
          <w:color w:val="auto"/>
        </w:rPr>
        <w:t>the Option and any Option Shares acquired under the Plan, and the income and value of same, are not intended to replace any pension rights or compensation;</w:t>
      </w:r>
    </w:p>
    <w:p>
      <w:pPr>
        <w:spacing w:after="0" w:line="122" w:lineRule="exact"/>
        <w:rPr>
          <w:rFonts w:ascii="Arial" w:cs="Arial" w:eastAsia="Arial" w:hAnsi="Arial"/>
          <w:sz w:val="20"/>
          <w:szCs w:val="20"/>
          <w:color w:val="auto"/>
        </w:rPr>
      </w:pPr>
    </w:p>
    <w:p>
      <w:pPr>
        <w:jc w:val="both"/>
        <w:ind w:left="1292" w:hanging="561"/>
        <w:spacing w:after="0" w:line="250" w:lineRule="auto"/>
        <w:tabs>
          <w:tab w:leader="none" w:pos="1292" w:val="left"/>
        </w:tabs>
        <w:numPr>
          <w:ilvl w:val="2"/>
          <w:numId w:val="64"/>
        </w:numPr>
        <w:rPr>
          <w:rFonts w:ascii="Arial" w:cs="Arial" w:eastAsia="Arial" w:hAnsi="Arial"/>
          <w:sz w:val="20"/>
          <w:szCs w:val="20"/>
          <w:color w:val="auto"/>
        </w:rPr>
      </w:pPr>
      <w:r>
        <w:rPr>
          <w:rFonts w:ascii="Arial" w:cs="Arial" w:eastAsia="Arial" w:hAnsi="Arial"/>
          <w:sz w:val="20"/>
          <w:szCs w:val="20"/>
          <w:color w:val="auto"/>
        </w:rPr>
        <w:t>the Option and any Option Shares acquired under the Plan are extraordinary items that do not constitute compensation of any kind for services of any kind rendered to the Company or the Employer, and which is outside the scope of the Optionee’s employment or service contract, if any;</w:t>
      </w:r>
    </w:p>
    <w:p>
      <w:pPr>
        <w:spacing w:after="0" w:line="132" w:lineRule="exact"/>
        <w:rPr>
          <w:rFonts w:ascii="Arial" w:cs="Arial" w:eastAsia="Arial" w:hAnsi="Arial"/>
          <w:sz w:val="20"/>
          <w:szCs w:val="20"/>
          <w:color w:val="auto"/>
        </w:rPr>
      </w:pPr>
    </w:p>
    <w:p>
      <w:pPr>
        <w:jc w:val="both"/>
        <w:ind w:left="1292" w:hanging="616"/>
        <w:spacing w:after="0" w:line="246" w:lineRule="auto"/>
        <w:tabs>
          <w:tab w:leader="none" w:pos="1292" w:val="left"/>
        </w:tabs>
        <w:numPr>
          <w:ilvl w:val="2"/>
          <w:numId w:val="64"/>
        </w:numPr>
        <w:rPr>
          <w:rFonts w:ascii="Arial" w:cs="Arial" w:eastAsia="Arial" w:hAnsi="Arial"/>
          <w:sz w:val="20"/>
          <w:szCs w:val="20"/>
          <w:color w:val="auto"/>
        </w:rPr>
      </w:pPr>
      <w:r>
        <w:rPr>
          <w:rFonts w:ascii="Arial" w:cs="Arial" w:eastAsia="Arial" w:hAnsi="Arial"/>
          <w:sz w:val="20"/>
          <w:szCs w:val="20"/>
          <w:color w:val="auto"/>
        </w:rPr>
        <w:t>the Optionee acknowledges and agrees that neither the Company nor the Employer shall be liable for any foreign exchange rate fluctuation between the Optionee’s local currency and the United States Dollar that may affect the value of the Option or of any amounts due to the Optionee pursuant to the exercise of the Option or the subsequent sale of any Option Shares acquired upon exercise;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12"/>
          </w:cols>
          <w:pgMar w:left="248" w:top="1419" w:right="239" w:bottom="1440" w:gutter="0" w:footer="0" w:header="0"/>
        </w:sectPr>
      </w:pPr>
    </w:p>
    <w:bookmarkStart w:id="95" w:name="page96"/>
    <w:bookmarkEnd w:id="95"/>
    <w:p>
      <w:pPr>
        <w:jc w:val="both"/>
        <w:ind w:left="1300" w:hanging="605"/>
        <w:spacing w:after="0" w:line="256" w:lineRule="auto"/>
        <w:tabs>
          <w:tab w:leader="none" w:pos="1300" w:val="left"/>
        </w:tabs>
        <w:numPr>
          <w:ilvl w:val="1"/>
          <w:numId w:val="65"/>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Option resulting from termination of the Optionee’s employment by the Company or the Employer (regardless of the reason for such termination and whether or not later found to be invalid or in breach of employment laws in the jurisdiction where Optionee is employed or the terms of Optionee’s employment agreement, if any) and in consideration of the grant of the Option to which the Optionee is otherwise not entitled, the Optionee irrevocably agrees never to institute any claim against the Company or the Employer and waives his or her ability, if any, to bring such a claim, and releases the Company and the Employer from any such claim; if notwithstanding the foregoing, any such claim is allowed by a court of competent jurisdiction, then, by participating in the Plan, the Optionee shall be deemed irrevocably to have agreed not to pursue such claim and agrees to execute any and all documents necessary to request dismissal or withdrawal of such claims.</w:t>
      </w:r>
    </w:p>
    <w:p>
      <w:pPr>
        <w:spacing w:after="0" w:line="130" w:lineRule="exact"/>
        <w:rPr>
          <w:rFonts w:ascii="Arial" w:cs="Arial" w:eastAsia="Arial" w:hAnsi="Arial"/>
          <w:sz w:val="19"/>
          <w:szCs w:val="19"/>
          <w:color w:val="auto"/>
        </w:rPr>
      </w:pPr>
    </w:p>
    <w:p>
      <w:pPr>
        <w:jc w:val="both"/>
        <w:ind w:left="340" w:hanging="332"/>
        <w:spacing w:after="0" w:line="246" w:lineRule="auto"/>
        <w:tabs>
          <w:tab w:leader="none" w:pos="34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the Optionee’s participation in the Plan, or the Optionee’s acquisition or sale of the underlying Option Shares. The Optionee is encouraged to consult with his or her own personal tax, legal and financial advisors regarding his or her participation in the Plan before taking any action related to the Plan.</w:t>
      </w:r>
    </w:p>
    <w:p>
      <w:pPr>
        <w:spacing w:after="0" w:line="137" w:lineRule="exact"/>
        <w:rPr>
          <w:rFonts w:ascii="Arial" w:cs="Arial" w:eastAsia="Arial" w:hAnsi="Arial"/>
          <w:sz w:val="20"/>
          <w:szCs w:val="20"/>
          <w:color w:val="auto"/>
        </w:rPr>
      </w:pPr>
    </w:p>
    <w:p>
      <w:pPr>
        <w:jc w:val="both"/>
        <w:ind w:left="340" w:hanging="332"/>
        <w:spacing w:after="0" w:line="250" w:lineRule="auto"/>
        <w:tabs>
          <w:tab w:leader="none" w:pos="331"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xml:space="preserve">. This Agreement shall be binding upon and inure to the benefit of the Company and the Optionee and his or her </w:t>
      </w:r>
      <w:r>
        <w:rPr>
          <w:rFonts w:ascii="Arial" w:cs="Arial" w:eastAsia="Arial" w:hAnsi="Arial"/>
          <w:sz w:val="20"/>
          <w:szCs w:val="20"/>
          <w:u w:val="single" w:color="auto"/>
          <w:color w:val="auto"/>
        </w:rPr>
        <w:t>respective</w:t>
      </w:r>
      <w:r>
        <w:rPr>
          <w:rFonts w:ascii="Arial" w:cs="Arial" w:eastAsia="Arial" w:hAnsi="Arial"/>
          <w:sz w:val="20"/>
          <w:szCs w:val="20"/>
          <w:color w:val="auto"/>
        </w:rPr>
        <w:t xml:space="preserve"> heirs, executors, administrators, legal representatives, successors and assigns, subject to the restrictions on transfer set forth in Section 5 of this Agreement.</w:t>
      </w:r>
    </w:p>
    <w:p>
      <w:pPr>
        <w:spacing w:after="0" w:line="132" w:lineRule="exact"/>
        <w:rPr>
          <w:rFonts w:ascii="Arial" w:cs="Arial" w:eastAsia="Arial" w:hAnsi="Arial"/>
          <w:sz w:val="20"/>
          <w:szCs w:val="20"/>
          <w:color w:val="auto"/>
        </w:rPr>
      </w:pPr>
    </w:p>
    <w:p>
      <w:pPr>
        <w:jc w:val="both"/>
        <w:ind w:left="340" w:hanging="332"/>
        <w:spacing w:after="0" w:line="260" w:lineRule="auto"/>
        <w:tabs>
          <w:tab w:leader="none" w:pos="323"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Technology Way, Norwood, Massachusetts, 02062 U.S.A., Attention: Stock Plan Administrator. Each notice to the Optionee shall be addressed to the Optionee at the Optionee’s last known mailing or email address, as applicable, on the records of the Company.</w:t>
      </w:r>
    </w:p>
    <w:p>
      <w:pPr>
        <w:spacing w:after="0" w:line="126" w:lineRule="exact"/>
        <w:rPr>
          <w:rFonts w:ascii="Arial" w:cs="Arial" w:eastAsia="Arial" w:hAnsi="Arial"/>
          <w:sz w:val="19"/>
          <w:szCs w:val="19"/>
          <w:color w:val="auto"/>
        </w:rPr>
      </w:pPr>
    </w:p>
    <w:p>
      <w:pPr>
        <w:ind w:left="340" w:right="20" w:hanging="332"/>
        <w:spacing w:after="0" w:line="260" w:lineRule="auto"/>
        <w:tabs>
          <w:tab w:leader="none" w:pos="331"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Pronouns</w:t>
      </w:r>
      <w:r>
        <w:rPr>
          <w:rFonts w:ascii="Arial" w:cs="Arial" w:eastAsia="Arial" w:hAnsi="Arial"/>
          <w:sz w:val="20"/>
          <w:szCs w:val="20"/>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22" w:lineRule="exact"/>
        <w:rPr>
          <w:rFonts w:ascii="Arial" w:cs="Arial" w:eastAsia="Arial" w:hAnsi="Arial"/>
          <w:sz w:val="20"/>
          <w:szCs w:val="20"/>
          <w:color w:val="auto"/>
        </w:rPr>
      </w:pPr>
    </w:p>
    <w:p>
      <w:pPr>
        <w:ind w:left="340" w:hanging="332"/>
        <w:spacing w:after="0" w:line="260" w:lineRule="auto"/>
        <w:tabs>
          <w:tab w:leader="none" w:pos="331"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constitute the entire understanding between the parties, and supersede all prior agreements and understandings, relating to the subject matter of these documents.</w:t>
      </w:r>
    </w:p>
    <w:p>
      <w:pPr>
        <w:spacing w:after="0" w:line="122" w:lineRule="exact"/>
        <w:rPr>
          <w:rFonts w:ascii="Arial" w:cs="Arial" w:eastAsia="Arial" w:hAnsi="Arial"/>
          <w:sz w:val="20"/>
          <w:szCs w:val="20"/>
          <w:color w:val="auto"/>
        </w:rPr>
      </w:pPr>
    </w:p>
    <w:p>
      <w:pPr>
        <w:ind w:left="340" w:hanging="332"/>
        <w:spacing w:after="0" w:line="260" w:lineRule="auto"/>
        <w:tabs>
          <w:tab w:leader="none" w:pos="331"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interpreted and enforced in accordance with the internal laws of the Commonwealth of Massachusetts without regard to any applicable conflicts of laws.</w:t>
      </w:r>
    </w:p>
    <w:p>
      <w:pPr>
        <w:spacing w:after="0" w:line="122" w:lineRule="exact"/>
        <w:rPr>
          <w:rFonts w:ascii="Arial" w:cs="Arial" w:eastAsia="Arial" w:hAnsi="Arial"/>
          <w:sz w:val="20"/>
          <w:szCs w:val="20"/>
          <w:color w:val="auto"/>
        </w:rPr>
      </w:pPr>
    </w:p>
    <w:p>
      <w:pPr>
        <w:jc w:val="both"/>
        <w:ind w:left="340" w:hanging="332"/>
        <w:spacing w:after="0" w:line="243" w:lineRule="auto"/>
        <w:tabs>
          <w:tab w:leader="none" w:pos="331"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Compliance with Law</w:t>
      </w:r>
      <w:r>
        <w:rPr>
          <w:rFonts w:ascii="Arial" w:cs="Arial" w:eastAsia="Arial" w:hAnsi="Arial"/>
          <w:sz w:val="20"/>
          <w:szCs w:val="20"/>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419" w:right="239" w:bottom="1440" w:gutter="0" w:footer="0" w:header="0"/>
        </w:sectPr>
      </w:pPr>
    </w:p>
    <w:bookmarkStart w:id="96" w:name="page97"/>
    <w:bookmarkEnd w:id="96"/>
    <w:p>
      <w:pPr>
        <w:jc w:val="both"/>
        <w:ind w:left="340"/>
        <w:spacing w:after="0" w:line="256" w:lineRule="auto"/>
        <w:rPr>
          <w:sz w:val="20"/>
          <w:szCs w:val="20"/>
          <w:color w:val="auto"/>
        </w:rPr>
      </w:pPr>
      <w:r>
        <w:rPr>
          <w:rFonts w:ascii="Arial" w:cs="Arial" w:eastAsia="Arial" w:hAnsi="Arial"/>
          <w:sz w:val="19"/>
          <w:szCs w:val="19"/>
          <w:color w:val="auto"/>
        </w:rPr>
        <w:t>federal, state, or local governmental agency, which registration, qualification or approval the Company shall, in its absolute discretion, deem necessary or advisable. The Optionee understands that the Company is under no obligation to register or qualify the Option Shares with the SEC or any state or non-U.S. securities commission or to seek approval or clearance from any governmental authority for the issuance or sale of the Option Shares. The Optionee also understands and agrees that the Awards granted under the Plan, including the Options and the underlying Option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131" w:lineRule="exact"/>
        <w:rPr>
          <w:sz w:val="20"/>
          <w:szCs w:val="20"/>
          <w:color w:val="auto"/>
        </w:rPr>
      </w:pPr>
    </w:p>
    <w:p>
      <w:pPr>
        <w:ind w:left="340" w:right="20" w:hanging="332"/>
        <w:spacing w:after="0" w:line="260" w:lineRule="auto"/>
        <w:tabs>
          <w:tab w:leader="none" w:pos="331"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22" w:lineRule="exact"/>
        <w:rPr>
          <w:rFonts w:ascii="Arial" w:cs="Arial" w:eastAsia="Arial" w:hAnsi="Arial"/>
          <w:sz w:val="20"/>
          <w:szCs w:val="20"/>
          <w:color w:val="auto"/>
        </w:rPr>
      </w:pPr>
    </w:p>
    <w:p>
      <w:pPr>
        <w:jc w:val="both"/>
        <w:ind w:left="340" w:hanging="332"/>
        <w:spacing w:after="0" w:line="246" w:lineRule="auto"/>
        <w:tabs>
          <w:tab w:leader="none" w:pos="331"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Optionee’s Acceptance</w:t>
      </w:r>
      <w:r>
        <w:rPr>
          <w:rFonts w:ascii="Arial" w:cs="Arial" w:eastAsia="Arial" w:hAnsi="Arial"/>
          <w:sz w:val="20"/>
          <w:szCs w:val="20"/>
          <w:color w:val="auto"/>
        </w:rPr>
        <w:t>. The Optionee is urged to read this Agreement carefully and to consult with his or her own legal counsel regarding the terms and consequences of this Agreement and the legal and binding effect of this Agreement. By virtue of his or her acceptance of this Option, the Optionee is deemed to have accepted and agreed to all of the terms and conditions of this Agreement and the provisions of the Plan.</w:t>
      </w:r>
    </w:p>
    <w:p>
      <w:pPr>
        <w:spacing w:after="0" w:line="137" w:lineRule="exact"/>
        <w:rPr>
          <w:rFonts w:ascii="Arial" w:cs="Arial" w:eastAsia="Arial" w:hAnsi="Arial"/>
          <w:sz w:val="20"/>
          <w:szCs w:val="20"/>
          <w:color w:val="auto"/>
        </w:rPr>
      </w:pPr>
    </w:p>
    <w:p>
      <w:pPr>
        <w:jc w:val="both"/>
        <w:ind w:left="340" w:hanging="332"/>
        <w:spacing w:after="0" w:line="291" w:lineRule="auto"/>
        <w:tabs>
          <w:tab w:leader="none" w:pos="33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97" w:lineRule="exact"/>
        <w:rPr>
          <w:rFonts w:ascii="Arial" w:cs="Arial" w:eastAsia="Arial" w:hAnsi="Arial"/>
          <w:sz w:val="18"/>
          <w:szCs w:val="18"/>
          <w:color w:val="auto"/>
        </w:rPr>
      </w:pPr>
    </w:p>
    <w:p>
      <w:pPr>
        <w:jc w:val="both"/>
        <w:ind w:left="340" w:right="20" w:hanging="332"/>
        <w:spacing w:after="0" w:line="250" w:lineRule="auto"/>
        <w:tabs>
          <w:tab w:leader="none" w:pos="331"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If the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132" w:lineRule="exact"/>
        <w:rPr>
          <w:rFonts w:ascii="Arial" w:cs="Arial" w:eastAsia="Arial" w:hAnsi="Arial"/>
          <w:sz w:val="20"/>
          <w:szCs w:val="20"/>
          <w:color w:val="auto"/>
        </w:rPr>
      </w:pPr>
    </w:p>
    <w:p>
      <w:pPr>
        <w:ind w:left="340" w:hanging="332"/>
        <w:spacing w:after="0" w:line="260" w:lineRule="auto"/>
        <w:tabs>
          <w:tab w:leader="none" w:pos="331"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22" w:lineRule="exact"/>
        <w:rPr>
          <w:rFonts w:ascii="Arial" w:cs="Arial" w:eastAsia="Arial" w:hAnsi="Arial"/>
          <w:sz w:val="20"/>
          <w:szCs w:val="20"/>
          <w:color w:val="auto"/>
        </w:rPr>
      </w:pPr>
    </w:p>
    <w:p>
      <w:pPr>
        <w:jc w:val="both"/>
        <w:ind w:left="340" w:hanging="332"/>
        <w:spacing w:after="0" w:line="244" w:lineRule="auto"/>
        <w:tabs>
          <w:tab w:leader="none" w:pos="331"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Appendix</w:t>
      </w:r>
      <w:r>
        <w:rPr>
          <w:rFonts w:ascii="Arial" w:cs="Arial" w:eastAsia="Arial" w:hAnsi="Arial"/>
          <w:sz w:val="20"/>
          <w:szCs w:val="20"/>
          <w:color w:val="auto"/>
        </w:rPr>
        <w:t>. The Option shall be subject to any special provisions set forth in the Appendix for the Optionee’s country of employment and/or residence, if any. If the Optionee relocates to one of the countries included in the Appendix during the life of the Option, the special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140" w:lineRule="exact"/>
        <w:rPr>
          <w:rFonts w:ascii="Arial" w:cs="Arial" w:eastAsia="Arial" w:hAnsi="Arial"/>
          <w:sz w:val="20"/>
          <w:szCs w:val="20"/>
          <w:color w:val="auto"/>
        </w:rPr>
      </w:pPr>
    </w:p>
    <w:p>
      <w:pPr>
        <w:jc w:val="both"/>
        <w:ind w:left="340" w:hanging="332"/>
        <w:spacing w:after="0" w:line="291" w:lineRule="auto"/>
        <w:tabs>
          <w:tab w:leader="none" w:pos="33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Company reserves the right to impose other requirements on the Option and the Option Shares purchased upon exercise of the Option, to the extent the Company determines it is necessary or advisable for legal or administrative reasons, and to require the Optionee to sign any additional agreements or undertakings that may be necessary to accomplish the foregoing.</w:t>
      </w:r>
    </w:p>
    <w:p>
      <w:pPr>
        <w:spacing w:after="0" w:line="97" w:lineRule="exact"/>
        <w:rPr>
          <w:rFonts w:ascii="Arial" w:cs="Arial" w:eastAsia="Arial" w:hAnsi="Arial"/>
          <w:sz w:val="18"/>
          <w:szCs w:val="18"/>
          <w:color w:val="auto"/>
        </w:rPr>
      </w:pPr>
    </w:p>
    <w:p>
      <w:pPr>
        <w:ind w:left="340" w:right="20" w:hanging="332"/>
        <w:spacing w:after="0" w:line="260" w:lineRule="auto"/>
        <w:tabs>
          <w:tab w:leader="none" w:pos="331"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Private Placement</w:t>
      </w:r>
      <w:r>
        <w:rPr>
          <w:rFonts w:ascii="Arial" w:cs="Arial" w:eastAsia="Arial" w:hAnsi="Arial"/>
          <w:sz w:val="20"/>
          <w:szCs w:val="20"/>
          <w:color w:val="auto"/>
        </w:rPr>
        <w:t>. The Company has submitted filings in the United States in connection with the equity incentive plan under which this Option was made. The Company has not submitted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419" w:right="239" w:bottom="1440" w:gutter="0" w:footer="0" w:header="0"/>
        </w:sectPr>
      </w:pPr>
    </w:p>
    <w:bookmarkStart w:id="97" w:name="page98"/>
    <w:bookmarkEnd w:id="97"/>
    <w:p>
      <w:pPr>
        <w:jc w:val="both"/>
        <w:ind w:left="340"/>
        <w:spacing w:after="0" w:line="250" w:lineRule="auto"/>
        <w:rPr>
          <w:sz w:val="20"/>
          <w:szCs w:val="20"/>
          <w:color w:val="auto"/>
        </w:rPr>
      </w:pPr>
      <w:r>
        <w:rPr>
          <w:rFonts w:ascii="Arial" w:cs="Arial" w:eastAsia="Arial" w:hAnsi="Arial"/>
          <w:sz w:val="20"/>
          <w:szCs w:val="20"/>
          <w:color w:val="auto"/>
        </w:rPr>
        <w:t>registration statement, prospectus or other filings with other local securities authorities (unless otherwise required under such local law), and the grant of the Option is not intended to be a public offering of securities in any other jurisdiction or subject to the supervision of other local securities authorities.</w:t>
      </w:r>
    </w:p>
    <w:p>
      <w:pPr>
        <w:spacing w:after="0" w:line="132" w:lineRule="exact"/>
        <w:rPr>
          <w:sz w:val="20"/>
          <w:szCs w:val="20"/>
          <w:color w:val="auto"/>
        </w:rPr>
      </w:pPr>
    </w:p>
    <w:p>
      <w:pPr>
        <w:jc w:val="both"/>
        <w:ind w:left="340" w:hanging="332"/>
        <w:spacing w:after="0" w:line="271" w:lineRule="auto"/>
        <w:tabs>
          <w:tab w:leader="none" w:pos="33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The Optionee acknowledges that, depending on the Optionee’s or the Optionee’s broker’s country of residence or where the Common Stock is listed, the Optionee may be subject to insider trading restrictions and/or market abuse laws, which may affect the Optionee’s ability to accept, acquire, sell, or otherwise dispose of Common Stock, rights to Common Stock (</w:t>
      </w:r>
      <w:r>
        <w:rPr>
          <w:rFonts w:ascii="Arial" w:cs="Arial" w:eastAsia="Arial" w:hAnsi="Arial"/>
          <w:sz w:val="18"/>
          <w:szCs w:val="18"/>
          <w:i w:val="1"/>
          <w:iCs w:val="1"/>
          <w:color w:val="auto"/>
        </w:rPr>
        <w:t>e.g.</w:t>
      </w:r>
      <w:r>
        <w:rPr>
          <w:rFonts w:ascii="Arial" w:cs="Arial" w:eastAsia="Arial" w:hAnsi="Arial"/>
          <w:sz w:val="18"/>
          <w:szCs w:val="18"/>
          <w:color w:val="auto"/>
        </w:rPr>
        <w:t>, Options) or rights linked to the value of Common Stock (</w:t>
      </w:r>
      <w:r>
        <w:rPr>
          <w:rFonts w:ascii="Arial" w:cs="Arial" w:eastAsia="Arial" w:hAnsi="Arial"/>
          <w:sz w:val="18"/>
          <w:szCs w:val="18"/>
          <w:i w:val="1"/>
          <w:iCs w:val="1"/>
          <w:color w:val="auto"/>
        </w:rPr>
        <w:t>e.g.</w:t>
      </w:r>
      <w:r>
        <w:rPr>
          <w:rFonts w:ascii="Arial" w:cs="Arial" w:eastAsia="Arial" w:hAnsi="Arial"/>
          <w:sz w:val="18"/>
          <w:szCs w:val="18"/>
          <w:color w:val="auto"/>
        </w:rPr>
        <w:t>, phantom awards, futures) during such times as Optionee is considered to have “inside information” regarding the Company (as defined by the laws or regulations in the Optionee’s country). Local insider trading laws and regulations may prohibit the cancellation or amendment of orders the Optionee placed before possessing inside information. Furthermore, the Optionee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and the Optionee should speak to his or her personal advisor on this matter.</w:t>
      </w:r>
    </w:p>
    <w:p>
      <w:pPr>
        <w:spacing w:after="0" w:line="116" w:lineRule="exact"/>
        <w:rPr>
          <w:rFonts w:ascii="Arial" w:cs="Arial" w:eastAsia="Arial" w:hAnsi="Arial"/>
          <w:sz w:val="18"/>
          <w:szCs w:val="18"/>
          <w:color w:val="auto"/>
        </w:rPr>
      </w:pPr>
    </w:p>
    <w:p>
      <w:pPr>
        <w:jc w:val="both"/>
        <w:ind w:left="340" w:hanging="332"/>
        <w:spacing w:after="0" w:line="256" w:lineRule="auto"/>
        <w:tabs>
          <w:tab w:leader="none" w:pos="331"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Foreign Asset/Account, Exchange Control, and Tax Reporting</w:t>
      </w:r>
      <w:r>
        <w:rPr>
          <w:rFonts w:ascii="Arial" w:cs="Arial" w:eastAsia="Arial" w:hAnsi="Arial"/>
          <w:sz w:val="19"/>
          <w:szCs w:val="19"/>
          <w:color w:val="auto"/>
        </w:rPr>
        <w:t>. The Optionee may be subject to foreign asset/account, exchange control and/or tax reporting requirements as a result of the exercise of the Option, the acquisition, holding, and/or transfer of Option Shares or cash resulting from participation in the Plan and/or the opening and maintenance of a brokerage or bank account in connection with the Plan. The Optionee may be required to report such assets, accounts, account balances and values and/or related transactions to the applicable authorities in his or her country. The Optionee also may be required to repatriate sale proceeds or other funds received as a result of participation in the Plan to the Optionee’s country through a designated broker or bank and/or within a certain time after receipt. The Optionee acknowledges that he or she is responsible for ensuring compliance with any applicable foreign asset/account, exchange control and tax reporting requirements. The Optionee further understands that he or she should consult the Optionee’s personal legal advisor on these matters.</w:t>
      </w:r>
    </w:p>
    <w:p>
      <w:pPr>
        <w:spacing w:after="0" w:line="130" w:lineRule="exact"/>
        <w:rPr>
          <w:rFonts w:ascii="Arial" w:cs="Arial" w:eastAsia="Arial" w:hAnsi="Arial"/>
          <w:sz w:val="19"/>
          <w:szCs w:val="19"/>
          <w:color w:val="auto"/>
        </w:rPr>
      </w:pPr>
    </w:p>
    <w:p>
      <w:pPr>
        <w:ind w:left="340" w:right="20" w:hanging="332"/>
        <w:spacing w:after="0" w:line="316" w:lineRule="auto"/>
        <w:tabs>
          <w:tab w:leader="none" w:pos="33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Optionee acknowledges that a waiver by the Company or breach of any provision of this Agreement shall not operate or be construed as a waiver of any other provision of this Agreement, or of any subsequent breach by the Optionee or any other optionee.</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A copy of the Plan prospectus is available on the Company’s Intranet at https://thecircuit.web.analog.com/Pages/CircuitHome.aspx. (From The Circuit home page, click Knowledge Centers, HR, Employee Stock Programs. The related documents can be found in the right-hand column.) If the Optionee is unable to access this information via the Intranet, the Company’s Stock Plan Administrator can provide the Optionee with copies (Stock_Plan_Admin@Analog.com).</w:t>
      </w:r>
    </w:p>
    <w:p>
      <w:pPr>
        <w:spacing w:after="0" w:line="200" w:lineRule="exact"/>
        <w:rPr>
          <w:sz w:val="20"/>
          <w:szCs w:val="20"/>
          <w:color w:val="auto"/>
        </w:rPr>
      </w:pP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Pr>
          <w:p>
            <w:pPr>
              <w:ind w:left="20"/>
              <w:spacing w:after="0"/>
              <w:rPr>
                <w:sz w:val="20"/>
                <w:szCs w:val="20"/>
                <w:color w:val="auto"/>
              </w:rPr>
            </w:pPr>
            <w:r>
              <w:rPr>
                <w:rFonts w:ascii="Arial" w:cs="Arial" w:eastAsia="Arial" w:hAnsi="Arial"/>
                <w:sz w:val="20"/>
                <w:szCs w:val="20"/>
                <w:color w:val="auto"/>
              </w:rPr>
              <w:t>/s/ Ray Stata</w:t>
            </w:r>
          </w:p>
        </w:tc>
        <w:tc>
          <w:tcPr>
            <w:tcW w:w="6340" w:type="dxa"/>
            <w:vAlign w:val="bottom"/>
            <w:gridSpan w:val="2"/>
          </w:tcPr>
          <w:p>
            <w:pPr>
              <w:ind w:left="1480"/>
              <w:spacing w:after="0"/>
              <w:rPr>
                <w:sz w:val="20"/>
                <w:szCs w:val="20"/>
                <w:color w:val="auto"/>
              </w:rPr>
            </w:pPr>
            <w:r>
              <w:rPr>
                <w:rFonts w:ascii="Arial" w:cs="Arial" w:eastAsia="Arial" w:hAnsi="Arial"/>
                <w:sz w:val="20"/>
                <w:szCs w:val="20"/>
                <w:color w:val="auto"/>
              </w:rPr>
              <w:t>By:   /s/ Vincent Roche</w:t>
            </w:r>
          </w:p>
        </w:tc>
      </w:tr>
      <w:tr>
        <w:trPr>
          <w:trHeight w:val="23"/>
        </w:trPr>
        <w:tc>
          <w:tcPr>
            <w:tcW w:w="6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4340" w:type="dxa"/>
            <w:vAlign w:val="bottom"/>
          </w:tcPr>
          <w:p>
            <w:pPr>
              <w:ind w:left="20"/>
              <w:spacing w:after="0"/>
              <w:rPr>
                <w:sz w:val="20"/>
                <w:szCs w:val="20"/>
                <w:color w:val="auto"/>
              </w:rPr>
            </w:pPr>
            <w:r>
              <w:rPr>
                <w:rFonts w:ascii="Arial" w:cs="Arial" w:eastAsia="Arial" w:hAnsi="Arial"/>
                <w:sz w:val="20"/>
                <w:szCs w:val="20"/>
                <w:color w:val="auto"/>
              </w:rPr>
              <w:t>Ray Stata, Chairman of the Board of Directors</w:t>
            </w:r>
          </w:p>
        </w:tc>
        <w:tc>
          <w:tcPr>
            <w:tcW w:w="204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20"/>
                <w:szCs w:val="20"/>
                <w:color w:val="auto"/>
                <w:w w:val="94"/>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1419"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auto"/>
        </w:rPr>
        <w:t>APPENDIX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GLOBAL NON-QUALIFIED STOCK OPTION AGREEMENT</w:t>
      </w:r>
    </w:p>
    <w:p>
      <w:pPr>
        <w:spacing w:after="0" w:line="38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This Appendix A includes additional terms and conditions that govern the Options granted to the Optionee if the Optionee resides and/or works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98"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October 2019.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information is general in nature and may not apply to the Optionee’s particular situation, and the Company is not in a position to assure the Optionee of any particular result. Therefore, the Optionee should seek appropriate professional advice as to how the relevant laws in the Optionee’s country may apply to his or her situation.</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Finally, the Optionee understands that if he or she is a citizen or resident of a country other than the one in which the Optionee is currently working and/or residing, transfers employment and/or residency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20"/>
          <w:szCs w:val="20"/>
          <w:b w:val="1"/>
          <w:bCs w:val="1"/>
          <w:u w:val="single" w:color="auto"/>
          <w:color w:val="auto"/>
        </w:rPr>
        <w:t>TERMS AND CONDITIONS APPLICABLE TO OPTIONEES OUTSIDE THE U.S.</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u w:val="single" w:color="auto"/>
          <w:color w:val="auto"/>
        </w:rPr>
        <w:t>Data Privacy Information and Consent</w:t>
      </w:r>
      <w:r>
        <w:rPr>
          <w:rFonts w:ascii="Arial" w:cs="Arial" w:eastAsia="Arial" w:hAnsi="Arial"/>
          <w:sz w:val="16"/>
          <w:szCs w:val="16"/>
          <w:b w:val="1"/>
          <w:bCs w:val="1"/>
          <w:i w:val="1"/>
          <w:iCs w:val="1"/>
          <w:color w:val="auto"/>
        </w:rPr>
        <w:t>. The Company is located at One Technology Way, Norwood, Massachusetts, 02062 U.S.A. and grants employees of the Company and its subsidiaries Options, at the Company’s sole discretion. If the Optionee would like to participate in the Plan, please review the following information about the Company’s data processing practices and declare the Optionee’s consent.</w:t>
      </w:r>
    </w:p>
    <w:p>
      <w:pPr>
        <w:spacing w:after="0" w:line="64" w:lineRule="exact"/>
        <w:rPr>
          <w:sz w:val="20"/>
          <w:szCs w:val="20"/>
          <w:color w:val="auto"/>
        </w:rPr>
      </w:pPr>
    </w:p>
    <w:p>
      <w:pPr>
        <w:jc w:val="both"/>
        <w:ind w:left="340" w:hanging="332"/>
        <w:spacing w:after="0" w:line="316" w:lineRule="auto"/>
        <w:tabs>
          <w:tab w:leader="none" w:pos="328"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Collection and Usage</w:t>
      </w:r>
      <w:r>
        <w:rPr>
          <w:rFonts w:ascii="Arial" w:cs="Arial" w:eastAsia="Arial" w:hAnsi="Arial"/>
          <w:sz w:val="16"/>
          <w:szCs w:val="16"/>
          <w:b w:val="1"/>
          <w:bCs w:val="1"/>
          <w:i w:val="1"/>
          <w:iCs w:val="1"/>
          <w:color w:val="auto"/>
        </w:rPr>
        <w:t>. The Company collects, processes and uses personal data of Optionees, including, name, home address and telephone number, date of birth, social insurance number or other identification number, salary, citizenship, job title, any shares of stock or directorships held in the Company, and details of all Options, canceled, vested, or outstanding in the Optionee’s favor, which the Company receives from the Optionee or the Employer. If the Company offers the Optionee a grant of Options under the Plan, then the Company will collect the Optionee’s personal data for purposes of allocating stock and implementing, administering and managing the Plan. The Company’s legal basis for the processing of the Optionee’s personal data would be his or her consent.</w:t>
      </w:r>
    </w:p>
    <w:p>
      <w:pPr>
        <w:spacing w:after="0" w:line="86" w:lineRule="exact"/>
        <w:rPr>
          <w:rFonts w:ascii="Arial" w:cs="Arial" w:eastAsia="Arial" w:hAnsi="Arial"/>
          <w:sz w:val="16"/>
          <w:szCs w:val="16"/>
          <w:b w:val="1"/>
          <w:bCs w:val="1"/>
          <w:color w:val="auto"/>
        </w:rPr>
      </w:pPr>
    </w:p>
    <w:p>
      <w:pPr>
        <w:ind w:left="340" w:hanging="332"/>
        <w:spacing w:after="0" w:line="260" w:lineRule="auto"/>
        <w:tabs>
          <w:tab w:leader="none" w:pos="339"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Stock Plan Administration Service Providers</w:t>
      </w:r>
      <w:r>
        <w:rPr>
          <w:rFonts w:ascii="Arial" w:cs="Arial" w:eastAsia="Arial" w:hAnsi="Arial"/>
          <w:sz w:val="20"/>
          <w:szCs w:val="20"/>
          <w:b w:val="1"/>
          <w:bCs w:val="1"/>
          <w:i w:val="1"/>
          <w:iCs w:val="1"/>
          <w:color w:val="auto"/>
        </w:rPr>
        <w:t>. The Company transfers participant data to Fidelity Stock Plan Services LLC (“Fidelity”), an independent service provider based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w:t>
      </w:r>
    </w:p>
    <w:p>
      <w:pPr>
        <w:sectPr>
          <w:pgSz w:w="11900" w:h="16838" w:orient="portrait"/>
          <w:cols w:equalWidth="0" w:num="1">
            <w:col w:w="11420"/>
          </w:cols>
          <w:pgMar w:left="240" w:top="1413" w:right="239" w:bottom="1440" w:gutter="0" w:footer="0" w:header="0"/>
        </w:sectPr>
      </w:pPr>
    </w:p>
    <w:bookmarkStart w:id="99" w:name="page100"/>
    <w:bookmarkEnd w:id="99"/>
    <w:p>
      <w:pPr>
        <w:jc w:val="both"/>
        <w:ind w:left="340"/>
        <w:spacing w:after="0" w:line="244" w:lineRule="auto"/>
        <w:rPr>
          <w:sz w:val="20"/>
          <w:szCs w:val="20"/>
          <w:color w:val="auto"/>
        </w:rPr>
      </w:pPr>
      <w:r>
        <w:rPr>
          <w:rFonts w:ascii="Arial" w:cs="Arial" w:eastAsia="Arial" w:hAnsi="Arial"/>
          <w:sz w:val="20"/>
          <w:szCs w:val="20"/>
          <w:b w:val="1"/>
          <w:bCs w:val="1"/>
          <w:i w:val="1"/>
          <w:iCs w:val="1"/>
          <w:color w:val="auto"/>
        </w:rPr>
        <w:t>which assists the Company with the implementation, administration and management of the Plan. In the future, the Company may select a different service provider and share the Optionee’s data with another company that serves in a similar manner. The Company’s service provider will open an account for the Optionee to receive and trade shares of Common Stock. The Optionee will be asked to agree on separate terms and data processing practices with the service provider, which is a condition to the Optionee’s ability to participate in the Plan.</w:t>
      </w:r>
    </w:p>
    <w:p>
      <w:pPr>
        <w:spacing w:after="0" w:line="141" w:lineRule="exact"/>
        <w:rPr>
          <w:sz w:val="20"/>
          <w:szCs w:val="20"/>
          <w:color w:val="auto"/>
        </w:rPr>
      </w:pPr>
    </w:p>
    <w:p>
      <w:pPr>
        <w:jc w:val="both"/>
        <w:ind w:left="340" w:hanging="332"/>
        <w:spacing w:after="0" w:line="269" w:lineRule="auto"/>
        <w:tabs>
          <w:tab w:leader="none" w:pos="33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its service providers are based in the United States. If the Optionee is outside the United States, the Optionee should note that his or her country has enacted data privacy laws that are different from the United States and that the United States might not provide a level of protection of personal data equivalent to the level of protection in the Optionee’s country. The United States is subject to adequacy decisions by the European Commission and Swizterland acknowledging that the United States provides an adequate level of protection for personal data transferred to organizations in the United States that have self-certified under the EU/U.S. and Swiss/U.S. Privacy Shield Frameworks. In the absence of self-certification under the EU/U.S. and Swiss/U.S. Privacy Shield Frameworks, an appropriate level of protection for personal data transferred to the United States can be ensured by implementing appropriate safeguards such as the EU Standard Contractual Clauses. The Company is not self-certified under the EU/U.S. and Swiss/U.S. Privacy Shield Frameworks. In order to ensure an appropriate level of protection for the transfer of the Optionee’s personal data to the Company in the United States, the Company has implemented the EU Standard Contractual Clauses. However, the onward transfer of the Optionee’s personal data by the Company to its service provider is not subject to appropriate safeguards such as the EU Standard Contractual Clauses and is based solely on the Optionee’s consent. The Optionee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25" w:lineRule="exact"/>
        <w:rPr>
          <w:rFonts w:ascii="Arial" w:cs="Arial" w:eastAsia="Arial" w:hAnsi="Arial"/>
          <w:sz w:val="18"/>
          <w:szCs w:val="18"/>
          <w:b w:val="1"/>
          <w:bCs w:val="1"/>
          <w:color w:val="auto"/>
        </w:rPr>
      </w:pPr>
    </w:p>
    <w:p>
      <w:pPr>
        <w:jc w:val="both"/>
        <w:ind w:left="340" w:hanging="332"/>
        <w:spacing w:after="0" w:line="246" w:lineRule="auto"/>
        <w:tabs>
          <w:tab w:leader="none" w:pos="339"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Data Retention</w:t>
      </w:r>
      <w:r>
        <w:rPr>
          <w:rFonts w:ascii="Arial" w:cs="Arial" w:eastAsia="Arial" w:hAnsi="Arial"/>
          <w:sz w:val="20"/>
          <w:szCs w:val="20"/>
          <w:b w:val="1"/>
          <w:bCs w:val="1"/>
          <w:i w:val="1"/>
          <w:iCs w:val="1"/>
          <w:color w:val="auto"/>
        </w:rPr>
        <w:t>. The Company will use the Optionee’s personal data only as long as is necessary to implement, administer and manage the Optionee’s participation in the Plan or as required to comply with legal or regulatory obligations, including under tax and security laws. If the Company keeps data longer, it would be to satisfy legal or regulatory obligations and the Company’s legal basis would be relevant laws or regulations.</w:t>
      </w:r>
    </w:p>
    <w:p>
      <w:pPr>
        <w:spacing w:after="0" w:line="137" w:lineRule="exact"/>
        <w:rPr>
          <w:rFonts w:ascii="Arial" w:cs="Arial" w:eastAsia="Arial" w:hAnsi="Arial"/>
          <w:sz w:val="20"/>
          <w:szCs w:val="20"/>
          <w:b w:val="1"/>
          <w:bCs w:val="1"/>
          <w:color w:val="auto"/>
        </w:rPr>
      </w:pPr>
    </w:p>
    <w:p>
      <w:pPr>
        <w:jc w:val="both"/>
        <w:ind w:left="340" w:hanging="332"/>
        <w:spacing w:after="0" w:line="328" w:lineRule="auto"/>
        <w:tabs>
          <w:tab w:leader="none" w:pos="33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Optionee’s participation in the Plan and the Optionee’s grant of consent is purely voluntary. The Optionee may deny or withdraw his or her consent at any time. If the Optionee does not consent, or if the Optionee withdraws his or her consent, the Optionee cannot participate in the Plan. This would not affect the Optionee’s salary from or employment with the Employer; the Optionee would merely forfeit the opportunities associated with the Plan.</w:t>
      </w:r>
    </w:p>
    <w:p>
      <w:pPr>
        <w:spacing w:after="0" w:line="74" w:lineRule="exact"/>
        <w:rPr>
          <w:rFonts w:ascii="Arial" w:cs="Arial" w:eastAsia="Arial" w:hAnsi="Arial"/>
          <w:sz w:val="16"/>
          <w:szCs w:val="16"/>
          <w:b w:val="1"/>
          <w:bCs w:val="1"/>
          <w:color w:val="auto"/>
        </w:rPr>
      </w:pPr>
    </w:p>
    <w:p>
      <w:pPr>
        <w:jc w:val="both"/>
        <w:ind w:left="340" w:hanging="332"/>
        <w:spacing w:after="0" w:line="309" w:lineRule="auto"/>
        <w:tabs>
          <w:tab w:leader="none" w:pos="335"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The Optionee has a number of rights under data privacy laws in his or her country. Depending on where the Optionee is based, the Optionee’s rights may include the right to (a) request access or copies of personal data the Company processes,</w:t>
      </w:r>
    </w:p>
    <w:p>
      <w:pPr>
        <w:spacing w:after="0" w:line="1" w:lineRule="exact"/>
        <w:rPr>
          <w:rFonts w:ascii="Arial" w:cs="Arial" w:eastAsia="Arial" w:hAnsi="Arial"/>
          <w:sz w:val="16"/>
          <w:szCs w:val="16"/>
          <w:b w:val="1"/>
          <w:bCs w:val="1"/>
          <w:color w:val="auto"/>
        </w:rPr>
      </w:pPr>
    </w:p>
    <w:p>
      <w:pPr>
        <w:jc w:val="both"/>
        <w:ind w:left="340" w:hanging="8"/>
        <w:spacing w:after="0" w:line="321" w:lineRule="auto"/>
        <w:tabs>
          <w:tab w:leader="none" w:pos="638" w:val="left"/>
        </w:tabs>
        <w:numPr>
          <w:ilvl w:val="1"/>
          <w:numId w:val="7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rectification of incorrect data, (c) deletion of data, (d) restrictions on processing, (e) portability of data, (f) lodge complaints with competent authorities in the Optionee’s country, and/or (g) a list with the names and addresses of any potential recipients of the Optionee’s personal data. To receive clarification regarding the Optionee’s rights or to exercise the Optionee’s rights please contact the Company at Analog Devices, Inc., One Technology Way, Norwood, Massachusetts, 02062 U.S.A., Attention: Stock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A-2</w:t>
      </w:r>
    </w:p>
    <w:p>
      <w:pPr>
        <w:sectPr>
          <w:pgSz w:w="11900" w:h="16838" w:orient="portrait"/>
          <w:cols w:equalWidth="0" w:num="1">
            <w:col w:w="11420"/>
          </w:cols>
          <w:pgMar w:left="240" w:top="1419" w:right="239" w:bottom="1440" w:gutter="0" w:footer="0" w:header="0"/>
        </w:sectPr>
      </w:pPr>
    </w:p>
    <w:bookmarkStart w:id="100" w:name="page101"/>
    <w:bookmarkEnd w:id="100"/>
    <w:p>
      <w:pPr>
        <w:jc w:val="both"/>
        <w:spacing w:after="0" w:line="250" w:lineRule="auto"/>
        <w:rPr>
          <w:sz w:val="20"/>
          <w:szCs w:val="20"/>
          <w:color w:val="auto"/>
        </w:rPr>
      </w:pPr>
      <w:r>
        <w:rPr>
          <w:rFonts w:ascii="Arial" w:cs="Arial" w:eastAsia="Arial" w:hAnsi="Arial"/>
          <w:sz w:val="20"/>
          <w:szCs w:val="20"/>
          <w:b w:val="1"/>
          <w:bCs w:val="1"/>
          <w:i w:val="1"/>
          <w:iCs w:val="1"/>
          <w:color w:val="auto"/>
        </w:rPr>
        <w:t>If the Optionee resides in a European Economic Area or European Union member state and agrees with the data processing practices described in this notice, the Optionee declares his or her consent by clicking “Accept Your Grant” on the Accepting Your Grants page on Fidelity’s participant website.</w:t>
      </w:r>
    </w:p>
    <w:p>
      <w:pPr>
        <w:spacing w:after="0" w:line="13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The Optionee acknowledges that he or she is sufficiently proficient in English, or has consulted with an advisor who is sufficiently proficient in English, to understand the terms and conditions of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168" w:lineRule="exact"/>
        <w:rPr>
          <w:sz w:val="20"/>
          <w:szCs w:val="20"/>
          <w:color w:val="auto"/>
        </w:rPr>
      </w:pPr>
    </w:p>
    <w:p>
      <w:pPr>
        <w:jc w:val="both"/>
        <w:ind w:right="380"/>
        <w:spacing w:after="0" w:line="28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the Optionee holds Option Shares acquired under the Plan outside Austria (even if he or she holds them outside Austria with an Austrian bank), then the Optionee understands that he or she must submit an annual report to the Austrian National Bank using the form “</w:t>
      </w:r>
      <w:r>
        <w:rPr>
          <w:rFonts w:ascii="Arial" w:cs="Arial" w:eastAsia="Arial" w:hAnsi="Arial"/>
          <w:sz w:val="18"/>
          <w:szCs w:val="18"/>
          <w:i w:val="1"/>
          <w:iCs w:val="1"/>
          <w:color w:val="auto"/>
        </w:rPr>
        <w:t>Standmeldung/Wertpapiere</w:t>
      </w:r>
      <w:r>
        <w:rPr>
          <w:rFonts w:ascii="Arial" w:cs="Arial" w:eastAsia="Arial" w:hAnsi="Arial"/>
          <w:sz w:val="18"/>
          <w:szCs w:val="18"/>
          <w:color w:val="auto"/>
        </w:rPr>
        <w:t>.” An exemption applies if the value of the securities held outside Austria does not exceed certain thresholds. If applicable, the deadline for filing the annual report is January 31 of the following year.</w:t>
      </w:r>
    </w:p>
    <w:p>
      <w:pPr>
        <w:spacing w:after="0" w:line="108"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When the Option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Optionee’s cash accounts abroad meets or exceeds a certain threshold, then the movements and the balance of all accounts must be reported monthly, as of the last day of the month, on or before the 15th day of the following month, using the form “</w:t>
      </w:r>
      <w:r>
        <w:rPr>
          <w:rFonts w:ascii="Arial" w:cs="Arial" w:eastAsia="Arial" w:hAnsi="Arial"/>
          <w:sz w:val="18"/>
          <w:szCs w:val="18"/>
          <w:i w:val="1"/>
          <w:iCs w:val="1"/>
          <w:color w:val="auto"/>
        </w:rPr>
        <w:t>Meldungen SI-Forderungen und/oder SI-Verpflichtungen</w:t>
      </w:r>
      <w:r>
        <w:rPr>
          <w:rFonts w:ascii="Arial" w:cs="Arial" w:eastAsia="Arial" w:hAnsi="Arial"/>
          <w:sz w:val="18"/>
          <w:szCs w:val="18"/>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168"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u w:val="single" w:color="auto"/>
          <w:color w:val="auto"/>
        </w:rPr>
        <w:t>Taxation of Option</w:t>
      </w:r>
      <w:r>
        <w:rPr>
          <w:rFonts w:ascii="Arial" w:cs="Arial" w:eastAsia="Arial" w:hAnsi="Arial"/>
          <w:sz w:val="19"/>
          <w:szCs w:val="19"/>
          <w:color w:val="auto"/>
        </w:rPr>
        <w:t>. The Optionee will not be permitted to accept the Options until after 60 days from the offer date. If the Optionee accepts the Options within 60 days of the offer date, the Optionee will be deemed to have accepted the Option after the 60th day from the offer date. Therefore, the Options will not be subject to Belgian tax until they are exercised by the Optionee.</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u w:val="single" w:color="auto"/>
          <w:color w:val="auto"/>
        </w:rPr>
        <w:t>Foreign Asset / Account Reporting Information</w:t>
      </w:r>
      <w:r>
        <w:rPr>
          <w:rFonts w:ascii="Arial" w:cs="Arial" w:eastAsia="Arial" w:hAnsi="Arial"/>
          <w:sz w:val="18"/>
          <w:szCs w:val="18"/>
          <w:color w:val="auto"/>
        </w:rPr>
        <w:t>. The Optionee is required to report any securities (e.g., Option Shares) or bank accounts opened and maintained outside Belgium on his or her annual tax return. In a separate report, certain details regarding such foreign accounts (including the account number, bank name and country in which such account was opened) must be reported to the Central Contact Point of the National Bank of Belgium. The forms to complete this report are available on the website of the National Bank of Belgium.</w:t>
      </w:r>
    </w:p>
    <w:p>
      <w:pPr>
        <w:spacing w:after="0" w:line="108"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u w:val="single" w:color="auto"/>
          <w:color w:val="auto"/>
        </w:rPr>
        <w:t>Stock Exchange Tax</w:t>
      </w:r>
      <w:r>
        <w:rPr>
          <w:rFonts w:ascii="Arial" w:cs="Arial" w:eastAsia="Arial" w:hAnsi="Arial"/>
          <w:sz w:val="18"/>
          <w:szCs w:val="18"/>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Option Shares acquired under the Plan are sold. Belgian residents should consult with a personal tax or financial advisor for additional details on their obligations with respect to the stock exchange tax.</w:t>
      </w:r>
    </w:p>
    <w:p>
      <w:pPr>
        <w:spacing w:after="0" w:line="111"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u w:val="single" w:color="auto"/>
          <w:color w:val="auto"/>
        </w:rPr>
        <w:t>Brokerage Account Tax</w:t>
      </w:r>
      <w:r>
        <w:rPr>
          <w:rFonts w:ascii="Arial" w:cs="Arial" w:eastAsia="Arial" w:hAnsi="Arial"/>
          <w:sz w:val="19"/>
          <w:szCs w:val="19"/>
          <w:color w:val="auto"/>
        </w:rPr>
        <w:t>: A brokerage account tax applies to Belgian residents if the average annual value of securities (including Option Shares acquired under the Plan) held in a brokerage account exceeds certain thresholds. Belgian residents should consult with a personal tax or financial advisor for additional details on their obligations with respect to the brokerage account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Appendix A-3</w:t>
      </w:r>
    </w:p>
    <w:p>
      <w:pPr>
        <w:sectPr>
          <w:pgSz w:w="11900" w:h="16838" w:orient="portrait"/>
          <w:cols w:equalWidth="0" w:num="1">
            <w:col w:w="11420"/>
          </w:cols>
          <w:pgMar w:left="240" w:top="1419" w:right="2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168" w:lineRule="exact"/>
        <w:rPr>
          <w:sz w:val="20"/>
          <w:szCs w:val="20"/>
          <w:color w:val="auto"/>
        </w:rPr>
      </w:pPr>
    </w:p>
    <w:p>
      <w:pPr>
        <w:spacing w:after="0" w:line="246"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Optionee is permitted to sell Option Shares acquired through the Plan through the designated broker appointed under the Plan, if any (or any other broker acceptable to the Company), provided the resale of Option Shares acquired under the Plan takes place outside Canada through the facilities of a stock exchange on which the Option Shares are listed. The Option Shares are currently listed on the Nasdaq Global Select Market.</w:t>
      </w:r>
    </w:p>
    <w:p>
      <w:pPr>
        <w:spacing w:after="0" w:line="138"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u w:val="single" w:color="auto"/>
          <w:color w:val="auto"/>
        </w:rPr>
        <w:t>Payment of Exercise Price and Withholding Taxes</w:t>
      </w:r>
      <w:r>
        <w:rPr>
          <w:rFonts w:ascii="Arial" w:cs="Arial" w:eastAsia="Arial" w:hAnsi="Arial"/>
          <w:sz w:val="20"/>
          <w:szCs w:val="20"/>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 pay the Exercise Price, brokerage fees and any applicable Tax-Related Items. To the extent that tax regulatory requirements change, the Company reserves the right to permit the Optionee to exercise the Option and pay the Exercise Price and any applicable Tax-Related Items in Option Shares to the extent permitted by the Plan.</w:t>
      </w:r>
    </w:p>
    <w:p>
      <w:pPr>
        <w:spacing w:after="0" w:line="14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The following supplements Section 3 of the Agreement (except Section 3(g) regarding disability) as well as any other section required to give effect to the same:</w:t>
      </w:r>
    </w:p>
    <w:p>
      <w:pPr>
        <w:spacing w:after="0" w:line="12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the event of termination of the Optionee’s employment for any reason (other than by reason of the Optionee’s death), either by the Optionee or by the Employer, with or without cause, the Optionee's right to vest or continue to vest in the Option under the Plan, if any, will terminate as of the actual Date of Termination. For this purpose, “Date of Termination” shall mean the last day on which the Optionee is actively employed by the Employer, and shall not include or be extended by any period following such day during which the Optionee is in receipt of or eligible to receive any notice of termination, pay in lieu of notice of termination, severance pay or any other payments or damages, whether arising under statute, contract or at common law.</w:t>
      </w:r>
    </w:p>
    <w:p>
      <w:pPr>
        <w:spacing w:after="0" w:line="142"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u w:val="single" w:color="auto"/>
          <w:color w:val="auto"/>
        </w:rPr>
        <w:t>Foreign Asset / Account Reporting Information</w:t>
      </w:r>
      <w:r>
        <w:rPr>
          <w:rFonts w:ascii="Arial" w:cs="Arial" w:eastAsia="Arial" w:hAnsi="Arial"/>
          <w:sz w:val="19"/>
          <w:szCs w:val="19"/>
          <w:color w:val="auto"/>
        </w:rPr>
        <w:t>. Foreign specified property (including cash held outside Canada or Option Shares) held by Canadian residents must be reported annually on Form T1135 (Foreign Income Verification Statement) if the cost of such foreign specified property exceeds C$100,000 at any time during the year. Foreign specified property may also include the unvested portion of the Options. The Options must be reported (generally at a nil cost) if the $100,000 cost threshold is exceeded because of other foreign specified property the Optionee holds. If Option Shares are acquired, their cost generally is the adjusted cost base (“ACB”) of the Option Shares. The ACB would normally equal the fair market value of the Option Shares at exercise, but if the Optionee owns other shares, this ACB may have to be averaged with the ACB of the other shares. If due, the Form must be filed by April 30 of the following year. The Optionee should consult with his or her personal tax advisor to determine the reporting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terms and conditions apply if the Optionee is in Quebec:</w:t>
      </w:r>
    </w:p>
    <w:p>
      <w:pPr>
        <w:spacing w:after="0" w:line="162"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This provision supplements the Data Privacy Information and Consent provision in the Terms and Conditions for Optionees Outside the U.S. set forth above:</w:t>
      </w:r>
    </w:p>
    <w:p>
      <w:pPr>
        <w:spacing w:after="0" w:line="123" w:lineRule="exact"/>
        <w:rPr>
          <w:sz w:val="20"/>
          <w:szCs w:val="20"/>
          <w:color w:val="auto"/>
        </w:rPr>
      </w:pPr>
    </w:p>
    <w:p>
      <w:pPr>
        <w:jc w:val="both"/>
        <w:ind w:right="160"/>
        <w:spacing w:after="0" w:line="263" w:lineRule="auto"/>
        <w:rPr>
          <w:sz w:val="20"/>
          <w:szCs w:val="20"/>
          <w:color w:val="auto"/>
        </w:rPr>
      </w:pPr>
      <w:r>
        <w:rPr>
          <w:rFonts w:ascii="Arial" w:cs="Arial" w:eastAsia="Arial" w:hAnsi="Arial"/>
          <w:sz w:val="19"/>
          <w:szCs w:val="19"/>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further authorizes the Company and the Employer to record such information and to keep such information in the Optionee’s employee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Appendix A-4</w:t>
      </w:r>
    </w:p>
    <w:p>
      <w:pPr>
        <w:sectPr>
          <w:pgSz w:w="11900" w:h="16838" w:orient="portrait"/>
          <w:cols w:equalWidth="0" w:num="1">
            <w:col w:w="11400"/>
          </w:cols>
          <w:pgMar w:left="240" w:top="1413" w:right="25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u w:val="single" w:color="auto"/>
          <w:color w:val="auto"/>
        </w:rPr>
        <w:t>French Language Acknowledgment</w:t>
      </w:r>
      <w:r>
        <w:rPr>
          <w:rFonts w:ascii="Arial" w:cs="Arial" w:eastAsia="Arial" w:hAnsi="Arial"/>
          <w:sz w:val="20"/>
          <w:szCs w:val="20"/>
          <w:color w:val="auto"/>
        </w:rPr>
        <w:t>. This provision supplements Section 19 of the Agreement:</w:t>
      </w:r>
    </w:p>
    <w:p>
      <w:pPr>
        <w:spacing w:after="0" w:line="162"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23"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The following provision applies if the Optionee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32"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Notwithstanding anything to the contrary in the Plan or the Agreement, the Options will not vest and no Option Shares will be issued to the Optionee unless and until all necessary exchange control or other approvals with respect to the Options under the Plan have been obtained from the SAFE or its local counterpart (“SAFE Approval”). In the event that SAFE Approval has not been obtained prior to any date(s) on which the Options are scheduled to vest in accordance with the vesting schedule set forth in the Agreement, the Options will not vest until the seventh day of the month following the month in which SAFE Approval is obtained (the “Actual Vesting Date”). If the Optionee’s status as a service provider terminates prior to the Actual Vesting Date, the Optionee shall not be entitled to vest in any portion of the Options and the Options shall be forfeited without any liability to the Company, the Employer or any subsidiary or affiliate of the Company.</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Payment of Exercise Price</w:t>
      </w:r>
      <w:r>
        <w:rPr>
          <w:rFonts w:ascii="Arial" w:cs="Arial" w:eastAsia="Arial" w:hAnsi="Arial"/>
          <w:sz w:val="20"/>
          <w:szCs w:val="20"/>
          <w:color w:val="auto"/>
        </w:rPr>
        <w:t>. The following supplements Section 4 of the Agreement:</w:t>
      </w:r>
    </w:p>
    <w:p>
      <w:pPr>
        <w:spacing w:after="0" w:line="16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the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pacing w:after="0" w:line="115"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u w:val="single" w:color="auto"/>
          <w:color w:val="auto"/>
        </w:rPr>
        <w:t>Exchange Control Requirements</w:t>
      </w:r>
      <w:r>
        <w:rPr>
          <w:rFonts w:ascii="Arial" w:cs="Arial" w:eastAsia="Arial" w:hAnsi="Arial"/>
          <w:sz w:val="20"/>
          <w:szCs w:val="20"/>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141"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Further, notwithstanding Section 3(e) or 3(g) of the Agreement, if the Optionee terminates employment with the Company or the Employer due to death or the Optionee becomes Disabled as determined by the Company, the vesting of the Option shall accelerate on the date of such termination or determination of disability, and the Option shall continue to be exercisable for a period of three (3) months (or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Appendix A-5</w:t>
      </w:r>
    </w:p>
    <w:p>
      <w:pPr>
        <w:sectPr>
          <w:pgSz w:w="11900" w:h="16838" w:orient="portrait"/>
          <w:cols w:equalWidth="0" w:num="1">
            <w:col w:w="11400"/>
          </w:cols>
          <w:pgMar w:left="240" w:top="1419" w:right="259" w:bottom="1440" w:gutter="0" w:footer="0" w:header="0"/>
        </w:sectPr>
      </w:pPr>
    </w:p>
    <w:bookmarkStart w:id="103" w:name="page104"/>
    <w:bookmarkEnd w:id="103"/>
    <w:p>
      <w:pPr>
        <w:ind w:right="60"/>
        <w:spacing w:after="0" w:line="246" w:lineRule="auto"/>
        <w:rPr>
          <w:sz w:val="20"/>
          <w:szCs w:val="20"/>
          <w:color w:val="auto"/>
        </w:rPr>
      </w:pPr>
      <w:r>
        <w:rPr>
          <w:rFonts w:ascii="Arial" w:cs="Arial" w:eastAsia="Arial" w:hAnsi="Arial"/>
          <w:sz w:val="20"/>
          <w:szCs w:val="20"/>
          <w:color w:val="auto"/>
        </w:rPr>
        <w:t>period as may be required by the SAFE) following the termination date due to death or disability. If the Optionee or the Optionee’s heirs do not exercise the Option within three (3) months (or such other period as may be required by the SAFE) of the Optionee’s death or date of termination in the event of disability, the Option will be forfeited and the Optionee or the Optionee’s heirs will not be able to exercise the Option.</w:t>
      </w:r>
    </w:p>
    <w:p>
      <w:pPr>
        <w:spacing w:after="0" w:line="138"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20"/>
          <w:szCs w:val="20"/>
          <w:u w:val="single" w:color="auto"/>
          <w:color w:val="auto"/>
        </w:rPr>
        <w:t>Danish Stock Option Act</w:t>
      </w:r>
      <w:r>
        <w:rPr>
          <w:rFonts w:ascii="Arial" w:cs="Arial" w:eastAsia="Arial" w:hAnsi="Arial"/>
          <w:sz w:val="20"/>
          <w:szCs w:val="20"/>
          <w:color w:val="auto"/>
        </w:rPr>
        <w:t>. By participating in the Plan, the Optionee acknowledges that he or she received an Employer Statement translated into Danish, which is being provided to comply with the Danish Stock Option Act, as amended effective January 1, 2019, and is attached hereto as Appendix B.</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Notice of Grant</w:t>
      </w:r>
      <w:r>
        <w:rPr>
          <w:rFonts w:ascii="Arial" w:cs="Arial" w:eastAsia="Arial" w:hAnsi="Arial"/>
          <w:sz w:val="20"/>
          <w:szCs w:val="20"/>
          <w:color w:val="auto"/>
        </w:rPr>
        <w:t>. This provision supplements Section 8 in the Agreement:</w:t>
      </w:r>
    </w:p>
    <w:p>
      <w:pPr>
        <w:spacing w:after="0" w:line="16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By accepting the Option, the Optionee acknowledges, understands and agrees that this grant relates to future services to be performed and is not a bonus or compensation for past services.</w:t>
      </w:r>
    </w:p>
    <w:p>
      <w:pPr>
        <w:spacing w:after="0" w:line="123"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If the Optionee establishes an account holding Option Shares or cash outside Denmark, the Optionee must report the account to the Danish Tax Administration. The form which should be used in this respect can be obtained from a local bank.</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168" w:lineRule="exact"/>
        <w:rPr>
          <w:sz w:val="20"/>
          <w:szCs w:val="20"/>
          <w:color w:val="auto"/>
        </w:rPr>
      </w:pPr>
    </w:p>
    <w:p>
      <w:pPr>
        <w:ind w:right="480"/>
        <w:spacing w:after="0" w:line="287"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If the Optionee transfers funds out of or into Egypt in connection with the exercise of the Option or remits proceeds from the sale of Option Shares, the Optionee is required to transfer the funds through a registered bank in Egypt.</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168"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u w:val="single" w:color="auto"/>
          <w:color w:val="auto"/>
        </w:rPr>
        <w:t>French Qualified Option</w:t>
      </w:r>
      <w:r>
        <w:rPr>
          <w:rFonts w:ascii="Arial" w:cs="Arial" w:eastAsia="Arial" w:hAnsi="Arial"/>
          <w:sz w:val="18"/>
          <w:szCs w:val="18"/>
          <w:color w:val="auto"/>
        </w:rPr>
        <w:t>. This Option is intended to qualify for favorable tax and social security treatment applicable to stock options granted under Section L.225-177 to L.225-186-1 of the French Commercial Code, as amended and in accordance with the relevant provisions set forth by the French tax and social security laws and the French tax and social security administrations. The Company does not undertake to maintain the qualified status of this Option. The Optionee understands and agrees that he or she will be responsible for paying personal income tax and the Optionee’s portion of social security contributions resulting from the exercise of this Option in the event this Option loses its qualified status and the Optionee will not be entitled to any damages if the Option no longer qualifies as French-qualified Option.</w:t>
      </w:r>
    </w:p>
    <w:p>
      <w:pPr>
        <w:spacing w:after="0" w:line="111"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Plan Terms</w:t>
      </w:r>
      <w:r>
        <w:rPr>
          <w:rFonts w:ascii="Arial" w:cs="Arial" w:eastAsia="Arial" w:hAnsi="Arial"/>
          <w:sz w:val="20"/>
          <w:szCs w:val="20"/>
          <w:color w:val="auto"/>
        </w:rPr>
        <w:t>. The Options are subject to the terms and conditions of the Plan and the Rules of the Analog Devices, Inc. 2020 Equity Incentive Plan for Grants of Options to Optionees in France (the “French Sub-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A-6</w:t>
      </w:r>
    </w:p>
    <w:p>
      <w:pPr>
        <w:sectPr>
          <w:pgSz w:w="11900" w:h="16838" w:orient="portrait"/>
          <w:cols w:equalWidth="0" w:num="1">
            <w:col w:w="11420"/>
          </w:cols>
          <w:pgMar w:left="240" w:top="1419" w:right="239" w:bottom="1440" w:gutter="0" w:footer="0" w:header="0"/>
        </w:sectPr>
      </w:pPr>
    </w:p>
    <w:bookmarkStart w:id="104" w:name="page105"/>
    <w:bookmarkEnd w:id="104"/>
    <w:p>
      <w:pPr>
        <w:jc w:val="both"/>
        <w:spacing w:after="0" w:line="260" w:lineRule="auto"/>
        <w:rPr>
          <w:sz w:val="20"/>
          <w:szCs w:val="20"/>
          <w:color w:val="auto"/>
        </w:rPr>
      </w:pPr>
      <w:r>
        <w:rPr>
          <w:rFonts w:ascii="Arial" w:cs="Arial" w:eastAsia="Arial" w:hAnsi="Arial"/>
          <w:sz w:val="20"/>
          <w:szCs w:val="20"/>
          <w:color w:val="auto"/>
        </w:rPr>
        <w:t>plan”). To the extent that any term is defined in both the Plan and the French Sub-plan, for purposes of this grant of a French-qualified Option, the definitions in the French Sub-plan shall prevail.</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Option Exercise Price Per Share</w:t>
      </w:r>
      <w:r>
        <w:rPr>
          <w:rFonts w:ascii="Arial" w:cs="Arial" w:eastAsia="Arial" w:hAnsi="Arial"/>
          <w:sz w:val="20"/>
          <w:szCs w:val="20"/>
          <w:color w:val="auto"/>
        </w:rPr>
        <w:t>. With respect to Section 1 of the Agreement, the Date of Grant shall be the Effective Grant Date set forth in the French Sub-plan and the Option Exercise Price Per Share as of the Effective Grant Date shall be no less than the minimum amount required under French law as set forth in the French Sub-plan.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Expiration</w:t>
      </w:r>
      <w:r>
        <w:rPr>
          <w:rFonts w:ascii="Arial" w:cs="Arial" w:eastAsia="Arial" w:hAnsi="Arial"/>
          <w:sz w:val="20"/>
          <w:szCs w:val="20"/>
          <w:color w:val="auto"/>
        </w:rPr>
        <w:t>. This provision replaces Section 3(a) of the Agreement: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Section 3(a) of the Agreement, the Option will expire 9½ years after the Effective Grant Date ({FRENCHEXPDATE}), as defined in the French Sub-plan.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Termination Upon Death</w:t>
      </w:r>
      <w:r>
        <w:rPr>
          <w:rFonts w:ascii="Arial" w:cs="Arial" w:eastAsia="Arial" w:hAnsi="Arial"/>
          <w:sz w:val="20"/>
          <w:szCs w:val="20"/>
          <w:color w:val="auto"/>
        </w:rPr>
        <w:t>. This provision replaces Section 3(e) of the Agreement:</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Optionee’s employment is terminated because of death, the unvested portion of the Optionee’s Option will immediately vest and become exercisable by the Optionee’s estate or heirs on the termination date for a period of six (6) months following the Optionee’s death. If the Optionee’s heirs do not exercise the Option within six (6) months of the Optionee’s death, the Option will be forfeited and the Optionee’s heirs will not be able to exercise the Option.</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Language Consent</w:t>
      </w:r>
      <w:r>
        <w:rPr>
          <w:rFonts w:ascii="Arial" w:cs="Arial" w:eastAsia="Arial" w:hAnsi="Arial"/>
          <w:sz w:val="20"/>
          <w:szCs w:val="20"/>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u w:val="single" w:color="auto"/>
          <w:color w:val="auto"/>
        </w:rPr>
        <w:t>Consentement a la Langue</w:t>
      </w:r>
      <w:r>
        <w:rPr>
          <w:rFonts w:ascii="Arial" w:cs="Arial" w:eastAsia="Arial" w:hAnsi="Arial"/>
          <w:sz w:val="20"/>
          <w:szCs w:val="20"/>
          <w:color w:val="auto"/>
        </w:rPr>
        <w:t>.</w:t>
      </w:r>
      <w:r>
        <w:rPr>
          <w:rFonts w:ascii="Arial" w:cs="Arial" w:eastAsia="Arial" w:hAnsi="Arial"/>
          <w:sz w:val="20"/>
          <w:szCs w:val="20"/>
          <w:i w:val="1"/>
          <w:iCs w:val="1"/>
          <w:color w:val="auto"/>
        </w:rPr>
        <w:t xml:space="preserve"> En signant et renvoyant cet Accord, ou par acceptant autrement l’Accord, le Titulaire de l’Option confirme ainsi avoir lu et compris les documents relatifs à l’Option, (c’est-à-dire, Le Plan, Le Plan pour la France et cet Accord) qui ont été fournis en langue anglaise. Le Titulaire de l’Option accepte les termes de ces documents en connaissance de cause.</w:t>
      </w:r>
    </w:p>
    <w:p>
      <w:pPr>
        <w:spacing w:after="0" w:line="13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French residents holding Option Shares outside of France or maintaining a foreign bank account are required to report such to French tax authorities when filing his or her annual tax return. Failure to comply may trigger significant penalties.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Cross-border payments in excess of €12,500 must be reported monthly to the German Federal Bank. In case of payments in connection with the exercise of the Options or sale of Option Shares acquired under the Plan, the report must be filed electronically by the 5th day of the month following the month in which the payment was received.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can be accessed via the Bundesbank’s website (www.bundesbank.de) and is available in both German and English. It is Optionee’s responsibility to comply with this reporting obligation and the Optionee should consult with his or her personal tax advisor in this regard.</w:t>
      </w:r>
    </w:p>
    <w:p>
      <w:pPr>
        <w:spacing w:after="0" w:line="1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the Optionee’s acquisition of Option Shares under the Plan leads to a “qualified participation” at any point during the calendar year, the Optionee will need to report the acquisition when the Optionee files his or her tax return for the relevant year. A qualified participation is attained if (i) the value of the Option Shares acquired exceeds a certain threshold or (ii) in the unlikely event the Optionee holds shares of Common Stock exceeding a certain threshold of the total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A-7</w:t>
      </w:r>
    </w:p>
    <w:p>
      <w:pPr>
        <w:sectPr>
          <w:pgSz w:w="11900" w:h="16838" w:orient="portrait"/>
          <w:cols w:equalWidth="0" w:num="1">
            <w:col w:w="11420"/>
          </w:cols>
          <w:pgMar w:left="240" w:top="1419" w:right="23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Payment of Exercise Price</w:t>
      </w:r>
      <w:r>
        <w:rPr>
          <w:rFonts w:ascii="Arial" w:cs="Arial" w:eastAsia="Arial" w:hAnsi="Arial"/>
          <w:sz w:val="20"/>
          <w:szCs w:val="20"/>
          <w:color w:val="auto"/>
        </w:rPr>
        <w:t>. This provision supplements Section 4 of the Agreement:</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Notwithstanding anything to the contrary in the Agreement, due to legal restrictions in India, the Optionee will not be permitted to pay the Exercise Price by (i) delivery of shares of Common Stock (as set forth in Section 4(c) of the Agreement) or (ii) a broker assisted partial cashless exercise such that a certain number of Option Shares subject to the exercised Option are sold immediately upon exercise and the proceeds of the sale remitted to the Company to cover the aggregate Exercise Price and any Tax-Related Items. However, payment of the Exercise Price may be made by any of the other methods of payment set forth in Section 4 of the Agreement. The Company reserves the right to provide the Optionee with this method of payment depending on the development of local law.</w:t>
      </w:r>
    </w:p>
    <w:p>
      <w:pPr>
        <w:spacing w:after="0" w:line="125" w:lineRule="exact"/>
        <w:rPr>
          <w:sz w:val="20"/>
          <w:szCs w:val="20"/>
          <w:color w:val="auto"/>
        </w:rPr>
      </w:pPr>
    </w:p>
    <w:p>
      <w:pPr>
        <w:ind w:right="180"/>
        <w:spacing w:after="0" w:line="258" w:lineRule="auto"/>
        <w:rPr>
          <w:sz w:val="20"/>
          <w:szCs w:val="20"/>
          <w:color w:val="auto"/>
        </w:rPr>
      </w:pPr>
      <w:r>
        <w:rPr>
          <w:rFonts w:ascii="Arial" w:cs="Arial" w:eastAsia="Arial" w:hAnsi="Arial"/>
          <w:sz w:val="19"/>
          <w:szCs w:val="19"/>
          <w:u w:val="single" w:color="auto"/>
          <w:color w:val="auto"/>
        </w:rPr>
        <w:t>Exchange Control Notification</w:t>
      </w:r>
      <w:r>
        <w:rPr>
          <w:rFonts w:ascii="Arial" w:cs="Arial" w:eastAsia="Arial" w:hAnsi="Arial"/>
          <w:sz w:val="19"/>
          <w:szCs w:val="19"/>
          <w:color w:val="auto"/>
        </w:rPr>
        <w:t>. If the Optionee remits funds out of India to purchase Option Shares, it is the Optionee’s responsibility to comply with applicable exchange control laws.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ninety (90) days of receipt, or such other period of time as required under applicable regulations.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w:t>
      </w:r>
    </w:p>
    <w:p>
      <w:pPr>
        <w:spacing w:after="0" w:line="125"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The Optionee is required to declare any foreign bank accounts and assets (including Option Shares acquired under the Plan) on his or her annual tax return. The Optionee should consult with his or her personal tax advisor to determine his or her reporting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Labor Law Acknowledgment</w:t>
      </w:r>
      <w:r>
        <w:rPr>
          <w:rFonts w:ascii="Arial" w:cs="Arial" w:eastAsia="Arial" w:hAnsi="Arial"/>
          <w:sz w:val="20"/>
          <w:szCs w:val="20"/>
          <w:color w:val="auto"/>
        </w:rPr>
        <w:t>. This provision supplements Section 8 of the Agreement:</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By accepting the Option, the Optionee acknowledges, understands, and agrees that the benefits received under the Plan will not be taken into account for any redundancy or unfair dismissal claim.</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Restriction on Type of Shares Issued to Directors</w:t>
      </w:r>
      <w:r>
        <w:rPr>
          <w:rFonts w:ascii="Arial" w:cs="Arial" w:eastAsia="Arial" w:hAnsi="Arial"/>
          <w:sz w:val="20"/>
          <w:szCs w:val="20"/>
          <w:color w:val="auto"/>
        </w:rPr>
        <w:t>. If the Optionee is a director of an Irish subsidiary of the Company, the Option will be granted over newly issued shares only. In no event will treasury shares be issued pursuant to the exercise of the Option. This restriction also applies to a shadow director of an Irish subsidiary.</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Israel</w:t>
      </w:r>
    </w:p>
    <w:p>
      <w:pPr>
        <w:spacing w:after="0" w:line="168" w:lineRule="exact"/>
        <w:rPr>
          <w:sz w:val="20"/>
          <w:szCs w:val="20"/>
          <w:color w:val="auto"/>
        </w:rPr>
      </w:pPr>
    </w:p>
    <w:p>
      <w:pPr>
        <w:spacing w:after="0" w:line="278" w:lineRule="auto"/>
        <w:rPr>
          <w:sz w:val="20"/>
          <w:szCs w:val="20"/>
          <w:color w:val="auto"/>
        </w:rPr>
      </w:pPr>
      <w:r>
        <w:rPr>
          <w:rFonts w:ascii="Arial" w:cs="Arial" w:eastAsia="Arial" w:hAnsi="Arial"/>
          <w:sz w:val="18"/>
          <w:szCs w:val="18"/>
          <w:u w:val="single" w:color="auto"/>
          <w:color w:val="auto"/>
        </w:rPr>
        <w:t>Trust Arrangement</w:t>
      </w:r>
      <w:r>
        <w:rPr>
          <w:rFonts w:ascii="Arial" w:cs="Arial" w:eastAsia="Arial" w:hAnsi="Arial"/>
          <w:sz w:val="18"/>
          <w:szCs w:val="18"/>
          <w:color w:val="auto"/>
        </w:rPr>
        <w:t>. The Optionee understands and agrees that the Options are offered subject to and in accordance with the terms of the Israeli Sub-Plan (the “Israeli Sub-Plan”) under the 102 Capital Gains Track (as defined in the Israeli Sub-Plan), the Trust Agreement among the trustee appointed by Analog Devices (Israel) Ltd. and Analog Development (Israel) 1996 Ltd., and the Agreement. This includes the option exercise price per share and any other requirements set out in the Israeli Sub-Plan. In the event of any inconsistencies among the Israeli Sub-Plan, the Agreement and/or the Plan, the Israeli Sub-Plan will govern the Options granted to the Optionee in Israel.</w:t>
      </w:r>
    </w:p>
    <w:p>
      <w:pPr>
        <w:spacing w:after="0" w:line="111"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i w:val="1"/>
          <w:iCs w:val="1"/>
          <w:color w:val="auto"/>
        </w:rPr>
        <w:t>If the Optionee resides in Israel and has not already signed an Israeli Appendix in connection with grants made under the Plan, then the Optionee must print, sign and deliver the signed copy of the Israeli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A-8</w:t>
      </w:r>
    </w:p>
    <w:p>
      <w:pPr>
        <w:sectPr>
          <w:pgSz w:w="11900" w:h="16838" w:orient="portrait"/>
          <w:cols w:equalWidth="0" w:num="1">
            <w:col w:w="11420"/>
          </w:cols>
          <w:pgMar w:left="240" w:top="1413" w:right="239" w:bottom="1440" w:gutter="0" w:footer="0" w:header="0"/>
        </w:sectPr>
      </w:pPr>
    </w:p>
    <w:bookmarkStart w:id="106" w:name="page107"/>
    <w:bookmarkEnd w:id="106"/>
    <w:p>
      <w:pPr>
        <w:jc w:val="both"/>
        <w:ind w:right="280"/>
        <w:spacing w:after="0" w:line="250" w:lineRule="auto"/>
        <w:rPr>
          <w:sz w:val="20"/>
          <w:szCs w:val="20"/>
          <w:color w:val="auto"/>
        </w:rPr>
      </w:pPr>
      <w:r>
        <w:rPr>
          <w:rFonts w:ascii="Arial" w:cs="Arial" w:eastAsia="Arial" w:hAnsi="Arial"/>
          <w:sz w:val="20"/>
          <w:szCs w:val="20"/>
          <w:i w:val="1"/>
          <w:iCs w:val="1"/>
          <w:color w:val="auto"/>
        </w:rPr>
        <w:t>Appendix attached hereto as Appendix C within 45 days to: Stock Plan Administrator, Analog Devices, Inc., One Technology Way, Norwood, Massachusetts, 02062 U.S.A. If Analog Devices, (Israel) Ltd. or Analog Devices, Inc. does not receive the signed Israeli Appendix within 45 days, the Options shall terminate and will become null and void.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This provision supplements Section 4 of the Agreement and applies only to Optionees who permanently transfer 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Israel after the Date of Grant:</w:t>
      </w:r>
    </w:p>
    <w:p>
      <w:pPr>
        <w:spacing w:after="0" w:line="146"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 (i) 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Payment of Exercise Price</w:t>
      </w:r>
      <w:r>
        <w:rPr>
          <w:rFonts w:ascii="Arial" w:cs="Arial" w:eastAsia="Arial" w:hAnsi="Arial"/>
          <w:sz w:val="20"/>
          <w:szCs w:val="20"/>
          <w:color w:val="auto"/>
        </w:rPr>
        <w:t>. This provision supplements Section 4 of the Agreement:</w:t>
      </w:r>
    </w:p>
    <w:p>
      <w:pPr>
        <w:spacing w:after="0" w:line="162"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 (i) 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42"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u w:val="single" w:color="auto"/>
          <w:color w:val="auto"/>
        </w:rPr>
        <w:t>Plan Document Acknowledgment</w:t>
      </w:r>
      <w:r>
        <w:rPr>
          <w:rFonts w:ascii="Arial" w:cs="Arial" w:eastAsia="Arial" w:hAnsi="Arial"/>
          <w:sz w:val="20"/>
          <w:szCs w:val="20"/>
          <w:color w:val="auto"/>
        </w:rPr>
        <w:t>. In accepting the Option, the Optionee acknowledges a copy of the Plan was made available to the Optionee, and that the Optionee has reviewed the Plan and the Agreement, including Appendix A, in their entirety and fully understand and accept all provisions of the Plan, the Agreement and Appendix 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Optionee further acknowledges that he or she has read and specifically and expressly approves the following provision in the Agreement: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Term of Option; Termination of Employment; Withholding Taxes; Nature of Grant; and Additional Requirements.</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Foreign Asset Tax</w:t>
      </w:r>
      <w:r>
        <w:rPr>
          <w:rFonts w:ascii="Arial" w:cs="Arial" w:eastAsia="Arial" w:hAnsi="Arial"/>
          <w:sz w:val="20"/>
          <w:szCs w:val="20"/>
          <w:color w:val="auto"/>
        </w:rPr>
        <w:t>. The value of any Option Shares (and other the financial assets) held outside Italy by individuals resident of Italy may be subject to a foreign asset tax. The taxable amount will be the fair market value of the financial assets (e.g., Option Shares) assessed at the end of the calendar year. The value of financial assets held abroad must be reported in Form RM of the annual tax return. The Optionee should consult his or her personal tax advisor for additional information on the foreign asset tax.</w:t>
      </w:r>
    </w:p>
    <w:p>
      <w:pPr>
        <w:spacing w:after="0" w:line="138" w:lineRule="exact"/>
        <w:rPr>
          <w:sz w:val="20"/>
          <w:szCs w:val="20"/>
          <w:color w:val="auto"/>
        </w:rPr>
      </w:pPr>
    </w:p>
    <w:p>
      <w:pPr>
        <w:jc w:val="both"/>
        <w:ind w:right="80"/>
        <w:spacing w:after="0" w:line="282" w:lineRule="auto"/>
        <w:rPr>
          <w:sz w:val="20"/>
          <w:szCs w:val="20"/>
          <w:color w:val="auto"/>
        </w:rPr>
      </w:pPr>
      <w:r>
        <w:rPr>
          <w:rFonts w:ascii="Arial" w:cs="Arial" w:eastAsia="Arial" w:hAnsi="Arial"/>
          <w:sz w:val="18"/>
          <w:szCs w:val="18"/>
          <w:u w:val="single" w:color="auto"/>
          <w:color w:val="auto"/>
        </w:rPr>
        <w:t>Foreign Asset / Account Reporting Information</w:t>
      </w:r>
      <w:r>
        <w:rPr>
          <w:rFonts w:ascii="Arial" w:cs="Arial" w:eastAsia="Arial" w:hAnsi="Arial"/>
          <w:sz w:val="18"/>
          <w:szCs w:val="18"/>
          <w:color w:val="auto"/>
        </w:rPr>
        <w:t>. If the Optionee holds investments abroad or foreign financial assets (e.g., cash, Option Shares, Options) that may generate income taxable in Italy, the Optionee is required to report them on his or her annual tax returns (UNICO Form, RW Schedule) or on a special form if no tax return is due, irrespective of their value. The same reporting duties apply to the Optionee if he or she is a beneficial owner of the investments, even if the Optionee does not directly hold investments abroad or foreign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A-9</w:t>
      </w:r>
    </w:p>
    <w:p>
      <w:pPr>
        <w:sectPr>
          <w:pgSz w:w="11900" w:h="16838" w:orient="portrait"/>
          <w:cols w:equalWidth="0" w:num="1">
            <w:col w:w="11420"/>
          </w:cols>
          <w:pgMar w:left="240" w:top="1419" w:right="2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168"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Optionee is a Japanese resident and acquires Option Shares valued at more than ¥100,000,000 in a single transaction, the Optionee must file a Securities Acquisition Report with the Ministry of Finance through the Bank of Japan within 20 days of the acquisition of the Option Shares.</w:t>
      </w:r>
    </w:p>
    <w:p>
      <w:pPr>
        <w:spacing w:after="0" w:line="13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In addition, if the Optionee is a Japanese resident and pays more than ¥30,000,000 in a single transaction for the purchase of Option Shares when he or she exercises the option, the Optionee must file a Payment Report with the Ministry of Finance through the Bank of Japan by the 20th day following the month in which the payment was made. The precise reporting requirements vary depending on whether the relevant payment is made through a bank in Japan. The Optionee should consult with his or her legal advisor in this regard.</w:t>
      </w:r>
    </w:p>
    <w:p>
      <w:pPr>
        <w:spacing w:after="0" w:line="108"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A Payment Report is required independently of a Securities Acquisition Report. Therefore, if the total amount that the Optionee pays upon a one-time transaction for exercising this Option and purchasing Option Shares exceeds ¥100,000,000, then the Optionee must file both a Payment Report and a Securities Acquisition Report.</w:t>
      </w:r>
    </w:p>
    <w:p>
      <w:pPr>
        <w:spacing w:after="0" w:line="132" w:lineRule="exact"/>
        <w:rPr>
          <w:sz w:val="20"/>
          <w:szCs w:val="20"/>
          <w:color w:val="auto"/>
        </w:rPr>
      </w:pPr>
    </w:p>
    <w:p>
      <w:pPr>
        <w:spacing w:after="0" w:line="246"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The Optionee will be required to report details of any assets held outside Japan as of December 31st to the extent such assets have a total net fair market value exceeding ¥50,000,000. This report is due by March 15th each year. The Optionee should consult with his or her personal tax advisor as to whether the reporting obligation applies to him or her and whether the requirement extends to any outstanding Options or Option Shares acquired under the Plan.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Korea</w:t>
      </w:r>
    </w:p>
    <w:p>
      <w:pPr>
        <w:spacing w:after="0" w:line="168" w:lineRule="exact"/>
        <w:rPr>
          <w:sz w:val="20"/>
          <w:szCs w:val="20"/>
          <w:color w:val="auto"/>
        </w:rPr>
      </w:pPr>
    </w:p>
    <w:p>
      <w:pPr>
        <w:jc w:val="both"/>
        <w:ind w:right="60"/>
        <w:spacing w:after="0" w:line="246"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Optionee should consult with his or her personal tax advisor to determine any personal reporting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Director Notification</w:t>
      </w:r>
      <w:r>
        <w:rPr>
          <w:rFonts w:ascii="Arial" w:cs="Arial" w:eastAsia="Arial" w:hAnsi="Arial"/>
          <w:sz w:val="19"/>
          <w:szCs w:val="19"/>
          <w:color w:val="auto"/>
        </w:rPr>
        <w:t>. If the Optionee is a director of a subsidiary or other related company in Malaysia, then the Optionee is subject to certain notification requirements under the Malaysian Companies Act, 2016.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replaces the Data Privacy Information and Consent provision under the Terms and Conditions for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Optionees Outside the U.S.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A-10</w:t>
      </w:r>
    </w:p>
    <w:p>
      <w:pPr>
        <w:sectPr>
          <w:pgSz w:w="11900" w:h="16838" w:orient="portrait"/>
          <w:cols w:equalWidth="0" w:num="1">
            <w:col w:w="11420"/>
          </w:cols>
          <w:pgMar w:left="240" w:top="1413" w:right="239" w:bottom="1440" w:gutter="0" w:footer="0" w:header="0"/>
        </w:sectPr>
      </w:pPr>
    </w:p>
    <w:bookmarkStart w:id="108" w:name="page109"/>
    <w:bookmarkEnd w:id="108"/>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57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8"/>
              </w:rPr>
              <w:t>The Optionee hereby explicitly and unambiguously consents to the</w:t>
            </w:r>
          </w:p>
        </w:tc>
        <w:tc>
          <w:tcPr>
            <w:tcW w:w="100" w:type="dxa"/>
            <w:vAlign w:val="bottom"/>
            <w:tcBorders>
              <w:top w:val="single" w:sz="8" w:color="auto"/>
              <w:right w:val="single" w:sz="8" w:color="auto"/>
            </w:tcBorders>
          </w:tcPr>
          <w:p>
            <w:pPr>
              <w:spacing w:after="0"/>
              <w:rPr>
                <w:sz w:val="22"/>
                <w:szCs w:val="22"/>
                <w:color w:val="auto"/>
              </w:rPr>
            </w:pPr>
          </w:p>
        </w:tc>
        <w:tc>
          <w:tcPr>
            <w:tcW w:w="56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87"/>
              </w:rPr>
              <w:t>Pemegang Opsyen dengan ini secara eksplicit, secara sukarela dan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6"/>
              </w:rPr>
              <w:t>collection, use and transfer, in electronic or other form, of his or her</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88"/>
              </w:rPr>
              <w:t>tanpa sebarang keraguan mengizinkan pengumpulan, penggunaan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3"/>
              </w:rPr>
              <w:t>personal data as described in this document by and among, as</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6"/>
              </w:rPr>
              <w:t>dan pemindahan, dalam bentuk elektronik atau lain-lain, data</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7"/>
              </w:rPr>
              <w:t>applicable, the Employer, and the Company and its subsidiaries for</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89"/>
              </w:rPr>
              <w:t>peribadinya seperti yang dinyatakan dalam dokumen ini, oleh dan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5"/>
              </w:rPr>
              <w:t>the exclusive purpose of implementing, administering and managing</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3"/>
              </w:rPr>
              <w:t>di antara, sebagaimana yang berkenaan, Majikan, Syarikat, dan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rPr>
              <w:t>the Optionee's participation in the Plan.</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8"/>
              </w:rPr>
              <w:t>mana-mana  Anak  Syarikatnya  bagi  tujuan  ekslusif  untuk</w:t>
            </w:r>
          </w:p>
        </w:tc>
      </w:tr>
      <w:tr>
        <w:trPr>
          <w:trHeight w:val="230"/>
        </w:trPr>
        <w:tc>
          <w:tcPr>
            <w:tcW w:w="5700" w:type="dxa"/>
            <w:vAlign w:val="bottom"/>
            <w:tcBorders>
              <w:left w:val="single" w:sz="8" w:color="auto"/>
              <w:righ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2"/>
              </w:rPr>
              <w:t>membantu  dalam  pelaksanaan,  pentadbiran  dan  pengurusan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6"/>
              </w:rPr>
              <w:t>The Optionee understands that the Company and the Employer may</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rPr>
              <w:t>penyertaan Pemegang Opsyen dalam Pelan.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6"/>
              </w:rPr>
              <w:t>hold certain personal information about the Optionee, including, but</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19"/>
                <w:szCs w:val="19"/>
                <w:color w:val="auto"/>
              </w:rPr>
            </w:pP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5"/>
              </w:rPr>
              <w:t>not limited to, his or her name, home address and telephone number,</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2"/>
              </w:rPr>
              <w:t>Pemegang  Opsyen  memahami  bahawa  Syarikat  dan  Majikan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0"/>
              </w:rPr>
              <w:t>date  of  birth,  social  insurance  number  or  other  identification</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87"/>
              </w:rPr>
              <w:t>mungkin memegang maklumat peribadi tertentu tentang Pemegang</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2"/>
              </w:rPr>
              <w:t>number,  salary,  nationality,  job  title,  any  shares  of  stock  or</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1"/>
              </w:rPr>
              <w:t>Opsyen, termasuk, tetapi tidak terhad kepada, namanya , alamat</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5"/>
              </w:rPr>
              <w:t>directorships held in the Company, details of all options or any other</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2"/>
              </w:rPr>
              <w:t>rumah dan nombor telefon, tarikh lahir, nombor insurans sosial</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6"/>
              </w:rPr>
              <w:t>entitlement to shares of stock awarded, canceled, exercised, vested,</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4"/>
              </w:rPr>
              <w:t>atau nombor pengenalan lain, gaji, kewarganegaraan, jawatan,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8"/>
              </w:rPr>
              <w:t>unvested or outstanding in the Optionee's favor, for the purpose of</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89"/>
              </w:rPr>
              <w:t>apa-apa syer dalam saham atau jawatan pengarah yang dipegang</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9"/>
              </w:rPr>
              <w:t>implementing, administering and managing the Plan (“Data”). The</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3"/>
              </w:rPr>
              <w:t>dalam Syarikat, butir-butir semua opsyen atau apa-apa hak lain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7"/>
              </w:rPr>
              <w:t>source of the Data is the Employer as well as information the</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6"/>
              </w:rPr>
              <w:t>untuk  syer  dalam  saham  yang  dianugerahkan,  dibatalkan,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2"/>
              </w:rPr>
              <w:t>Optionee  is  providing  to  the  Company  and  the  Employer  in</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1"/>
              </w:rPr>
              <w:t>dilaksanakan, terletak hak, tidak diletak hak ataupun yang belum</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1"/>
              </w:rPr>
              <w:t>connection with the Option. The Optionee understands that Data</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0"/>
              </w:rPr>
              <w:t>dijelaskan bagi faedah Pemegang Opsyen, untuk tujuan eksklusif</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9"/>
              </w:rPr>
              <w:t>may be transferred to Fidelity or any other third parties as may be</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0"/>
              </w:rPr>
              <w:t>bagi melaksanakan, mentadbir dan menguruskan Pelan (“Data”).</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1"/>
              </w:rPr>
              <w:t>selected by the Company in the future, which are assisting in the</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7"/>
              </w:rPr>
              <w:t>Sumber  Data  adalah  daripada  Majikan  dan  juga  daripada</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0"/>
              </w:rPr>
              <w:t>implementation, administration and management of the Plan, that</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86"/>
              </w:rPr>
              <w:t>maklumat yang dibekalkan oleh Pemegang Opsyen kepada Syarikat</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9"/>
              </w:rPr>
              <w:t>these  recipients  may  be  located  in  the  Optionee’s  country  or</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1"/>
              </w:rPr>
              <w:t>dan Majikan berkenaan dengan Opysen. Pemegang Opysen juga</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9"/>
              </w:rPr>
              <w:t>elsewhere and that the recipients' country (e.g., the United States)</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4"/>
              </w:rPr>
              <w:t>memahami bahawa Data mungkin dipindahkan kepada Fidelity</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5"/>
              </w:rPr>
              <w:t>may have different data privacy laws and protections than the</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91"/>
              </w:rPr>
              <w:t>atau mana-mana pihak ketiga yang mungkin dipilih oleh Syarikat</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9"/>
              </w:rPr>
              <w:t>Optionee's country. The Optionee understands that he or she may</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auto"/>
                <w:w w:val="86"/>
              </w:rPr>
              <w:t xml:space="preserve">pada masa depan, </w:t>
            </w:r>
            <w:r>
              <w:rPr>
                <w:rFonts w:ascii="Arial" w:cs="Arial" w:eastAsia="Arial" w:hAnsi="Arial"/>
                <w:sz w:val="20"/>
                <w:szCs w:val="20"/>
                <w:b w:val="1"/>
                <w:bCs w:val="1"/>
                <w:i w:val="1"/>
                <w:iCs w:val="1"/>
                <w:color w:val="222222"/>
                <w:w w:val="86"/>
              </w:rPr>
              <w:t>yang membantu dalam pelaksanaan, pentadbiran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9"/>
              </w:rPr>
              <w:t>request  a  list  with  the  names  and  addresses  of  any  potential</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222222"/>
                <w:w w:val="92"/>
              </w:rPr>
              <w:t>dan pengurusan Pelan, bahawa penerima-penerima ini mungkin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1"/>
              </w:rPr>
              <w:t>recipients  of  the  Data  by  contacting  his  or  her  local  human</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222222"/>
                <w:w w:val="97"/>
              </w:rPr>
              <w:t>berada di negara Pemegang Opsyen atau di tempat lain, dan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0"/>
              </w:rPr>
              <w:t>resources representative. The Optionee authorizes the Company,</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222222"/>
                <w:w w:val="90"/>
              </w:rPr>
              <w:t>bahawa negara penerima (contohnya, Amerika Syarikat) mungkin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3"/>
              </w:rPr>
              <w:t>Fidelity and any other possible recipients which may assist the</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222222"/>
                <w:w w:val="91"/>
              </w:rPr>
              <w:t>mempunyai undang-undang privasi data dan perlindungan yang</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8"/>
              </w:rPr>
              <w:t>Company  (presently  or  in  the  future)  with  implementing,</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i w:val="1"/>
                <w:iCs w:val="1"/>
                <w:color w:val="222222"/>
              </w:rPr>
              <w:t>berbeza daripada negara Pemegang Opsyen.</w:t>
            </w: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5"/>
              </w:rPr>
              <w:t>administering and managing the Plan to receive, possess, use, retain</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19"/>
                <w:szCs w:val="19"/>
                <w:color w:val="auto"/>
              </w:rPr>
            </w:pP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7"/>
              </w:rPr>
              <w:t>and transfer the Data, in electronic or other form, for the sole</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19"/>
                <w:szCs w:val="19"/>
                <w:color w:val="auto"/>
              </w:rPr>
            </w:pP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0"/>
              </w:rPr>
              <w:t>purpose of implementing, administering and managing his or her</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19"/>
                <w:szCs w:val="19"/>
                <w:color w:val="auto"/>
              </w:rPr>
            </w:pP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91"/>
              </w:rPr>
              <w:t>participation in the Plan, including any requisite transfer of such</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19"/>
                <w:szCs w:val="19"/>
                <w:color w:val="auto"/>
              </w:rPr>
            </w:pP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8"/>
              </w:rPr>
              <w:t>Data as may be required to a broker or other third party with whom</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19"/>
                <w:szCs w:val="19"/>
                <w:color w:val="auto"/>
              </w:rPr>
            </w:pPr>
          </w:p>
        </w:tc>
      </w:tr>
      <w:tr>
        <w:trPr>
          <w:trHeight w:val="23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w w:val="84"/>
              </w:rPr>
              <w:t>the Optionee may elect to deposit any Shares acquired upon exercise</w:t>
            </w:r>
          </w:p>
        </w:tc>
        <w:tc>
          <w:tcPr>
            <w:tcW w:w="100" w:type="dxa"/>
            <w:vAlign w:val="bottom"/>
            <w:tcBorders>
              <w:right w:val="single" w:sz="8" w:color="auto"/>
            </w:tcBorders>
          </w:tcPr>
          <w:p>
            <w:pPr>
              <w:spacing w:after="0"/>
              <w:rPr>
                <w:sz w:val="19"/>
                <w:szCs w:val="19"/>
                <w:color w:val="auto"/>
              </w:rPr>
            </w:pPr>
          </w:p>
        </w:tc>
        <w:tc>
          <w:tcPr>
            <w:tcW w:w="5640" w:type="dxa"/>
            <w:vAlign w:val="bottom"/>
            <w:tcBorders>
              <w:right w:val="single" w:sz="8" w:color="auto"/>
            </w:tcBorders>
          </w:tcPr>
          <w:p>
            <w:pPr>
              <w:spacing w:after="0"/>
              <w:rPr>
                <w:sz w:val="19"/>
                <w:szCs w:val="19"/>
                <w:color w:val="auto"/>
              </w:rPr>
            </w:pPr>
          </w:p>
        </w:tc>
      </w:tr>
      <w:tr>
        <w:trPr>
          <w:trHeight w:val="250"/>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i w:val="1"/>
                <w:iCs w:val="1"/>
                <w:color w:val="auto"/>
              </w:rPr>
              <w:t>of this Option.</w:t>
            </w:r>
          </w:p>
        </w:tc>
        <w:tc>
          <w:tcPr>
            <w:tcW w:w="100" w:type="dxa"/>
            <w:vAlign w:val="bottom"/>
            <w:tcBorders>
              <w:right w:val="single" w:sz="8" w:color="auto"/>
            </w:tcBorders>
          </w:tcPr>
          <w:p>
            <w:pPr>
              <w:spacing w:after="0"/>
              <w:rPr>
                <w:sz w:val="21"/>
                <w:szCs w:val="21"/>
                <w:color w:val="auto"/>
              </w:rPr>
            </w:pPr>
          </w:p>
        </w:tc>
        <w:tc>
          <w:tcPr>
            <w:tcW w:w="5640" w:type="dxa"/>
            <w:vAlign w:val="bottom"/>
            <w:tcBorders>
              <w:right w:val="single" w:sz="8" w:color="auto"/>
            </w:tcBorders>
          </w:tcPr>
          <w:p>
            <w:pPr>
              <w:spacing w:after="0"/>
              <w:rPr>
                <w:sz w:val="21"/>
                <w:szCs w:val="21"/>
                <w:color w:val="auto"/>
              </w:rPr>
            </w:pPr>
          </w:p>
        </w:tc>
      </w:tr>
      <w:tr>
        <w:trPr>
          <w:trHeight w:val="23"/>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Appendix A-11</w:t>
      </w:r>
    </w:p>
    <w:p>
      <w:pPr>
        <w:sectPr>
          <w:pgSz w:w="11900" w:h="16838" w:orient="portrait"/>
          <w:cols w:equalWidth="0" w:num="1">
            <w:col w:w="11440"/>
          </w:cols>
          <w:pgMar w:left="240" w:top="1440" w:right="219" w:bottom="1440" w:gutter="0" w:footer="0" w:header="0"/>
        </w:sectPr>
      </w:pPr>
    </w:p>
    <w:bookmarkStart w:id="109" w:name="page110"/>
    <w:bookmarkEnd w:id="109"/>
    <w:p>
      <w:pPr>
        <w:spacing w:after="0" w:line="47"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Optionee understands, however, that refusing or withdrawing his or her consent may affect the Optionee's ability to participate in the Plan. For more information on the consequences of a refusal to consent or withdrawal of consent, the Optionee understands that he or she may contact his or her regional stock plan administrator at Stock_Plan_Admin@Analog.com.</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222222"/>
        </w:rPr>
        <w:t xml:space="preserve">Pemegang Opsyen memahami bahawa dia boleh meminta senarai nama dan alamat mana-mana penerima Data dengan menghubungi wakil sumber manusia tempatannya. </w:t>
      </w:r>
      <w:r>
        <w:rPr>
          <w:rFonts w:ascii="Arial" w:cs="Arial" w:eastAsia="Arial" w:hAnsi="Arial"/>
          <w:sz w:val="16"/>
          <w:szCs w:val="16"/>
          <w:b w:val="1"/>
          <w:bCs w:val="1"/>
          <w:i w:val="1"/>
          <w:iCs w:val="1"/>
          <w:color w:val="000000"/>
        </w:rPr>
        <w:t>Pemegang Opsyen memberi</w:t>
      </w:r>
      <w:r>
        <w:rPr>
          <w:rFonts w:ascii="Arial" w:cs="Arial" w:eastAsia="Arial" w:hAnsi="Arial"/>
          <w:sz w:val="16"/>
          <w:szCs w:val="16"/>
          <w:b w:val="1"/>
          <w:bCs w:val="1"/>
          <w:i w:val="1"/>
          <w:iCs w:val="1"/>
          <w:color w:val="222222"/>
        </w:rPr>
        <w:t xml:space="preserve"> </w:t>
      </w:r>
      <w:r>
        <w:rPr>
          <w:rFonts w:ascii="Arial" w:cs="Arial" w:eastAsia="Arial" w:hAnsi="Arial"/>
          <w:sz w:val="16"/>
          <w:szCs w:val="16"/>
          <w:b w:val="1"/>
          <w:bCs w:val="1"/>
          <w:i w:val="1"/>
          <w:iCs w:val="1"/>
          <w:color w:val="000000"/>
        </w:rPr>
        <w:t xml:space="preserve">kuasa kepada Syarikat, Fidelity, dan mana-mana penerima lain yang mungkin membantu Syarikat (masa sekarang atau pada masa depan) untuk melaksanakan, mentadbir dan menguruskan penyertaan Pemegang Opsyen dalam Pelan untuk menerima, memiliki, menggunakan, mengekalkan dan memindahkan Data, dalam bentuk elektronik atau lain-lain, semata-mata dengan tujuan untuk melaksanakan, mentadbir dan menguruskan penyertaan Pemegang Opsyen dalam Pelan, termasuk apa-apa pemindahan Data yang diperlukan kepada broker atau pihak ketiga dengan siapa Pemegang Opsyen mungkin pilih untuk mendepositkan apa-apa Saham yang diperolehi di atas pelaksanaan Opsyen ini. </w:t>
      </w:r>
      <w:r>
        <w:rPr>
          <w:rFonts w:ascii="Arial" w:cs="Arial" w:eastAsia="Arial" w:hAnsi="Arial"/>
          <w:sz w:val="16"/>
          <w:szCs w:val="16"/>
          <w:b w:val="1"/>
          <w:bCs w:val="1"/>
          <w:i w:val="1"/>
          <w:iCs w:val="1"/>
          <w:color w:val="222222"/>
        </w:rPr>
        <w:t>Pemegang</w:t>
      </w:r>
      <w:r>
        <w:rPr>
          <w:rFonts w:ascii="Arial" w:cs="Arial" w:eastAsia="Arial" w:hAnsi="Arial"/>
          <w:sz w:val="16"/>
          <w:szCs w:val="16"/>
          <w:b w:val="1"/>
          <w:bCs w:val="1"/>
          <w:i w:val="1"/>
          <w:iCs w:val="1"/>
          <w:color w:val="000000"/>
        </w:rPr>
        <w:t xml:space="preserve"> </w:t>
      </w:r>
      <w:r>
        <w:rPr>
          <w:rFonts w:ascii="Arial" w:cs="Arial" w:eastAsia="Arial" w:hAnsi="Arial"/>
          <w:sz w:val="16"/>
          <w:szCs w:val="16"/>
          <w:b w:val="1"/>
          <w:bCs w:val="1"/>
          <w:i w:val="1"/>
          <w:iCs w:val="1"/>
          <w:color w:val="222222"/>
        </w:rPr>
        <w:t>Opsyen memahami bahawa Data akan dipegang hanya untuk tempoh yang diperlukan untuk melaksanakan, mentadbir dan menguruskan penyertaannya dal</w:t>
      </w:r>
      <w:r>
        <w:rPr>
          <w:rFonts w:ascii="Arial" w:cs="Arial" w:eastAsia="Arial" w:hAnsi="Arial"/>
          <w:sz w:val="16"/>
          <w:szCs w:val="16"/>
          <w:b w:val="1"/>
          <w:bCs w:val="1"/>
          <w:i w:val="1"/>
          <w:iCs w:val="1"/>
          <w:color w:val="000000"/>
        </w:rPr>
        <w:t>am Pelan terseb</w:t>
      </w:r>
      <w:r>
        <w:rPr>
          <w:rFonts w:ascii="Arial" w:cs="Arial" w:eastAsia="Arial" w:hAnsi="Arial"/>
          <w:sz w:val="16"/>
          <w:szCs w:val="16"/>
          <w:b w:val="1"/>
          <w:bCs w:val="1"/>
          <w:i w:val="1"/>
          <w:iCs w:val="1"/>
          <w:color w:val="222222"/>
        </w:rPr>
        <w:t>ut</w:t>
      </w:r>
      <w:r>
        <w:rPr>
          <w:rFonts w:ascii="Arial" w:cs="Arial" w:eastAsia="Arial" w:hAnsi="Arial"/>
          <w:sz w:val="16"/>
          <w:szCs w:val="16"/>
          <w:b w:val="1"/>
          <w:bCs w:val="1"/>
          <w:i w:val="1"/>
          <w:iCs w:val="1"/>
          <w:color w:val="000000"/>
        </w:rPr>
        <w:t>. Pemegang</w:t>
      </w:r>
      <w:r>
        <w:rPr>
          <w:rFonts w:ascii="Arial" w:cs="Arial" w:eastAsia="Arial" w:hAnsi="Arial"/>
          <w:sz w:val="16"/>
          <w:szCs w:val="16"/>
          <w:b w:val="1"/>
          <w:bCs w:val="1"/>
          <w:i w:val="1"/>
          <w:iCs w:val="1"/>
          <w:color w:val="222222"/>
        </w:rPr>
        <w:t xml:space="preserve"> </w:t>
      </w:r>
      <w:r>
        <w:rPr>
          <w:rFonts w:ascii="Arial" w:cs="Arial" w:eastAsia="Arial" w:hAnsi="Arial"/>
          <w:sz w:val="16"/>
          <w:szCs w:val="16"/>
          <w:b w:val="1"/>
          <w:bCs w:val="1"/>
          <w:i w:val="1"/>
          <w:iCs w:val="1"/>
          <w:color w:val="000000"/>
        </w:rPr>
        <w:t>Opsyen memahami bahawa dia boleh, pada bila-bila masa</w:t>
      </w:r>
      <w:r>
        <w:rPr>
          <w:rFonts w:ascii="Arial" w:cs="Arial" w:eastAsia="Arial" w:hAnsi="Arial"/>
          <w:sz w:val="16"/>
          <w:szCs w:val="16"/>
          <w:b w:val="1"/>
          <w:bCs w:val="1"/>
          <w:i w:val="1"/>
          <w:iCs w:val="1"/>
          <w:color w:val="222222"/>
        </w:rPr>
        <w:t>, melihat</w:t>
      </w:r>
      <w:r>
        <w:rPr>
          <w:rFonts w:ascii="Arial" w:cs="Arial" w:eastAsia="Arial" w:hAnsi="Arial"/>
          <w:sz w:val="16"/>
          <w:szCs w:val="16"/>
          <w:b w:val="1"/>
          <w:bCs w:val="1"/>
          <w:i w:val="1"/>
          <w:iCs w:val="1"/>
          <w:color w:val="000000"/>
        </w:rPr>
        <w:t xml:space="preserve"> </w:t>
      </w:r>
      <w:r>
        <w:rPr>
          <w:rFonts w:ascii="Arial" w:cs="Arial" w:eastAsia="Arial" w:hAnsi="Arial"/>
          <w:sz w:val="16"/>
          <w:szCs w:val="16"/>
          <w:b w:val="1"/>
          <w:bCs w:val="1"/>
          <w:i w:val="1"/>
          <w:iCs w:val="1"/>
          <w:color w:val="222222"/>
        </w:rPr>
        <w:t>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Pemegang Opsye</w:t>
      </w:r>
      <w:r>
        <w:rPr>
          <w:rFonts w:ascii="Arial" w:cs="Arial" w:eastAsia="Arial" w:hAnsi="Arial"/>
          <w:sz w:val="16"/>
          <w:szCs w:val="16"/>
          <w:b w:val="1"/>
          <w:bCs w:val="1"/>
          <w:i w:val="1"/>
          <w:iCs w:val="1"/>
          <w:color w:val="000000"/>
        </w:rPr>
        <w:t>n memaham</w:t>
      </w:r>
      <w:r>
        <w:rPr>
          <w:rFonts w:ascii="Arial" w:cs="Arial" w:eastAsia="Arial" w:hAnsi="Arial"/>
          <w:sz w:val="16"/>
          <w:szCs w:val="16"/>
          <w:b w:val="1"/>
          <w:bCs w:val="1"/>
          <w:i w:val="1"/>
          <w:iCs w:val="1"/>
          <w:color w:val="222222"/>
        </w:rPr>
        <w:t>i bahawa keengganan atau penarikan balik persetujuannya boleh menjejaskan keupayaannya untuk mengambil bahagian d</w:t>
      </w:r>
      <w:r>
        <w:rPr>
          <w:rFonts w:ascii="Arial" w:cs="Arial" w:eastAsia="Arial" w:hAnsi="Arial"/>
          <w:sz w:val="16"/>
          <w:szCs w:val="16"/>
          <w:b w:val="1"/>
          <w:bCs w:val="1"/>
          <w:i w:val="1"/>
          <w:iCs w:val="1"/>
          <w:color w:val="000000"/>
        </w:rPr>
        <w:t>alam P</w:t>
      </w:r>
      <w:r>
        <w:rPr>
          <w:rFonts w:ascii="Arial" w:cs="Arial" w:eastAsia="Arial" w:hAnsi="Arial"/>
          <w:sz w:val="16"/>
          <w:szCs w:val="16"/>
          <w:b w:val="1"/>
          <w:bCs w:val="1"/>
          <w:i w:val="1"/>
          <w:iCs w:val="1"/>
          <w:color w:val="222222"/>
        </w:rPr>
        <w:t>elan. Untuk maklumat lanjut mengenai akibat keengg</w:t>
      </w:r>
      <w:r>
        <w:rPr>
          <w:rFonts w:ascii="Arial" w:cs="Arial" w:eastAsia="Arial" w:hAnsi="Arial"/>
          <w:sz w:val="16"/>
          <w:szCs w:val="16"/>
          <w:b w:val="1"/>
          <w:bCs w:val="1"/>
          <w:i w:val="1"/>
          <w:iCs w:val="1"/>
          <w:color w:val="000000"/>
        </w:rPr>
        <w:t>ana</w:t>
      </w:r>
      <w:r>
        <w:rPr>
          <w:rFonts w:ascii="Arial" w:cs="Arial" w:eastAsia="Arial" w:hAnsi="Arial"/>
          <w:sz w:val="16"/>
          <w:szCs w:val="16"/>
          <w:b w:val="1"/>
          <w:bCs w:val="1"/>
          <w:i w:val="1"/>
          <w:iCs w:val="1"/>
          <w:color w:val="222222"/>
        </w:rPr>
        <w:t>nnya untuk memberikan keizinan atau penarikan balik keizinan, Pemegang Opsyen fahami bahawa dia boleh menghubungi pentadbir pelan saham serant</w:t>
      </w:r>
      <w:r>
        <w:rPr>
          <w:rFonts w:ascii="Arial" w:cs="Arial" w:eastAsia="Arial" w:hAnsi="Arial"/>
          <w:sz w:val="16"/>
          <w:szCs w:val="16"/>
          <w:b w:val="1"/>
          <w:bCs w:val="1"/>
          <w:i w:val="1"/>
          <w:iCs w:val="1"/>
          <w:color w:val="000000"/>
        </w:rPr>
        <w:t>au di</w:t>
      </w:r>
      <w:r>
        <w:rPr>
          <w:rFonts w:ascii="Arial" w:cs="Arial" w:eastAsia="Arial" w:hAnsi="Arial"/>
          <w:sz w:val="16"/>
          <w:szCs w:val="16"/>
          <w:b w:val="1"/>
          <w:bCs w:val="1"/>
          <w:i w:val="1"/>
          <w:iCs w:val="1"/>
          <w:color w:val="222222"/>
        </w:rPr>
        <w:t xml:space="preserve"> </w:t>
      </w:r>
      <w:r>
        <w:rPr>
          <w:rFonts w:ascii="Arial" w:cs="Arial" w:eastAsia="Arial" w:hAnsi="Arial"/>
          <w:sz w:val="16"/>
          <w:szCs w:val="16"/>
          <w:b w:val="1"/>
          <w:bCs w:val="1"/>
          <w:i w:val="1"/>
          <w:iCs w:val="1"/>
          <w:color w:val="000000"/>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273050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-3885565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220"/>
            <w:col w:w="5600"/>
          </w:cols>
          <w:pgMar w:left="260" w:top="14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A-12</w:t>
      </w:r>
    </w:p>
    <w:p>
      <w:pPr>
        <w:sectPr>
          <w:pgSz w:w="11900" w:h="16838" w:orient="portrait"/>
          <w:cols w:equalWidth="0" w:num="1">
            <w:col w:w="11380"/>
          </w:cols>
          <w:pgMar w:left="260" w:top="1440" w:right="25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Acknowledgment of the Agreement</w:t>
      </w:r>
      <w:r>
        <w:rPr>
          <w:rFonts w:ascii="Arial" w:cs="Arial" w:eastAsia="Arial" w:hAnsi="Arial"/>
          <w:sz w:val="20"/>
          <w:szCs w:val="20"/>
          <w:color w:val="auto"/>
        </w:rPr>
        <w:t>. By participating in the Plan, the Optionee acknowledges that he or she has received a copy of the Plan, has reviewed the Plan in its entirety and fully understands and accepts all provisions of the Plan. The Optionee further acknowledges that he or she has read and expressly approves the terms and conditions set forth in the Nature of Grant paragraph of the Agreement, in which the following is clearly described and established: (i) the Optionee’s participation in the Plan does not constitute an acquired right; (ii) the Plan and the Optionee’s participation in the Plan are offered by the Company on a wholly discretionary basis; (iii) the Optionee’s participation in the Plan is voluntary; and (iv) the Company and its subsidiaries are not responsible for any decrease in the value of the Option granted and/or the Option Shares issued under the Plan.</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Labor Law Policy and Acknowledgment</w:t>
      </w:r>
      <w:r>
        <w:rPr>
          <w:rFonts w:ascii="Arial" w:cs="Arial" w:eastAsia="Arial" w:hAnsi="Arial"/>
          <w:sz w:val="20"/>
          <w:szCs w:val="20"/>
          <w:color w:val="auto"/>
        </w:rPr>
        <w:t>. By participating in the Plan, the Optionee expressly recognizes that Analog Devices, Inc., with registered offices at One Technology Way, Norwood, Massachusetts, 02062 U.S.A., is solely responsible for the administration of the Plan and that the Optionee’s participation in the Plan and acquisition of Option Shares does not constitute an employment relationship between the Optionee and the Company since the Optionee is participating in the Plan on a wholly commercial basis. Based on the foregoing, the Optionee expressly recognizes that the Plan and the benefits that the Optionee may derive from participation in the Plan do not establish any rights between the Optionee and the Company and do not form part of the employment conditions and/or benefits provided by the Company and any modification of the Plan or its termination shall not constitute a change or impairment of the terms and conditions of the Optionee’s employment.</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Optionee further understands that the Optionee's participation in the Plan is as a result of a unilateral and discretionary decision of the Company; therefore, the Company reserves the absolute right to amend and/or discontinue the Optionee’s participation at any time without any liability to the Optionee.</w:t>
      </w:r>
    </w:p>
    <w:p>
      <w:pPr>
        <w:spacing w:after="0" w:line="132"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Finally, the Optionee hereby declares that the Optionee does not reserve any action or right to bring any claim against the Company for any compensation or damages regarding any provision of the Plan or the benefits derived under the Plan, and the Optionee therefore grants a full and broad release to the Company, its subsidiaries, branches, representation offices, its shareholders, officers, agents or legal representatives with respect to any claim that may arise.</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u w:val="single" w:color="auto"/>
          <w:color w:val="auto"/>
        </w:rPr>
        <w:t>Reconocimiento del Contrato</w:t>
      </w:r>
      <w:r>
        <w:rPr>
          <w:rFonts w:ascii="Arial" w:cs="Arial" w:eastAsia="Arial" w:hAnsi="Arial"/>
          <w:sz w:val="18"/>
          <w:szCs w:val="18"/>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 Opción ofrecida y/o las Acciones distribuidas bajo el Plan.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u w:val="single" w:color="auto"/>
          <w:color w:val="auto"/>
        </w:rPr>
        <w:t>Política de Legislación Laboral y Reconocimiento</w:t>
      </w:r>
      <w:r>
        <w:rPr>
          <w:rFonts w:ascii="Arial" w:cs="Arial" w:eastAsia="Arial" w:hAnsi="Arial"/>
          <w:sz w:val="19"/>
          <w:szCs w:val="19"/>
          <w:i w:val="1"/>
          <w:iCs w:val="1"/>
          <w:color w:val="auto"/>
        </w:rPr>
        <w:t>. Al participar en el Plan, usted reconoce expresamente que Analog Devices, Inc., con oficinas registradas en One Technology Way, Norwood, Massachusetts, 02062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A-13</w:t>
      </w:r>
    </w:p>
    <w:p>
      <w:pPr>
        <w:sectPr>
          <w:pgSz w:w="11900" w:h="16838" w:orient="portrait"/>
          <w:cols w:equalWidth="0" w:num="1">
            <w:col w:w="11420"/>
          </w:cols>
          <w:pgMar w:left="240" w:top="1413"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i w:val="1"/>
          <w:iCs w:val="1"/>
          <w:color w:val="auto"/>
        </w:rPr>
        <w:t>que las modificaciones al Plan o su terminación, no constituirán un cambio ni afectarán los términos y condiciones de su relación laboral.</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This provision supplements Section 8 of the Agreement: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By accepting the Option, the Optionee acknowledges that the Option is intended as an incentive for the Optionee to remain employed with the Employer and is not intended as remuneration for labor performed.</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securities being offered or sold herein have not been registered with the Philippines Securities and Exchange Commission (“PSEC”) under its Securities Regulation Code (the “SRC”).</w:t>
      </w:r>
    </w:p>
    <w:p>
      <w:pPr>
        <w:spacing w:after="0" w:line="123"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grant of Options is being made pursuant to an exemption from registration under Section 10.2 of the SRC that has been approved by the PSEC.</w:t>
      </w:r>
    </w:p>
    <w:p>
      <w:pPr>
        <w:spacing w:after="0" w:line="123"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The Optionee should be aware of the risks of participating in the Plan, which include (without limitation) the risk of fluctuation in the price of the Option Shares on the Nasdaq Global Select Market (“Nasdaq”) and the risk of currency fluctuations between the U.S. Dollar and the Optionee’s local currency. In this regard, the Optionee should note that the value of any Option Shares he or she may acquire under the Plan may decrease, and fluctuations in foreign exchange rates between his or her local currency and the U.S. Dollar may affect the value of the Options or any amounts due to him or her pursuant to the exercise of Options or the subsequent sale of any Option Shares acquired by him or her. The Company is not making any representations, projections or assurances about the value of the Option Shares now or in the future.</w:t>
      </w:r>
    </w:p>
    <w:p>
      <w:pPr>
        <w:spacing w:after="0" w:line="111"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For further information on risk factors impacting the Company’s business that may affect the value of the Option Shares, the Optionee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138"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The Optionee should also note that the sale or disposal of Option Shares acquired under the Plan may be subject to certain restrictions under Philippines securities laws. Those restrictions should not apply if the offer and resale of Option Shares takes place outside of the Philippines through the facilities of a stock exchange on which the Option Shares are listed. The Option Shares are currently listed on Nasdaq.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A-14</w:t>
      </w:r>
    </w:p>
    <w:p>
      <w:pPr>
        <w:sectPr>
          <w:pgSz w:w="11900" w:h="16838" w:orient="portrait"/>
          <w:cols w:equalWidth="0" w:num="1">
            <w:col w:w="11420"/>
          </w:cols>
          <w:pgMar w:left="240" w:top="1419" w:right="239" w:bottom="1440" w:gutter="0" w:footer="0" w:header="0"/>
        </w:sectPr>
      </w:pPr>
    </w:p>
    <w:bookmarkStart w:id="112" w:name="page113"/>
    <w:bookmarkEnd w:id="112"/>
    <w:p>
      <w:pPr>
        <w:jc w:val="both"/>
        <w:ind w:right="180"/>
        <w:spacing w:after="0" w:line="250" w:lineRule="auto"/>
        <w:rPr>
          <w:sz w:val="20"/>
          <w:szCs w:val="20"/>
          <w:color w:val="auto"/>
        </w:rPr>
      </w:pPr>
      <w:r>
        <w:rPr>
          <w:rFonts w:ascii="Arial" w:cs="Arial" w:eastAsia="Arial" w:hAnsi="Arial"/>
          <w:sz w:val="20"/>
          <w:szCs w:val="20"/>
          <w:color w:val="auto"/>
        </w:rPr>
        <w:t xml:space="preserve">Company’s designated broker should be able to assist the Optionee in the sale of Option Shares on Nasdaq. </w:t>
      </w:r>
      <w:r>
        <w:rPr>
          <w:rFonts w:ascii="Arial" w:cs="Arial" w:eastAsia="Arial" w:hAnsi="Arial"/>
          <w:sz w:val="20"/>
          <w:szCs w:val="20"/>
          <w:i w:val="1"/>
          <w:iCs w:val="1"/>
          <w:color w:val="auto"/>
        </w:rPr>
        <w:t>If the Optionee has questions with</w:t>
      </w:r>
      <w:r>
        <w:rPr>
          <w:rFonts w:ascii="Arial" w:cs="Arial" w:eastAsia="Arial" w:hAnsi="Arial"/>
          <w:sz w:val="20"/>
          <w:szCs w:val="20"/>
          <w:color w:val="auto"/>
        </w:rPr>
        <w:t xml:space="preserve"> </w:t>
      </w:r>
      <w:r>
        <w:rPr>
          <w:rFonts w:ascii="Arial" w:cs="Arial" w:eastAsia="Arial" w:hAnsi="Arial"/>
          <w:sz w:val="20"/>
          <w:szCs w:val="20"/>
          <w:i w:val="1"/>
          <w:iCs w:val="1"/>
          <w:color w:val="auto"/>
        </w:rPr>
        <w:t>regard to the application of Philippines securities laws to the disposal or sale of Option Shares acquired under the Plan the Optionee should consult with his or her legal advisor.</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168"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If the Optionee maintains bank or brokerage accounts holding cash and foreign securities (including Option Shares) outside of Poland, the Optionee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Optionee understands that he or she is required to store all documents connected with any foreign exchange transactions for a period of five years, as measured from the end of the year in which such transaction occurred. The Optionee should consult with his or her personal legal advisor to determine what he or she must do to fulfill any applicable reporting/exchange control duties.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168"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Optionee deposits the proceeds from the sale of Option Shares acquired at exercise of the Option in a bank account in Romania, the Optionee may be required to provide the Romanian bank with appropriate documentation explaining the source of the funds. The Optionee should consult his or her personal advisor to determine whether he or she will be required to submit such documentation to the Romanian bank.</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168"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grant of Options and the issuance of any Option Shares are not subject to the regulations concerning public offers and private placements under the Law on Capital Markets.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Pursuant to the Law on Foreign Exchange Transactions, the Optionee is permitted to acquire Option Shares under the Plan, but a report may need to be made of the acquisition of such Option Shares, the value of the Option Shares at exercise, and, on a quarterly basis, any changes in the value of the Option Shares. As the exchange control regulations in Serbia may change without notice, the Optionee should consult with his or her personal advisor with respect to all applicable reporting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168"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Options were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Appendix A-15</w:t>
      </w:r>
    </w:p>
    <w:p>
      <w:pPr>
        <w:sectPr>
          <w:pgSz w:w="11900" w:h="16838" w:orient="portrait"/>
          <w:cols w:equalWidth="0" w:num="1">
            <w:col w:w="11420"/>
          </w:cols>
          <w:pgMar w:left="240" w:top="1419" w:right="239" w:bottom="1440" w:gutter="0" w:footer="0" w:header="0"/>
        </w:sectPr>
      </w:pPr>
    </w:p>
    <w:bookmarkStart w:id="113" w:name="page114"/>
    <w:bookmarkEnd w:id="113"/>
    <w:p>
      <w:pPr>
        <w:jc w:val="both"/>
        <w:spacing w:after="0" w:line="272" w:lineRule="auto"/>
        <w:rPr>
          <w:sz w:val="20"/>
          <w:szCs w:val="20"/>
          <w:color w:val="auto"/>
        </w:rPr>
      </w:pPr>
      <w:r>
        <w:rPr>
          <w:rFonts w:ascii="Arial" w:cs="Arial" w:eastAsia="Arial" w:hAnsi="Arial"/>
          <w:sz w:val="18"/>
          <w:szCs w:val="18"/>
          <w:u w:val="single" w:color="auto"/>
          <w:color w:val="auto"/>
        </w:rPr>
        <w:t>Chief Executive Officer and Director Notification</w:t>
      </w:r>
      <w:r>
        <w:rPr>
          <w:rFonts w:ascii="Arial" w:cs="Arial" w:eastAsia="Arial" w:hAnsi="Arial"/>
          <w:sz w:val="18"/>
          <w:szCs w:val="18"/>
          <w:color w:val="auto"/>
        </w:rPr>
        <w:t>. If the Optionee is the Chief Executive Officer (“CEO”) or a director, associate director or shadow director of a subsidiary or other related company in Singapore, the Optionee is subject to certain notification requirements under the Singapore Companies Act. Among these requirements is 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(i) acquiring or disposing of any interest in the Company or any related company, or (ii) any change in a previously-disclosed interest (e.g., upon exercise of the Options or when Option Shares are subsequently sold). In addition, a notification must be made of the Optionee’s interests in the Company or any related company within two (2) business days of becoming a CEO or director, associate director, or shadow director.</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168"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u w:val="single" w:color="auto"/>
          <w:color w:val="auto"/>
        </w:rPr>
        <w:t>No Entitlement for Claims or Compensation</w:t>
      </w:r>
      <w:r>
        <w:rPr>
          <w:rFonts w:ascii="Arial" w:cs="Arial" w:eastAsia="Arial" w:hAnsi="Arial"/>
          <w:sz w:val="19"/>
          <w:szCs w:val="19"/>
          <w:color w:val="auto"/>
        </w:rPr>
        <w:t>. In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throughout the world. The decision is a limited decision that is entered into upon the express assumption and condition that any Options will not economically or otherwise bind the Company or any of its subsidiaries on an ongoing basis. Consequently, the Optionee understands that the Options are granted on the assumption and condition that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9"/>
          <w:szCs w:val="19"/>
          <w:color w:val="auto"/>
        </w:rPr>
        <w:t>Further, and except as provided in Section 3(g) of the Agreement in the event Optionee becomes Disabled, the vesting of the Option is expressly conditioned on the Optionee’s continued rendering of service, such that if the Optionee’s employment terminates for any reason whatsoever, the Options will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(i.e.,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(2) the Optionee is dismissed for disciplinary or objective reasons or due to a collective dismissal; (3) the Optionee terminates service due to a 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will automatically lose any rights to Options that were not vested on the date of the Optionee’s termination of employment, as described in the Plan and the Agreement. The Optionee understands that the Option grant would not be made to the Optionee but for the assumptions and conditions referred to above; thus, the Optionee acknowledges and freely accepts that should any or all of the assumptions be mistaken or should any of the conditions not be met for any reason, then any Option grant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A-16</w:t>
      </w:r>
    </w:p>
    <w:p>
      <w:pPr>
        <w:sectPr>
          <w:pgSz w:w="11900" w:h="16838" w:orient="portrait"/>
          <w:cols w:equalWidth="0" w:num="1">
            <w:col w:w="11420"/>
          </w:cols>
          <w:pgMar w:left="240" w:top="1419" w:right="239"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color w:val="auto"/>
        </w:rPr>
        <w:t>The Optionee acknowledges that he or she has read and specifically accepts the conditions referred to in Section 3 of the Agreement.</w:t>
      </w:r>
    </w:p>
    <w:p>
      <w:pPr>
        <w:spacing w:after="0" w:line="173"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u w:val="single" w:color="auto"/>
          <w:color w:val="auto"/>
        </w:rPr>
        <w:t>Securities Law Notification</w:t>
      </w:r>
      <w:r>
        <w:rPr>
          <w:rFonts w:ascii="Arial" w:cs="Arial" w:eastAsia="Arial" w:hAnsi="Arial"/>
          <w:sz w:val="19"/>
          <w:szCs w:val="19"/>
          <w:color w:val="auto"/>
        </w:rPr>
        <w:t xml:space="preserve">. The grant of Options and the Option Shares issued upon exercise of the Option are considered a private placement outside of the scope of Spanish laws on public offerings and issuances of securities. No “offer of securities to the public”, as defined under Spanish law, has taken place or will take place in the Spanish territory. This Agreement has not been or will it be registered with the </w:t>
      </w:r>
      <w:r>
        <w:rPr>
          <w:rFonts w:ascii="Arial" w:cs="Arial" w:eastAsia="Arial" w:hAnsi="Arial"/>
          <w:sz w:val="19"/>
          <w:szCs w:val="19"/>
          <w:i w:val="1"/>
          <w:iCs w:val="1"/>
          <w:color w:val="auto"/>
        </w:rPr>
        <w:t>Comisión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Nacional del Mercado de Valores, </w:t>
      </w:r>
      <w:r>
        <w:rPr>
          <w:rFonts w:ascii="Arial" w:cs="Arial" w:eastAsia="Arial" w:hAnsi="Arial"/>
          <w:sz w:val="19"/>
          <w:szCs w:val="19"/>
          <w:color w:val="auto"/>
        </w:rPr>
        <w:t>and does not constitute a public offering prospectus.</w:t>
      </w:r>
    </w:p>
    <w:p>
      <w:pPr>
        <w:spacing w:after="0" w:line="123"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u w:val="single" w:color="auto"/>
          <w:color w:val="auto"/>
        </w:rPr>
        <w:t>Exchange Control Notification</w:t>
      </w:r>
      <w:r>
        <w:rPr>
          <w:rFonts w:ascii="Arial" w:cs="Arial" w:eastAsia="Arial" w:hAnsi="Arial"/>
          <w:sz w:val="20"/>
          <w:szCs w:val="20"/>
          <w:color w:val="auto"/>
        </w:rPr>
        <w:t xml:space="preserve">. The Optionee acknowledges that he or she must declare any Option Shares that are acquired under the Plan to the </w:t>
      </w:r>
      <w:r>
        <w:rPr>
          <w:rFonts w:ascii="Arial" w:cs="Arial" w:eastAsia="Arial" w:hAnsi="Arial"/>
          <w:sz w:val="20"/>
          <w:szCs w:val="20"/>
          <w:i w:val="1"/>
          <w:iCs w:val="1"/>
          <w:color w:val="auto"/>
        </w:rPr>
        <w:t>Dirección General de Comercio e Inversiones</w:t>
      </w:r>
      <w:r>
        <w:rPr>
          <w:rFonts w:ascii="Arial" w:cs="Arial" w:eastAsia="Arial" w:hAnsi="Arial"/>
          <w:sz w:val="20"/>
          <w:szCs w:val="20"/>
          <w:color w:val="auto"/>
        </w:rPr>
        <w:t xml:space="preserve"> of the Ministry of Economy and Competitiveness (the “DGCI”). After the initial declaration, the declaration must be filed with the DGCI on an annual basis each January while the Option Shares are owned; however, if the value of the Option Shares or the sale proceeds exceed a certain amount, a declaration must be filed within one month of the acquisition or sale, as applicable.</w:t>
      </w:r>
    </w:p>
    <w:p>
      <w:pPr>
        <w:spacing w:after="0" w:line="141" w:lineRule="exact"/>
        <w:rPr>
          <w:sz w:val="20"/>
          <w:szCs w:val="20"/>
          <w:color w:val="auto"/>
        </w:rPr>
      </w:pPr>
    </w:p>
    <w:p>
      <w:pPr>
        <w:spacing w:after="0" w:line="258" w:lineRule="auto"/>
        <w:rPr>
          <w:sz w:val="20"/>
          <w:szCs w:val="20"/>
          <w:color w:val="auto"/>
        </w:rPr>
      </w:pPr>
      <w:r>
        <w:rPr>
          <w:rFonts w:ascii="Arial" w:cs="Arial" w:eastAsia="Arial" w:hAnsi="Arial"/>
          <w:sz w:val="19"/>
          <w:szCs w:val="19"/>
          <w:u w:val="single" w:color="auto"/>
          <w:color w:val="auto"/>
        </w:rPr>
        <w:t>Foreign Asset / Account Reporting Information</w:t>
      </w:r>
      <w:r>
        <w:rPr>
          <w:rFonts w:ascii="Arial" w:cs="Arial" w:eastAsia="Arial" w:hAnsi="Arial"/>
          <w:sz w:val="19"/>
          <w:szCs w:val="19"/>
          <w:color w:val="auto"/>
        </w:rPr>
        <w:t>. To the extent that the Optionee holds assets (e.g., cash or Option Shares held in a bank or brokerage account) outside Spain with a value in excess of €50,000 per type of asset (e.g., Option Shares, cash, and so on) as of December 31 each year, the Optionee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Optionee. Accordingly, the Optionee should consult with his or her personal tax and legal advisors to ensure that he or she is properly complying with his or her reporting obligations.</w:t>
      </w:r>
    </w:p>
    <w:p>
      <w:pPr>
        <w:spacing w:after="0" w:line="125"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Further, the Optionee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Automatic Cashless Exercise and Sale</w:t>
      </w:r>
      <w:r>
        <w:rPr>
          <w:rFonts w:ascii="Arial" w:cs="Arial" w:eastAsia="Arial" w:hAnsi="Arial"/>
          <w:sz w:val="20"/>
          <w:szCs w:val="20"/>
          <w:color w:val="auto"/>
        </w:rPr>
        <w:t>. The grant of the Option is conditioned on the Optionee’s agreement to the below.</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Optionee agrees that, if he or she has not previously exercised the Option to the maximum extent possible in accordance with its terms prior to the first day on which the closing price of the Common Stock on the Nasdaq Global Select Market (“Nasdaq”) equals or exceeds 200% of the Exercise Price, then the Optionee will be deemed to have exercised the Option to the maximum extent possible in accordance with its terms on such date by means of a cashless exercise in the manner described in the Plan and the Agreement and to have directed the immediate sale of all of the Option Shares thereby purchased. The Optionee hereby authorizes the Company (or its designated broker pursuant to this authorization) to effect such cashless exercise and sale transaction on the Optionee’s behalf as soon as administratively possible, and to cause to be remitted to the Optionee the net proceeds, after deduction of the Exercise Price and all Tax-Related Items required to be withheld by the Company or Analog Devices A.B.</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To the extent that the Option by its terms is not exercisable on such date, the Optionee will be deemed to have exercised the Option and directed the immediate sale of all of the Option Shares thereby purchased on the first day thereafter on which it becomes exercisable on which the closing price of the Common Stock on the Nasdaq equals or exceeds 200% of the Exercise Price, and the Optionee grants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A-17</w:t>
      </w:r>
    </w:p>
    <w:p>
      <w:pPr>
        <w:sectPr>
          <w:pgSz w:w="11900" w:h="16838" w:orient="portrait"/>
          <w:cols w:equalWidth="0" w:num="1">
            <w:col w:w="11420"/>
          </w:cols>
          <w:pgMar w:left="240" w:top="1419" w:right="239" w:bottom="1440" w:gutter="0" w:footer="0" w:header="0"/>
        </w:sectPr>
      </w:pPr>
    </w:p>
    <w:bookmarkStart w:id="115" w:name="page116"/>
    <w:bookmarkEnd w:id="115"/>
    <w:p>
      <w:pPr>
        <w:jc w:val="both"/>
        <w:spacing w:after="0" w:line="250" w:lineRule="auto"/>
        <w:rPr>
          <w:sz w:val="20"/>
          <w:szCs w:val="20"/>
          <w:color w:val="auto"/>
        </w:rPr>
      </w:pPr>
      <w:r>
        <w:rPr>
          <w:rFonts w:ascii="Arial" w:cs="Arial" w:eastAsia="Arial" w:hAnsi="Arial"/>
          <w:sz w:val="20"/>
          <w:szCs w:val="20"/>
          <w:color w:val="auto"/>
        </w:rPr>
        <w:t>authority to the Company as set forth in the preceding sentence. The Optionee agrees to execute and deliver any documentation which the Company’s designated broker may require in connection with this arrangement. The Company is authorized to act in this matter on behalf of Analog Devices A.B.</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This Option grant is not intended to be a public offering in Switzerland and is therefore not subject to registration in Switzerland. Neither this document nor any materials relating to the Option Shares constitutes a prospectus as such term is understood pursuant to article 652a of the Swiss Code of Obligations and neither this document nor any other materials relating to the Option Shares may be publicly distributed or otherwise made publicly available in Switzerland. Neither this document nor any other offering or marketing material relating to the Options has been or will be filed with, approved or supervised by any Swiss regulatory authority (in particular, the Swiss Financial Supervisory Authority (FINMA)).</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168"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The Optionee acknowledges that he or she has read and understands the terms regarding collection, processing and transfer of Data contained in the Data Privacy Information and Consent provision of the Terms and Conditions for Optionees outside the U.S. and agrees that, upon the request of the Company or the Employer, the Optionee will provide any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11"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option and participation in the Plan is made available only to employees of the Company and the Employer. It is not a public offer of securities by a Taiwanese company. Therefore, it is exempt from registration in Taiwan.</w:t>
      </w:r>
    </w:p>
    <w:p>
      <w:pPr>
        <w:spacing w:after="0" w:line="12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Individuals may acquire foreign currency (including proceeds from the sale of Option Shares) into Taiwan up to US$5,000,000 per year without justification.</w:t>
      </w:r>
    </w:p>
    <w:p>
      <w:pPr>
        <w:spacing w:after="0" w:line="12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There is no need to aggregate all remittances into Taiwan when calculating the limitation. If the transaction amount is TWD$500,000 or more in a single transaction, the Optionee must submit a Foreign Exchange Transaction Form and also provide supporting documentation to the satisfaction of the remitting bank.</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Manner of Exercising Option</w:t>
      </w:r>
      <w:r>
        <w:rPr>
          <w:rFonts w:ascii="Arial" w:cs="Arial" w:eastAsia="Arial" w:hAnsi="Arial"/>
          <w:sz w:val="20"/>
          <w:szCs w:val="20"/>
          <w:color w:val="auto"/>
        </w:rPr>
        <w:t>. This provision supplements Section 4 of the Agreement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Due to legal restrictions in Turkey, Optionee may be required to exercise his or her option using the cashless sell-all exercise method whereby all Option Shares subject to the exercised option will be sold immediately upon exercise and the proceeds of the sale, less the Exercise Price, any Tax-Related Items and broker's fees or commissions will be remitted to Optionee in accordance with any applicable laws and regulations. Optionee will not be permitted to acquire and hold Option Shares after exercise. The Company reserves the right to provide additional methods of exercise to Optionee depending on the development of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A-18</w:t>
      </w:r>
    </w:p>
    <w:p>
      <w:pPr>
        <w:sectPr>
          <w:pgSz w:w="11900" w:h="16838" w:orient="portrait"/>
          <w:cols w:equalWidth="0" w:num="1">
            <w:col w:w="11420"/>
          </w:cols>
          <w:pgMar w:left="240" w:top="1419" w:right="239" w:bottom="1440" w:gutter="0" w:footer="0" w:header="0"/>
        </w:sectPr>
      </w:pPr>
    </w:p>
    <w:bookmarkStart w:id="116" w:name="page117"/>
    <w:bookmarkEnd w:id="116"/>
    <w:p>
      <w:pPr>
        <w:ind w:right="80"/>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Under Turkish law, the Optionee is not permitted to sell any Option Shares acquired under the Plan in Turkey. The Option Shares are currently traded on the Nasdaq Global Select Market, under the ticker symbol “ADI” and the Option Shares may be sold through this exchange.</w:t>
      </w:r>
    </w:p>
    <w:p>
      <w:pPr>
        <w:spacing w:after="0" w:line="132"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The Optionee may be required to engage a Turkish financial intermediary to assist with the sale of Option Shares acquired under the Plan. As the Optionee is solely responsible for complying with any applicable financial intermediary requirements, the Optionee should consider consulting his or her personal legal advisor prior to the exercise of the Options or any sale of Option Shares to ensure compliance.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444444"/>
        </w:rPr>
        <w:t>United Kingdom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This provision supplements Section 7 of the Agreement:</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Without limitation to Section 7 of the Agreement, the Optionee agrees that the Optionee is liable for all Tax-Related Items and hereby covenants to pay all such Tax-Related Items, as and when requested by the Company or the Employer or by Her Majesty’s Revenue and Customs (“HMRC”) (or any other tax authority or any other relevant authority). The Optionee also agrees to indemnify and keep indemnified the Company and the Employer against any Tax–Related Items that they are required to pay or withhold or have paid or will pay to HMRC (or any other tax authority or any other relevant authority) on the Optionee’s behalf.</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Notwithstanding the foregoing, if the Optionee is a director or executive officer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Optionee by any of the means referred to in Section 7 of the Agreement.</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u w:val="single" w:color="auto"/>
          <w:color w:val="auto"/>
        </w:rPr>
        <w:t>Joint Election</w:t>
      </w:r>
      <w:r>
        <w:rPr>
          <w:rFonts w:ascii="Arial" w:cs="Arial" w:eastAsia="Arial" w:hAnsi="Arial"/>
          <w:sz w:val="18"/>
          <w:szCs w:val="18"/>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The Joint Election is attached hereto as Appendix D. If the Optionee has signed a Joint Election in the past with respect to Options granted to him or her by the Company and that Joint Election applies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A-19</w:t>
      </w:r>
    </w:p>
    <w:p>
      <w:pPr>
        <w:sectPr>
          <w:pgSz w:w="11900" w:h="16838" w:orient="portrait"/>
          <w:cols w:equalWidth="0" w:num="1">
            <w:col w:w="11420"/>
          </w:cols>
          <w:pgMar w:left="240" w:top="1419"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i w:val="1"/>
          <w:iCs w:val="1"/>
          <w:color w:val="auto"/>
        </w:rPr>
        <w:t>grants made under the Plan, the Optionee need not sign another Joint Election in connection with this Option grant.</w:t>
      </w:r>
    </w:p>
    <w:p>
      <w:pPr>
        <w:sectPr>
          <w:pgSz w:w="11900" w:h="16838" w:orient="portrait"/>
          <w:cols w:equalWidth="0" w:num="1">
            <w:col w:w="10219"/>
          </w:cols>
          <w:pgMar w:left="24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Appendix A-20</w:t>
      </w:r>
    </w:p>
    <w:p>
      <w:pPr>
        <w:sectPr>
          <w:pgSz w:w="11900" w:h="16838" w:orient="portrait"/>
          <w:cols w:equalWidth="0" w:num="1">
            <w:col w:w="10219"/>
          </w:cols>
          <w:pgMar w:left="240" w:top="1419" w:right="1440"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20"/>
          <w:szCs w:val="20"/>
          <w:b w:val="1"/>
          <w:bCs w:val="1"/>
          <w:u w:val="single" w:color="auto"/>
          <w:color w:val="auto"/>
        </w:rPr>
        <w:t>APPENDIX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ANALOG DEVICES, INC.</w:t>
      </w: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u w:val="single" w:color="auto"/>
          <w:color w:val="auto"/>
        </w:rPr>
        <w:t>SPECIAL NOTICE FOR DANISH EMPLOYEES EMPLOYER STATEMENT</w:t>
      </w:r>
    </w:p>
    <w:p>
      <w:pPr>
        <w:spacing w:after="0" w:line="200" w:lineRule="exact"/>
        <w:rPr>
          <w:sz w:val="20"/>
          <w:szCs w:val="20"/>
          <w:color w:val="auto"/>
        </w:rPr>
      </w:pPr>
    </w:p>
    <w:p>
      <w:pPr>
        <w:spacing w:after="0" w:line="270"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If Section 3(1) of the Act on Stock Options in employment relations, as amended as of January 1, 2019 (the “Act”) applies to your stock option grant, you are entitled to receive the following information regarding Analog Devices, Inc.’s (the “Company’s”) stock option program in a separate written statement.</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statement contains only the information mentioned in the Act. The other terms and conditions of your stock option grant are described in detail in the Analog Devices, Inc. 2020 Equity Incentive Plan (the “Plan”), and the Global Non-Qualified Stock Option Agreement, including the country-specific appendix (the “Agreement”), which have been given to you.</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Time of grant of option to purchase stock</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grant date for your stock option is the date that the Company approved a grant for you.</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Terms or conditions for option grant</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grant of stock options will be at the sole discretion of the Company. The Company has very broad powers to determine who will receive awards and when, and to set the terms of the awards. The Company may decide, in its sole discretion, not to make any grants of stock options to you in the future. Under the terms of the Plan and the Agreement, you have no entitlement or claim to receive future option grants.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Vesting date or period</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Your stock option will vest in accordance with the vesting schedule set forth in Section 1 of your Agreement.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Exercise price</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During the exercise period, the stock options can be exercised to purchase stock in the Company at the exercise price stated in the notice of grant which will be no less than 100% of the fair market value of the stock at the time of grant, as determined by the Company.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Your rights upon termination of employment</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the event you terminate employment with the Company group, the vesting and exercise of your Options will be determined in accord with the terms of your Agreement. In addition, you will be ineligible to receive any additional Option grants after your termination.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Financial aspects of participating in the Plan</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grant of stock options has no immediate financial consequences for you. The value of the options is not taken into account when calculating holiday allowances, pension contributions or other statutory consideration calculated on the basis of salary.</w:t>
      </w:r>
    </w:p>
    <w:p>
      <w:pPr>
        <w:spacing w:after="0" w:line="6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Shares of stock are financial instruments and investing in stocks will always have financial risk. The possibility of profit at the time of exercise will not only be dependent on the Company’s financial development, but also on the general development of the stock market. In addition, before or after you exercise your options, the shares of Company stock could decrease in value even below the exercise price.</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Notice Provided 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Analog Devices, Inc.</w:t>
      </w:r>
    </w:p>
    <w:p>
      <w:pPr>
        <w:spacing w:after="0"/>
        <w:rPr>
          <w:sz w:val="20"/>
          <w:szCs w:val="20"/>
          <w:color w:val="auto"/>
        </w:rPr>
      </w:pPr>
      <w:r>
        <w:rPr>
          <w:rFonts w:ascii="Arial" w:cs="Arial" w:eastAsia="Arial" w:hAnsi="Arial"/>
          <w:sz w:val="20"/>
          <w:szCs w:val="20"/>
          <w:color w:val="auto"/>
        </w:rPr>
        <w:t>Three Technology Way</w:t>
      </w:r>
    </w:p>
    <w:p>
      <w:pPr>
        <w:spacing w:after="0"/>
        <w:rPr>
          <w:sz w:val="20"/>
          <w:szCs w:val="20"/>
          <w:color w:val="auto"/>
        </w:rPr>
      </w:pPr>
      <w:r>
        <w:rPr>
          <w:rFonts w:ascii="Arial" w:cs="Arial" w:eastAsia="Arial" w:hAnsi="Arial"/>
          <w:sz w:val="20"/>
          <w:szCs w:val="20"/>
          <w:color w:val="auto"/>
        </w:rPr>
        <w:t>Norwood, MA 02062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B-1</w:t>
      </w:r>
    </w:p>
    <w:p>
      <w:pPr>
        <w:sectPr>
          <w:pgSz w:w="11900" w:h="16838" w:orient="portrait"/>
          <w:cols w:equalWidth="0" w:num="1">
            <w:col w:w="11420"/>
          </w:cols>
          <w:pgMar w:left="240" w:top="115"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0"/>
          <w:szCs w:val="20"/>
          <w:b w:val="1"/>
          <w:bCs w:val="1"/>
          <w:u w:val="single" w:color="auto"/>
          <w:color w:val="auto"/>
        </w:rPr>
        <w:t>SÆRLIG MEDDELELSE TIL DANSKE MEDARBEJDERE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ARBEJDSGIVERERKLÆRING</w:t>
      </w:r>
    </w:p>
    <w:p>
      <w:pPr>
        <w:spacing w:after="0" w:line="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Såfremt § 3, stk. 1, i lov om brug af køberet eller tegningsret m.v. i ansættelsesforhold, som ændret med virkning fra 1. januar 2019 (“Aktieoptionsloven”) finder anvendelse på din tildeling af aktieoptioner, er du berettiget til i en særskilt skriftlig erklæring at modtage følgende oplysninger om Analog Devices, Inc.’s (“Selskabets”) aktieoptionsprogram.</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Denne erklæring indeholder kun de oplysninger, der er nævnt i Aktieoptionsloven. De øvrige kriterier og betingelser for din tildeling af aktieoptioner er detaljeret beskrevet i Analog Devices, Inc. 2020 Equity Incentive Plan (“Planen”) og i Global Non-Qualified Stock Option Agreement inkl. det landespecifikke tillæg (“Aftalen”), som du har fået udleveret.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Tidspunktet for tildeling af retten til at købe aktier</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Tidspunktet for tildelingen af din aktieoption er den dato, hvor Selskabets godkendte din tildeling.</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Kriterier og betingelser for optionstildelingen</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Tildelingen af aktieoptioner sker efter Selskabet eget skøn. Selskabet har meget vide beføjelser til at bestemme, hvem der modtager tildelinger og hvornår, og til at fastsætte betingelserne for tildelingerne. Selskabet kan frit beslutte ikke fremover at tildele dig nogen aktieoptioner. I henhold til Planen og Aftalen har du ikke nogen ret til eller noget krav på i fremtiden at få tildelt optioner.</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Modningstidspunkt eller-periode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Din aktieoption modnes som anført i den modningsplan, der fremgår af afsnit 1 i Aftalen.</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Udnyttelseskurs</w:t>
      </w:r>
    </w:p>
    <w:p>
      <w:pPr>
        <w:spacing w:after="0" w:line="11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 udnyttelsesperioden kan aktieoptionerne udnyttes til køb af aktier i Selskabet til den udnyttelseskurs, som er angivet i tildelingsmeddelelsen, og som ikke vil være mindre end 100% af aktiernes markedskurs på tildelingstidspunktet som fastsat af Selskabet.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Din retsstilling i forbindelse med fratræden</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auto"/>
        </w:rPr>
        <w:t>Hvis din ansættelse i Selskabet eller dets koncern ophører, afhænger modningen og fortabelsen af aktieoptioner af vilkårene i Aftalen.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Derudover vil du ikke være berettiget til at få tildelt yderligere aktieoptioner efter din fratræden.</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Økonomiske aspekter ved at deltage i Planen</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Tildelingen af aktieoptioner har ingen umiddelbare økonomiske konsekvenser for dig. Værdien af optionerne indgår ikke i beregningen af feriepenge, pensionsbidrag eller øvrige lovpligtige ydelser, der beregnes på grundlag af lønnen.</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Aktier er finansielle instrumenter, og investering i aktier vil altid være forbundet med en økonomisk risiko. Således afhænger muligheden for at opnå en fortjeneste på udnyttelsestidspunktet ikke blot af Selskabets økonomiske udvikling, men også af den generelle udvikling på aktiemarkedet. Derudover kan Selskabets aktier både før og efter udnyttelsestidspunktet falde til en værdi, der måske endda ligger under udnyttelseskursen.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Meddelelse afgivet af: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Analog Devices, Inc.</w:t>
      </w:r>
    </w:p>
    <w:p>
      <w:pPr>
        <w:spacing w:after="0"/>
        <w:rPr>
          <w:sz w:val="20"/>
          <w:szCs w:val="20"/>
          <w:color w:val="auto"/>
        </w:rPr>
      </w:pPr>
      <w:r>
        <w:rPr>
          <w:rFonts w:ascii="Arial" w:cs="Arial" w:eastAsia="Arial" w:hAnsi="Arial"/>
          <w:sz w:val="20"/>
          <w:szCs w:val="20"/>
          <w:color w:val="auto"/>
        </w:rPr>
        <w:t>Three Technology Way</w:t>
      </w:r>
    </w:p>
    <w:p>
      <w:pPr>
        <w:spacing w:after="0"/>
        <w:rPr>
          <w:sz w:val="20"/>
          <w:szCs w:val="20"/>
          <w:color w:val="auto"/>
        </w:rPr>
      </w:pPr>
      <w:r>
        <w:rPr>
          <w:rFonts w:ascii="Arial" w:cs="Arial" w:eastAsia="Arial" w:hAnsi="Arial"/>
          <w:sz w:val="20"/>
          <w:szCs w:val="20"/>
          <w:color w:val="auto"/>
        </w:rPr>
        <w:t>Norwood, MA 02062</w:t>
      </w:r>
    </w:p>
    <w:p>
      <w:pPr>
        <w:spacing w:after="0"/>
        <w:rPr>
          <w:sz w:val="20"/>
          <w:szCs w:val="20"/>
          <w:color w:val="auto"/>
        </w:rPr>
      </w:pPr>
      <w:r>
        <w:rPr>
          <w:rFonts w:ascii="Arial" w:cs="Arial" w:eastAsia="Arial" w:hAnsi="Arial"/>
          <w:sz w:val="20"/>
          <w:szCs w:val="20"/>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B-2</w:t>
      </w:r>
    </w:p>
    <w:p>
      <w:pPr>
        <w:sectPr>
          <w:pgSz w:w="11900" w:h="16838" w:orient="portrait"/>
          <w:cols w:equalWidth="0" w:num="1">
            <w:col w:w="11420"/>
          </w:cols>
          <w:pgMar w:left="240" w:top="1413"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20"/>
          <w:szCs w:val="20"/>
          <w:b w:val="1"/>
          <w:bCs w:val="1"/>
          <w:u w:val="single" w:color="auto"/>
          <w:color w:val="auto"/>
        </w:rPr>
        <w:t>APPENDIX C</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ISRAELI APPENDIX</w:t>
      </w:r>
    </w:p>
    <w:p>
      <w:pPr>
        <w:spacing w:after="0" w:line="200" w:lineRule="exact"/>
        <w:rPr>
          <w:sz w:val="20"/>
          <w:szCs w:val="20"/>
          <w:color w:val="auto"/>
        </w:rPr>
      </w:pPr>
    </w:p>
    <w:p>
      <w:pPr>
        <w:spacing w:after="0" w:line="31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u w:val="single" w:color="auto"/>
          <w:color w:val="auto"/>
        </w:rPr>
        <w:t>Trust Arrangement</w:t>
      </w:r>
      <w:r>
        <w:rPr>
          <w:rFonts w:ascii="Arial" w:cs="Arial" w:eastAsia="Arial" w:hAnsi="Arial"/>
          <w:sz w:val="18"/>
          <w:szCs w:val="18"/>
          <w:b w:val="1"/>
          <w:bCs w:val="1"/>
          <w:color w:val="auto"/>
        </w:rPr>
        <w:t>. If the Optionee resides in Israel and has not already signed an Israeli Appendix in connection with grants made under the Analog Devices, Inc. 2020 Equity Incentive Plan (the “Plan”), then the Optionee must print, sign &amp; deliver the signed copy of this Israeli Appendix within 45 days to: Stock Plan Administrator, Analog Devices, Inc., Norwood, Massachusetts, 02062 USA.</w:t>
      </w:r>
    </w:p>
    <w:p>
      <w:pPr>
        <w:spacing w:after="0" w:line="96"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The Optionee hereby understands and agrees that the Options are offered subject to and in accordance with the terms of the Israeli Sub-Plan (the “Israeli Sub-Plan”) to the Plan under the 102 Capital Gains Track (as defined in the Israeli Sub-Plan), the Trust Agreement between the trustee appointed by Analog Devices, (Israel) Ltd. (the “Trustee”), the Global Non-Qualified Stock Option Agreement, including Appendix A thereto (collectively, the “Option Agreement”), and the Plan. In the event of any inconsistencies among the Israeli Sub-Plan, the Option Agreement, and/or the Plan, the Optionee agrees that the Israeli Sub-Plan will govern the Options granted to the Optionee in Israel.</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sign this Israeli Appendix and return it to the address shown on the top within 45 days of receipt. If Analog Devices, (Israel) Ltd.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 Analog Devices, Inc. does not receive your signed Israel Appendix, your Options shall terminate and will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821055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20"/>
          <w:szCs w:val="20"/>
          <w:color w:val="auto"/>
        </w:rPr>
        <w:t>Name: {</w:t>
      </w:r>
      <w:r>
        <w:rPr>
          <w:rFonts w:ascii="Arial" w:cs="Arial" w:eastAsia="Arial" w:hAnsi="Arial"/>
          <w:sz w:val="20"/>
          <w:szCs w:val="20"/>
          <w:i w:val="1"/>
          <w:iCs w:val="1"/>
          <w:color w:val="auto"/>
        </w:rPr>
        <w:t>Employee Name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Appendix C-1</w:t>
      </w:r>
    </w:p>
    <w:p>
      <w:pPr>
        <w:sectPr>
          <w:pgSz w:w="11900" w:h="16838" w:orient="portrait"/>
          <w:cols w:equalWidth="0" w:num="1">
            <w:col w:w="11420"/>
          </w:cols>
          <w:pgMar w:left="240" w:top="1413"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0"/>
          <w:szCs w:val="20"/>
          <w:b w:val="1"/>
          <w:bCs w:val="1"/>
          <w:u w:val="single" w:color="auto"/>
          <w:color w:val="auto"/>
        </w:rPr>
        <w:t>APPENDIX 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Election To Transfer the Employer’s National Insurance Liability to the Employee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Onscreen disclaimer</w:t>
      </w:r>
    </w:p>
    <w:p>
      <w:pPr>
        <w:spacing w:after="0" w:line="16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If you are liable for National Insurance contributions (“NICs”) in the United Kingdom in connection with your stock options (“Awards”), you are required to enter into an Election to transfer to you any liability for employer’s NICs that may arise in connection with your Awards.</w:t>
      </w:r>
    </w:p>
    <w:p>
      <w:pPr>
        <w:spacing w:after="0" w:line="7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Clicking on the “ACCEPT” box indicates your acceptance of the Election. You should read the “Important Note on the Election to Transfer Employer NICs” before accepting the Election.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 on the Election to Transfer Employer NICs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are liable for National Insurance contributions (“NICs”) in the United Kingdom in connection with Awards that have been granted or assumed and converted under the Analog Devices, Inc. 2020 Equity Incentive Plan, you are required to enter into an Election to transfer to you any liability for employer’s NICs that may arise in connection with your Awards.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By entering into the Election:</w:t>
      </w:r>
    </w:p>
    <w:p>
      <w:pPr>
        <w:spacing w:after="0" w:line="162" w:lineRule="exact"/>
        <w:rPr>
          <w:sz w:val="20"/>
          <w:szCs w:val="20"/>
          <w:color w:val="auto"/>
        </w:rPr>
      </w:pPr>
    </w:p>
    <w:p>
      <w:pPr>
        <w:ind w:left="640" w:hanging="308"/>
        <w:spacing w:after="0"/>
        <w:tabs>
          <w:tab w:leader="none" w:pos="6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you agree that any employer’s NICs liability that may arise in connection with your Awards will be transferred to you;</w:t>
      </w:r>
    </w:p>
    <w:p>
      <w:pPr>
        <w:spacing w:after="0" w:line="161" w:lineRule="exact"/>
        <w:rPr>
          <w:rFonts w:ascii="Arial" w:cs="Arial" w:eastAsia="Arial" w:hAnsi="Arial"/>
          <w:sz w:val="20"/>
          <w:szCs w:val="20"/>
          <w:color w:val="auto"/>
        </w:rPr>
      </w:pPr>
    </w:p>
    <w:p>
      <w:pPr>
        <w:ind w:left="660" w:hanging="328"/>
        <w:spacing w:after="0" w:line="287" w:lineRule="auto"/>
        <w:tabs>
          <w:tab w:leader="none" w:pos="648" w:val="left"/>
        </w:tabs>
        <w:numPr>
          <w:ilvl w:val="0"/>
          <w:numId w:val="71"/>
        </w:numPr>
        <w:rPr>
          <w:rFonts w:ascii="Arial" w:cs="Arial" w:eastAsia="Arial" w:hAnsi="Arial"/>
          <w:sz w:val="19"/>
          <w:szCs w:val="19"/>
          <w:color w:val="auto"/>
        </w:rPr>
      </w:pPr>
      <w:r>
        <w:rPr>
          <w:rFonts w:ascii="Arial" w:cs="Arial" w:eastAsia="Arial" w:hAnsi="Arial"/>
          <w:sz w:val="19"/>
          <w:szCs w:val="19"/>
          <w:color w:val="auto"/>
        </w:rPr>
        <w:t>you authorize your employer to recover an amount sufficient to cover this liability by such methods including, but not limited to, deductions from your salary or other payments due or the sale of sufficient shares acquired pursuant to your Awards; and</w:t>
      </w:r>
    </w:p>
    <w:p>
      <w:pPr>
        <w:spacing w:after="0" w:line="98" w:lineRule="exact"/>
        <w:rPr>
          <w:rFonts w:ascii="Arial" w:cs="Arial" w:eastAsia="Arial" w:hAnsi="Arial"/>
          <w:sz w:val="19"/>
          <w:szCs w:val="19"/>
          <w:color w:val="auto"/>
        </w:rPr>
      </w:pPr>
    </w:p>
    <w:p>
      <w:pPr>
        <w:jc w:val="both"/>
        <w:ind w:left="660" w:hanging="328"/>
        <w:spacing w:after="0" w:line="250" w:lineRule="auto"/>
        <w:tabs>
          <w:tab w:leader="none" w:pos="648" w:val="left"/>
        </w:tabs>
        <w:numPr>
          <w:ilvl w:val="0"/>
          <w:numId w:val="71"/>
        </w:numPr>
        <w:rPr>
          <w:rFonts w:ascii="Arial" w:cs="Arial" w:eastAsia="Arial" w:hAnsi="Arial"/>
          <w:sz w:val="20"/>
          <w:szCs w:val="20"/>
          <w:color w:val="auto"/>
        </w:rPr>
      </w:pPr>
      <w:r>
        <w:rPr>
          <w:rFonts w:ascii="Arial" w:cs="Arial" w:eastAsia="Arial" w:hAnsi="Arial"/>
          <w:sz w:val="20"/>
          <w:szCs w:val="20"/>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Please read the Election carefully before accepting the Election.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D-1</w:t>
      </w:r>
    </w:p>
    <w:p>
      <w:pPr>
        <w:sectPr>
          <w:pgSz w:w="11900" w:h="16838" w:orient="portrait"/>
          <w:cols w:equalWidth="0" w:num="1">
            <w:col w:w="11420"/>
          </w:cols>
          <w:pgMar w:left="240" w:top="1413"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20"/>
          <w:szCs w:val="20"/>
          <w:b w:val="1"/>
          <w:bCs w:val="1"/>
          <w:u w:val="single" w:color="auto"/>
          <w:color w:val="auto"/>
        </w:rPr>
        <w:t>APPENDIX 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ANALOG DEVICES, INC.</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Election To Transfer the Employer’s National Insurance Liability to the Employee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This Election is between:</w:t>
      </w:r>
    </w:p>
    <w:p>
      <w:pPr>
        <w:spacing w:after="0" w:line="156" w:lineRule="exact"/>
        <w:rPr>
          <w:sz w:val="20"/>
          <w:szCs w:val="20"/>
          <w:color w:val="auto"/>
        </w:rPr>
      </w:pPr>
    </w:p>
    <w:p>
      <w:pPr>
        <w:jc w:val="both"/>
        <w:ind w:left="340" w:hanging="332"/>
        <w:spacing w:after="0" w:line="253" w:lineRule="auto"/>
        <w:tabs>
          <w:tab w:leader="none" w:pos="33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individual who has obtained authorized access to this Election (the “</w:t>
      </w:r>
      <w:r>
        <w:rPr>
          <w:rFonts w:ascii="Arial" w:cs="Arial" w:eastAsia="Arial" w:hAnsi="Arial"/>
          <w:sz w:val="20"/>
          <w:szCs w:val="20"/>
          <w:b w:val="1"/>
          <w:bCs w:val="1"/>
          <w:color w:val="auto"/>
        </w:rPr>
        <w:t>Employee</w:t>
      </w:r>
      <w:r>
        <w:rPr>
          <w:rFonts w:ascii="Arial" w:cs="Arial" w:eastAsia="Arial" w:hAnsi="Arial"/>
          <w:sz w:val="20"/>
          <w:szCs w:val="20"/>
          <w:color w:val="auto"/>
        </w:rPr>
        <w:t>”), who is employed by one of the employing companies listed in the attached schedule (the “</w:t>
      </w:r>
      <w:r>
        <w:rPr>
          <w:rFonts w:ascii="Arial" w:cs="Arial" w:eastAsia="Arial" w:hAnsi="Arial"/>
          <w:sz w:val="20"/>
          <w:szCs w:val="20"/>
          <w:b w:val="1"/>
          <w:bCs w:val="1"/>
          <w:color w:val="auto"/>
        </w:rPr>
        <w:t>Employer</w:t>
      </w:r>
      <w:r>
        <w:rPr>
          <w:rFonts w:ascii="Arial" w:cs="Arial" w:eastAsia="Arial" w:hAnsi="Arial"/>
          <w:sz w:val="20"/>
          <w:szCs w:val="20"/>
          <w:color w:val="auto"/>
        </w:rPr>
        <w:t>”) and who is eligible to receive stock options (“</w:t>
      </w:r>
      <w:r>
        <w:rPr>
          <w:rFonts w:ascii="Arial" w:cs="Arial" w:eastAsia="Arial" w:hAnsi="Arial"/>
          <w:sz w:val="20"/>
          <w:szCs w:val="20"/>
          <w:b w:val="1"/>
          <w:bCs w:val="1"/>
          <w:color w:val="auto"/>
        </w:rPr>
        <w:t>Awards</w:t>
      </w:r>
      <w:r>
        <w:rPr>
          <w:rFonts w:ascii="Arial" w:cs="Arial" w:eastAsia="Arial" w:hAnsi="Arial"/>
          <w:sz w:val="20"/>
          <w:szCs w:val="20"/>
          <w:color w:val="auto"/>
        </w:rPr>
        <w:t>”) pursuant to the Analog Devices, Inc. 2020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 and</w:t>
      </w:r>
    </w:p>
    <w:p>
      <w:pPr>
        <w:spacing w:after="0" w:line="123" w:lineRule="exact"/>
        <w:rPr>
          <w:rFonts w:ascii="Arial" w:cs="Arial" w:eastAsia="Arial" w:hAnsi="Arial"/>
          <w:sz w:val="20"/>
          <w:szCs w:val="20"/>
          <w:color w:val="auto"/>
        </w:rPr>
      </w:pPr>
    </w:p>
    <w:p>
      <w:pPr>
        <w:ind w:left="340" w:hanging="332"/>
        <w:spacing w:after="0" w:line="267" w:lineRule="auto"/>
        <w:tabs>
          <w:tab w:leader="none" w:pos="332"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Analog Devices, Inc. of One Technology Way, Norwood, Massachusetts 02062, U.S.A. (the “</w:t>
      </w:r>
      <w:r>
        <w:rPr>
          <w:rFonts w:ascii="Arial" w:cs="Arial" w:eastAsia="Arial" w:hAnsi="Arial"/>
          <w:sz w:val="20"/>
          <w:szCs w:val="20"/>
          <w:b w:val="1"/>
          <w:bCs w:val="1"/>
          <w:color w:val="auto"/>
        </w:rPr>
        <w:t>Company</w:t>
      </w:r>
      <w:r>
        <w:rPr>
          <w:rFonts w:ascii="Arial" w:cs="Arial" w:eastAsia="Arial" w:hAnsi="Arial"/>
          <w:sz w:val="20"/>
          <w:szCs w:val="20"/>
          <w:color w:val="auto"/>
        </w:rPr>
        <w:t>”), which may grant Awards under the Plans and is entering into this Election on behalf of the Employer.</w:t>
      </w:r>
    </w:p>
    <w:p>
      <w:pPr>
        <w:spacing w:after="0" w:line="110"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b w:val="1"/>
          <w:bCs w:val="1"/>
          <w:color w:val="auto"/>
        </w:rPr>
        <w:t>Introduction</w:t>
      </w:r>
    </w:p>
    <w:p>
      <w:pPr>
        <w:spacing w:after="0" w:line="168" w:lineRule="exact"/>
        <w:rPr>
          <w:sz w:val="20"/>
          <w:szCs w:val="20"/>
          <w:color w:val="auto"/>
        </w:rPr>
      </w:pPr>
    </w:p>
    <w:p>
      <w:pPr>
        <w:ind w:left="660" w:hanging="647"/>
        <w:spacing w:after="0" w:line="260" w:lineRule="auto"/>
        <w:rPr>
          <w:sz w:val="20"/>
          <w:szCs w:val="20"/>
          <w:color w:val="auto"/>
        </w:rPr>
      </w:pPr>
      <w:r>
        <w:rPr>
          <w:rFonts w:ascii="Arial" w:cs="Arial" w:eastAsia="Arial" w:hAnsi="Arial"/>
          <w:sz w:val="20"/>
          <w:szCs w:val="20"/>
          <w:color w:val="auto"/>
        </w:rPr>
        <w:t>1.1 This Election relates to all Awards granted to the Employee or assumed and converted under the Plan up to the termination dates of the Plan.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1.2 In this Election the following words and phrases have the following meanings:</w:t>
      </w:r>
    </w:p>
    <w:p>
      <w:pPr>
        <w:spacing w:after="0" w:line="156"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Chargeable Event</w:t>
      </w:r>
      <w:r>
        <w:rPr>
          <w:rFonts w:ascii="Arial" w:cs="Arial" w:eastAsia="Arial" w:hAnsi="Arial"/>
          <w:sz w:val="20"/>
          <w:szCs w:val="20"/>
          <w:color w:val="auto"/>
        </w:rPr>
        <w:t>” means, in relation to the Awards:</w:t>
      </w:r>
    </w:p>
    <w:p>
      <w:pPr>
        <w:spacing w:after="0" w:line="167" w:lineRule="exact"/>
        <w:rPr>
          <w:rFonts w:ascii="Arial" w:cs="Arial" w:eastAsia="Arial" w:hAnsi="Arial"/>
          <w:sz w:val="20"/>
          <w:szCs w:val="20"/>
          <w:color w:val="auto"/>
        </w:rPr>
      </w:pPr>
    </w:p>
    <w:p>
      <w:pPr>
        <w:ind w:left="1620" w:hanging="502"/>
        <w:spacing w:after="0"/>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acquisition of securities pursuant to stock options and/or stock purchase rights (within section 477(3)(a) of ITEPA);</w:t>
      </w:r>
    </w:p>
    <w:p>
      <w:pPr>
        <w:spacing w:after="0" w:line="184" w:lineRule="exact"/>
        <w:rPr>
          <w:rFonts w:ascii="Arial" w:cs="Arial" w:eastAsia="Arial" w:hAnsi="Arial"/>
          <w:sz w:val="18"/>
          <w:szCs w:val="18"/>
          <w:color w:val="auto"/>
        </w:rPr>
      </w:pPr>
    </w:p>
    <w:p>
      <w:pPr>
        <w:ind w:left="1620" w:hanging="557"/>
        <w:spacing w:after="0" w:line="260" w:lineRule="auto"/>
        <w:tabs>
          <w:tab w:leader="none" w:pos="1620"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assignment (if applicable) or release of the stock options in return for consideration (within section 477(3)(b) of ITEPA);</w:t>
      </w:r>
    </w:p>
    <w:p>
      <w:pPr>
        <w:spacing w:after="0" w:line="122" w:lineRule="exact"/>
        <w:rPr>
          <w:rFonts w:ascii="Arial" w:cs="Arial" w:eastAsia="Arial" w:hAnsi="Arial"/>
          <w:sz w:val="20"/>
          <w:szCs w:val="20"/>
          <w:color w:val="auto"/>
        </w:rPr>
      </w:pPr>
    </w:p>
    <w:p>
      <w:pPr>
        <w:ind w:left="1620" w:hanging="612"/>
        <w:spacing w:after="0" w:line="260" w:lineRule="auto"/>
        <w:tabs>
          <w:tab w:leader="none" w:pos="1620"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receipt of a benefit in connection with the stock options, other than a benefit within (i) or (ii) above (within section 477(3)(c) of ITEPA);</w:t>
      </w:r>
    </w:p>
    <w:p>
      <w:pPr>
        <w:spacing w:after="0" w:line="122" w:lineRule="exact"/>
        <w:rPr>
          <w:rFonts w:ascii="Arial" w:cs="Arial" w:eastAsia="Arial" w:hAnsi="Arial"/>
          <w:sz w:val="20"/>
          <w:szCs w:val="20"/>
          <w:color w:val="auto"/>
        </w:rPr>
      </w:pPr>
    </w:p>
    <w:p>
      <w:pPr>
        <w:ind w:left="1620" w:hanging="601"/>
        <w:spacing w:after="0"/>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post-acquisition charges relating to the shares acquired pursuant to the stock options (within section 427 of ITEPA); and/or</w:t>
      </w:r>
    </w:p>
    <w:p>
      <w:pPr>
        <w:spacing w:after="0" w:line="184" w:lineRule="exact"/>
        <w:rPr>
          <w:rFonts w:ascii="Arial" w:cs="Arial" w:eastAsia="Arial" w:hAnsi="Arial"/>
          <w:sz w:val="18"/>
          <w:szCs w:val="18"/>
          <w:color w:val="auto"/>
        </w:rPr>
      </w:pPr>
    </w:p>
    <w:p>
      <w:pPr>
        <w:ind w:left="1620" w:hanging="546"/>
        <w:spacing w:after="0"/>
        <w:tabs>
          <w:tab w:leader="none" w:pos="1620" w:val="left"/>
        </w:tabs>
        <w:numPr>
          <w:ilvl w:val="1"/>
          <w:numId w:val="74"/>
        </w:numPr>
        <w:rPr>
          <w:rFonts w:ascii="Arial" w:cs="Arial" w:eastAsia="Arial" w:hAnsi="Arial"/>
          <w:sz w:val="19"/>
          <w:szCs w:val="19"/>
          <w:color w:val="auto"/>
        </w:rPr>
      </w:pPr>
      <w:r>
        <w:rPr>
          <w:rFonts w:ascii="Arial" w:cs="Arial" w:eastAsia="Arial" w:hAnsi="Arial"/>
          <w:sz w:val="19"/>
          <w:szCs w:val="19"/>
          <w:color w:val="auto"/>
        </w:rPr>
        <w:t>post-acquisition charges relating to the shares acquired pursuant to the stock options (within section 439 of ITEPA).</w:t>
      </w:r>
    </w:p>
    <w:p>
      <w:pPr>
        <w:spacing w:after="0" w:line="167" w:lineRule="exact"/>
        <w:rPr>
          <w:rFonts w:ascii="Arial" w:cs="Arial" w:eastAsia="Arial" w:hAnsi="Arial"/>
          <w:sz w:val="19"/>
          <w:szCs w:val="19"/>
          <w:color w:val="auto"/>
        </w:rPr>
      </w:pPr>
    </w:p>
    <w:p>
      <w:pPr>
        <w:ind w:left="1300" w:hanging="644"/>
        <w:spacing w:after="0"/>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ITEPA</w:t>
      </w:r>
      <w:r>
        <w:rPr>
          <w:rFonts w:ascii="Arial" w:cs="Arial" w:eastAsia="Arial" w:hAnsi="Arial"/>
          <w:sz w:val="20"/>
          <w:szCs w:val="20"/>
          <w:color w:val="auto"/>
        </w:rPr>
        <w:t>” means the Income Tax (Earnings and Pensions) Act 2003.</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SSCBA</w:t>
      </w:r>
      <w:r>
        <w:rPr>
          <w:rFonts w:ascii="Arial" w:cs="Arial" w:eastAsia="Arial" w:hAnsi="Arial"/>
          <w:sz w:val="20"/>
          <w:szCs w:val="20"/>
          <w:color w:val="auto"/>
        </w:rPr>
        <w:t>” means the Social Security Contributions and Benefits Act 1992.</w:t>
      </w:r>
    </w:p>
    <w:p>
      <w:pPr>
        <w:spacing w:after="0" w:line="168"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0"/>
          <w:szCs w:val="20"/>
          <w:color w:val="auto"/>
        </w:rPr>
        <w:t>1.3 This Election relates to the employer’s secondary Class 1 National Insurance Contributions (the “Employer’s Liability”) which may arise on the occurrence of a Chargeable Event in respect of the Awards pursuant to section 4(4)(a) and/or paragraph 3B(1A) of Schedule 1 of the SSCBA.</w:t>
      </w:r>
    </w:p>
    <w:p>
      <w:pPr>
        <w:spacing w:after="0" w:line="132" w:lineRule="exact"/>
        <w:rPr>
          <w:sz w:val="20"/>
          <w:szCs w:val="20"/>
          <w:color w:val="auto"/>
        </w:rPr>
      </w:pPr>
    </w:p>
    <w:p>
      <w:pPr>
        <w:ind w:left="660" w:right="640" w:hanging="647"/>
        <w:spacing w:after="0" w:line="250" w:lineRule="auto"/>
        <w:rPr>
          <w:sz w:val="20"/>
          <w:szCs w:val="20"/>
          <w:color w:val="auto"/>
        </w:rPr>
      </w:pPr>
      <w:r>
        <w:rPr>
          <w:rFonts w:ascii="Arial" w:cs="Arial" w:eastAsia="Arial" w:hAnsi="Arial"/>
          <w:sz w:val="20"/>
          <w:szCs w:val="20"/>
          <w:color w:val="auto"/>
        </w:rPr>
        <w:t>1.4 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Appendix D-2</w:t>
      </w:r>
    </w:p>
    <w:p>
      <w:pPr>
        <w:sectPr>
          <w:pgSz w:w="11900" w:h="16838" w:orient="portrait"/>
          <w:cols w:equalWidth="0" w:num="1">
            <w:col w:w="11420"/>
          </w:cols>
          <w:pgMar w:left="240" w:top="1413" w:right="239" w:bottom="1440" w:gutter="0" w:footer="0" w:header="0"/>
        </w:sectPr>
      </w:pPr>
    </w:p>
    <w:bookmarkStart w:id="123" w:name="page124"/>
    <w:bookmarkEnd w:id="123"/>
    <w:p>
      <w:pPr>
        <w:ind w:left="660" w:right="460" w:hanging="647"/>
        <w:spacing w:after="0" w:line="316" w:lineRule="auto"/>
        <w:rPr>
          <w:sz w:val="20"/>
          <w:szCs w:val="20"/>
          <w:color w:val="auto"/>
        </w:rPr>
      </w:pPr>
      <w:r>
        <w:rPr>
          <w:rFonts w:ascii="Arial" w:cs="Arial" w:eastAsia="Arial" w:hAnsi="Arial"/>
          <w:sz w:val="18"/>
          <w:szCs w:val="18"/>
          <w:color w:val="auto"/>
        </w:rPr>
        <w:t>1.5 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70"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The Election</w:t>
      </w:r>
    </w:p>
    <w:p>
      <w:pPr>
        <w:spacing w:after="0" w:line="167" w:lineRule="exact"/>
        <w:rPr>
          <w:rFonts w:ascii="Arial" w:cs="Arial" w:eastAsia="Arial" w:hAnsi="Arial"/>
          <w:sz w:val="20"/>
          <w:szCs w:val="20"/>
          <w:b w:val="1"/>
          <w:bCs w:val="1"/>
          <w:color w:val="auto"/>
        </w:rPr>
      </w:pPr>
    </w:p>
    <w:p>
      <w:pPr>
        <w:jc w:val="both"/>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Employee and the Company jointly elect that the entire liability of the Employer to pay the Employer’s Liability on the Chargeable Event is hereby transferred to the Employee. The Employee understands that, by signing or electronically accepting this Election, he or she will become personally liable for the Employer’s Liability covered by this Election. This Election is made in accordance with paragraph 3B(1) of Schedule 1 of the SSCBA.</w:t>
      </w:r>
    </w:p>
    <w:p>
      <w:pPr>
        <w:spacing w:after="0" w:line="131" w:lineRule="exact"/>
        <w:rPr>
          <w:rFonts w:ascii="Arial" w:cs="Arial" w:eastAsia="Arial" w:hAnsi="Arial"/>
          <w:sz w:val="20"/>
          <w:szCs w:val="20"/>
          <w:b w:val="1"/>
          <w:bCs w:val="1"/>
          <w:color w:val="auto"/>
        </w:rPr>
      </w:pPr>
    </w:p>
    <w:p>
      <w:pPr>
        <w:ind w:left="660" w:hanging="652"/>
        <w:spacing w:after="0"/>
        <w:tabs>
          <w:tab w:leader="none" w:pos="66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the Employer’s Liability</w:t>
      </w:r>
    </w:p>
    <w:p>
      <w:pPr>
        <w:spacing w:after="0" w:line="168" w:lineRule="exact"/>
        <w:rPr>
          <w:sz w:val="20"/>
          <w:szCs w:val="20"/>
          <w:color w:val="auto"/>
        </w:rPr>
      </w:pPr>
    </w:p>
    <w:p>
      <w:pPr>
        <w:ind w:left="660" w:hanging="647"/>
        <w:spacing w:after="0" w:line="260" w:lineRule="auto"/>
        <w:rPr>
          <w:sz w:val="20"/>
          <w:szCs w:val="20"/>
          <w:color w:val="auto"/>
        </w:rPr>
      </w:pPr>
      <w:r>
        <w:rPr>
          <w:rFonts w:ascii="Arial" w:cs="Arial" w:eastAsia="Arial" w:hAnsi="Arial"/>
          <w:sz w:val="20"/>
          <w:szCs w:val="20"/>
          <w:color w:val="auto"/>
        </w:rPr>
        <w:t>3.1 The Employee hereby authorizes the Company and/or the Employer to collect the Employer’s Liability from the Employee at any time after the Chargeable Event:</w:t>
      </w:r>
    </w:p>
    <w:p>
      <w:pPr>
        <w:spacing w:after="0" w:line="123" w:lineRule="exact"/>
        <w:rPr>
          <w:sz w:val="20"/>
          <w:szCs w:val="20"/>
          <w:color w:val="auto"/>
        </w:rPr>
      </w:pPr>
    </w:p>
    <w:p>
      <w:pPr>
        <w:ind w:left="1300" w:right="20" w:hanging="506"/>
        <w:spacing w:after="0" w:line="260" w:lineRule="auto"/>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by deduction from salary or any other payment payable to the Employee at any time on or after the date of the Chargeable Event; and/or</w:t>
      </w:r>
    </w:p>
    <w:p>
      <w:pPr>
        <w:spacing w:after="0" w:line="122" w:lineRule="exact"/>
        <w:rPr>
          <w:rFonts w:ascii="Arial" w:cs="Arial" w:eastAsia="Arial" w:hAnsi="Arial"/>
          <w:sz w:val="20"/>
          <w:szCs w:val="20"/>
          <w:color w:val="auto"/>
        </w:rPr>
      </w:pPr>
    </w:p>
    <w:p>
      <w:pPr>
        <w:ind w:left="1300" w:hanging="561"/>
        <w:spacing w:after="0"/>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directly from the Employee by payment in cash or cleared funds; and/or</w:t>
      </w:r>
    </w:p>
    <w:p>
      <w:pPr>
        <w:spacing w:after="0" w:line="161" w:lineRule="exact"/>
        <w:rPr>
          <w:rFonts w:ascii="Arial" w:cs="Arial" w:eastAsia="Arial" w:hAnsi="Arial"/>
          <w:sz w:val="20"/>
          <w:szCs w:val="20"/>
          <w:color w:val="auto"/>
        </w:rPr>
      </w:pPr>
    </w:p>
    <w:p>
      <w:pPr>
        <w:ind w:left="1300" w:hanging="616"/>
        <w:spacing w:after="0" w:line="260" w:lineRule="auto"/>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by arranging, on behalf of the Employee, for the sale of some of the securities which the Employee is entitled to receive in respect of the Awards; and/or</w:t>
      </w:r>
    </w:p>
    <w:p>
      <w:pPr>
        <w:spacing w:after="0" w:line="122" w:lineRule="exact"/>
        <w:rPr>
          <w:rFonts w:ascii="Arial" w:cs="Arial" w:eastAsia="Arial" w:hAnsi="Arial"/>
          <w:sz w:val="20"/>
          <w:szCs w:val="20"/>
          <w:color w:val="auto"/>
        </w:rPr>
      </w:pPr>
    </w:p>
    <w:p>
      <w:pPr>
        <w:ind w:left="1300" w:hanging="605"/>
        <w:spacing w:after="0"/>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by any other means specified in the applicable award agreement.</w:t>
      </w:r>
    </w:p>
    <w:p>
      <w:pPr>
        <w:spacing w:after="0" w:line="162" w:lineRule="exact"/>
        <w:rPr>
          <w:sz w:val="20"/>
          <w:szCs w:val="20"/>
          <w:color w:val="auto"/>
        </w:rPr>
      </w:pPr>
    </w:p>
    <w:p>
      <w:pPr>
        <w:ind w:left="660" w:hanging="647"/>
        <w:spacing w:after="0" w:line="260" w:lineRule="auto"/>
        <w:rPr>
          <w:sz w:val="20"/>
          <w:szCs w:val="20"/>
          <w:color w:val="auto"/>
        </w:rPr>
      </w:pPr>
      <w:r>
        <w:rPr>
          <w:rFonts w:ascii="Arial" w:cs="Arial" w:eastAsia="Arial" w:hAnsi="Arial"/>
          <w:sz w:val="20"/>
          <w:szCs w:val="20"/>
          <w:color w:val="auto"/>
        </w:rPr>
        <w:t>3.2 The Company hereby reserves for itself and the Company the right to withhold the transfer of any securities related to the Awards to the Employee until full payment of the Employer’s Liability is received.</w:t>
      </w:r>
    </w:p>
    <w:p>
      <w:pPr>
        <w:spacing w:after="0" w:line="123" w:lineRule="exact"/>
        <w:rPr>
          <w:sz w:val="20"/>
          <w:szCs w:val="20"/>
          <w:color w:val="auto"/>
        </w:rPr>
      </w:pPr>
    </w:p>
    <w:p>
      <w:pPr>
        <w:jc w:val="both"/>
        <w:ind w:left="660" w:right="100" w:hanging="647"/>
        <w:spacing w:after="0" w:line="250" w:lineRule="auto"/>
        <w:rPr>
          <w:sz w:val="20"/>
          <w:szCs w:val="20"/>
          <w:color w:val="auto"/>
        </w:rPr>
      </w:pPr>
      <w:r>
        <w:rPr>
          <w:rFonts w:ascii="Arial" w:cs="Arial" w:eastAsia="Arial" w:hAnsi="Arial"/>
          <w:sz w:val="20"/>
          <w:szCs w:val="20"/>
          <w:color w:val="auto"/>
        </w:rPr>
        <w:t xml:space="preserve">3.3 The Company agrees to remit the Employer’s Liability to HM Revenue &amp; Customs on behalf of the Employee within 14 days after the end of the UK tax month during which the Chargeable Event occurs (or </w:t>
      </w:r>
      <w:r>
        <w:rPr>
          <w:rFonts w:ascii="Arial" w:cs="Arial" w:eastAsia="Arial" w:hAnsi="Arial"/>
          <w:sz w:val="20"/>
          <w:szCs w:val="20"/>
          <w:u w:val="single" w:color="auto"/>
          <w:color w:val="auto"/>
        </w:rPr>
        <w:t>within</w:t>
      </w:r>
      <w:r>
        <w:rPr>
          <w:rFonts w:ascii="Arial" w:cs="Arial" w:eastAsia="Arial" w:hAnsi="Arial"/>
          <w:sz w:val="20"/>
          <w:szCs w:val="20"/>
          <w:color w:val="auto"/>
        </w:rPr>
        <w:t xml:space="preserve"> 17 days after the end of the UK tax month during which the Chargeable Event occurs if payments are made electronically).</w:t>
      </w:r>
    </w:p>
    <w:p>
      <w:pPr>
        <w:spacing w:after="0" w:line="126"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Duration of Election</w:t>
      </w:r>
    </w:p>
    <w:p>
      <w:pPr>
        <w:spacing w:after="0" w:line="168" w:lineRule="exact"/>
        <w:rPr>
          <w:sz w:val="20"/>
          <w:szCs w:val="20"/>
          <w:color w:val="auto"/>
        </w:rPr>
      </w:pPr>
    </w:p>
    <w:p>
      <w:pPr>
        <w:ind w:left="660" w:hanging="647"/>
        <w:spacing w:after="0" w:line="260" w:lineRule="auto"/>
        <w:rPr>
          <w:sz w:val="20"/>
          <w:szCs w:val="20"/>
          <w:color w:val="auto"/>
        </w:rPr>
      </w:pPr>
      <w:r>
        <w:rPr>
          <w:rFonts w:ascii="Arial" w:cs="Arial" w:eastAsia="Arial" w:hAnsi="Arial"/>
          <w:sz w:val="20"/>
          <w:szCs w:val="20"/>
          <w:color w:val="auto"/>
        </w:rPr>
        <w:t>4.1 The Employee and the Company agree to be bound by the terms of this Election regardless of whether the Employee is transferred abroad or is not employed by the Employer on the date on which the Employer’s Liability becomes due.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4.2 This Election will continue in effect until the earliest of the following:</w:t>
      </w:r>
    </w:p>
    <w:p>
      <w:pPr>
        <w:spacing w:after="0" w:line="162" w:lineRule="exact"/>
        <w:rPr>
          <w:sz w:val="20"/>
          <w:szCs w:val="20"/>
          <w:color w:val="auto"/>
        </w:rPr>
      </w:pPr>
    </w:p>
    <w:p>
      <w:pPr>
        <w:ind w:left="1300" w:hanging="506"/>
        <w:spacing w:after="0"/>
        <w:tabs>
          <w:tab w:leader="none" w:pos="13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Employee and the Company agree in writing that it should cease to have effect;</w:t>
      </w:r>
    </w:p>
    <w:p>
      <w:pPr>
        <w:spacing w:after="0" w:line="161" w:lineRule="exact"/>
        <w:rPr>
          <w:rFonts w:ascii="Arial" w:cs="Arial" w:eastAsia="Arial" w:hAnsi="Arial"/>
          <w:sz w:val="20"/>
          <w:szCs w:val="20"/>
          <w:color w:val="auto"/>
        </w:rPr>
      </w:pPr>
    </w:p>
    <w:p>
      <w:pPr>
        <w:ind w:left="1300" w:hanging="561"/>
        <w:spacing w:after="0"/>
        <w:tabs>
          <w:tab w:leader="none" w:pos="13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on the date the Company serves written notice on the Employee terminating its effect;</w:t>
      </w:r>
    </w:p>
    <w:p>
      <w:pPr>
        <w:spacing w:after="0" w:line="161" w:lineRule="exact"/>
        <w:rPr>
          <w:rFonts w:ascii="Arial" w:cs="Arial" w:eastAsia="Arial" w:hAnsi="Arial"/>
          <w:sz w:val="20"/>
          <w:szCs w:val="20"/>
          <w:color w:val="auto"/>
        </w:rPr>
      </w:pPr>
    </w:p>
    <w:p>
      <w:pPr>
        <w:ind w:left="1300" w:hanging="616"/>
        <w:spacing w:after="0"/>
        <w:tabs>
          <w:tab w:leader="none" w:pos="13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on the date HM Revenue &amp; Customs withdraws approval of this Election; or</w:t>
      </w:r>
    </w:p>
    <w:p>
      <w:pPr>
        <w:spacing w:after="0" w:line="161" w:lineRule="exact"/>
        <w:rPr>
          <w:rFonts w:ascii="Arial" w:cs="Arial" w:eastAsia="Arial" w:hAnsi="Arial"/>
          <w:sz w:val="20"/>
          <w:szCs w:val="20"/>
          <w:color w:val="auto"/>
        </w:rPr>
      </w:pPr>
    </w:p>
    <w:p>
      <w:pPr>
        <w:ind w:left="1300" w:hanging="605"/>
        <w:spacing w:after="0" w:line="260" w:lineRule="auto"/>
        <w:tabs>
          <w:tab w:leader="none" w:pos="13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after due payment of the Employer’s Liability in respect of the entirety of the Awards to which this Election relates or could relate, such that the Election ceases to have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D-3</w:t>
      </w:r>
    </w:p>
    <w:p>
      <w:pPr>
        <w:sectPr>
          <w:pgSz w:w="11900" w:h="16838" w:orient="portrait"/>
          <w:cols w:equalWidth="0" w:num="1">
            <w:col w:w="11420"/>
          </w:cols>
          <w:pgMar w:left="240" w:top="1419" w:right="23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color w:val="auto"/>
        </w:rPr>
        <w:t>4.3 This Election will continue in force regardless of whether the Employee ceases to be an employee of the Employer.</w:t>
      </w:r>
    </w:p>
    <w:p>
      <w:pPr>
        <w:spacing w:after="0" w:line="162"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the Awards in circumstances where section 483 ITEPA applies.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Acceptance by the Employee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The Employee acknowledges that, by clicking on the “ACCEPT” box, the Employee agrees to be bound by the terms of this Election.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Acceptance by Analog Devices, Inc.</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Signature for and on behalf of 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Kevin P. Lanouette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27305</wp:posOffset>
            </wp:positionV>
            <wp:extent cx="34220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4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Kevin P. Lanouette, Assistant General Counsel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Date: {</w:t>
      </w:r>
      <w:r>
        <w:rPr>
          <w:rFonts w:ascii="Arial" w:cs="Arial" w:eastAsia="Arial" w:hAnsi="Arial"/>
          <w:sz w:val="20"/>
          <w:szCs w:val="20"/>
          <w:i w:val="1"/>
          <w:iCs w:val="1"/>
          <w:color w:val="auto"/>
        </w:rPr>
        <w:t>Grant Date</w:t>
      </w:r>
      <w:r>
        <w:rPr>
          <w:rFonts w:ascii="Arial" w:cs="Arial" w:eastAsia="Arial" w:hAnsi="Arial"/>
          <w:sz w:val="20"/>
          <w:szCs w:val="20"/>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w:t>
      </w:r>
      <w:r>
        <w:rPr>
          <w:rFonts w:ascii="Arial" w:cs="Arial" w:eastAsia="Arial" w:hAnsi="Arial"/>
          <w:sz w:val="20"/>
          <w:szCs w:val="20"/>
          <w:i w:val="1"/>
          <w:iCs w:val="1"/>
          <w:color w:val="auto"/>
        </w:rPr>
        <w:t>Participant Name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Appendix D-4</w:t>
      </w:r>
    </w:p>
    <w:p>
      <w:pPr>
        <w:sectPr>
          <w:pgSz w:w="11900" w:h="16838" w:orient="portrait"/>
          <w:cols w:equalWidth="0" w:num="1">
            <w:col w:w="11420"/>
          </w:cols>
          <w:pgMar w:left="240" w:top="1419" w:right="239" w:bottom="1440" w:gutter="0" w:footer="0" w:header="0"/>
        </w:sectPr>
      </w:pPr>
    </w:p>
    <w:bookmarkStart w:id="125" w:name="page126"/>
    <w:bookmarkEnd w:id="125"/>
    <w:p>
      <w:pPr>
        <w:ind w:right="3060" w:firstLine="3781"/>
        <w:spacing w:after="0" w:line="411" w:lineRule="auto"/>
        <w:rPr>
          <w:sz w:val="20"/>
          <w:szCs w:val="20"/>
          <w:color w:val="auto"/>
        </w:rPr>
      </w:pPr>
      <w:r>
        <w:rPr>
          <w:rFonts w:ascii="Arial" w:cs="Arial" w:eastAsia="Arial" w:hAnsi="Arial"/>
          <w:sz w:val="20"/>
          <w:szCs w:val="20"/>
          <w:b w:val="1"/>
          <w:bCs w:val="1"/>
          <w:u w:val="single" w:color="auto"/>
          <w:color w:val="auto"/>
        </w:rPr>
        <w:t xml:space="preserve">SCHEDULE OF EMPLOYER COMPANIES </w:t>
      </w:r>
      <w:r>
        <w:rPr>
          <w:rFonts w:ascii="Arial" w:cs="Arial" w:eastAsia="Arial" w:hAnsi="Arial"/>
          <w:sz w:val="20"/>
          <w:szCs w:val="20"/>
          <w:color w:val="auto"/>
        </w:rPr>
        <w:t>The following are employer companies to which this Election may apply: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each company, provide the following details: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Analog Devices Limited</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5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Registered Office:</w:t>
            </w:r>
          </w:p>
        </w:tc>
        <w:tc>
          <w:tcPr>
            <w:tcW w:w="5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2"/>
              </w:rPr>
              <w:t>Unit 3 Horizon Business Village, 1 Brooklands Road, Weybridge,</w:t>
            </w:r>
          </w:p>
        </w:tc>
      </w:tr>
      <w:tr>
        <w:trPr>
          <w:trHeight w:val="250"/>
        </w:trPr>
        <w:tc>
          <w:tcPr>
            <w:tcW w:w="5320" w:type="dxa"/>
            <w:vAlign w:val="bottom"/>
            <w:tcBorders>
              <w:left w:val="single" w:sz="8" w:color="auto"/>
              <w:right w:val="single" w:sz="8" w:color="auto"/>
            </w:tcBorders>
          </w:tcPr>
          <w:p>
            <w:pPr>
              <w:spacing w:after="0"/>
              <w:rPr>
                <w:sz w:val="21"/>
                <w:szCs w:val="21"/>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Surrey, KT13 OTJ</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Company Registration Number:</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00895439</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Corporation Tax Reference: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6873689030216A</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PAYE Reference: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120/A4055</w:t>
            </w:r>
          </w:p>
        </w:tc>
      </w:tr>
      <w:tr>
        <w:trPr>
          <w:trHeight w:val="30"/>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801"/>
        </w:trPr>
        <w:tc>
          <w:tcPr>
            <w:tcW w:w="5320" w:type="dxa"/>
            <w:vAlign w:val="bottom"/>
          </w:tcPr>
          <w:p>
            <w:pPr>
              <w:spacing w:after="0"/>
              <w:rPr>
                <w:sz w:val="20"/>
                <w:szCs w:val="20"/>
                <w:color w:val="auto"/>
              </w:rPr>
            </w:pPr>
            <w:r>
              <w:rPr>
                <w:rFonts w:ascii="Arial" w:cs="Arial" w:eastAsia="Arial" w:hAnsi="Arial"/>
                <w:sz w:val="20"/>
                <w:szCs w:val="20"/>
                <w:color w:val="auto"/>
              </w:rPr>
              <w:t>Linear Technology (UK) Limited</w:t>
            </w:r>
          </w:p>
        </w:tc>
        <w:tc>
          <w:tcPr>
            <w:tcW w:w="5380" w:type="dxa"/>
            <w:vAlign w:val="bottom"/>
          </w:tcPr>
          <w:p>
            <w:pPr>
              <w:spacing w:after="0"/>
              <w:rPr>
                <w:sz w:val="24"/>
                <w:szCs w:val="24"/>
                <w:color w:val="auto"/>
              </w:rPr>
            </w:pPr>
          </w:p>
        </w:tc>
      </w:tr>
      <w:tr>
        <w:trPr>
          <w:trHeight w:val="192"/>
        </w:trPr>
        <w:tc>
          <w:tcPr>
            <w:tcW w:w="532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tcPr>
          <w:p>
            <w:pPr>
              <w:spacing w:after="0"/>
              <w:rPr>
                <w:sz w:val="16"/>
                <w:szCs w:val="16"/>
                <w:color w:val="auto"/>
              </w:rPr>
            </w:pPr>
          </w:p>
        </w:tc>
      </w:tr>
      <w:tr>
        <w:trPr>
          <w:trHeight w:val="261"/>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Registered Office: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3 The Listons, Liston Road, Marlow, Buckinghamshire, SL7 1FD</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Company Registration Number:</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02149602</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Corporation Tax Reference: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120PA00148447</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PAYE Reference: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120/L30589</w:t>
            </w:r>
          </w:p>
        </w:tc>
      </w:tr>
      <w:tr>
        <w:trPr>
          <w:trHeight w:val="30"/>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Appendix D-5</w:t>
      </w:r>
    </w:p>
    <w:p>
      <w:pPr>
        <w:sectPr>
          <w:pgSz w:w="11900" w:h="16838" w:orient="portrait"/>
          <w:cols w:equalWidth="0" w:num="1">
            <w:col w:w="10700"/>
          </w:cols>
          <w:pgMar w:left="240" w:top="1413" w:right="95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Private &amp; Confidential (Addressee Only)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Participant Name}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{Employee ID</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Grant ID: {</w:t>
      </w:r>
      <w:r>
        <w:rPr>
          <w:rFonts w:ascii="Arial" w:cs="Arial" w:eastAsia="Arial" w:hAnsi="Arial"/>
          <w:sz w:val="20"/>
          <w:szCs w:val="20"/>
          <w:i w:val="1"/>
          <w:iCs w:val="1"/>
          <w:color w:val="auto"/>
        </w:rPr>
        <w:t>Client Grant ID</w:t>
      </w:r>
      <w:r>
        <w:rPr>
          <w:rFonts w:ascii="Arial" w:cs="Arial" w:eastAsia="Arial" w:hAnsi="Arial"/>
          <w:sz w:val="20"/>
          <w:szCs w:val="20"/>
          <w:color w:val="auto"/>
        </w:rPr>
        <w:t>}</w:t>
      </w: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2020 Stock Incentive Plan (the “Plan”) and this Global Restricted Stock Unit Agreement, including Appendix A, which includes any applicable country-specific provisions. This Global Restricted Stock Unit Agreement, together with Appendix A, is referred to as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125"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 Unit</w:t>
      </w:r>
      <w:r>
        <w:rPr>
          <w:rFonts w:ascii="Arial" w:cs="Arial" w:eastAsia="Arial" w:hAnsi="Arial"/>
          <w:sz w:val="20"/>
          <w:szCs w:val="20"/>
          <w:color w:val="auto"/>
        </w:rPr>
        <w:t>.</w:t>
      </w:r>
    </w:p>
    <w:p>
      <w:pPr>
        <w:spacing w:after="0" w:line="162" w:lineRule="exact"/>
        <w:rPr>
          <w:sz w:val="20"/>
          <w:szCs w:val="20"/>
          <w:color w:val="auto"/>
        </w:rPr>
      </w:pPr>
    </w:p>
    <w:p>
      <w:pPr>
        <w:jc w:val="both"/>
        <w:ind w:left="340"/>
        <w:spacing w:after="0" w:line="260" w:lineRule="auto"/>
        <w:rPr>
          <w:sz w:val="20"/>
          <w:szCs w:val="20"/>
          <w:color w:val="auto"/>
        </w:rPr>
      </w:pPr>
      <w:r>
        <w:rPr>
          <w:rFonts w:ascii="Arial" w:cs="Arial" w:eastAsia="Arial" w:hAnsi="Arial"/>
          <w:sz w:val="20"/>
          <w:szCs w:val="20"/>
          <w:color w:val="auto"/>
        </w:rPr>
        <w:t>Subject to the terms and conditions of the Plan and this Agreement, the Company has granted to the Participant that number of RSUs (the “Award”) effective on the Date of Grant set forth below:</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0000CC"/>
        </w:rPr>
        <w:t>Date of Grant: {</w:t>
      </w:r>
      <w:r>
        <w:rPr>
          <w:rFonts w:ascii="Arial" w:cs="Arial" w:eastAsia="Arial" w:hAnsi="Arial"/>
          <w:sz w:val="20"/>
          <w:szCs w:val="20"/>
          <w:b w:val="1"/>
          <w:bCs w:val="1"/>
          <w:i w:val="1"/>
          <w:iCs w:val="1"/>
          <w:color w:val="0000CC"/>
        </w:rPr>
        <w:t>Grant Date</w:t>
      </w:r>
      <w:r>
        <w:rPr>
          <w:rFonts w:ascii="Arial" w:cs="Arial" w:eastAsia="Arial" w:hAnsi="Arial"/>
          <w:sz w:val="20"/>
          <w:szCs w:val="20"/>
          <w:b w:val="1"/>
          <w:bCs w:val="1"/>
          <w:color w:val="0000CC"/>
        </w:rPr>
        <w: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0000CC"/>
        </w:rPr>
        <w:t>Number of RSUs: {</w:t>
      </w:r>
      <w:r>
        <w:rPr>
          <w:rFonts w:ascii="Arial" w:cs="Arial" w:eastAsia="Arial" w:hAnsi="Arial"/>
          <w:sz w:val="20"/>
          <w:szCs w:val="20"/>
          <w:b w:val="1"/>
          <w:bCs w:val="1"/>
          <w:i w:val="1"/>
          <w:iCs w:val="1"/>
          <w:color w:val="0000CC"/>
        </w:rPr>
        <w:t>Number of Awards Granted</w:t>
      </w:r>
      <w:r>
        <w:rPr>
          <w:rFonts w:ascii="Arial" w:cs="Arial" w:eastAsia="Arial" w:hAnsi="Arial"/>
          <w:sz w:val="20"/>
          <w:szCs w:val="20"/>
          <w:b w:val="1"/>
          <w:bCs w:val="1"/>
          <w:color w:val="0000CC"/>
        </w:rPr>
        <w:t>}</w:t>
      </w:r>
    </w:p>
    <w:p>
      <w:pPr>
        <w:ind w:left="660"/>
        <w:spacing w:after="0"/>
        <w:rPr>
          <w:sz w:val="20"/>
          <w:szCs w:val="20"/>
          <w:color w:val="auto"/>
        </w:rPr>
      </w:pPr>
      <w:r>
        <w:rPr>
          <w:rFonts w:ascii="Arial" w:cs="Arial" w:eastAsia="Arial" w:hAnsi="Arial"/>
          <w:sz w:val="20"/>
          <w:szCs w:val="20"/>
          <w:b w:val="1"/>
          <w:bCs w:val="1"/>
          <w:color w:val="0000CC"/>
        </w:rPr>
        <w:t>Vesting Dates: {</w:t>
      </w:r>
      <w:r>
        <w:rPr>
          <w:rFonts w:ascii="Arial" w:cs="Arial" w:eastAsia="Arial" w:hAnsi="Arial"/>
          <w:sz w:val="20"/>
          <w:szCs w:val="20"/>
          <w:b w:val="1"/>
          <w:bCs w:val="1"/>
          <w:i w:val="1"/>
          <w:iCs w:val="1"/>
          <w:color w:val="0000CC"/>
        </w:rPr>
        <w:t>Vesting Schedule</w:t>
      </w:r>
      <w:r>
        <w:rPr>
          <w:rFonts w:ascii="Arial" w:cs="Arial" w:eastAsia="Arial" w:hAnsi="Arial"/>
          <w:sz w:val="20"/>
          <w:szCs w:val="20"/>
          <w:b w:val="1"/>
          <w:bCs w:val="1"/>
          <w:color w:val="0000CC"/>
        </w:rPr>
        <w:t>}</w:t>
      </w:r>
    </w:p>
    <w:p>
      <w:pPr>
        <w:spacing w:after="0" w:line="227" w:lineRule="exact"/>
        <w:rPr>
          <w:sz w:val="20"/>
          <w:szCs w:val="20"/>
          <w:color w:val="auto"/>
        </w:rPr>
      </w:pPr>
    </w:p>
    <w:p>
      <w:pPr>
        <w:jc w:val="both"/>
        <w:ind w:left="340"/>
        <w:spacing w:after="0" w:line="260" w:lineRule="auto"/>
        <w:rPr>
          <w:sz w:val="20"/>
          <w:szCs w:val="20"/>
          <w:color w:val="auto"/>
        </w:rPr>
      </w:pPr>
      <w:r>
        <w:rPr>
          <w:rFonts w:ascii="Arial" w:cs="Arial" w:eastAsia="Arial" w:hAnsi="Arial"/>
          <w:sz w:val="19"/>
          <w:szCs w:val="19"/>
          <w:color w:val="auto"/>
        </w:rPr>
        <w:t xml:space="preserve">If the Participant resides in Australia, Canada, a European Economic Area or European Union member state, Hong Kong, India, Israel, Japan, Serbia, Switzerland, Taiwan, or Turkey, due to local legal requirements the Participant </w:t>
      </w:r>
      <w:r>
        <w:rPr>
          <w:rFonts w:ascii="Arial" w:cs="Arial" w:eastAsia="Arial" w:hAnsi="Arial"/>
          <w:sz w:val="19"/>
          <w:szCs w:val="19"/>
          <w:b w:val="1"/>
          <w:bCs w:val="1"/>
          <w:i w:val="1"/>
          <w:iCs w:val="1"/>
          <w:color w:val="auto"/>
        </w:rPr>
        <w:t>must accept</w:t>
      </w:r>
      <w:r>
        <w:rPr>
          <w:rFonts w:ascii="Arial" w:cs="Arial" w:eastAsia="Arial" w:hAnsi="Arial"/>
          <w:sz w:val="19"/>
          <w:szCs w:val="19"/>
          <w:color w:val="auto"/>
        </w:rPr>
        <w:t xml:space="preserve"> this Agreement no later than {</w:t>
      </w:r>
      <w:r>
        <w:rPr>
          <w:rFonts w:ascii="Arial" w:cs="Arial" w:eastAsia="Arial" w:hAnsi="Arial"/>
          <w:sz w:val="19"/>
          <w:szCs w:val="19"/>
          <w:i w:val="1"/>
          <w:iCs w:val="1"/>
          <w:color w:val="auto"/>
        </w:rPr>
        <w:t>Grant Custom 4</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this Award shall terminate and will become null and void</w:t>
      </w:r>
      <w:r>
        <w:rPr>
          <w:rFonts w:ascii="Arial" w:cs="Arial" w:eastAsia="Arial" w:hAnsi="Arial"/>
          <w:sz w:val="19"/>
          <w:szCs w:val="19"/>
          <w:color w:val="auto"/>
        </w:rPr>
        <w:t>. For purposes of this Agreement, the Participant is deemed to reside in the country where his or her Employer is located. In addition, if the Participant resides in Israel, written consent may be required by {</w:t>
      </w:r>
      <w:r>
        <w:rPr>
          <w:rFonts w:ascii="Arial" w:cs="Arial" w:eastAsia="Arial" w:hAnsi="Arial"/>
          <w:sz w:val="19"/>
          <w:szCs w:val="19"/>
          <w:i w:val="1"/>
          <w:iCs w:val="1"/>
          <w:color w:val="auto"/>
        </w:rPr>
        <w:t>Grant Custom 3</w:t>
      </w:r>
      <w:r>
        <w:rPr>
          <w:rFonts w:ascii="Arial" w:cs="Arial" w:eastAsia="Arial" w:hAnsi="Arial"/>
          <w:sz w:val="19"/>
          <w:szCs w:val="19"/>
          <w:color w:val="auto"/>
        </w:rPr>
        <w:t>}, the Participant should refer to Appendix A for details.</w:t>
      </w:r>
    </w:p>
    <w:p>
      <w:pPr>
        <w:spacing w:after="0" w:line="127" w:lineRule="exact"/>
        <w:rPr>
          <w:sz w:val="20"/>
          <w:szCs w:val="20"/>
          <w:color w:val="auto"/>
        </w:rPr>
      </w:pPr>
    </w:p>
    <w:p>
      <w:pPr>
        <w:jc w:val="both"/>
        <w:ind w:left="340"/>
        <w:spacing w:after="0" w:line="246" w:lineRule="auto"/>
        <w:rPr>
          <w:sz w:val="20"/>
          <w:szCs w:val="20"/>
          <w:color w:val="auto"/>
        </w:rPr>
      </w:pPr>
      <w:r>
        <w:rPr>
          <w:rFonts w:ascii="Arial" w:cs="Arial" w:eastAsia="Arial" w:hAnsi="Arial"/>
          <w:sz w:val="20"/>
          <w:szCs w:val="20"/>
          <w:color w:val="auto"/>
        </w:rPr>
        <w:t>If the Participant resides in the United States or any other country listed in Appendix A and does not accept this Agreement by {</w:t>
      </w:r>
      <w:r>
        <w:rPr>
          <w:rFonts w:ascii="Arial" w:cs="Arial" w:eastAsia="Arial" w:hAnsi="Arial"/>
          <w:sz w:val="20"/>
          <w:szCs w:val="20"/>
          <w:i w:val="1"/>
          <w:iCs w:val="1"/>
          <w:color w:val="auto"/>
        </w:rPr>
        <w:t>Grant</w:t>
      </w:r>
      <w:r>
        <w:rPr>
          <w:rFonts w:ascii="Arial" w:cs="Arial" w:eastAsia="Arial" w:hAnsi="Arial"/>
          <w:sz w:val="20"/>
          <w:szCs w:val="20"/>
          <w:color w:val="auto"/>
        </w:rPr>
        <w:t xml:space="preserve"> </w:t>
      </w:r>
      <w:r>
        <w:rPr>
          <w:rFonts w:ascii="Arial" w:cs="Arial" w:eastAsia="Arial" w:hAnsi="Arial"/>
          <w:sz w:val="20"/>
          <w:szCs w:val="20"/>
          <w:i w:val="1"/>
          <w:iCs w:val="1"/>
          <w:color w:val="auto"/>
        </w:rPr>
        <w:t>Custom 4</w:t>
      </w:r>
      <w:r>
        <w:rPr>
          <w:rFonts w:ascii="Arial" w:cs="Arial" w:eastAsia="Arial" w:hAnsi="Arial"/>
          <w:sz w:val="20"/>
          <w:szCs w:val="20"/>
          <w:color w:val="auto"/>
        </w:rPr>
        <w:t>}, or such other date that may be communicated, the Company will automatically accept the Agreement on the Participant’s</w:t>
      </w:r>
      <w:r>
        <w:rPr>
          <w:rFonts w:ascii="Arial" w:cs="Arial" w:eastAsia="Arial" w:hAnsi="Arial"/>
          <w:sz w:val="20"/>
          <w:szCs w:val="20"/>
          <w:i w:val="1"/>
          <w:iCs w:val="1"/>
          <w:color w:val="auto"/>
        </w:rPr>
        <w:t xml:space="preserve"> </w:t>
      </w:r>
      <w:r>
        <w:rPr>
          <w:rFonts w:ascii="Arial" w:cs="Arial" w:eastAsia="Arial" w:hAnsi="Arial"/>
          <w:sz w:val="20"/>
          <w:szCs w:val="20"/>
          <w:color w:val="auto"/>
        </w:rPr>
        <w:t>behalf. If the Participant declines this Agreement, this Award shall terminate and will become null and void. The Participant may not decline this Agreement on or after {</w:t>
      </w:r>
      <w:r>
        <w:rPr>
          <w:rFonts w:ascii="Arial" w:cs="Arial" w:eastAsia="Arial" w:hAnsi="Arial"/>
          <w:sz w:val="20"/>
          <w:szCs w:val="20"/>
          <w:i w:val="1"/>
          <w:iCs w:val="1"/>
          <w:color w:val="auto"/>
        </w:rPr>
        <w:t>Grant Custom 4</w:t>
      </w:r>
      <w:r>
        <w:rPr>
          <w:rFonts w:ascii="Arial" w:cs="Arial" w:eastAsia="Arial" w:hAnsi="Arial"/>
          <w:sz w:val="20"/>
          <w:szCs w:val="20"/>
          <w:color w:val="auto"/>
        </w:rPr>
        <w:t>}.</w:t>
      </w:r>
    </w:p>
    <w:p>
      <w:pPr>
        <w:spacing w:after="0" w:line="138" w:lineRule="exact"/>
        <w:rPr>
          <w:sz w:val="20"/>
          <w:szCs w:val="20"/>
          <w:color w:val="auto"/>
        </w:rPr>
      </w:pPr>
    </w:p>
    <w:p>
      <w:pPr>
        <w:jc w:val="both"/>
        <w:ind w:left="340"/>
        <w:spacing w:after="0" w:line="246" w:lineRule="auto"/>
        <w:rPr>
          <w:sz w:val="20"/>
          <w:szCs w:val="20"/>
          <w:color w:val="auto"/>
        </w:rPr>
      </w:pPr>
      <w:r>
        <w:rPr>
          <w:rFonts w:ascii="Arial" w:cs="Arial" w:eastAsia="Arial" w:hAnsi="Arial"/>
          <w:sz w:val="20"/>
          <w:szCs w:val="20"/>
          <w:color w:val="auto"/>
        </w:rPr>
        <w:t>Each one (1) RSU shall, if and when it vests in accordance with this Agreement,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6" w:right="239" w:bottom="1440" w:gutter="0" w:footer="0" w:header="0"/>
        </w:sectPr>
      </w:pPr>
    </w:p>
    <w:bookmarkStart w:id="127" w:name="page128"/>
    <w:bookmarkEnd w:id="127"/>
    <w:p>
      <w:pPr>
        <w:ind w:left="340" w:hanging="332"/>
        <w:spacing w:after="0"/>
        <w:tabs>
          <w:tab w:leader="none" w:pos="34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Vesting and Conversion</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660" w:hanging="328"/>
        <w:spacing w:after="0" w:line="309" w:lineRule="auto"/>
        <w:tabs>
          <w:tab w:leader="none" w:pos="650" w:val="left"/>
        </w:tabs>
        <w:numPr>
          <w:ilvl w:val="1"/>
          <w:numId w:val="80"/>
        </w:numPr>
        <w:rPr>
          <w:rFonts w:ascii="Arial" w:cs="Arial" w:eastAsia="Arial" w:hAnsi="Arial"/>
          <w:sz w:val="16"/>
          <w:szCs w:val="16"/>
          <w:color w:val="auto"/>
        </w:rPr>
      </w:pPr>
      <w:r>
        <w:rPr>
          <w:rFonts w:ascii="Arial" w:cs="Arial" w:eastAsia="Arial" w:hAnsi="Arial"/>
          <w:sz w:val="16"/>
          <w:szCs w:val="16"/>
          <w:color w:val="auto"/>
        </w:rPr>
        <w:t>Subject to the terms of the Plan and this Agreement, the RSUs shall vest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326" w:lineRule="exact"/>
        <w:rPr>
          <w:rFonts w:ascii="Arial" w:cs="Arial" w:eastAsia="Arial" w:hAnsi="Arial"/>
          <w:sz w:val="16"/>
          <w:szCs w:val="16"/>
          <w:color w:val="auto"/>
        </w:rPr>
      </w:pPr>
    </w:p>
    <w:p>
      <w:pPr>
        <w:jc w:val="both"/>
        <w:ind w:left="660" w:hanging="328"/>
        <w:spacing w:after="0" w:line="282" w:lineRule="auto"/>
        <w:tabs>
          <w:tab w:leader="none" w:pos="648"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event the Participant’s employment with the Company or the Employer (as defined in Section 2(e))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07" w:lineRule="exact"/>
        <w:rPr>
          <w:rFonts w:ascii="Arial" w:cs="Arial" w:eastAsia="Arial" w:hAnsi="Arial"/>
          <w:sz w:val="18"/>
          <w:szCs w:val="18"/>
          <w:color w:val="auto"/>
        </w:rPr>
      </w:pPr>
    </w:p>
    <w:p>
      <w:pPr>
        <w:ind w:left="660" w:hanging="328"/>
        <w:spacing w:after="0" w:line="260" w:lineRule="auto"/>
        <w:tabs>
          <w:tab w:leader="none" w:pos="650" w:val="left"/>
        </w:tabs>
        <w:numPr>
          <w:ilvl w:val="1"/>
          <w:numId w:val="80"/>
        </w:numPr>
        <w:rPr>
          <w:rFonts w:ascii="Arial" w:cs="Arial" w:eastAsia="Arial" w:hAnsi="Arial"/>
          <w:sz w:val="20"/>
          <w:szCs w:val="20"/>
          <w:color w:val="auto"/>
        </w:rPr>
      </w:pPr>
      <w:r>
        <w:rPr>
          <w:rFonts w:ascii="Arial" w:cs="Arial" w:eastAsia="Arial" w:hAnsi="Arial"/>
          <w:sz w:val="20"/>
          <w:szCs w:val="20"/>
          <w:color w:val="auto"/>
        </w:rPr>
        <w:t xml:space="preserve">In the event the Participant’s employment with the Company or the Employer is terminated by reason of the Participant’s </w:t>
      </w:r>
      <w:r>
        <w:rPr>
          <w:rFonts w:ascii="Arial" w:cs="Arial" w:eastAsia="Arial" w:hAnsi="Arial"/>
          <w:sz w:val="20"/>
          <w:szCs w:val="20"/>
          <w:u w:val="single" w:color="auto"/>
          <w:color w:val="auto"/>
        </w:rPr>
        <w:t>death</w:t>
      </w:r>
      <w:r>
        <w:rPr>
          <w:rFonts w:ascii="Arial" w:cs="Arial" w:eastAsia="Arial" w:hAnsi="Arial"/>
          <w:sz w:val="20"/>
          <w:szCs w:val="20"/>
          <w:color w:val="auto"/>
        </w:rPr>
        <w:t>, all Unvested RSUs shall vest in full as of the date of the Participant’s death.</w:t>
      </w:r>
    </w:p>
    <w:p>
      <w:pPr>
        <w:spacing w:after="0" w:line="122" w:lineRule="exact"/>
        <w:rPr>
          <w:rFonts w:ascii="Arial" w:cs="Arial" w:eastAsia="Arial" w:hAnsi="Arial"/>
          <w:sz w:val="20"/>
          <w:szCs w:val="20"/>
          <w:color w:val="auto"/>
        </w:rPr>
      </w:pPr>
    </w:p>
    <w:p>
      <w:pPr>
        <w:jc w:val="both"/>
        <w:ind w:left="660" w:hanging="328"/>
        <w:spacing w:after="0" w:line="260" w:lineRule="auto"/>
        <w:tabs>
          <w:tab w:leader="none" w:pos="648"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In the event the Participant becomes </w:t>
      </w:r>
      <w:r>
        <w:rPr>
          <w:rFonts w:ascii="Arial" w:cs="Arial" w:eastAsia="Arial" w:hAnsi="Arial"/>
          <w:sz w:val="19"/>
          <w:szCs w:val="19"/>
          <w:u w:val="single" w:color="auto"/>
          <w:color w:val="auto"/>
        </w:rPr>
        <w:t>Disabled</w:t>
      </w:r>
      <w:r>
        <w:rPr>
          <w:rFonts w:ascii="Arial" w:cs="Arial" w:eastAsia="Arial" w:hAnsi="Arial"/>
          <w:sz w:val="19"/>
          <w:szCs w:val="19"/>
          <w:color w:val="auto"/>
        </w:rPr>
        <w:t>, regardless of whether the Participant terminates employment with the Company or the Employer, all Unvested RSUs shall vest in full as of the date the Participant is determined to be Disabled. “Disabled” with respect to the Participant means, when and if, as a result of disease, injury or mental disorder, the Participant is incapable of engaging in regular service or occupation with the Company or the Employer (as defined in paragraph (e)) which has lasted or can be expected to last for a continuous period of not less than 12 months, as determined by the Company.</w:t>
      </w:r>
    </w:p>
    <w:p>
      <w:pPr>
        <w:spacing w:after="0" w:line="126" w:lineRule="exact"/>
        <w:rPr>
          <w:rFonts w:ascii="Arial" w:cs="Arial" w:eastAsia="Arial" w:hAnsi="Arial"/>
          <w:sz w:val="19"/>
          <w:szCs w:val="19"/>
          <w:color w:val="auto"/>
        </w:rPr>
      </w:pPr>
    </w:p>
    <w:p>
      <w:pPr>
        <w:jc w:val="both"/>
        <w:ind w:left="660" w:hanging="328"/>
        <w:spacing w:after="0" w:line="259" w:lineRule="auto"/>
        <w:tabs>
          <w:tab w:leader="none" w:pos="650" w:val="left"/>
        </w:tabs>
        <w:numPr>
          <w:ilvl w:val="1"/>
          <w:numId w:val="80"/>
        </w:numPr>
        <w:rPr>
          <w:rFonts w:ascii="Arial" w:cs="Arial" w:eastAsia="Arial" w:hAnsi="Arial"/>
          <w:sz w:val="19"/>
          <w:szCs w:val="19"/>
          <w:color w:val="auto"/>
        </w:rPr>
      </w:pPr>
      <w:r>
        <w:rPr>
          <w:rFonts w:ascii="Arial" w:cs="Arial" w:eastAsia="Arial" w:hAnsi="Arial"/>
          <w:sz w:val="19"/>
          <w:szCs w:val="19"/>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419" w:right="239" w:bottom="1440" w:gutter="0" w:footer="0" w:header="0"/>
        </w:sectPr>
      </w:pPr>
    </w:p>
    <w:bookmarkStart w:id="128" w:name="page129"/>
    <w:bookmarkEnd w:id="128"/>
    <w:p>
      <w:pPr>
        <w:ind w:left="340" w:hanging="332"/>
        <w:spacing w:after="0"/>
        <w:tabs>
          <w:tab w:leader="none" w:pos="34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Participant shall not sell, assign, transfer, pledge or otherwise encumber any RSUs, either voluntarily or by operation of law.</w:t>
      </w:r>
    </w:p>
    <w:p>
      <w:pPr>
        <w:spacing w:after="0" w:line="173" w:lineRule="exact"/>
        <w:rPr>
          <w:rFonts w:ascii="Arial" w:cs="Arial" w:eastAsia="Arial" w:hAnsi="Arial"/>
          <w:sz w:val="19"/>
          <w:szCs w:val="19"/>
          <w:color w:val="auto"/>
        </w:rPr>
      </w:pPr>
    </w:p>
    <w:p>
      <w:pPr>
        <w:jc w:val="both"/>
        <w:ind w:left="660" w:hanging="328"/>
        <w:spacing w:after="0" w:line="250" w:lineRule="auto"/>
        <w:tabs>
          <w:tab w:leader="none" w:pos="648"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32" w:lineRule="exact"/>
        <w:rPr>
          <w:rFonts w:ascii="Arial" w:cs="Arial" w:eastAsia="Arial" w:hAnsi="Arial"/>
          <w:sz w:val="20"/>
          <w:szCs w:val="20"/>
          <w:color w:val="auto"/>
        </w:rPr>
      </w:pPr>
    </w:p>
    <w:p>
      <w:pPr>
        <w:jc w:val="both"/>
        <w:ind w:left="340" w:hanging="332"/>
        <w:spacing w:after="0" w:line="244" w:lineRule="auto"/>
        <w:tabs>
          <w:tab w:leader="none" w:pos="34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Not a Shareholder</w:t>
      </w:r>
      <w:r>
        <w:rPr>
          <w:rFonts w:ascii="Arial" w:cs="Arial" w:eastAsia="Arial" w:hAnsi="Arial"/>
          <w:sz w:val="20"/>
          <w:szCs w:val="20"/>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40" w:lineRule="exact"/>
        <w:rPr>
          <w:rFonts w:ascii="Arial" w:cs="Arial" w:eastAsia="Arial" w:hAnsi="Arial"/>
          <w:sz w:val="20"/>
          <w:szCs w:val="20"/>
          <w:color w:val="auto"/>
        </w:rPr>
      </w:pPr>
    </w:p>
    <w:p>
      <w:pPr>
        <w:jc w:val="both"/>
        <w:ind w:left="340" w:hanging="332"/>
        <w:spacing w:after="0" w:line="260" w:lineRule="auto"/>
        <w:tabs>
          <w:tab w:leader="none" w:pos="34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Provisions of the Plan</w:t>
      </w:r>
      <w:r>
        <w:rPr>
          <w:rFonts w:ascii="Arial" w:cs="Arial" w:eastAsia="Arial" w:hAnsi="Arial"/>
          <w:sz w:val="19"/>
          <w:szCs w:val="19"/>
          <w:color w:val="auto"/>
        </w:rPr>
        <w:t>. The RSUs and Shares, including the grant and issuance thereof, are subject to the provisions of the 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26" w:lineRule="exact"/>
        <w:rPr>
          <w:rFonts w:ascii="Arial" w:cs="Arial" w:eastAsia="Arial" w:hAnsi="Arial"/>
          <w:sz w:val="19"/>
          <w:szCs w:val="19"/>
          <w:color w:val="auto"/>
        </w:rPr>
      </w:pPr>
    </w:p>
    <w:p>
      <w:pPr>
        <w:ind w:left="340" w:hanging="332"/>
        <w:spacing w:after="0"/>
        <w:tabs>
          <w:tab w:leader="none" w:pos="34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Withholding Taxes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660" w:hanging="328"/>
        <w:spacing w:after="0" w:line="255" w:lineRule="auto"/>
        <w:tabs>
          <w:tab w:leader="none" w:pos="650" w:val="left"/>
        </w:tabs>
        <w:numPr>
          <w:ilvl w:val="1"/>
          <w:numId w:val="81"/>
        </w:numPr>
        <w:rPr>
          <w:rFonts w:ascii="Arial" w:cs="Arial" w:eastAsia="Arial" w:hAnsi="Arial"/>
          <w:sz w:val="19"/>
          <w:szCs w:val="19"/>
          <w:color w:val="auto"/>
        </w:rPr>
      </w:pPr>
      <w:r>
        <w:rPr>
          <w:rFonts w:ascii="Arial" w:cs="Arial" w:eastAsia="Arial" w:hAnsi="Arial"/>
          <w:sz w:val="19"/>
          <w:szCs w:val="19"/>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31" w:lineRule="exact"/>
        <w:rPr>
          <w:rFonts w:ascii="Arial" w:cs="Arial" w:eastAsia="Arial" w:hAnsi="Arial"/>
          <w:sz w:val="19"/>
          <w:szCs w:val="19"/>
          <w:color w:val="auto"/>
        </w:rPr>
      </w:pPr>
    </w:p>
    <w:p>
      <w:pPr>
        <w:jc w:val="both"/>
        <w:ind w:left="660" w:hanging="328"/>
        <w:spacing w:after="0" w:line="246" w:lineRule="auto"/>
        <w:tabs>
          <w:tab w:leader="none" w:pos="648" w:val="left"/>
        </w:tabs>
        <w:numPr>
          <w:ilvl w:val="1"/>
          <w:numId w:val="81"/>
        </w:numPr>
        <w:rPr>
          <w:rFonts w:ascii="Arial" w:cs="Arial" w:eastAsia="Arial" w:hAnsi="Arial"/>
          <w:sz w:val="20"/>
          <w:szCs w:val="20"/>
          <w:color w:val="auto"/>
        </w:rPr>
      </w:pPr>
      <w:r>
        <w:rPr>
          <w:rFonts w:ascii="Arial" w:cs="Arial" w:eastAsia="Arial" w:hAnsi="Arial"/>
          <w:sz w:val="20"/>
          <w:szCs w:val="20"/>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419" w:right="239" w:bottom="1440" w:gutter="0" w:footer="0" w:header="0"/>
        </w:sectPr>
      </w:pPr>
    </w:p>
    <w:bookmarkStart w:id="129" w:name="page130"/>
    <w:bookmarkEnd w:id="129"/>
    <w:p>
      <w:pPr>
        <w:jc w:val="both"/>
        <w:ind w:left="1620" w:hanging="420"/>
        <w:spacing w:after="0" w:line="244" w:lineRule="auto"/>
        <w:tabs>
          <w:tab w:leader="none" w:pos="1620" w:val="left"/>
        </w:tabs>
        <w:numPr>
          <w:ilvl w:val="1"/>
          <w:numId w:val="82"/>
        </w:numPr>
        <w:rPr>
          <w:rFonts w:ascii="Arial" w:cs="Arial" w:eastAsia="Arial" w:hAnsi="Arial"/>
          <w:sz w:val="20"/>
          <w:szCs w:val="20"/>
          <w:color w:val="auto"/>
        </w:rPr>
      </w:pPr>
      <w:r>
        <w:rPr>
          <w:rFonts w:ascii="Arial" w:cs="Arial" w:eastAsia="Arial" w:hAnsi="Arial"/>
          <w:sz w:val="20"/>
          <w:szCs w:val="20"/>
          <w:color w:val="auto"/>
        </w:rPr>
        <w:t>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40" w:lineRule="exact"/>
        <w:rPr>
          <w:rFonts w:ascii="Arial" w:cs="Arial" w:eastAsia="Arial" w:hAnsi="Arial"/>
          <w:sz w:val="20"/>
          <w:szCs w:val="20"/>
          <w:color w:val="auto"/>
        </w:rPr>
      </w:pPr>
    </w:p>
    <w:p>
      <w:pPr>
        <w:ind w:left="1620" w:right="20" w:hanging="475"/>
        <w:spacing w:after="0" w:line="260" w:lineRule="auto"/>
        <w:tabs>
          <w:tab w:leader="none" w:pos="1620" w:val="left"/>
        </w:tabs>
        <w:numPr>
          <w:ilvl w:val="1"/>
          <w:numId w:val="82"/>
        </w:numPr>
        <w:rPr>
          <w:rFonts w:ascii="Arial" w:cs="Arial" w:eastAsia="Arial" w:hAnsi="Arial"/>
          <w:sz w:val="20"/>
          <w:szCs w:val="20"/>
          <w:color w:val="auto"/>
        </w:rPr>
      </w:pPr>
      <w:r>
        <w:rPr>
          <w:rFonts w:ascii="Arial" w:cs="Arial" w:eastAsia="Arial" w:hAnsi="Arial"/>
          <w:sz w:val="20"/>
          <w:szCs w:val="20"/>
          <w:color w:val="auto"/>
        </w:rPr>
        <w:t>the Company may, in its discretion, withhold any amount necessary to pay the Tax-Related Items from the Participant’s salary or other amounts payable to the Participant; or</w:t>
      </w:r>
    </w:p>
    <w:p>
      <w:pPr>
        <w:spacing w:after="0" w:line="122" w:lineRule="exact"/>
        <w:rPr>
          <w:rFonts w:ascii="Arial" w:cs="Arial" w:eastAsia="Arial" w:hAnsi="Arial"/>
          <w:sz w:val="20"/>
          <w:szCs w:val="20"/>
          <w:color w:val="auto"/>
        </w:rPr>
      </w:pPr>
    </w:p>
    <w:p>
      <w:pPr>
        <w:ind w:left="1620" w:hanging="530"/>
        <w:spacing w:after="0" w:line="260" w:lineRule="auto"/>
        <w:tabs>
          <w:tab w:leader="none" w:pos="1620" w:val="left"/>
        </w:tabs>
        <w:numPr>
          <w:ilvl w:val="1"/>
          <w:numId w:val="82"/>
        </w:numPr>
        <w:rPr>
          <w:rFonts w:ascii="Arial" w:cs="Arial" w:eastAsia="Arial" w:hAnsi="Arial"/>
          <w:sz w:val="20"/>
          <w:szCs w:val="20"/>
          <w:color w:val="auto"/>
        </w:rPr>
      </w:pPr>
      <w:r>
        <w:rPr>
          <w:rFonts w:ascii="Arial" w:cs="Arial" w:eastAsia="Arial" w:hAnsi="Arial"/>
          <w:sz w:val="20"/>
          <w:szCs w:val="20"/>
          <w:color w:val="auto"/>
        </w:rPr>
        <w:t>the Company may withhold from proceeds of the sale of Shares either through a voluntary sale or through a mandatory sale arranged by the Company (on the Participant’s behalf pursuant to this authorization);</w:t>
      </w:r>
    </w:p>
    <w:p>
      <w:pPr>
        <w:spacing w:after="0" w:line="122" w:lineRule="exact"/>
        <w:rPr>
          <w:rFonts w:ascii="Arial" w:cs="Arial" w:eastAsia="Arial" w:hAnsi="Arial"/>
          <w:sz w:val="20"/>
          <w:szCs w:val="20"/>
          <w:color w:val="auto"/>
        </w:rPr>
      </w:pPr>
    </w:p>
    <w:p>
      <w:pPr>
        <w:jc w:val="both"/>
        <w:ind w:left="1620"/>
        <w:spacing w:after="0" w:line="282" w:lineRule="auto"/>
        <w:rPr>
          <w:rFonts w:ascii="Arial" w:cs="Arial" w:eastAsia="Arial" w:hAnsi="Arial"/>
          <w:sz w:val="20"/>
          <w:szCs w:val="20"/>
          <w:color w:val="auto"/>
        </w:rPr>
      </w:pPr>
      <w:r>
        <w:rPr>
          <w:rFonts w:ascii="Arial" w:cs="Arial" w:eastAsia="Arial" w:hAnsi="Arial"/>
          <w:sz w:val="18"/>
          <w:szCs w:val="18"/>
          <w:color w:val="auto"/>
        </w:rPr>
        <w:t>provided, however, that if the Participant is a Section 16 officer of the Company under the Exchange Act, then the Company will withhold a sufficient number of whole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w:t>
      </w:r>
    </w:p>
    <w:p>
      <w:pPr>
        <w:spacing w:after="0" w:line="107" w:lineRule="exact"/>
        <w:rPr>
          <w:rFonts w:ascii="Arial" w:cs="Arial" w:eastAsia="Arial" w:hAnsi="Arial"/>
          <w:sz w:val="20"/>
          <w:szCs w:val="20"/>
          <w:color w:val="auto"/>
        </w:rPr>
      </w:pPr>
    </w:p>
    <w:p>
      <w:pPr>
        <w:jc w:val="both"/>
        <w:ind w:left="1620"/>
        <w:spacing w:after="0" w:line="244" w:lineRule="auto"/>
        <w:rPr>
          <w:rFonts w:ascii="Arial" w:cs="Arial" w:eastAsia="Arial" w:hAnsi="Arial"/>
          <w:sz w:val="20"/>
          <w:szCs w:val="20"/>
          <w:color w:val="auto"/>
        </w:rPr>
      </w:pPr>
      <w:r>
        <w:rPr>
          <w:rFonts w:ascii="Arial" w:cs="Arial" w:eastAsia="Arial" w:hAnsi="Arial"/>
          <w:sz w:val="20"/>
          <w:szCs w:val="20"/>
          <w:color w:val="auto"/>
        </w:rPr>
        <w:t>The Company may withhold or account for Tax-Related Items by considering statutory withholding amounts or other applicable withholding rates, including maximum applicable rates in the Participant’s jurisdiction(s). If the obligation for Tax-Related Items is satisfied by withholding in Shares, for tax purposes, the Participant is deemed to have been issued the full number of Shares subject to the vested RSU, notwithstanding that a number of the Shares are held back solely for the purpose of paying the Tax-Related Items.</w:t>
      </w:r>
    </w:p>
    <w:p>
      <w:pPr>
        <w:spacing w:after="0" w:line="140" w:lineRule="exact"/>
        <w:rPr>
          <w:rFonts w:ascii="Arial" w:cs="Arial" w:eastAsia="Arial" w:hAnsi="Arial"/>
          <w:sz w:val="20"/>
          <w:szCs w:val="20"/>
          <w:color w:val="auto"/>
        </w:rPr>
      </w:pPr>
    </w:p>
    <w:p>
      <w:pPr>
        <w:jc w:val="both"/>
        <w:ind w:left="1620"/>
        <w:spacing w:after="0" w:line="273" w:lineRule="auto"/>
        <w:rPr>
          <w:rFonts w:ascii="Arial" w:cs="Arial" w:eastAsia="Arial" w:hAnsi="Arial"/>
          <w:sz w:val="20"/>
          <w:szCs w:val="20"/>
          <w:color w:val="auto"/>
        </w:rPr>
      </w:pPr>
      <w:r>
        <w:rPr>
          <w:rFonts w:ascii="Arial" w:cs="Arial" w:eastAsia="Arial" w:hAnsi="Arial"/>
          <w:sz w:val="18"/>
          <w:szCs w:val="18"/>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RSUs. No fractional Shares will be withheld or issued pursuant to the grant of the RSUs and the issuance of Shares hereunder.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15" w:lineRule="exact"/>
        <w:rPr>
          <w:rFonts w:ascii="Arial" w:cs="Arial" w:eastAsia="Arial" w:hAnsi="Arial"/>
          <w:sz w:val="20"/>
          <w:szCs w:val="20"/>
          <w:color w:val="auto"/>
        </w:rPr>
      </w:pPr>
    </w:p>
    <w:p>
      <w:pPr>
        <w:jc w:val="both"/>
        <w:ind w:left="340" w:hanging="332"/>
        <w:spacing w:after="0" w:line="243" w:lineRule="auto"/>
        <w:tabs>
          <w:tab w:leader="none" w:pos="34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Option of Company to Deliver Cash</w:t>
      </w:r>
      <w:r>
        <w:rPr>
          <w:rFonts w:ascii="Arial" w:cs="Arial" w:eastAsia="Arial" w:hAnsi="Arial"/>
          <w:sz w:val="20"/>
          <w:szCs w:val="20"/>
          <w:color w:val="auto"/>
        </w:rPr>
        <w:t>. Notwithstanding any of the other provisions of this Agreement, and except as set forth in Appendix A, where share settlement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419" w:right="239" w:bottom="1440" w:gutter="0" w:footer="0" w:header="0"/>
        </w:sectPr>
      </w:pPr>
    </w:p>
    <w:bookmarkStart w:id="130" w:name="page131"/>
    <w:bookmarkEnd w:id="130"/>
    <w:p>
      <w:pPr>
        <w:ind w:left="340"/>
        <w:spacing w:after="0" w:line="260" w:lineRule="auto"/>
        <w:rPr>
          <w:sz w:val="20"/>
          <w:szCs w:val="20"/>
          <w:color w:val="auto"/>
        </w:rPr>
      </w:pPr>
      <w:r>
        <w:rPr>
          <w:rFonts w:ascii="Arial" w:cs="Arial" w:eastAsia="Arial" w:hAnsi="Arial"/>
          <w:sz w:val="20"/>
          <w:szCs w:val="20"/>
          <w:color w:val="auto"/>
        </w:rPr>
        <w:t>such amount as is sufficient in the opinion of the Company to satisfy the Tax-Related Items withholding obligations of the Company pursuant to Section 6 herein.</w:t>
      </w:r>
    </w:p>
    <w:p>
      <w:pPr>
        <w:spacing w:after="0" w:line="123" w:lineRule="exact"/>
        <w:rPr>
          <w:sz w:val="20"/>
          <w:szCs w:val="20"/>
          <w:color w:val="auto"/>
        </w:rPr>
      </w:pPr>
    </w:p>
    <w:p>
      <w:pPr>
        <w:jc w:val="both"/>
        <w:ind w:left="340" w:hanging="332"/>
        <w:spacing w:after="0" w:line="274"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Repatriation and Other Legal Requirements</w:t>
      </w:r>
      <w:r>
        <w:rPr>
          <w:rFonts w:ascii="Arial" w:cs="Arial" w:eastAsia="Arial" w:hAnsi="Arial"/>
          <w:sz w:val="18"/>
          <w:szCs w:val="18"/>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5"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980" w:hanging="324"/>
        <w:spacing w:after="0" w:line="243" w:lineRule="auto"/>
        <w:tabs>
          <w:tab w:leader="none" w:pos="970"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No Rights to Employment</w:t>
      </w:r>
      <w:r>
        <w:rPr>
          <w:rFonts w:ascii="Arial" w:cs="Arial" w:eastAsia="Arial" w:hAnsi="Arial"/>
          <w:sz w:val="20"/>
          <w:szCs w:val="20"/>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42" w:lineRule="exact"/>
        <w:rPr>
          <w:rFonts w:ascii="Arial" w:cs="Arial" w:eastAsia="Arial" w:hAnsi="Arial"/>
          <w:sz w:val="20"/>
          <w:szCs w:val="20"/>
          <w:color w:val="auto"/>
        </w:rPr>
      </w:pPr>
    </w:p>
    <w:p>
      <w:pPr>
        <w:jc w:val="both"/>
        <w:ind w:left="980" w:hanging="324"/>
        <w:spacing w:after="0" w:line="271" w:lineRule="auto"/>
        <w:tabs>
          <w:tab w:leader="none" w:pos="968"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Discretionary Nature</w:t>
      </w:r>
      <w:r>
        <w:rPr>
          <w:rFonts w:ascii="Arial" w:cs="Arial" w:eastAsia="Arial" w:hAnsi="Arial"/>
          <w:sz w:val="18"/>
          <w:szCs w:val="18"/>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holiday pay, pension, or retirement benefits or similar payments. The grant of RSUs should in no event be considered as compensation for, or relating in any way to, past services for the Company or the Employer.</w:t>
      </w:r>
    </w:p>
    <w:p>
      <w:pPr>
        <w:spacing w:after="0" w:line="120" w:lineRule="exact"/>
        <w:rPr>
          <w:rFonts w:ascii="Arial" w:cs="Arial" w:eastAsia="Arial" w:hAnsi="Arial"/>
          <w:sz w:val="18"/>
          <w:szCs w:val="18"/>
          <w:color w:val="auto"/>
        </w:rPr>
      </w:pPr>
    </w:p>
    <w:p>
      <w:pPr>
        <w:jc w:val="both"/>
        <w:ind w:left="980" w:hanging="324"/>
        <w:spacing w:after="0" w:line="243" w:lineRule="auto"/>
        <w:tabs>
          <w:tab w:leader="none" w:pos="970"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Exclusion from Termination Indemnities and Other Benefits</w:t>
      </w:r>
      <w:r>
        <w:rPr>
          <w:rFonts w:ascii="Arial" w:cs="Arial" w:eastAsia="Arial" w:hAnsi="Arial"/>
          <w:sz w:val="20"/>
          <w:szCs w:val="20"/>
          <w:color w:val="auto"/>
        </w:rPr>
        <w:t>. This Section 9(c)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or salary. Further, the RSUs and the Shares, and the income and value of same, are not intended to replace any pension rights or compensation.</w:t>
      </w:r>
    </w:p>
    <w:p>
      <w:pPr>
        <w:spacing w:after="0" w:line="142" w:lineRule="exact"/>
        <w:rPr>
          <w:rFonts w:ascii="Arial" w:cs="Arial" w:eastAsia="Arial" w:hAnsi="Arial"/>
          <w:sz w:val="20"/>
          <w:szCs w:val="20"/>
          <w:color w:val="auto"/>
        </w:rPr>
      </w:pPr>
    </w:p>
    <w:p>
      <w:pPr>
        <w:ind w:left="980" w:hanging="324"/>
        <w:spacing w:after="0" w:line="260" w:lineRule="auto"/>
        <w:tabs>
          <w:tab w:leader="none" w:pos="968"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No Entitlement</w:t>
      </w:r>
      <w:r>
        <w:rPr>
          <w:rFonts w:ascii="Arial" w:cs="Arial" w:eastAsia="Arial" w:hAnsi="Arial"/>
          <w:sz w:val="20"/>
          <w:szCs w:val="20"/>
          <w:color w:val="auto"/>
        </w:rPr>
        <w:t>. This Section 9(d) applies if the Participant resides outside the U.S. and/or the Company is not the Participant's employer: In consideration of the grant of RSUs,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419" w:right="239" w:bottom="1440" w:gutter="0" w:footer="0" w:header="0"/>
        </w:sectPr>
      </w:pPr>
    </w:p>
    <w:bookmarkStart w:id="131" w:name="page132"/>
    <w:bookmarkEnd w:id="131"/>
    <w:p>
      <w:pPr>
        <w:jc w:val="both"/>
        <w:ind w:left="324"/>
        <w:spacing w:after="0" w:line="259" w:lineRule="auto"/>
        <w:rPr>
          <w:sz w:val="20"/>
          <w:szCs w:val="20"/>
          <w:color w:val="auto"/>
        </w:rPr>
      </w:pPr>
      <w:r>
        <w:rPr>
          <w:rFonts w:ascii="Arial" w:cs="Arial" w:eastAsia="Arial" w:hAnsi="Arial"/>
          <w:sz w:val="19"/>
          <w:szCs w:val="19"/>
          <w:color w:val="auto"/>
        </w:rPr>
        <w:t>claim or entitlement to compensation or damages shall arise from forfeiture of the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25" w:lineRule="exact"/>
        <w:rPr>
          <w:sz w:val="20"/>
          <w:szCs w:val="20"/>
          <w:color w:val="auto"/>
        </w:rPr>
      </w:pPr>
    </w:p>
    <w:p>
      <w:pPr>
        <w:jc w:val="both"/>
        <w:ind w:left="324" w:hanging="324"/>
        <w:spacing w:after="0" w:line="263" w:lineRule="auto"/>
        <w:tabs>
          <w:tab w:leader="none" w:pos="314"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Exchange Rates</w:t>
      </w:r>
      <w:r>
        <w:rPr>
          <w:rFonts w:ascii="Arial" w:cs="Arial" w:eastAsia="Arial" w:hAnsi="Arial"/>
          <w:sz w:val="19"/>
          <w:szCs w:val="19"/>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22" w:lineRule="exact"/>
        <w:rPr>
          <w:rFonts w:ascii="Arial" w:cs="Arial" w:eastAsia="Arial" w:hAnsi="Arial"/>
          <w:sz w:val="19"/>
          <w:szCs w:val="19"/>
          <w:color w:val="auto"/>
        </w:rPr>
      </w:pPr>
    </w:p>
    <w:p>
      <w:pPr>
        <w:ind w:left="324" w:hanging="324"/>
        <w:spacing w:after="0" w:line="260" w:lineRule="auto"/>
        <w:tabs>
          <w:tab w:leader="none" w:pos="319"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Future Value of Shares</w:t>
      </w:r>
      <w:r>
        <w:rPr>
          <w:rFonts w:ascii="Arial" w:cs="Arial" w:eastAsia="Arial" w:hAnsi="Arial"/>
          <w:sz w:val="20"/>
          <w:szCs w:val="20"/>
          <w:color w:val="auto"/>
        </w:rPr>
        <w:t>. The future value of the underlying Shares is unknown, indeterminable, and cannot be predicted with certainty.</w:t>
      </w:r>
    </w:p>
    <w:p>
      <w:pPr>
        <w:spacing w:after="0" w:line="122" w:lineRule="exact"/>
        <w:rPr>
          <w:rFonts w:ascii="Arial" w:cs="Arial" w:eastAsia="Arial" w:hAnsi="Arial"/>
          <w:sz w:val="20"/>
          <w:szCs w:val="20"/>
          <w:color w:val="auto"/>
        </w:rPr>
      </w:pPr>
    </w:p>
    <w:p>
      <w:pPr>
        <w:jc w:val="both"/>
        <w:ind w:left="324" w:hanging="324"/>
        <w:spacing w:after="0" w:line="250" w:lineRule="auto"/>
        <w:tabs>
          <w:tab w:leader="none" w:pos="311"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32" w:lineRule="exact"/>
        <w:rPr>
          <w:rFonts w:ascii="Arial" w:cs="Arial" w:eastAsia="Arial" w:hAnsi="Arial"/>
          <w:sz w:val="20"/>
          <w:szCs w:val="20"/>
          <w:color w:val="auto"/>
        </w:rPr>
      </w:pPr>
    </w:p>
    <w:p>
      <w:pPr>
        <w:jc w:val="both"/>
        <w:ind w:left="324" w:hanging="324"/>
        <w:spacing w:after="0" w:line="250" w:lineRule="auto"/>
        <w:tabs>
          <w:tab w:leader="none" w:pos="311"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32" w:lineRule="exact"/>
        <w:rPr>
          <w:rFonts w:ascii="Arial" w:cs="Arial" w:eastAsia="Arial" w:hAnsi="Arial"/>
          <w:sz w:val="20"/>
          <w:szCs w:val="20"/>
          <w:color w:val="auto"/>
        </w:rPr>
      </w:pPr>
    </w:p>
    <w:p>
      <w:pPr>
        <w:jc w:val="both"/>
        <w:ind w:left="324" w:hanging="324"/>
        <w:spacing w:after="0" w:line="243" w:lineRule="auto"/>
        <w:tabs>
          <w:tab w:leader="none" w:pos="321"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Technology Way, Norwood, Massachusetts, 02062 U.S.A., Attention: Stock Plan Administrator. Each notice to the Participant shall be addressed to the Participant at the Participant’s last known mailing or email address, as applicable, on the records of the Company.</w:t>
      </w:r>
    </w:p>
    <w:p>
      <w:pPr>
        <w:spacing w:after="0" w:line="142" w:lineRule="exact"/>
        <w:rPr>
          <w:rFonts w:ascii="Arial" w:cs="Arial" w:eastAsia="Arial" w:hAnsi="Arial"/>
          <w:sz w:val="20"/>
          <w:szCs w:val="20"/>
          <w:color w:val="auto"/>
        </w:rPr>
      </w:pPr>
    </w:p>
    <w:p>
      <w:pPr>
        <w:ind w:left="324" w:right="20" w:hanging="324"/>
        <w:spacing w:after="0" w:line="287" w:lineRule="auto"/>
        <w:tabs>
          <w:tab w:leader="none" w:pos="321"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Pronouns</w:t>
      </w:r>
      <w:r>
        <w:rPr>
          <w:rFonts w:ascii="Arial" w:cs="Arial" w:eastAsia="Arial" w:hAnsi="Arial"/>
          <w:sz w:val="19"/>
          <w:szCs w:val="19"/>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98" w:lineRule="exact"/>
        <w:rPr>
          <w:rFonts w:ascii="Arial" w:cs="Arial" w:eastAsia="Arial" w:hAnsi="Arial"/>
          <w:sz w:val="19"/>
          <w:szCs w:val="19"/>
          <w:color w:val="auto"/>
        </w:rPr>
      </w:pPr>
    </w:p>
    <w:p>
      <w:pPr>
        <w:ind w:left="324" w:right="20" w:hanging="324"/>
        <w:spacing w:after="0" w:line="260" w:lineRule="auto"/>
        <w:tabs>
          <w:tab w:leader="none" w:pos="311"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constitute the entire understanding between the parties, and supersede all prior agreements and understandings, relating to the subject matter of these documents.</w:t>
      </w:r>
    </w:p>
    <w:p>
      <w:pPr>
        <w:spacing w:after="0" w:line="122" w:lineRule="exact"/>
        <w:rPr>
          <w:rFonts w:ascii="Arial" w:cs="Arial" w:eastAsia="Arial" w:hAnsi="Arial"/>
          <w:sz w:val="20"/>
          <w:szCs w:val="20"/>
          <w:color w:val="auto"/>
        </w:rPr>
      </w:pPr>
    </w:p>
    <w:p>
      <w:pPr>
        <w:ind w:left="324" w:hanging="324"/>
        <w:spacing w:after="0" w:line="260" w:lineRule="auto"/>
        <w:tabs>
          <w:tab w:leader="none" w:pos="321"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interpreted and enforced in accordance with the internal laws of the Commonwealth of Massachusetts without regard to any applicable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764"/>
          </w:cols>
          <w:pgMar w:left="896" w:top="1419" w:right="239" w:bottom="1440" w:gutter="0" w:footer="0" w:header="0"/>
        </w:sectPr>
      </w:pPr>
    </w:p>
    <w:bookmarkStart w:id="132" w:name="page133"/>
    <w:bookmarkEnd w:id="132"/>
    <w:p>
      <w:pPr>
        <w:jc w:val="both"/>
        <w:ind w:left="324" w:hanging="324"/>
        <w:spacing w:after="0" w:line="270" w:lineRule="auto"/>
        <w:tabs>
          <w:tab w:leader="none" w:pos="31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6" w:lineRule="exact"/>
        <w:rPr>
          <w:rFonts w:ascii="Arial" w:cs="Arial" w:eastAsia="Arial" w:hAnsi="Arial"/>
          <w:sz w:val="18"/>
          <w:szCs w:val="18"/>
          <w:color w:val="auto"/>
        </w:rPr>
      </w:pPr>
    </w:p>
    <w:p>
      <w:pPr>
        <w:ind w:left="324" w:hanging="324"/>
        <w:spacing w:after="0" w:line="287" w:lineRule="auto"/>
        <w:tabs>
          <w:tab w:leader="none" w:pos="311"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98" w:lineRule="exact"/>
        <w:rPr>
          <w:rFonts w:ascii="Arial" w:cs="Arial" w:eastAsia="Arial" w:hAnsi="Arial"/>
          <w:sz w:val="19"/>
          <w:szCs w:val="19"/>
          <w:color w:val="auto"/>
        </w:rPr>
      </w:pPr>
    </w:p>
    <w:p>
      <w:pPr>
        <w:jc w:val="both"/>
        <w:ind w:left="324" w:hanging="324"/>
        <w:spacing w:after="0" w:line="246" w:lineRule="auto"/>
        <w:tabs>
          <w:tab w:leader="none" w:pos="311"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Participant’s Acceptance</w:t>
      </w:r>
      <w:r>
        <w:rPr>
          <w:rFonts w:ascii="Arial" w:cs="Arial" w:eastAsia="Arial" w:hAnsi="Arial"/>
          <w:sz w:val="20"/>
          <w:szCs w:val="20"/>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37" w:lineRule="exact"/>
        <w:rPr>
          <w:rFonts w:ascii="Arial" w:cs="Arial" w:eastAsia="Arial" w:hAnsi="Arial"/>
          <w:sz w:val="20"/>
          <w:szCs w:val="20"/>
          <w:color w:val="auto"/>
        </w:rPr>
      </w:pPr>
    </w:p>
    <w:p>
      <w:pPr>
        <w:jc w:val="both"/>
        <w:ind w:left="324" w:hanging="324"/>
        <w:spacing w:after="0" w:line="246" w:lineRule="auto"/>
        <w:tabs>
          <w:tab w:leader="none" w:pos="311"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37" w:lineRule="exact"/>
        <w:rPr>
          <w:rFonts w:ascii="Arial" w:cs="Arial" w:eastAsia="Arial" w:hAnsi="Arial"/>
          <w:sz w:val="20"/>
          <w:szCs w:val="20"/>
          <w:color w:val="auto"/>
        </w:rPr>
      </w:pPr>
    </w:p>
    <w:p>
      <w:pPr>
        <w:jc w:val="both"/>
        <w:ind w:left="324" w:hanging="324"/>
        <w:spacing w:after="0" w:line="244" w:lineRule="auto"/>
        <w:tabs>
          <w:tab w:leader="none" w:pos="311"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English Language</w:t>
      </w:r>
      <w:r>
        <w:rPr>
          <w:rFonts w:ascii="Arial" w:cs="Arial" w:eastAsia="Arial" w:hAnsi="Arial"/>
          <w:sz w:val="20"/>
          <w:szCs w:val="20"/>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140" w:lineRule="exact"/>
        <w:rPr>
          <w:rFonts w:ascii="Arial" w:cs="Arial" w:eastAsia="Arial" w:hAnsi="Arial"/>
          <w:sz w:val="20"/>
          <w:szCs w:val="20"/>
          <w:color w:val="auto"/>
        </w:rPr>
      </w:pPr>
    </w:p>
    <w:p>
      <w:pPr>
        <w:jc w:val="both"/>
        <w:ind w:left="324" w:hanging="324"/>
        <w:spacing w:after="0" w:line="244" w:lineRule="auto"/>
        <w:tabs>
          <w:tab w:leader="none" w:pos="319"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Appendix A</w:t>
      </w:r>
      <w:r>
        <w:rPr>
          <w:rFonts w:ascii="Arial" w:cs="Arial" w:eastAsia="Arial" w:hAnsi="Arial"/>
          <w:sz w:val="20"/>
          <w:szCs w:val="20"/>
          <w:color w:val="auto"/>
        </w:rPr>
        <w:t>. Notwithstanding any provisions herein to the contrary, if the Participant transfers the Participant’s residence and/or employment to a country other than the United States, the RSUs shall be subject to any special terms and conditions for such country as may be set forth in Appendix A to this Agreement. Moreover, if the Participant relocates to one of the countries included in Appendix A, the special terms and conditions for such country will apply to the Participant, to the extent the Company determines that the application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64"/>
          </w:cols>
          <w:pgMar w:left="896" w:top="1419" w:right="239" w:bottom="1440" w:gutter="0" w:footer="0" w:header="0"/>
        </w:sectPr>
      </w:pPr>
    </w:p>
    <w:bookmarkStart w:id="133" w:name="page134"/>
    <w:bookmarkEnd w:id="133"/>
    <w:p>
      <w:pPr>
        <w:ind w:left="324"/>
        <w:spacing w:after="0"/>
        <w:rPr>
          <w:sz w:val="20"/>
          <w:szCs w:val="20"/>
          <w:color w:val="auto"/>
        </w:rPr>
      </w:pPr>
      <w:r>
        <w:rPr>
          <w:rFonts w:ascii="Arial" w:cs="Arial" w:eastAsia="Arial" w:hAnsi="Arial"/>
          <w:sz w:val="19"/>
          <w:szCs w:val="19"/>
          <w:color w:val="auto"/>
        </w:rPr>
        <w:t>terms and conditions is necessary or advisable in order to comply with local law or facilitate the administration of the Plan.</w:t>
      </w:r>
    </w:p>
    <w:p>
      <w:pPr>
        <w:spacing w:after="0" w:line="27" w:lineRule="exact"/>
        <w:rPr>
          <w:sz w:val="20"/>
          <w:szCs w:val="20"/>
          <w:color w:val="auto"/>
        </w:rPr>
      </w:pPr>
    </w:p>
    <w:p>
      <w:pPr>
        <w:ind w:left="324"/>
        <w:spacing w:after="0"/>
        <w:rPr>
          <w:sz w:val="20"/>
          <w:szCs w:val="20"/>
          <w:color w:val="auto"/>
        </w:rPr>
      </w:pPr>
      <w:r>
        <w:rPr>
          <w:rFonts w:ascii="Arial" w:cs="Arial" w:eastAsia="Arial" w:hAnsi="Arial"/>
          <w:sz w:val="20"/>
          <w:szCs w:val="20"/>
          <w:color w:val="auto"/>
        </w:rPr>
        <w:t>Appendix A constitutes part of this Agreement.</w:t>
      </w:r>
    </w:p>
    <w:p>
      <w:pPr>
        <w:spacing w:after="0" w:line="146" w:lineRule="exact"/>
        <w:rPr>
          <w:sz w:val="20"/>
          <w:szCs w:val="20"/>
          <w:color w:val="auto"/>
        </w:rPr>
      </w:pPr>
    </w:p>
    <w:p>
      <w:pPr>
        <w:jc w:val="both"/>
        <w:ind w:left="324" w:hanging="324"/>
        <w:spacing w:after="0" w:line="328" w:lineRule="auto"/>
        <w:tabs>
          <w:tab w:leader="none" w:pos="31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74" w:lineRule="exact"/>
        <w:rPr>
          <w:rFonts w:ascii="Arial" w:cs="Arial" w:eastAsia="Arial" w:hAnsi="Arial"/>
          <w:sz w:val="16"/>
          <w:szCs w:val="16"/>
          <w:color w:val="auto"/>
        </w:rPr>
      </w:pPr>
    </w:p>
    <w:p>
      <w:pPr>
        <w:jc w:val="both"/>
        <w:ind w:left="324" w:hanging="324"/>
        <w:spacing w:after="0" w:line="282" w:lineRule="auto"/>
        <w:tabs>
          <w:tab w:leader="none" w:pos="32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The Company has submitted filings in the United States in connection with the equity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07" w:lineRule="exact"/>
        <w:rPr>
          <w:rFonts w:ascii="Arial" w:cs="Arial" w:eastAsia="Arial" w:hAnsi="Arial"/>
          <w:sz w:val="18"/>
          <w:szCs w:val="18"/>
          <w:color w:val="auto"/>
        </w:rPr>
      </w:pPr>
    </w:p>
    <w:p>
      <w:pPr>
        <w:jc w:val="both"/>
        <w:ind w:left="324" w:hanging="324"/>
        <w:spacing w:after="0" w:line="282" w:lineRule="auto"/>
        <w:tabs>
          <w:tab w:leader="none" w:pos="31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the Company.</w:t>
      </w:r>
    </w:p>
    <w:p>
      <w:pPr>
        <w:spacing w:after="0" w:line="107" w:lineRule="exact"/>
        <w:rPr>
          <w:rFonts w:ascii="Arial" w:cs="Arial" w:eastAsia="Arial" w:hAnsi="Arial"/>
          <w:sz w:val="18"/>
          <w:szCs w:val="18"/>
          <w:color w:val="auto"/>
        </w:rPr>
      </w:pPr>
    </w:p>
    <w:p>
      <w:pPr>
        <w:jc w:val="both"/>
        <w:ind w:left="324" w:hanging="324"/>
        <w:spacing w:after="0" w:line="246" w:lineRule="auto"/>
        <w:tabs>
          <w:tab w:leader="none" w:pos="311"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37" w:lineRule="exact"/>
        <w:rPr>
          <w:rFonts w:ascii="Arial" w:cs="Arial" w:eastAsia="Arial" w:hAnsi="Arial"/>
          <w:sz w:val="20"/>
          <w:szCs w:val="20"/>
          <w:color w:val="auto"/>
        </w:rPr>
      </w:pPr>
    </w:p>
    <w:p>
      <w:pPr>
        <w:jc w:val="both"/>
        <w:ind w:left="324" w:hanging="324"/>
        <w:spacing w:after="0" w:line="270" w:lineRule="auto"/>
        <w:tabs>
          <w:tab w:leader="none" w:pos="31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The Participant acknowledges that, depending on the Participant’s or the Participant’s broker’s country of residence or where the Common Stock is listed, the Participant may be subject to insider trading restrictions and/or market abuse laws, which may affect the Participant’s ability to accept, acquire, sell, or otherwise dispose of Common Stock, rights to Common Stock (</w:t>
      </w:r>
      <w:r>
        <w:rPr>
          <w:rFonts w:ascii="Arial" w:cs="Arial" w:eastAsia="Arial" w:hAnsi="Arial"/>
          <w:sz w:val="18"/>
          <w:szCs w:val="18"/>
          <w:i w:val="1"/>
          <w:iCs w:val="1"/>
          <w:color w:val="auto"/>
        </w:rPr>
        <w:t>e.g.</w:t>
      </w:r>
      <w:r>
        <w:rPr>
          <w:rFonts w:ascii="Arial" w:cs="Arial" w:eastAsia="Arial" w:hAnsi="Arial"/>
          <w:sz w:val="18"/>
          <w:szCs w:val="18"/>
          <w:color w:val="auto"/>
        </w:rPr>
        <w:t>, RSUs) or rights linked to the value of Common Stock (</w:t>
      </w:r>
      <w:r>
        <w:rPr>
          <w:rFonts w:ascii="Arial" w:cs="Arial" w:eastAsia="Arial" w:hAnsi="Arial"/>
          <w:sz w:val="18"/>
          <w:szCs w:val="18"/>
          <w:i w:val="1"/>
          <w:iCs w:val="1"/>
          <w:color w:val="auto"/>
        </w:rPr>
        <w:t>e.g.</w:t>
      </w:r>
      <w:r>
        <w:rPr>
          <w:rFonts w:ascii="Arial" w:cs="Arial" w:eastAsia="Arial" w:hAnsi="Arial"/>
          <w:sz w:val="18"/>
          <w:szCs w:val="18"/>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22" w:lineRule="exact"/>
        <w:rPr>
          <w:rFonts w:ascii="Arial" w:cs="Arial" w:eastAsia="Arial" w:hAnsi="Arial"/>
          <w:sz w:val="18"/>
          <w:szCs w:val="18"/>
          <w:color w:val="auto"/>
        </w:rPr>
      </w:pPr>
    </w:p>
    <w:p>
      <w:pPr>
        <w:jc w:val="both"/>
        <w:ind w:left="324" w:hanging="324"/>
        <w:spacing w:after="0" w:line="250" w:lineRule="auto"/>
        <w:tabs>
          <w:tab w:leader="none" w:pos="311"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Foreign Asset/Account, Exchange Control, and Tax Reporting</w:t>
      </w:r>
      <w:r>
        <w:rPr>
          <w:rFonts w:ascii="Arial" w:cs="Arial" w:eastAsia="Arial" w:hAnsi="Arial"/>
          <w:sz w:val="20"/>
          <w:szCs w:val="20"/>
          <w:color w:val="auto"/>
        </w:rPr>
        <w:t>. The Participant may be subject to foreign asset/account, exchange control and/or tax reporting requirements as a result of the vesting of the RSUs, the acquisition, holding, and/or transfer of Shares 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64"/>
          </w:cols>
          <w:pgMar w:left="896" w:top="1419" w:right="239" w:bottom="1440" w:gutter="0" w:footer="0" w:header="0"/>
        </w:sectPr>
      </w:pPr>
    </w:p>
    <w:bookmarkStart w:id="134" w:name="page135"/>
    <w:bookmarkEnd w:id="134"/>
    <w:p>
      <w:pPr>
        <w:jc w:val="both"/>
        <w:ind w:left="960"/>
        <w:spacing w:after="0" w:line="258" w:lineRule="auto"/>
        <w:rPr>
          <w:sz w:val="20"/>
          <w:szCs w:val="20"/>
          <w:color w:val="auto"/>
        </w:rPr>
      </w:pPr>
      <w:r>
        <w:rPr>
          <w:rFonts w:ascii="Arial" w:cs="Arial" w:eastAsia="Arial" w:hAnsi="Arial"/>
          <w:sz w:val="19"/>
          <w:szCs w:val="19"/>
          <w:color w:val="auto"/>
        </w:rPr>
        <w:t>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25" w:lineRule="exact"/>
        <w:rPr>
          <w:sz w:val="20"/>
          <w:szCs w:val="20"/>
          <w:color w:val="auto"/>
        </w:rPr>
      </w:pPr>
    </w:p>
    <w:p>
      <w:pPr>
        <w:jc w:val="both"/>
        <w:ind w:left="960" w:hanging="324"/>
        <w:spacing w:after="0" w:line="250" w:lineRule="auto"/>
        <w:tabs>
          <w:tab w:leader="none" w:pos="948"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4380" w:type="dxa"/>
            <w:vAlign w:val="bottom"/>
          </w:tcPr>
          <w:p>
            <w:pPr>
              <w:ind w:left="20"/>
              <w:spacing w:after="0"/>
              <w:rPr>
                <w:sz w:val="20"/>
                <w:szCs w:val="20"/>
                <w:color w:val="auto"/>
              </w:rPr>
            </w:pPr>
            <w:r>
              <w:rPr>
                <w:rFonts w:ascii="Arial" w:cs="Arial" w:eastAsia="Arial" w:hAnsi="Arial"/>
                <w:sz w:val="20"/>
                <w:szCs w:val="20"/>
                <w:color w:val="auto"/>
              </w:rPr>
              <w:t>/s/ Ray Stata</w:t>
            </w:r>
          </w:p>
        </w:tc>
        <w:tc>
          <w:tcPr>
            <w:tcW w:w="6420" w:type="dxa"/>
            <w:vAlign w:val="bottom"/>
            <w:gridSpan w:val="2"/>
          </w:tcPr>
          <w:p>
            <w:pPr>
              <w:ind w:left="1520"/>
              <w:spacing w:after="0"/>
              <w:rPr>
                <w:sz w:val="20"/>
                <w:szCs w:val="20"/>
                <w:color w:val="auto"/>
              </w:rPr>
            </w:pPr>
            <w:r>
              <w:rPr>
                <w:rFonts w:ascii="Arial" w:cs="Arial" w:eastAsia="Arial" w:hAnsi="Arial"/>
                <w:sz w:val="20"/>
                <w:szCs w:val="20"/>
                <w:color w:val="auto"/>
              </w:rPr>
              <w:t>By:   /s/ Vincent Roche</w:t>
            </w:r>
          </w:p>
        </w:tc>
      </w:tr>
      <w:tr>
        <w:trPr>
          <w:trHeight w:val="23"/>
        </w:trPr>
        <w:tc>
          <w:tcPr>
            <w:tcW w:w="60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4380" w:type="dxa"/>
            <w:vAlign w:val="bottom"/>
          </w:tcPr>
          <w:p>
            <w:pPr>
              <w:ind w:left="20"/>
              <w:spacing w:after="0"/>
              <w:rPr>
                <w:sz w:val="20"/>
                <w:szCs w:val="20"/>
                <w:color w:val="auto"/>
              </w:rPr>
            </w:pPr>
            <w:r>
              <w:rPr>
                <w:rFonts w:ascii="Arial" w:cs="Arial" w:eastAsia="Arial" w:hAnsi="Arial"/>
                <w:sz w:val="20"/>
                <w:szCs w:val="20"/>
                <w:color w:val="auto"/>
              </w:rPr>
              <w:t>Ray Stata, Chairman of the Board of Directors</w:t>
            </w:r>
          </w:p>
        </w:tc>
        <w:tc>
          <w:tcPr>
            <w:tcW w:w="2080" w:type="dxa"/>
            <w:vAlign w:val="bottom"/>
          </w:tcPr>
          <w:p>
            <w:pPr>
              <w:spacing w:after="0"/>
              <w:rPr>
                <w:sz w:val="22"/>
                <w:szCs w:val="22"/>
                <w:color w:val="auto"/>
              </w:rPr>
            </w:pPr>
          </w:p>
        </w:tc>
        <w:tc>
          <w:tcPr>
            <w:tcW w:w="4340" w:type="dxa"/>
            <w:vAlign w:val="bottom"/>
          </w:tcPr>
          <w:p>
            <w:pPr>
              <w:spacing w:after="0"/>
              <w:rPr>
                <w:sz w:val="20"/>
                <w:szCs w:val="20"/>
                <w:color w:val="auto"/>
              </w:rPr>
            </w:pPr>
            <w:r>
              <w:rPr>
                <w:rFonts w:ascii="Arial" w:cs="Arial" w:eastAsia="Arial" w:hAnsi="Arial"/>
                <w:sz w:val="20"/>
                <w:szCs w:val="20"/>
                <w:color w:val="auto"/>
                <w:w w:val="95"/>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00"/>
          </w:cols>
          <w:pgMar w:left="260" w:top="1419" w:right="239" w:bottom="1440" w:gutter="0" w:footer="0" w:header="0"/>
        </w:sectPr>
      </w:pPr>
    </w:p>
    <w:bookmarkStart w:id="135" w:name="page136"/>
    <w:bookmarkEnd w:id="135"/>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October 2019.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TERMS AND CONDITIONS APPLICABLE TO PARTICIPANTS OUTSIDE THE U.S.</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u w:val="single" w:color="auto"/>
          <w:color w:val="auto"/>
        </w:rPr>
        <w:t>Data Privacy Information and Consent</w:t>
      </w:r>
      <w:r>
        <w:rPr>
          <w:rFonts w:ascii="Arial" w:cs="Arial" w:eastAsia="Arial" w:hAnsi="Arial"/>
          <w:sz w:val="16"/>
          <w:szCs w:val="16"/>
          <w:b w:val="1"/>
          <w:bCs w:val="1"/>
          <w:i w:val="1"/>
          <w:iCs w:val="1"/>
          <w:color w:val="auto"/>
        </w:rPr>
        <w:t>. The Company is located at One Technology Way, Norwood, Massachusetts, 02062 U.S.A. and grants employees of the Company and its subsidiaries RSUs, at the Company’s sole discretion. If the Participant would like to participate in the Plan, please review the following information about the Company’s data processing practices and declare the Participant’s consent.</w:t>
      </w:r>
    </w:p>
    <w:p>
      <w:pPr>
        <w:spacing w:after="0" w:line="64" w:lineRule="exact"/>
        <w:rPr>
          <w:sz w:val="20"/>
          <w:szCs w:val="20"/>
          <w:color w:val="auto"/>
        </w:rPr>
      </w:pPr>
    </w:p>
    <w:p>
      <w:pPr>
        <w:jc w:val="both"/>
        <w:ind w:left="420" w:hanging="412"/>
        <w:spacing w:after="0" w:line="316" w:lineRule="auto"/>
        <w:tabs>
          <w:tab w:leader="none" w:pos="41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Collection and Usage</w:t>
      </w:r>
      <w:r>
        <w:rPr>
          <w:rFonts w:ascii="Arial" w:cs="Arial" w:eastAsia="Arial" w:hAnsi="Arial"/>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86" w:lineRule="exact"/>
        <w:rPr>
          <w:rFonts w:ascii="Arial" w:cs="Arial" w:eastAsia="Arial" w:hAnsi="Arial"/>
          <w:sz w:val="16"/>
          <w:szCs w:val="16"/>
          <w:color w:val="auto"/>
        </w:rPr>
      </w:pPr>
    </w:p>
    <w:p>
      <w:pPr>
        <w:jc w:val="both"/>
        <w:ind w:left="420" w:hanging="412"/>
        <w:spacing w:after="0" w:line="260" w:lineRule="auto"/>
        <w:tabs>
          <w:tab w:leader="none" w:pos="408" w:val="left"/>
        </w:tabs>
        <w:numPr>
          <w:ilvl w:val="0"/>
          <w:numId w:val="8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w:t>
      </w:r>
    </w:p>
    <w:p>
      <w:pPr>
        <w:sectPr>
          <w:pgSz w:w="11900" w:h="16838" w:orient="portrait"/>
          <w:cols w:equalWidth="0" w:num="1">
            <w:col w:w="11420"/>
          </w:cols>
          <w:pgMar w:left="240" w:top="115" w:right="239" w:bottom="1440" w:gutter="0" w:footer="0" w:header="0"/>
        </w:sectPr>
      </w:pPr>
    </w:p>
    <w:bookmarkStart w:id="136" w:name="page137"/>
    <w:bookmarkEnd w:id="136"/>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ind w:left="420"/>
        <w:spacing w:after="0" w:line="260" w:lineRule="auto"/>
        <w:rPr>
          <w:sz w:val="20"/>
          <w:szCs w:val="20"/>
          <w:color w:val="auto"/>
        </w:rPr>
      </w:pPr>
      <w:r>
        <w:rPr>
          <w:rFonts w:ascii="Arial" w:cs="Arial" w:eastAsia="Arial" w:hAnsi="Arial"/>
          <w:sz w:val="20"/>
          <w:szCs w:val="20"/>
          <w:b w:val="1"/>
          <w:bCs w:val="1"/>
          <w:i w:val="1"/>
          <w:iCs w:val="1"/>
          <w:color w:val="auto"/>
        </w:rPr>
        <w:t>be asked to agree on separate terms and data processing practices with the service provider, which is a condition to the Participant’s ability to participate in the Plan.</w:t>
      </w:r>
    </w:p>
    <w:p>
      <w:pPr>
        <w:spacing w:after="0" w:line="123" w:lineRule="exact"/>
        <w:rPr>
          <w:sz w:val="20"/>
          <w:szCs w:val="20"/>
          <w:color w:val="auto"/>
        </w:rPr>
      </w:pPr>
    </w:p>
    <w:p>
      <w:pPr>
        <w:jc w:val="both"/>
        <w:ind w:left="420" w:hanging="412"/>
        <w:spacing w:after="0" w:line="269" w:lineRule="auto"/>
        <w:tabs>
          <w:tab w:leader="none" w:pos="41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The United States is subject to adequacy decisions by the European Commission and Swizterland acknowledging that the United States provides an adequate level of protection for personal data transferred to organizations in the United States that have self-certified under the EU/U.S. and Swiss/U.S. Privacy Shield Frameworks. In the absence of self-certification under the EU/U.S. and Swiss/U.S. Privacy Shield Frameworks, an appropriate level of protection for personal data transferred to the United States can be ensured by implementing appropriate safeguards such as the EU Standard Contractual Clauses. The Company is not self-certified under the EU/U.S. and Swiss/U.S. Privacy Shield Frameworks.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25" w:lineRule="exact"/>
        <w:rPr>
          <w:rFonts w:ascii="Arial" w:cs="Arial" w:eastAsia="Arial" w:hAnsi="Arial"/>
          <w:sz w:val="18"/>
          <w:szCs w:val="18"/>
          <w:color w:val="auto"/>
        </w:rPr>
      </w:pPr>
    </w:p>
    <w:p>
      <w:pPr>
        <w:jc w:val="both"/>
        <w:ind w:left="420" w:hanging="412"/>
        <w:spacing w:after="0" w:line="246" w:lineRule="auto"/>
        <w:tabs>
          <w:tab w:leader="none" w:pos="408" w:val="left"/>
        </w:tabs>
        <w:numPr>
          <w:ilvl w:val="0"/>
          <w:numId w:val="90"/>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Data Retention</w:t>
      </w:r>
      <w:r>
        <w:rPr>
          <w:rFonts w:ascii="Arial" w:cs="Arial" w:eastAsia="Arial" w:hAnsi="Arial"/>
          <w:sz w:val="20"/>
          <w:szCs w:val="20"/>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and security laws. If the Company keeps data longer, it would be to satisfy legal or regulatory obligations and the Company’s legal basis would be relevant laws or regulations.</w:t>
      </w:r>
    </w:p>
    <w:p>
      <w:pPr>
        <w:spacing w:after="0" w:line="137" w:lineRule="exact"/>
        <w:rPr>
          <w:rFonts w:ascii="Arial" w:cs="Arial" w:eastAsia="Arial" w:hAnsi="Arial"/>
          <w:sz w:val="20"/>
          <w:szCs w:val="20"/>
          <w:color w:val="auto"/>
        </w:rPr>
      </w:pPr>
    </w:p>
    <w:p>
      <w:pPr>
        <w:jc w:val="both"/>
        <w:ind w:left="420" w:hanging="412"/>
        <w:spacing w:after="0" w:line="244" w:lineRule="auto"/>
        <w:tabs>
          <w:tab w:leader="none" w:pos="410" w:val="left"/>
        </w:tabs>
        <w:numPr>
          <w:ilvl w:val="0"/>
          <w:numId w:val="90"/>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Voluntariness and Consequences of Consent Denial or Withdrawal</w:t>
      </w:r>
      <w:r>
        <w:rPr>
          <w:rFonts w:ascii="Arial" w:cs="Arial" w:eastAsia="Arial" w:hAnsi="Arial"/>
          <w:sz w:val="20"/>
          <w:szCs w:val="20"/>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40" w:lineRule="exact"/>
        <w:rPr>
          <w:rFonts w:ascii="Arial" w:cs="Arial" w:eastAsia="Arial" w:hAnsi="Arial"/>
          <w:sz w:val="20"/>
          <w:szCs w:val="20"/>
          <w:color w:val="auto"/>
        </w:rPr>
      </w:pPr>
    </w:p>
    <w:p>
      <w:pPr>
        <w:jc w:val="both"/>
        <w:ind w:left="420" w:hanging="412"/>
        <w:spacing w:after="0" w:line="258" w:lineRule="auto"/>
        <w:tabs>
          <w:tab w:leader="none" w:pos="415" w:val="left"/>
        </w:tabs>
        <w:numPr>
          <w:ilvl w:val="0"/>
          <w:numId w:val="9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Technology Way, Norwood, Massachusetts, 02062 U.S.A., Attention: Stock Plan Administrator.</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If the Participant resides in a European Economic Area or European Union member state and agrees with the data processing practices described in this notice, the Participant declares his or her consent by clicking “Accept Your Grant” on the Accepting Your Grants page on Fidelity’s participant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A-2</w:t>
      </w:r>
    </w:p>
    <w:p>
      <w:pPr>
        <w:sectPr>
          <w:pgSz w:w="11900" w:h="16838" w:orient="portrait"/>
          <w:cols w:equalWidth="0" w:num="1">
            <w:col w:w="11420"/>
          </w:cols>
          <w:pgMar w:left="240" w:top="116" w:right="239" w:bottom="1440" w:gutter="0" w:footer="0" w:header="0"/>
        </w:sectPr>
      </w:pPr>
    </w:p>
    <w:bookmarkStart w:id="137" w:name="page138"/>
    <w:bookmarkEnd w:id="137"/>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The Participant acknowledges that he or she is sufficiently proficient in English, or has consulted with an advisor who is sufficiently proficient in English, to understand the terms and conditions of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Australian Offer Documen</w:t>
      </w:r>
      <w:r>
        <w:rPr>
          <w:rFonts w:ascii="Arial" w:cs="Arial" w:eastAsia="Arial" w:hAnsi="Arial"/>
          <w:sz w:val="20"/>
          <w:szCs w:val="20"/>
          <w:color w:val="auto"/>
        </w:rPr>
        <w:t>t. This offer of RSUs is intended to comply with the provisions of the Corporations Act 2001, ASIC Regulatory Guide 49 and ASIC Class Order CO 14/1000. Additional details are set forth in the Offer Document for the offer of Restricted Stock Units to Australian resident employees, which is attached hereto as Appendix B.</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Arial" w:cs="Arial" w:eastAsia="Arial" w:hAnsi="Arial"/>
          <w:sz w:val="18"/>
          <w:szCs w:val="18"/>
          <w:i w:val="1"/>
          <w:iCs w:val="1"/>
          <w:color w:val="auto"/>
        </w:rPr>
        <w:t>Standmeldung/Wertpapiere</w:t>
      </w:r>
      <w:r>
        <w:rPr>
          <w:rFonts w:ascii="Arial" w:cs="Arial" w:eastAsia="Arial" w:hAnsi="Arial"/>
          <w:sz w:val="18"/>
          <w:szCs w:val="18"/>
          <w:color w:val="auto"/>
        </w:rPr>
        <w:t>.” An exemption applies if the value of the securities held outside Austria as of December 31 does not exceed certain thresholds. If applicable, the deadline for filing the annual report is January 31 of the following year.</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Participant’s cash accounts abroad meets or exceeds a certain threshold, then the movements and the balance of all accounts must be reported monthly, as of the last day of the month, on or before the 15th day of the following month, using the form “</w:t>
      </w:r>
      <w:r>
        <w:rPr>
          <w:rFonts w:ascii="Arial" w:cs="Arial" w:eastAsia="Arial" w:hAnsi="Arial"/>
          <w:sz w:val="18"/>
          <w:szCs w:val="18"/>
          <w:i w:val="1"/>
          <w:iCs w:val="1"/>
          <w:color w:val="auto"/>
        </w:rPr>
        <w:t>Meldungen SI-Forderungen und/oder SI-Verpflichtungen</w:t>
      </w:r>
      <w:r>
        <w:rPr>
          <w:rFonts w:ascii="Arial" w:cs="Arial" w:eastAsia="Arial" w:hAnsi="Arial"/>
          <w:sz w:val="18"/>
          <w:szCs w:val="18"/>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Foreign Asset / Account Reporting Information</w:t>
      </w:r>
      <w:r>
        <w:rPr>
          <w:rFonts w:ascii="Arial" w:cs="Arial" w:eastAsia="Arial" w:hAnsi="Arial"/>
          <w:sz w:val="18"/>
          <w:szCs w:val="18"/>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Stock Exchange Tax</w:t>
      </w:r>
      <w:r>
        <w:rPr>
          <w:rFonts w:ascii="Arial" w:cs="Arial" w:eastAsia="Arial" w:hAnsi="Arial"/>
          <w:sz w:val="18"/>
          <w:szCs w:val="18"/>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Brokerage Account Tax</w:t>
      </w:r>
      <w:r>
        <w:rPr>
          <w:rFonts w:ascii="Arial" w:cs="Arial" w:eastAsia="Arial" w:hAnsi="Arial"/>
          <w:sz w:val="20"/>
          <w:szCs w:val="20"/>
          <w:color w:val="auto"/>
        </w:rPr>
        <w:t>: A brokerage account tax applies to Belgian residents if the average annual value of securities (including Shares acquired under the Plan) held in a brokerage account exceeds certain thresholds. Belgian residents should consult with a personal tax or financial advisor for additional details on their obligations with respect to the brokerage account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A-3</w:t>
      </w:r>
    </w:p>
    <w:p>
      <w:pPr>
        <w:sectPr>
          <w:pgSz w:w="11900" w:h="16838" w:orient="portrait"/>
          <w:cols w:equalWidth="0" w:num="1">
            <w:col w:w="11420"/>
          </w:cols>
          <w:pgMar w:left="240" w:top="115" w:right="239" w:bottom="1440" w:gutter="0" w:footer="0" w:header="0"/>
        </w:sectPr>
      </w:pPr>
    </w:p>
    <w:bookmarkStart w:id="138" w:name="page139"/>
    <w:bookmarkEnd w:id="138"/>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Issuance of Shares</w:t>
      </w:r>
      <w:r>
        <w:rPr>
          <w:rFonts w:ascii="Arial" w:cs="Arial" w:eastAsia="Arial" w:hAnsi="Arial"/>
          <w:sz w:val="20"/>
          <w:szCs w:val="20"/>
          <w:color w:val="auto"/>
        </w:rPr>
        <w:t>: This provision supplements Section 2 of the Agreement:</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Notwithstanding any discretion in the Plan or the Agreement to the contrary, upon vesting of the RSUs, Shares will be issued as set forth in this section. In no event will the RSUs be paid to the Participant in the form of cash.</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13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The following supplements Section 2 of the Agreement (except Section 2(d) regarding disability) as well as any other section required to give effect to the same:</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the event of termination of the Participant’s employment for any reason (other than by reason of death), either by the Participant or by the Employer, with or without cause, the Participant’s right to vest or to continue to vest in the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u w:val="single" w:color="auto"/>
          <w:color w:val="auto"/>
        </w:rPr>
        <w:t>Foreign Asset / Account Reporting Information</w:t>
      </w:r>
      <w:r>
        <w:rPr>
          <w:rFonts w:ascii="Arial" w:cs="Arial" w:eastAsia="Arial" w:hAnsi="Arial"/>
          <w:sz w:val="19"/>
          <w:szCs w:val="19"/>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RSUs. The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terms and conditions apply if the Participant is in Quebec:</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This provision supplements the Data Privacy Information and Consent provision in the Terms and Conditions for Participants Outside the U.S. set forth above: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A-4</w:t>
      </w:r>
    </w:p>
    <w:p>
      <w:pPr>
        <w:sectPr>
          <w:pgSz w:w="11900" w:h="16838" w:orient="portrait"/>
          <w:cols w:equalWidth="0" w:num="1">
            <w:col w:w="11420"/>
          </w:cols>
          <w:pgMar w:left="240" w:top="115" w:right="239" w:bottom="1440" w:gutter="0" w:footer="0" w:header="0"/>
        </w:sectPr>
      </w:pPr>
    </w:p>
    <w:bookmarkStart w:id="139" w:name="page140"/>
    <w:bookmarkEnd w:id="139"/>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French Language Acknowledgment</w:t>
      </w:r>
      <w:r>
        <w:rPr>
          <w:rFonts w:ascii="Arial" w:cs="Arial" w:eastAsia="Arial" w:hAnsi="Arial"/>
          <w:sz w:val="20"/>
          <w:szCs w:val="20"/>
          <w:color w:val="auto"/>
        </w:rPr>
        <w:t>. This provision supplements Section 9(q) of the Agreement:</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2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3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Notwithstanding anything to the contrary in the Plan or the Agreement, the RSUs will not vest and no Shares will be issued to the Participant unless and until all necessary exchange control or other approvals with respect to the RSUs under the Plan have been obtained from the SAFE or its local counterpart (“SAFE Approval”). In the event that SAFE Approval has not been obtained prior to any date(s) on which the RSUs are scheduled to vest in accordance with the vesting schedule set forth in the Agreement, the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RSUs and the RSUs shall be forfeited without any liability to the Company, the Employer or any subsidiary or affiliate of the Company.</w:t>
      </w:r>
    </w:p>
    <w:p>
      <w:pPr>
        <w:spacing w:after="0" w:line="11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u w:val="single" w:color="auto"/>
          <w:color w:val="auto"/>
        </w:rPr>
        <w:t>Exchange Control Requirements</w:t>
      </w:r>
      <w:r>
        <w:rPr>
          <w:rFonts w:ascii="Arial" w:cs="Arial" w:eastAsia="Arial" w:hAnsi="Arial"/>
          <w:sz w:val="16"/>
          <w:szCs w:val="16"/>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Participant further is required to repatriate to the PRC any dividends or dividend equivalents paid to the Participant in relation to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A-5</w:t>
      </w:r>
    </w:p>
    <w:p>
      <w:pPr>
        <w:sectPr>
          <w:pgSz w:w="11900" w:h="16838" w:orient="portrait"/>
          <w:cols w:equalWidth="0" w:num="1">
            <w:col w:w="11420"/>
          </w:cols>
          <w:pgMar w:left="240" w:top="115" w:right="239" w:bottom="1440" w:gutter="0" w:footer="0" w:header="0"/>
        </w:sectPr>
      </w:pPr>
    </w:p>
    <w:bookmarkStart w:id="140" w:name="page141"/>
    <w:bookmarkEnd w:id="140"/>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jc w:val="both"/>
        <w:spacing w:after="0" w:line="386" w:lineRule="auto"/>
        <w:rPr>
          <w:sz w:val="20"/>
          <w:szCs w:val="20"/>
          <w:color w:val="auto"/>
        </w:rPr>
      </w:pPr>
      <w:r>
        <w:rPr>
          <w:rFonts w:ascii="Arial" w:cs="Arial" w:eastAsia="Arial" w:hAnsi="Arial"/>
          <w:sz w:val="16"/>
          <w:szCs w:val="16"/>
          <w:color w:val="auto"/>
        </w:rPr>
        <w:t>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Tax Liability</w:t>
      </w:r>
      <w:r>
        <w:rPr>
          <w:rFonts w:ascii="Arial" w:cs="Arial" w:eastAsia="Arial" w:hAnsi="Arial"/>
          <w:sz w:val="20"/>
          <w:szCs w:val="20"/>
          <w:color w:val="auto"/>
        </w:rPr>
        <w:t>. Taxes are due at the time of vesting of the RSUs. The Participant understands and agrees that Tax-Related Items may be taken by the Employer from the Participant’s salary or other cash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Danish Stock Option Act</w:t>
      </w:r>
      <w:r>
        <w:rPr>
          <w:rFonts w:ascii="Arial" w:cs="Arial" w:eastAsia="Arial" w:hAnsi="Arial"/>
          <w:sz w:val="20"/>
          <w:szCs w:val="20"/>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Exclusion from Termination Indemnities and Other Benefits</w:t>
      </w:r>
      <w:r>
        <w:rPr>
          <w:rFonts w:ascii="Arial" w:cs="Arial" w:eastAsia="Arial" w:hAnsi="Arial"/>
          <w:sz w:val="20"/>
          <w:szCs w:val="20"/>
          <w:color w:val="auto"/>
        </w:rPr>
        <w:t>. This provision supplements Section 9(c) in the Agreement: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By accepting the RSUs, the Participant acknowledges that he or she understands and agrees that this grant relates to future services to be performed and is not a bonus or compensation for past services.</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xml:space="preserve"> If the Participant transfers funds into Egypt in connection with the sale of Shares, the Participant is required to transfer the funds through a registered bank in Egypt.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French-Qualified RSUs</w:t>
      </w:r>
      <w:r>
        <w:rPr>
          <w:rFonts w:ascii="Arial" w:cs="Arial" w:eastAsia="Arial" w:hAnsi="Arial"/>
          <w:sz w:val="20"/>
          <w:szCs w:val="20"/>
          <w:color w:val="auto"/>
        </w:rPr>
        <w:t>. The RSUs are intended to qualify for the favorable tax and social security regime in France under Section L. 225-197-1 to L. 225-197-6-1 of the French Commercial Code, as amended. Certain events may affect the status of the RSUs as French-qualified RSUs, and the French-qualified RSUs may be disqualified in the future. The Company does not make any undertaking or representation to maintain the qualified status of the RSUs. If the RSUs no longer qualify as French-qualified RSUs, the favorable tax and social security treatment will not apply, and the Participant will be required to pay his or her portion of social security contributions resulting from the RSUs (as well as any income tax that is due).</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Plan Terms</w:t>
      </w:r>
      <w:r>
        <w:rPr>
          <w:rFonts w:ascii="Arial" w:cs="Arial" w:eastAsia="Arial" w:hAnsi="Arial"/>
          <w:sz w:val="19"/>
          <w:szCs w:val="19"/>
          <w:color w:val="auto"/>
        </w:rPr>
        <w:t>. The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RSUs, the definitions in the French Sub-plan shall prevail.</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This provision supplements Section 2 in the Agreement:</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Except in the event of the Participant’s death or Disability (as defined in the French Sub-plan and as determined under Section 2(d) of the Agreement) to benefit from the favorable tax and social security regime, no vesting shall occur prior to the first anniversary of the Date of Grant, or such other 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A-6</w:t>
      </w:r>
    </w:p>
    <w:p>
      <w:pPr>
        <w:sectPr>
          <w:pgSz w:w="11900" w:h="16838" w:orient="portrait"/>
          <w:cols w:equalWidth="0" w:num="1">
            <w:col w:w="11420"/>
          </w:cols>
          <w:pgMar w:left="240" w:top="115" w:right="239" w:bottom="1440" w:gutter="0" w:footer="0" w:header="0"/>
        </w:sectPr>
      </w:pPr>
    </w:p>
    <w:bookmarkStart w:id="141" w:name="page142"/>
    <w:bookmarkEnd w:id="141"/>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period as required for the vesting period applicable to French-qualified RSUs under Section L.225-197-1 of the French Commercial Code, as amended, or relevant Sections of the French Tax Code or the French Social Security Code, as amended.</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This provision supplements Section 2(d) in the Agreement: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the event the Participant becomes Disabled (as defined in the French Sub-plan and as determined under Section 2(d) of the Agreement), the Unvested RSUs as of the date of the Participant’s termination shall vest in full as of the date of the termination.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Restriction on Transfer and Sale of Shares</w:t>
      </w:r>
      <w:r>
        <w:rPr>
          <w:rFonts w:ascii="Arial" w:cs="Arial" w:eastAsia="Arial" w:hAnsi="Arial"/>
          <w:sz w:val="20"/>
          <w:szCs w:val="20"/>
          <w:color w:val="auto"/>
        </w:rPr>
        <w:t>. This provision supplements Section 3 in the Agreement: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Participant may not sell or transfer the Shares issued at vesting of the RSUs prior to the second anniversary of each of the respective vesting date, or such other period as is required to comply with the minimum mandatory holding period applicable to French-qualified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Further, as long as the RSUs and the Shares acquired at vesting of the RSUs maintain their French-qualified status, the Shares cannot be sold during certain “Closed Periods” as provided for by Section L. 225-197-1 of the French Commercial Code, as amended, and as interpreted by the French administrative guidelines, so long as these Closed Periods are applicable to Shares issued pursuant to French-qualified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Changes in Capitalization</w:t>
      </w:r>
      <w:r>
        <w:rPr>
          <w:rFonts w:ascii="Arial" w:cs="Arial" w:eastAsia="Arial" w:hAnsi="Arial"/>
          <w:sz w:val="20"/>
          <w:szCs w:val="20"/>
          <w:color w:val="auto"/>
        </w:rPr>
        <w:t>. This provision supplements Section 9(u) in the Agreement: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adjustments may disqualify the RSUs, in which case they may no longer benefit from favorable tax and social security treatment in France.</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Language Consent</w:t>
      </w:r>
      <w:r>
        <w:rPr>
          <w:rFonts w:ascii="Arial" w:cs="Arial" w:eastAsia="Arial" w:hAnsi="Arial"/>
          <w:sz w:val="20"/>
          <w:szCs w:val="20"/>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2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7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u w:val="single" w:color="auto"/>
          <w:color w:val="auto"/>
        </w:rPr>
        <w:t>Consentement a la Langue</w:t>
      </w:r>
      <w:r>
        <w:rPr>
          <w:rFonts w:ascii="Arial" w:cs="Arial" w:eastAsia="Arial" w:hAnsi="Arial"/>
          <w:sz w:val="20"/>
          <w:szCs w:val="20"/>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A-7</w:t>
      </w:r>
    </w:p>
    <w:p>
      <w:pPr>
        <w:sectPr>
          <w:pgSz w:w="11900" w:h="16838" w:orient="portrait"/>
          <w:cols w:equalWidth="0" w:num="1">
            <w:col w:w="11420"/>
          </w:cols>
          <w:pgMar w:left="240" w:top="116" w:right="239" w:bottom="1440" w:gutter="0" w:footer="0" w:header="0"/>
        </w:sectPr>
      </w:pPr>
    </w:p>
    <w:bookmarkStart w:id="142" w:name="page143"/>
    <w:bookmarkEnd w:id="142"/>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can be accessed via the Bundesbank’s website (www.bundesbank.de) and is available in both German and English. It is Participant’s responsibility to comply with this reporting obligation and the Participant should consult with his or her personal tax advisor in this regard.</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If the Participant’s acquisition of Shares under the Plan leads to a “qualified participation” at any point during the calendar year, the Participant will need to report the acquisition when the Participant files his or her tax return for the relevant year. A qualified participation is attained if (i) the value of the Shares acquired exceeds a certain threshold or (ii) in the unlikely event the Participant holds shares of Common Stock exceeding a certain threshold of the total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16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Sale of Shares</w:t>
      </w:r>
      <w:r>
        <w:rPr>
          <w:rFonts w:ascii="Arial" w:cs="Arial" w:eastAsia="Arial" w:hAnsi="Arial"/>
          <w:sz w:val="20"/>
          <w:szCs w:val="20"/>
          <w:color w:val="auto"/>
        </w:rPr>
        <w:t>. In the event the RSUs vest within six months of the Date of Grant, the Participant agrees not to sell any Shares acquired upon vesting of the RSUs prior to the six-month anniversary of the Date of Grant.</w:t>
      </w:r>
    </w:p>
    <w:p>
      <w:pPr>
        <w:spacing w:after="0" w:line="12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u w:val="single" w:color="auto"/>
          <w:color w:val="auto"/>
        </w:rPr>
        <w:t>Securities Law Notice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WARNING</w:t>
      </w:r>
      <w:r>
        <w:rPr>
          <w:rFonts w:ascii="Arial" w:cs="Arial" w:eastAsia="Arial" w:hAnsi="Arial"/>
          <w:sz w:val="18"/>
          <w:szCs w:val="18"/>
          <w:i w:val="1"/>
          <w:iCs w:val="1"/>
          <w:color w:val="auto"/>
        </w:rPr>
        <w:t>: The contents of this document have not been reviewed by any regulatory authority in Hong Kong. The</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Participant should exercise caution in relation to the offer. If the Participant is in doubt about any of the contents of this Agreement or the Plan, the Participant should obtain independent professional advice. Neither the grant of the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u w:val="single" w:color="auto"/>
          <w:color w:val="auto"/>
        </w:rPr>
        <w:t>Exchange Control Notification</w:t>
      </w:r>
      <w:r>
        <w:rPr>
          <w:rFonts w:ascii="Arial" w:cs="Arial" w:eastAsia="Arial" w:hAnsi="Arial"/>
          <w:sz w:val="19"/>
          <w:szCs w:val="19"/>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A-8</w:t>
      </w:r>
    </w:p>
    <w:p>
      <w:pPr>
        <w:sectPr>
          <w:pgSz w:w="11900" w:h="16838" w:orient="portrait"/>
          <w:cols w:equalWidth="0" w:num="1">
            <w:col w:w="11420"/>
          </w:cols>
          <w:pgMar w:left="240" w:top="116" w:right="239" w:bottom="1440" w:gutter="0" w:footer="0" w:header="0"/>
        </w:sectPr>
      </w:pPr>
    </w:p>
    <w:bookmarkStart w:id="143" w:name="page144"/>
    <w:bookmarkEnd w:id="143"/>
    <w:p>
      <w:pPr>
        <w:ind w:left="5100"/>
        <w:spacing w:after="0"/>
        <w:rPr>
          <w:sz w:val="20"/>
          <w:szCs w:val="20"/>
          <w:color w:val="auto"/>
        </w:rPr>
      </w:pPr>
      <w:r>
        <w:rPr>
          <w:rFonts w:ascii="Arial" w:cs="Arial" w:eastAsia="Arial" w:hAnsi="Arial"/>
          <w:sz w:val="20"/>
          <w:szCs w:val="20"/>
          <w:b w:val="1"/>
          <w:bCs w:val="1"/>
          <w:color w:val="auto"/>
        </w:rPr>
        <w:t>APPENDIX A</w:t>
      </w:r>
    </w:p>
    <w:p>
      <w:pPr>
        <w:spacing w:after="0" w:line="161"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Manner of Payment</w:t>
      </w:r>
      <w:r>
        <w:rPr>
          <w:rFonts w:ascii="Arial" w:cs="Arial" w:eastAsia="Arial" w:hAnsi="Arial"/>
          <w:sz w:val="20"/>
          <w:szCs w:val="20"/>
          <w:color w:val="auto"/>
        </w:rPr>
        <w:t>. This provision replaces Section 7 of the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discretion in the Plan or the Agreement to the contrary, upon vesting of the RSUs, Shares will be issued to the Participant.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 no event will the Award be paid to the Participant in the form of cash.</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Exclusion from Termination Indemnities and Other Benefits</w:t>
      </w:r>
      <w:r>
        <w:rPr>
          <w:rFonts w:ascii="Arial" w:cs="Arial" w:eastAsia="Arial" w:hAnsi="Arial"/>
          <w:sz w:val="20"/>
          <w:szCs w:val="20"/>
          <w:color w:val="auto"/>
        </w:rPr>
        <w:t>. This provision supplements Section 9(c) of the Agreement: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By accepting the RSUs, the Participant acknowledges, understands, and agrees that the benefits received under the Plan will not be taken into account for any redundancy or unfair dismissal claim.</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Israel</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Trust Arrangement</w:t>
      </w:r>
      <w:r>
        <w:rPr>
          <w:rFonts w:ascii="Arial" w:cs="Arial" w:eastAsia="Arial" w:hAnsi="Arial"/>
          <w:sz w:val="20"/>
          <w:szCs w:val="20"/>
          <w:color w:val="auto"/>
        </w:rPr>
        <w:t>. The Participant hereby understands and agrees that the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Israeli Sub-Plan will govern the RSUs granted to the Participant in Israel.</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If the Participant resides in Israel has not already signed an Israeli Appendix in connection with grants made under the Plan, then the Participant must print, sign and deliver the signed copy of the Israeli Appendix attached hereto as Appendix D within 45 days to: Stock Plan Administrator, Analog Devices, Inc., One Technology Way, Norwood, Massachusetts, 02062 U.S.A. If Analog Devices, (Israel) Ltd. or Analog Devices, Inc. does not receive the signed Israeli Appendix within 45 days, the RSUs shall terminate and will become null and void.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This provision supplements Section 2(a) in the Agreement:</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Shares issued upon vesting of the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 This provision supplements Section 3(a) in the Agreement:</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Trustee shall not alienate, sell, exchange, transfer, assign, pledge, or otherwise encumber the RSUs or the Shares for the Participant, except as permitted under the Sub-Plan and the terms of Section 102 (as defined in the Sub-Plan), or in the case of death, the Participant’s heirs, except by will or by the laws of descent and distribution.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Manner of Payment</w:t>
      </w:r>
      <w:r>
        <w:rPr>
          <w:rFonts w:ascii="Arial" w:cs="Arial" w:eastAsia="Arial" w:hAnsi="Arial"/>
          <w:sz w:val="20"/>
          <w:szCs w:val="20"/>
          <w:color w:val="auto"/>
        </w:rPr>
        <w:t>. This provision replaces Section 7 of the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discretion in the Plan or the Agreement to the contrary, upon vesting of the RSUs, Shares will be issued to the Participant.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 no event will the Award be paid to Participant in the form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A-9</w:t>
      </w:r>
    </w:p>
    <w:p>
      <w:pPr>
        <w:sectPr>
          <w:pgSz w:w="11900" w:h="16838" w:orient="portrait"/>
          <w:cols w:equalWidth="0" w:num="1">
            <w:col w:w="11420"/>
          </w:cols>
          <w:pgMar w:left="240" w:top="118" w:right="239" w:bottom="1440" w:gutter="0" w:footer="0" w:header="0"/>
        </w:sectPr>
      </w:pPr>
    </w:p>
    <w:bookmarkStart w:id="144" w:name="page145"/>
    <w:bookmarkEnd w:id="144"/>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Plan Document Acknowledgment</w:t>
      </w:r>
      <w:r>
        <w:rPr>
          <w:rFonts w:ascii="Arial" w:cs="Arial" w:eastAsia="Arial" w:hAnsi="Arial"/>
          <w:sz w:val="20"/>
          <w:szCs w:val="20"/>
          <w:color w:val="auto"/>
        </w:rPr>
        <w:t>. In accepting the RSU, the Participant acknowledges that a copy of the Plan was made available to the Participant, and that the Participant has reviewed the Plan and the Agreement, including Appendix A, in their entirety and fully understand and accept all provisions of the Plan, the Agreement and Appendix 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Participant further acknowledges that he or she has read and specifically and expressly approves the following provision in the Agreement: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Vesting and Conversion, Withholding Taxes, and Miscellaneous.</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Foreign Asset Tax</w:t>
      </w:r>
      <w:r>
        <w:rPr>
          <w:rFonts w:ascii="Arial" w:cs="Arial" w:eastAsia="Arial" w:hAnsi="Arial"/>
          <w:sz w:val="20"/>
          <w:szCs w:val="20"/>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Foreign Asset / Account Reporting Information</w:t>
      </w:r>
      <w:r>
        <w:rPr>
          <w:rFonts w:ascii="Arial" w:cs="Arial" w:eastAsia="Arial" w:hAnsi="Arial"/>
          <w:sz w:val="18"/>
          <w:szCs w:val="18"/>
          <w:color w:val="auto"/>
        </w:rPr>
        <w:t>. If the Participant holds investments abroad or foreign financial assets (e.g., cash, Shares,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RSUs or Shares acquired under the Plan.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Korea</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Director Notification</w:t>
      </w:r>
      <w:r>
        <w:rPr>
          <w:rFonts w:ascii="Arial" w:cs="Arial" w:eastAsia="Arial" w:hAnsi="Arial"/>
          <w:sz w:val="19"/>
          <w:szCs w:val="19"/>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12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This provision replaces the Data Privacy Information and Consent provision in the Terms and Conditions for Participants Outside the U.S.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A-10</w:t>
      </w:r>
    </w:p>
    <w:p>
      <w:pPr>
        <w:sectPr>
          <w:pgSz w:w="11900" w:h="16838" w:orient="portrait"/>
          <w:cols w:equalWidth="0" w:num="1">
            <w:col w:w="11420"/>
          </w:cols>
          <w:pgMar w:left="240" w:top="115" w:right="239" w:bottom="1440" w:gutter="0" w:footer="0" w:header="0"/>
        </w:sectPr>
      </w:pPr>
    </w:p>
    <w:bookmarkStart w:id="145" w:name="page146"/>
    <w:bookmarkEnd w:id="145"/>
    <w:p>
      <w:pPr>
        <w:ind w:left="506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300355</wp:posOffset>
            </wp:positionV>
            <wp:extent cx="7237730" cy="4716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7730" cy="4716780"/>
                    </a:xfrm>
                    <a:prstGeom prst="rect">
                      <a:avLst/>
                    </a:prstGeom>
                    <a:noFill/>
                  </pic:spPr>
                </pic:pic>
              </a:graphicData>
            </a:graphic>
          </wp:anchor>
        </w:drawing>
      </w:r>
    </w:p>
    <w:p>
      <w:pPr>
        <w:sectPr>
          <w:pgSz w:w="11900" w:h="16838" w:orient="portrait"/>
          <w:cols w:equalWidth="0" w:num="1">
            <w:col w:w="11340"/>
          </w:cols>
          <w:pgMar w:left="280" w:top="115" w:right="27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line="316" w:lineRule="auto"/>
        <w:rPr>
          <w:sz w:val="20"/>
          <w:szCs w:val="20"/>
          <w:color w:val="auto"/>
        </w:rPr>
      </w:pPr>
      <w:r>
        <w:rPr>
          <w:rFonts w:ascii="Arial" w:cs="Arial" w:eastAsia="Arial" w:hAnsi="Arial"/>
          <w:sz w:val="16"/>
          <w:szCs w:val="16"/>
          <w:b w:val="1"/>
          <w:bCs w:val="1"/>
          <w:i w:val="1"/>
          <w:iCs w:val="1"/>
          <w:color w:val="auto"/>
        </w:rPr>
        <w:t>The Participant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Participant’s participation in the Plan.</w:t>
      </w:r>
    </w:p>
    <w:p>
      <w:pPr>
        <w:spacing w:after="0" w:line="154"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i w:val="1"/>
          <w:iCs w:val="1"/>
          <w:color w:val="auto"/>
        </w:rPr>
        <w:t>The Participant understands that the Company and the Employer may hold certain personal information about the Participant, including, but not limited to, his or her name, home address and telephone number, date of birth, social insurance number or other identification number, salary, nationality, job title, any shares of stock or directorships held in the Company, details of all RSUs or any other entitlement to shares of stock awarded, canceled, exercised, vested, unvested or outstanding in the Participant’s favor, for the purpose of implementing, administering and managing the Plan (“Data”). The source of the Data is the Employer as well as information the Participant is providing to the Company and the Employer in connection with the RSUs. The Participant understands that Data may be transferred to Fidelity or any other third parties as may be selected by the Company in the future, which are assisting in the implementation, administration and management of the Plan, that these recipients may be located in the Participant’s country or elsewhere and that the recipients’ country (e.g., the United States) may have different data privacy laws and protections than the Participant’s country. The Participant understands that he or she may request a list with the names and addresses of any potential recipients of the Data by contacting his or her local human resources representative.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Peserta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Peserta dalam Pelan Peserta memahami bahawa Syarikat dan Majikan mungkin memegang maklumat peribadi tertentu tentang Peserta, termasuk, tetapi tidak terhad kepada, namanya, alamat rumah dan nombor telefon, tarikh lahir, nombor insurans sosial atau nombor pengenalan lain, gaji, kewarganegaraan, jawatan, apa-apa syer dalam saham atau jawatan pengarah yang dipegang dalam Syarikat, butir-butir semua RSUs atau apa-apa hak lain untuk syer dalam saham yang dianugerahkan, dibatalkan, dilaksanakan, terletak hak, tidak diletak hak ataupun yang belum dijelaskan bagi faedah Peserta, untuk tujuan eksklusif bagi melaksanakan, mentadbir dan menguruskan Pelan (“Data”). Sumber Data adalah daripada Majikan dan juga daripada maklumat yang dibekalkan oleh Peserta kepada Syarikat dan Majikan berkenaan dengan RSUs. Penerima Anugerah juga memahami bahawa Data mungkin dipindahkan kepada Fidelity atau mana-mana pihak ketiga yang mungkin dipilih oleh Syarikat pada masa depan, yang membantu dalam pelaksanaan, pentadbiran dan pengurusan Pelan, bahawa penerima-penerima ini mungkin berada di negara Peserta atau di tempat lain, dan bahawa negara penerima (contohnya, Amerika Syarikat) mungkin mempunyai undang-undang privasi data dan perlindungan yang berbeza daripada negara Peserta. Peserta memahami bahawa dia boleh meminta senarai nama dan alamat mana-mana penerima Data dengan menghubungi wakil sumber manusia tempatannya.</w:t>
      </w:r>
    </w:p>
    <w:p>
      <w:pPr>
        <w:spacing w:after="0" w:line="200" w:lineRule="exact"/>
        <w:rPr>
          <w:sz w:val="20"/>
          <w:szCs w:val="20"/>
          <w:color w:val="auto"/>
        </w:rPr>
      </w:pPr>
    </w:p>
    <w:p>
      <w:pPr>
        <w:sectPr>
          <w:pgSz w:w="11900" w:h="16838" w:orient="portrait"/>
          <w:cols w:equalWidth="0" w:num="2">
            <w:col w:w="5560" w:space="200"/>
            <w:col w:w="5580"/>
          </w:cols>
          <w:pgMar w:left="280" w:top="115"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A-11</w:t>
      </w:r>
    </w:p>
    <w:p>
      <w:pPr>
        <w:sectPr>
          <w:pgSz w:w="11900" w:h="16838" w:orient="portrait"/>
          <w:cols w:equalWidth="0" w:num="1">
            <w:col w:w="11340"/>
          </w:cols>
          <w:pgMar w:left="280" w:top="115" w:right="279" w:bottom="1440" w:gutter="0" w:footer="0" w:header="0"/>
          <w:type w:val="continuous"/>
        </w:sectPr>
      </w:pPr>
    </w:p>
    <w:bookmarkStart w:id="146" w:name="page147"/>
    <w:bookmarkEnd w:id="146"/>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294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0" w:firstLine="49"/>
        <w:spacing w:after="0" w:line="303" w:lineRule="auto"/>
        <w:rPr>
          <w:sz w:val="20"/>
          <w:szCs w:val="20"/>
          <w:color w:val="auto"/>
        </w:rPr>
      </w:pPr>
      <w:r>
        <w:rPr>
          <w:rFonts w:ascii="Arial" w:cs="Arial" w:eastAsia="Arial" w:hAnsi="Arial"/>
          <w:sz w:val="16"/>
          <w:szCs w:val="16"/>
          <w:b w:val="1"/>
          <w:bCs w:val="1"/>
          <w:i w:val="1"/>
          <w:iCs w:val="1"/>
          <w:color w:val="auto"/>
        </w:rPr>
        <w:t>The Participant authorizes the Company, Fidelity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including any requisite transfer of such Data as may be required to a broker or other third party with whom the Participant may elect to deposit any Shares acquired upon settlement of the Award.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Participant understands, however, that refusing or withdrawing his or her consent may affect the Participant’s ability to participate in the Plan. For more information on the consequences of a refusal to consent or withdrawal of consent, the Participant understands that he or she may contact his or her regional stock plan administrator at 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3576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both"/>
        <w:ind w:right="40"/>
        <w:spacing w:after="0" w:line="285" w:lineRule="auto"/>
        <w:rPr>
          <w:sz w:val="20"/>
          <w:szCs w:val="20"/>
          <w:color w:val="auto"/>
        </w:rPr>
      </w:pPr>
      <w:r>
        <w:rPr>
          <w:rFonts w:ascii="Arial" w:cs="Arial" w:eastAsia="Arial" w:hAnsi="Arial"/>
          <w:sz w:val="16"/>
          <w:szCs w:val="16"/>
          <w:b w:val="1"/>
          <w:bCs w:val="1"/>
          <w:i w:val="1"/>
          <w:iCs w:val="1"/>
          <w:color w:val="auto"/>
        </w:rPr>
        <w:t>Peserta memberi kuasa kepada Syarikat, Fidelity, dan mana-mana penerima lain yang mungkin membantu Syarikat (masa sekarang atau pada masa depan) untuk melaksanakan, mentadbir dan menguruskan penyertaan Peserta dalam Pelan untuk menerima, memiliki, menggunakan, mengekalkan dan memindahkan Data, dalam bentuk elektronik atau lain-lain, semata-mata dengan tujuan untuk melaksanakan, mentadbir dan menguruskan penyertaan Peserta dalam Pelan, termasuk apa-apa pemindahan Data yang diperlukan kepada broker atau pihak ketiga dengan siapa Peserta mungkin pilih untuk mendepositkan apa-apa Saham yang diperolehi di atas penyelesaian Anugerah</w:t>
      </w:r>
      <w:r>
        <w:rPr>
          <w:rFonts w:ascii="Arial" w:cs="Arial" w:eastAsia="Arial" w:hAnsi="Arial"/>
          <w:sz w:val="16"/>
          <w:szCs w:val="16"/>
          <w:b w:val="1"/>
          <w:bCs w:val="1"/>
          <w:i w:val="1"/>
          <w:iCs w:val="1"/>
          <w:color w:val="222222"/>
        </w:rPr>
        <w:t>. Peserta memahami</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i w:val="1"/>
          <w:iCs w:val="1"/>
          <w:color w:val="222222"/>
        </w:rPr>
        <w:t>bahawa Data akan dipegang hanya untuk tempoh yang diperlukan untuk melaksanakan, mentadbir dan menguruskan penyertaannya da</w:t>
      </w:r>
      <w:r>
        <w:rPr>
          <w:rFonts w:ascii="Arial" w:cs="Arial" w:eastAsia="Arial" w:hAnsi="Arial"/>
          <w:sz w:val="16"/>
          <w:szCs w:val="16"/>
          <w:b w:val="1"/>
          <w:bCs w:val="1"/>
          <w:i w:val="1"/>
          <w:iCs w:val="1"/>
          <w:color w:val="000000"/>
        </w:rPr>
        <w:t>lam Pelan terse</w:t>
      </w:r>
      <w:r>
        <w:rPr>
          <w:rFonts w:ascii="Arial" w:cs="Arial" w:eastAsia="Arial" w:hAnsi="Arial"/>
          <w:sz w:val="16"/>
          <w:szCs w:val="16"/>
          <w:b w:val="1"/>
          <w:bCs w:val="1"/>
          <w:i w:val="1"/>
          <w:iCs w:val="1"/>
          <w:color w:val="222222"/>
        </w:rPr>
        <w:t>bu</w:t>
      </w:r>
      <w:r>
        <w:rPr>
          <w:rFonts w:ascii="Arial" w:cs="Arial" w:eastAsia="Arial" w:hAnsi="Arial"/>
          <w:sz w:val="16"/>
          <w:szCs w:val="16"/>
          <w:b w:val="1"/>
          <w:bCs w:val="1"/>
          <w:i w:val="1"/>
          <w:iCs w:val="1"/>
          <w:color w:val="000000"/>
        </w:rPr>
        <w:t>t. Peserta memahami bahawa dia boleh, pada</w:t>
      </w:r>
      <w:r>
        <w:rPr>
          <w:rFonts w:ascii="Arial" w:cs="Arial" w:eastAsia="Arial" w:hAnsi="Arial"/>
          <w:sz w:val="16"/>
          <w:szCs w:val="16"/>
          <w:b w:val="1"/>
          <w:bCs w:val="1"/>
          <w:i w:val="1"/>
          <w:iCs w:val="1"/>
          <w:color w:val="222222"/>
        </w:rPr>
        <w:t xml:space="preserve"> </w:t>
      </w:r>
      <w:r>
        <w:rPr>
          <w:rFonts w:ascii="Arial" w:cs="Arial" w:eastAsia="Arial" w:hAnsi="Arial"/>
          <w:sz w:val="16"/>
          <w:szCs w:val="16"/>
          <w:b w:val="1"/>
          <w:bCs w:val="1"/>
          <w:i w:val="1"/>
          <w:iCs w:val="1"/>
          <w:color w:val="000000"/>
        </w:rPr>
        <w:t>bila-bila mas</w:t>
      </w:r>
      <w:r>
        <w:rPr>
          <w:rFonts w:ascii="Arial" w:cs="Arial" w:eastAsia="Arial" w:hAnsi="Arial"/>
          <w:sz w:val="16"/>
          <w:szCs w:val="16"/>
          <w:b w:val="1"/>
          <w:bCs w:val="1"/>
          <w:i w:val="1"/>
          <w:iCs w:val="1"/>
          <w:color w:val="222222"/>
        </w:rPr>
        <w:t>a, melihat data, meminta maklumat tambahan</w:t>
      </w:r>
      <w:r>
        <w:rPr>
          <w:rFonts w:ascii="Arial" w:cs="Arial" w:eastAsia="Arial" w:hAnsi="Arial"/>
          <w:sz w:val="16"/>
          <w:szCs w:val="16"/>
          <w:b w:val="1"/>
          <w:bCs w:val="1"/>
          <w:i w:val="1"/>
          <w:iCs w:val="1"/>
          <w:color w:val="000000"/>
        </w:rPr>
        <w:t xml:space="preserve"> </w:t>
      </w:r>
      <w:r>
        <w:rPr>
          <w:rFonts w:ascii="Arial" w:cs="Arial" w:eastAsia="Arial" w:hAnsi="Arial"/>
          <w:sz w:val="16"/>
          <w:szCs w:val="16"/>
          <w:b w:val="1"/>
          <w:bCs w:val="1"/>
          <w:i w:val="1"/>
          <w:iCs w:val="1"/>
          <w:color w:val="222222"/>
        </w:rPr>
        <w:t>mengenai penyimpanan dan pemprosesan Data, meminta bahawa pindaan-pindaan dilaksanakan ke atas Data atau menolak atau menarik balik persetujuan dalam ini, dalam mana-mana kes, tanpa kos, dengan menghubungi secara bertulis wakil sumber manusia tempatannya. Peser</w:t>
      </w:r>
      <w:r>
        <w:rPr>
          <w:rFonts w:ascii="Arial" w:cs="Arial" w:eastAsia="Arial" w:hAnsi="Arial"/>
          <w:sz w:val="16"/>
          <w:szCs w:val="16"/>
          <w:b w:val="1"/>
          <w:bCs w:val="1"/>
          <w:i w:val="1"/>
          <w:iCs w:val="1"/>
          <w:color w:val="000000"/>
        </w:rPr>
        <w:t>ta memaha</w:t>
      </w:r>
      <w:r>
        <w:rPr>
          <w:rFonts w:ascii="Arial" w:cs="Arial" w:eastAsia="Arial" w:hAnsi="Arial"/>
          <w:sz w:val="16"/>
          <w:szCs w:val="16"/>
          <w:b w:val="1"/>
          <w:bCs w:val="1"/>
          <w:i w:val="1"/>
          <w:iCs w:val="1"/>
          <w:color w:val="222222"/>
        </w:rPr>
        <w:t xml:space="preserve">mi bahawa keengganan atau penarikan balik persetujuannya boleh menjejaskan keupayaannya untuk mengambil bahagian </w:t>
      </w:r>
      <w:r>
        <w:rPr>
          <w:rFonts w:ascii="Arial" w:cs="Arial" w:eastAsia="Arial" w:hAnsi="Arial"/>
          <w:sz w:val="16"/>
          <w:szCs w:val="16"/>
          <w:b w:val="1"/>
          <w:bCs w:val="1"/>
          <w:i w:val="1"/>
          <w:iCs w:val="1"/>
          <w:color w:val="000000"/>
        </w:rPr>
        <w:t>dalam</w:t>
      </w:r>
      <w:r>
        <w:rPr>
          <w:rFonts w:ascii="Arial" w:cs="Arial" w:eastAsia="Arial" w:hAnsi="Arial"/>
          <w:sz w:val="16"/>
          <w:szCs w:val="16"/>
          <w:b w:val="1"/>
          <w:bCs w:val="1"/>
          <w:i w:val="1"/>
          <w:iCs w:val="1"/>
          <w:color w:val="222222"/>
        </w:rPr>
        <w:t xml:space="preserve"> Pelan. Untuk maklumat lanjut mengenai akibat keeng</w:t>
      </w:r>
      <w:r>
        <w:rPr>
          <w:rFonts w:ascii="Arial" w:cs="Arial" w:eastAsia="Arial" w:hAnsi="Arial"/>
          <w:sz w:val="16"/>
          <w:szCs w:val="16"/>
          <w:b w:val="1"/>
          <w:bCs w:val="1"/>
          <w:i w:val="1"/>
          <w:iCs w:val="1"/>
          <w:color w:val="000000"/>
        </w:rPr>
        <w:t>gan</w:t>
      </w:r>
      <w:r>
        <w:rPr>
          <w:rFonts w:ascii="Arial" w:cs="Arial" w:eastAsia="Arial" w:hAnsi="Arial"/>
          <w:sz w:val="16"/>
          <w:szCs w:val="16"/>
          <w:b w:val="1"/>
          <w:bCs w:val="1"/>
          <w:i w:val="1"/>
          <w:iCs w:val="1"/>
          <w:color w:val="222222"/>
        </w:rPr>
        <w:t>annya untuk memberikan keizinan atau penarikan balik keizinan, Peserta fahami bahawa dia boleh menghubungi pentadbir pelan saham seran</w:t>
      </w:r>
      <w:r>
        <w:rPr>
          <w:rFonts w:ascii="Arial" w:cs="Arial" w:eastAsia="Arial" w:hAnsi="Arial"/>
          <w:sz w:val="16"/>
          <w:szCs w:val="16"/>
          <w:b w:val="1"/>
          <w:bCs w:val="1"/>
          <w:i w:val="1"/>
          <w:iCs w:val="1"/>
          <w:color w:val="000000"/>
        </w:rPr>
        <w:t>tau di</w:t>
      </w:r>
      <w:r>
        <w:rPr>
          <w:rFonts w:ascii="Arial" w:cs="Arial" w:eastAsia="Arial" w:hAnsi="Arial"/>
          <w:sz w:val="16"/>
          <w:szCs w:val="16"/>
          <w:b w:val="1"/>
          <w:bCs w:val="1"/>
          <w:i w:val="1"/>
          <w:iCs w:val="1"/>
          <w:color w:val="222222"/>
        </w:rPr>
        <w:t xml:space="preserve"> </w:t>
      </w:r>
      <w:r>
        <w:rPr>
          <w:rFonts w:ascii="Arial" w:cs="Arial" w:eastAsia="Arial" w:hAnsi="Arial"/>
          <w:sz w:val="16"/>
          <w:szCs w:val="16"/>
          <w:b w:val="1"/>
          <w:bCs w:val="1"/>
          <w:i w:val="1"/>
          <w:iCs w:val="1"/>
          <w:color w:val="000000"/>
        </w:rPr>
        <w:t>Stock_Plan_Admin@Ana</w:t>
      </w:r>
      <w:r>
        <w:rPr>
          <w:rFonts w:ascii="Arial" w:cs="Arial" w:eastAsia="Arial" w:hAnsi="Arial"/>
          <w:sz w:val="16"/>
          <w:szCs w:val="16"/>
          <w:b w:val="1"/>
          <w:bCs w:val="1"/>
          <w:i w:val="1"/>
          <w:iCs w:val="1"/>
          <w:color w:val="222222"/>
        </w:rPr>
        <w:t>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265430</wp:posOffset>
            </wp:positionV>
            <wp:extent cx="35591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969" w:lineRule="exact"/>
        <w:rPr>
          <w:sz w:val="20"/>
          <w:szCs w:val="20"/>
          <w:color w:val="auto"/>
        </w:rPr>
      </w:pPr>
    </w:p>
    <w:p>
      <w:pPr>
        <w:sectPr>
          <w:pgSz w:w="11900" w:h="16838" w:orient="portrait"/>
          <w:cols w:equalWidth="0" w:num="2">
            <w:col w:w="5620" w:space="180"/>
            <w:col w:w="5620"/>
          </w:cols>
          <w:pgMar w:left="240" w:top="115" w:right="239" w:bottom="1440" w:gutter="0" w:footer="0" w:header="0"/>
          <w:type w:val="continuous"/>
        </w:sectPr>
      </w:pPr>
    </w:p>
    <w:p>
      <w:pPr>
        <w:jc w:val="both"/>
        <w:spacing w:after="0" w:line="276" w:lineRule="auto"/>
        <w:rPr>
          <w:sz w:val="20"/>
          <w:szCs w:val="20"/>
          <w:color w:val="auto"/>
        </w:rPr>
      </w:pPr>
      <w:r>
        <w:rPr>
          <w:rFonts w:ascii="Arial" w:cs="Arial" w:eastAsia="Arial" w:hAnsi="Arial"/>
          <w:sz w:val="18"/>
          <w:szCs w:val="18"/>
          <w:u w:val="single" w:color="auto"/>
          <w:color w:val="auto"/>
        </w:rPr>
        <w:t>Acknowledgment of the Agreement</w:t>
      </w:r>
      <w:r>
        <w:rPr>
          <w:rFonts w:ascii="Arial" w:cs="Arial" w:eastAsia="Arial" w:hAnsi="Arial"/>
          <w:sz w:val="18"/>
          <w:szCs w:val="18"/>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A-12</w:t>
      </w:r>
    </w:p>
    <w:p>
      <w:pPr>
        <w:sectPr>
          <w:pgSz w:w="11900" w:h="16838" w:orient="portrait"/>
          <w:cols w:equalWidth="0" w:num="1">
            <w:col w:w="11420"/>
          </w:cols>
          <w:pgMar w:left="240" w:top="115" w:right="239" w:bottom="1440" w:gutter="0" w:footer="0" w:header="0"/>
          <w:type w:val="continuous"/>
        </w:sectPr>
      </w:pPr>
    </w:p>
    <w:bookmarkStart w:id="147" w:name="page148"/>
    <w:bookmarkEnd w:id="147"/>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Labor Law Policy and Acknowledgment</w:t>
      </w:r>
      <w:r>
        <w:rPr>
          <w:rFonts w:ascii="Arial" w:cs="Arial" w:eastAsia="Arial" w:hAnsi="Arial"/>
          <w:sz w:val="20"/>
          <w:szCs w:val="20"/>
          <w:color w:val="auto"/>
        </w:rPr>
        <w:t>. By participating in the Plan, the Participant expressly recognizes that Analog Devices, Inc., with registered offices at One Technology Way, Norwood, Massachusetts, 02062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u w:val="single" w:color="auto"/>
          <w:color w:val="auto"/>
        </w:rPr>
        <w:t>Reconocimiento del Contrato</w:t>
      </w:r>
      <w:r>
        <w:rPr>
          <w:rFonts w:ascii="Arial" w:cs="Arial" w:eastAsia="Arial" w:hAnsi="Arial"/>
          <w:sz w:val="18"/>
          <w:szCs w:val="18"/>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u w:val="single" w:color="auto"/>
          <w:color w:val="auto"/>
        </w:rPr>
        <w:t>Política de Legislación Laboral y Reconocimiento</w:t>
      </w:r>
      <w:r>
        <w:rPr>
          <w:rFonts w:ascii="Arial" w:cs="Arial" w:eastAsia="Arial" w:hAnsi="Arial"/>
          <w:sz w:val="19"/>
          <w:szCs w:val="19"/>
          <w:i w:val="1"/>
          <w:iCs w:val="1"/>
          <w:color w:val="auto"/>
        </w:rPr>
        <w:t>. Al participar en el Plan, usted reconoce expresamente que Analog Devices, Inc., con oficinas registradas en One Technology Way, Norwood, Massachusetts, 02062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A-13</w:t>
      </w:r>
    </w:p>
    <w:p>
      <w:pPr>
        <w:sectPr>
          <w:pgSz w:w="11900" w:h="16838" w:orient="portrait"/>
          <w:cols w:equalWidth="0" w:num="1">
            <w:col w:w="11420"/>
          </w:cols>
          <w:pgMar w:left="240" w:top="115" w:right="239" w:bottom="1440" w:gutter="0" w:footer="0" w:header="0"/>
        </w:sectPr>
      </w:pPr>
    </w:p>
    <w:bookmarkStart w:id="148" w:name="page149"/>
    <w:bookmarkEnd w:id="148"/>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representación, sus accionistas, funcionarios, agentes o representantes legales, con respecto a cualquier reclamación que pudiera surgir.</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 Entitlement</w:t>
      </w:r>
      <w:r>
        <w:rPr>
          <w:rFonts w:ascii="Arial" w:cs="Arial" w:eastAsia="Arial" w:hAnsi="Arial"/>
          <w:sz w:val="20"/>
          <w:szCs w:val="20"/>
          <w:color w:val="auto"/>
        </w:rPr>
        <w:t>. This provision supplements Section 9(d) of the Agreement:</w:t>
      </w:r>
    </w:p>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By accepting the RSU, the Participant acknowledges that the RSU is intended as an incentive for the Participant to remain employed with the Employer and is not intended as remuneration for labor performed.</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securities being offered or sold herein have not been registered with the Philippines Securities and Exchange Commission (“PSEC”) under its Securities Regulation Code (the “SRC”).</w:t>
      </w:r>
    </w:p>
    <w:p>
      <w:pPr>
        <w:spacing w:after="0" w:line="12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grant of RSUs is being made pursuant to an exemption from registration under Section 10.2 of the SRC that has been approved by the PSEC.</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RSUs or the subsequent sale of any Shares acquired by the Participant. The Company is not making any representations, projections or assurances about the value of the Shares now or in the future.</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13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Arial" w:cs="Arial" w:eastAsia="Arial" w:hAnsi="Arial"/>
          <w:sz w:val="20"/>
          <w:szCs w:val="20"/>
          <w:i w:val="1"/>
          <w:iCs w:val="1"/>
          <w:color w:val="auto"/>
        </w:rPr>
        <w:t>If the Participant has questions with regard to the application of</w:t>
      </w:r>
      <w:r>
        <w:rPr>
          <w:rFonts w:ascii="Arial" w:cs="Arial" w:eastAsia="Arial" w:hAnsi="Arial"/>
          <w:sz w:val="20"/>
          <w:szCs w:val="20"/>
          <w:color w:val="auto"/>
        </w:rPr>
        <w:t xml:space="preserve"> </w:t>
      </w:r>
      <w:r>
        <w:rPr>
          <w:rFonts w:ascii="Arial" w:cs="Arial" w:eastAsia="Arial" w:hAnsi="Arial"/>
          <w:sz w:val="20"/>
          <w:szCs w:val="20"/>
          <w:i w:val="1"/>
          <w:iCs w:val="1"/>
          <w:color w:val="auto"/>
        </w:rPr>
        <w:t>Philippines securities laws to the disposal or sale of Shares acquired under the Plan the Participant should consult with his or her legal advisor.</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A-14</w:t>
      </w:r>
    </w:p>
    <w:p>
      <w:pPr>
        <w:sectPr>
          <w:pgSz w:w="11900" w:h="16838" w:orient="portrait"/>
          <w:cols w:equalWidth="0" w:num="1">
            <w:col w:w="11420"/>
          </w:cols>
          <w:pgMar w:left="240" w:top="116" w:right="239" w:bottom="1440" w:gutter="0" w:footer="0" w:header="0"/>
        </w:sectPr>
      </w:pPr>
    </w:p>
    <w:bookmarkStart w:id="149" w:name="page150"/>
    <w:bookmarkEnd w:id="149"/>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value of such cash and securities exceeds PLN 7,000,000. If required, such reports must be filed on a quarterly basis on special forms available on the website of the National Bank of Poland.</w:t>
      </w:r>
    </w:p>
    <w:p>
      <w:pPr>
        <w:spacing w:after="0" w:line="1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grant of RSUs and the issuance of any Shares are not subject to the regulations concerning public offers and private placements under the Law on Capital Markets.</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RSUs were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u w:val="single" w:color="auto"/>
          <w:color w:val="auto"/>
        </w:rPr>
        <w:t>Chief Executive Officer and Director Notification</w:t>
      </w:r>
      <w:r>
        <w:rPr>
          <w:rFonts w:ascii="Arial" w:cs="Arial" w:eastAsia="Arial" w:hAnsi="Arial"/>
          <w:sz w:val="19"/>
          <w:szCs w:val="19"/>
          <w:color w:val="auto"/>
        </w:rPr>
        <w:t>. If the Participant is the Chief Executive Officer (“CEO”) or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Arial" w:cs="Arial" w:eastAsia="Arial" w:hAnsi="Arial"/>
          <w:sz w:val="19"/>
          <w:szCs w:val="19"/>
          <w:i w:val="1"/>
          <w:iCs w:val="1"/>
          <w:color w:val="auto"/>
        </w:rPr>
        <w:t>e.g.</w:t>
      </w:r>
      <w:r>
        <w:rPr>
          <w:rFonts w:ascii="Arial" w:cs="Arial" w:eastAsia="Arial" w:hAnsi="Arial"/>
          <w:sz w:val="19"/>
          <w:szCs w:val="19"/>
          <w:color w:val="auto"/>
        </w:rPr>
        <w:t xml:space="preserve"> upon vesting of the RSUs or when Shares are subsequently sold). In addition, a notification must be made of the Participant’s interests in the Company or any related company within two (2) business days of becoming a CEO or director, associate director, or shadow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A-15</w:t>
      </w:r>
    </w:p>
    <w:p>
      <w:pPr>
        <w:sectPr>
          <w:pgSz w:w="11900" w:h="16838" w:orient="portrait"/>
          <w:cols w:equalWidth="0" w:num="1">
            <w:col w:w="11420"/>
          </w:cols>
          <w:pgMar w:left="240" w:top="116" w:right="239" w:bottom="1440" w:gutter="0" w:footer="0" w:header="0"/>
        </w:sectPr>
      </w:pPr>
    </w:p>
    <w:bookmarkStart w:id="150" w:name="page151"/>
    <w:bookmarkEnd w:id="150"/>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 Entitlement</w:t>
      </w:r>
      <w:r>
        <w:rPr>
          <w:rFonts w:ascii="Arial" w:cs="Arial" w:eastAsia="Arial" w:hAnsi="Arial"/>
          <w:sz w:val="20"/>
          <w:szCs w:val="20"/>
          <w:color w:val="auto"/>
        </w:rPr>
        <w:t>. This provision supplements Section 9(d) of the Agreement:</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throughout the world.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Further, and except as provided in Section 2(d) of the Agreement in the event the Participant becomes Disabled, the vesting of the RSUs is expressly conditioned on the Participant’s continued rendering of service, such that if the Participant’s employment terminates for any reason whatsoever, the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color w:val="auto"/>
        </w:rPr>
        <w:t>The Participant acknowledges that he or she has read and specifically accepts the conditions referred to in Section 2 of the Agreement.</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Securities Law Notification</w:t>
      </w:r>
      <w:r>
        <w:rPr>
          <w:rFonts w:ascii="Arial" w:cs="Arial" w:eastAsia="Arial" w:hAnsi="Arial"/>
          <w:sz w:val="20"/>
          <w:szCs w:val="20"/>
          <w:color w:val="auto"/>
        </w:rPr>
        <w:t xml:space="preserve">. The grant of RSUs and the Shares issued upon vesting of the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Arial" w:cs="Arial" w:eastAsia="Arial" w:hAnsi="Arial"/>
          <w:sz w:val="20"/>
          <w:szCs w:val="20"/>
          <w:i w:val="1"/>
          <w:iCs w:val="1"/>
          <w:color w:val="auto"/>
        </w:rPr>
        <w:t>Comisión Nacional del</w:t>
      </w:r>
      <w:r>
        <w:rPr>
          <w:rFonts w:ascii="Arial" w:cs="Arial" w:eastAsia="Arial" w:hAnsi="Arial"/>
          <w:sz w:val="20"/>
          <w:szCs w:val="20"/>
          <w:color w:val="auto"/>
        </w:rPr>
        <w:t xml:space="preserve"> </w:t>
      </w:r>
      <w:r>
        <w:rPr>
          <w:rFonts w:ascii="Arial" w:cs="Arial" w:eastAsia="Arial" w:hAnsi="Arial"/>
          <w:sz w:val="20"/>
          <w:szCs w:val="20"/>
          <w:i w:val="1"/>
          <w:iCs w:val="1"/>
          <w:color w:val="auto"/>
        </w:rPr>
        <w:t>Mercado de Valores</w:t>
      </w:r>
      <w:r>
        <w:rPr>
          <w:rFonts w:ascii="Arial" w:cs="Arial" w:eastAsia="Arial" w:hAnsi="Arial"/>
          <w:sz w:val="20"/>
          <w:szCs w:val="20"/>
          <w:color w:val="auto"/>
        </w:rPr>
        <w:t>, and does not constitute a public offering prospectus.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Exchange Control Notification</w:t>
      </w:r>
      <w:r>
        <w:rPr>
          <w:rFonts w:ascii="Arial" w:cs="Arial" w:eastAsia="Arial" w:hAnsi="Arial"/>
          <w:sz w:val="18"/>
          <w:szCs w:val="18"/>
          <w:color w:val="auto"/>
        </w:rPr>
        <w:t xml:space="preserve">. The Participant acknowledges that he or she must declare any Shares that are acquired under the Plan to the </w:t>
      </w:r>
      <w:r>
        <w:rPr>
          <w:rFonts w:ascii="Arial" w:cs="Arial" w:eastAsia="Arial" w:hAnsi="Arial"/>
          <w:sz w:val="18"/>
          <w:szCs w:val="18"/>
          <w:i w:val="1"/>
          <w:iCs w:val="1"/>
          <w:color w:val="auto"/>
        </w:rPr>
        <w:t xml:space="preserve">Dirección General de Comercio e Inversiones </w:t>
      </w:r>
      <w:r>
        <w:rPr>
          <w:rFonts w:ascii="Arial" w:cs="Arial" w:eastAsia="Arial" w:hAnsi="Arial"/>
          <w:sz w:val="18"/>
          <w:szCs w:val="18"/>
          <w:color w:val="auto"/>
        </w:rPr>
        <w:t>of the Ministry of Economy and Competitiveness (the “DGCI”). After the initial declaration,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declaration must be filed with the DGCI on an annual basis each January while the shares are owned; however, if the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A-16</w:t>
      </w:r>
    </w:p>
    <w:p>
      <w:pPr>
        <w:sectPr>
          <w:pgSz w:w="11900" w:h="16838" w:orient="portrait"/>
          <w:cols w:equalWidth="0" w:num="1">
            <w:col w:w="11420"/>
          </w:cols>
          <w:pgMar w:left="240" w:top="116" w:right="239" w:bottom="1440" w:gutter="0" w:footer="0" w:header="0"/>
        </w:sectPr>
      </w:pPr>
    </w:p>
    <w:bookmarkStart w:id="151" w:name="page152"/>
    <w:bookmarkEnd w:id="151"/>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Shares or the sale proceeds exceed a certain amount, a declaration must be filed within one month of the acquisition or sale, as applicable.</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u w:val="single" w:color="auto"/>
          <w:color w:val="auto"/>
        </w:rPr>
        <w:t>Foreign Asset / Account Reporting Information</w:t>
      </w:r>
      <w:r>
        <w:rPr>
          <w:rFonts w:ascii="Arial" w:cs="Arial" w:eastAsia="Arial" w:hAnsi="Arial"/>
          <w:sz w:val="19"/>
          <w:szCs w:val="19"/>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grant of RSUs and the issuance of any Shares is not intended to be a public offering in Switzerland and is therefore not subject to registration in Switzerland. Neither this document nor any materials relating to the RSUs constitutes a prospectus as such term is understood pursuant to article 652a of the Swiss Code of Obligations, and neither this document nor any other materials relating to the RSUs may be publicly distributed nor otherwise made publicly available in Switzerland. Neither this document nor any other offering or marketing material relating to the RSUs has been or will be filed with, approved or supervised by any Swiss regulatory authority (in particular, the Swiss Financial Supervisory Authority (FINMA)).</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RSUs and participation in the Plan is made available only to employees of the Company and the Employer. It is not a public offer of securities by a Taiwanese company. Therefore, it is exempt from registration in Taiwan.</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Individuals may acquire foreign currency (including proceeds from the sale of Shares) into Taiwan up to US$5,000,000 per year without justification.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A-17</w:t>
      </w:r>
    </w:p>
    <w:p>
      <w:pPr>
        <w:sectPr>
          <w:pgSz w:w="11900" w:h="16838" w:orient="portrait"/>
          <w:cols w:equalWidth="0" w:num="1">
            <w:col w:w="11420"/>
          </w:cols>
          <w:pgMar w:left="240" w:top="115" w:right="239" w:bottom="1440" w:gutter="0" w:footer="0" w:header="0"/>
        </w:sectPr>
      </w:pPr>
    </w:p>
    <w:bookmarkStart w:id="152" w:name="page153"/>
    <w:bookmarkEnd w:id="152"/>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RSUs or any sale of Shares to ensure compliance.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This provision supplements Section 6 of the Agreement: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Without limitation to Section 6 of the Agreement, the Participant agrees that the Participant is liable for all Tax-Related Items and hereby covenants to pay all such Tax-Related Items, as and when requested by the Company or the Employer or by Her Majesty’s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2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Section 6 of the Agreement.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Manner of Payment</w:t>
      </w:r>
      <w:r>
        <w:rPr>
          <w:rFonts w:ascii="Arial" w:cs="Arial" w:eastAsia="Arial" w:hAnsi="Arial"/>
          <w:sz w:val="20"/>
          <w:szCs w:val="20"/>
          <w:color w:val="auto"/>
        </w:rPr>
        <w:t>. This provision replaces Section 7 of the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discretion in the Plan or the Agreement to the contrary, upon vesting of the RSUs, Shares will be issued to the Participant.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 no event will the Award be paid to Participant in the form of cash.</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Joint Election</w:t>
      </w:r>
      <w:r>
        <w:rPr>
          <w:rFonts w:ascii="Arial" w:cs="Arial" w:eastAsia="Arial" w:hAnsi="Arial"/>
          <w:sz w:val="20"/>
          <w:szCs w:val="20"/>
          <w:color w:val="auto"/>
        </w:rPr>
        <w:t>. As a condition of the grant of RSUs, the Participant agrees to accept any liability for secondary Class 1 National Insurance contributions (the “Employer NICs”) which may be payable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A-18</w:t>
      </w:r>
    </w:p>
    <w:p>
      <w:pPr>
        <w:sectPr>
          <w:pgSz w:w="11900" w:h="16838" w:orient="portrait"/>
          <w:cols w:equalWidth="0" w:num="1">
            <w:col w:w="11420"/>
          </w:cols>
          <w:pgMar w:left="240" w:top="116" w:right="239" w:bottom="1440" w:gutter="0" w:footer="0" w:header="0"/>
        </w:sectPr>
      </w:pPr>
    </w:p>
    <w:bookmarkStart w:id="153" w:name="page154"/>
    <w:bookmarkEnd w:id="153"/>
    <w:p>
      <w:pPr>
        <w:ind w:left="5100"/>
        <w:spacing w:after="0"/>
        <w:rPr>
          <w:sz w:val="20"/>
          <w:szCs w:val="20"/>
          <w:color w:val="auto"/>
        </w:rPr>
      </w:pPr>
      <w:r>
        <w:rPr>
          <w:rFonts w:ascii="Arial" w:cs="Arial" w:eastAsia="Arial" w:hAnsi="Arial"/>
          <w:sz w:val="20"/>
          <w:szCs w:val="20"/>
          <w:b w:val="1"/>
          <w:bCs w:val="1"/>
          <w:color w:val="auto"/>
        </w:rPr>
        <w:t>APPENDIX 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2020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UNIT AGREEMENT</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Company or the Employer with respect to the vesting of the RSUs or otherwise payable with respect to a benefit derived in connection with the RSUs.</w:t>
      </w:r>
    </w:p>
    <w:p>
      <w:pPr>
        <w:spacing w:after="0" w:line="1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The Joint Election is attached hereto as Appendix E.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A-19</w:t>
      </w:r>
    </w:p>
    <w:p>
      <w:pPr>
        <w:sectPr>
          <w:pgSz w:w="11900" w:h="16838" w:orient="portrait"/>
          <w:cols w:equalWidth="0" w:num="1">
            <w:col w:w="11420"/>
          </w:cols>
          <w:pgMar w:left="240" w:top="116" w:right="239" w:bottom="1440" w:gutter="0" w:footer="0" w:header="0"/>
        </w:sectPr>
      </w:pPr>
    </w:p>
    <w:bookmarkStart w:id="154" w:name="page155"/>
    <w:bookmarkEnd w:id="154"/>
    <w:p>
      <w:pPr>
        <w:ind w:left="5120"/>
        <w:spacing w:after="0"/>
        <w:rPr>
          <w:sz w:val="20"/>
          <w:szCs w:val="20"/>
          <w:color w:val="auto"/>
        </w:rPr>
      </w:pPr>
      <w:r>
        <w:rPr>
          <w:rFonts w:ascii="Arial" w:cs="Arial" w:eastAsia="Arial" w:hAnsi="Arial"/>
          <w:sz w:val="20"/>
          <w:szCs w:val="20"/>
          <w:b w:val="1"/>
          <w:bCs w:val="1"/>
          <w:color w:val="auto"/>
        </w:rPr>
        <w:t>APPENDIX B</w:t>
      </w:r>
    </w:p>
    <w:p>
      <w:pPr>
        <w:spacing w:after="0" w:line="161"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OFFER DOCUMENT</w:t>
      </w:r>
    </w:p>
    <w:p>
      <w:pPr>
        <w:spacing w:after="0" w:line="162"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OFFER OF RESTRICTED STOCK UNITS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 AUSTRALIAN RESIDENT EMPLOYEES</w:t>
      </w:r>
    </w:p>
    <w:p>
      <w:pPr>
        <w:spacing w:after="0" w:line="356"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auto"/>
        </w:rPr>
        <w:t>Investment in shares involves a degree of risk. Eligible employees who elect to participate in the Plan should monitor their participation and consider all risk factors relevant to the acquisition of shares of common stock under the Plan as set out in this Offer Document and the Additional Documents.</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Any information contained in this Offer Document and the Additional Documents is general in nature. It is not advice or information specific to your particular circumstances.</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Employees should consider obtaining their own financial product advice from an independent person who is licensed by the Australian Securities and Investments Commission to give such advice.</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are pleased to provide you with this offer to participate in the Analog Devices, Inc. 2020 Equity Incentive Plan (the “Plan”). This Offer Document sets out information regarding the grant of restricted stock units (“Restricted Stock Units”) over shares of common stock (“Shares”) of Analog Devices, Inc. (the “Company”) to Australian resident employees and directors of the Company and its Australian Subsidiary.</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has adopted the Plan to enable the Company and its subsidiaries to attract, retain and motivate their employees by providing such persons with equity ownership opportunities that are intended to better align the interests of such persons with those of the Company’s stockholders. The Plan and this Offer Document are intended to comply with the provisions of the Corporations Act 2001, ASIC Regulatory Guide 49 and ASIC Class Order CO 14/1000.</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Any capitalized term used but not defined herein shall have the meaning ascribed to such term in the Plan.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OFFER</w:t>
      </w:r>
    </w:p>
    <w:p>
      <w:pPr>
        <w:spacing w:after="0" w:line="16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is an Offer of Restricted Stock Units, as may be granted from time to time by the Company, to certain eligible employees in accordance with the Plan.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TERMS OF GRANT</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terms of the grant of Restricted Stock Units incorporate the rules of the Plan, this Offer Document and the Global Restricted Stock Unit Agreement, and Appendix A thereto (the “Agreement”). By accepting a grant of Restricted Stock Units, you will be bound by the rules of the Plan, this Offer Document and the Agreement.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ADDITIONAL DOCUMENTS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In addition to the information set out in this Offer Document, attached are copies of the following documents:</w:t>
      </w:r>
    </w:p>
    <w:p>
      <w:pPr>
        <w:spacing w:after="0" w:line="162" w:lineRule="exact"/>
        <w:rPr>
          <w:sz w:val="20"/>
          <w:szCs w:val="20"/>
          <w:color w:val="auto"/>
        </w:rPr>
      </w:pPr>
    </w:p>
    <w:p>
      <w:pPr>
        <w:ind w:left="640" w:hanging="632"/>
        <w:spacing w:after="0"/>
        <w:tabs>
          <w:tab w:leader="none" w:pos="6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Plan;</w:t>
      </w:r>
    </w:p>
    <w:p>
      <w:pPr>
        <w:spacing w:after="0" w:line="161" w:lineRule="exact"/>
        <w:rPr>
          <w:rFonts w:ascii="Arial" w:cs="Arial" w:eastAsia="Arial" w:hAnsi="Arial"/>
          <w:sz w:val="20"/>
          <w:szCs w:val="20"/>
          <w:color w:val="auto"/>
        </w:rPr>
      </w:pPr>
    </w:p>
    <w:p>
      <w:pPr>
        <w:ind w:left="640" w:hanging="632"/>
        <w:spacing w:after="0"/>
        <w:tabs>
          <w:tab w:leader="none" w:pos="6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Plan Prospectus; and</w:t>
      </w:r>
    </w:p>
    <w:p>
      <w:pPr>
        <w:spacing w:after="0" w:line="161" w:lineRule="exact"/>
        <w:rPr>
          <w:rFonts w:ascii="Arial" w:cs="Arial" w:eastAsia="Arial" w:hAnsi="Arial"/>
          <w:sz w:val="20"/>
          <w:szCs w:val="20"/>
          <w:color w:val="auto"/>
        </w:rPr>
      </w:pPr>
    </w:p>
    <w:p>
      <w:pPr>
        <w:ind w:left="640" w:hanging="632"/>
        <w:spacing w:after="0"/>
        <w:tabs>
          <w:tab w:leader="none" w:pos="6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Agreement.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(collectively, the “Additional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Appendix B-1</w:t>
      </w:r>
    </w:p>
    <w:p>
      <w:pPr>
        <w:sectPr>
          <w:pgSz w:w="11900" w:h="16838" w:orient="portrait"/>
          <w:cols w:equalWidth="0" w:num="1">
            <w:col w:w="11420"/>
          </w:cols>
          <w:pgMar w:left="240" w:top="118" w:right="239" w:bottom="1440" w:gutter="0" w:footer="0" w:header="0"/>
        </w:sectPr>
      </w:pPr>
    </w:p>
    <w:bookmarkStart w:id="155" w:name="page156"/>
    <w:bookmarkEnd w:id="155"/>
    <w:p>
      <w:pPr>
        <w:ind w:left="5120"/>
        <w:spacing w:after="0"/>
        <w:rPr>
          <w:sz w:val="20"/>
          <w:szCs w:val="20"/>
          <w:color w:val="auto"/>
        </w:rPr>
      </w:pPr>
      <w:r>
        <w:rPr>
          <w:rFonts w:ascii="Arial" w:cs="Arial" w:eastAsia="Arial" w:hAnsi="Arial"/>
          <w:sz w:val="20"/>
          <w:szCs w:val="20"/>
          <w:b w:val="1"/>
          <w:bCs w:val="1"/>
          <w:color w:val="auto"/>
        </w:rPr>
        <w:t>APPENDIX B</w:t>
      </w:r>
    </w:p>
    <w:p>
      <w:pPr>
        <w:spacing w:after="0" w:line="163"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OFFER DOCUMENT</w:t>
      </w:r>
    </w:p>
    <w:p>
      <w:pPr>
        <w:spacing w:after="0" w:line="162"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OFFER OF RESTRICTED STOCK UNITS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AUSTRALIAN RESIDENT EMPLOYEES</w:t>
      </w:r>
    </w:p>
    <w:p>
      <w:pPr>
        <w:spacing w:after="0" w:line="3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Agreement sets out, among other details, the vesting conditions applicable to your Restricted Stock Units, information on the settlement of your Restricted Stock Units and the consequences of a change in the nature or status of your employment.</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other Additional Documents provide further information to assist you to make an informed investment decision in relation to your participation in the Plan. Neither the Plan nor the 2020 Equity Incentive Plan Prospectus is a prospectus for the purposes of the </w:t>
      </w:r>
      <w:r>
        <w:rPr>
          <w:rFonts w:ascii="Arial" w:cs="Arial" w:eastAsia="Arial" w:hAnsi="Arial"/>
          <w:sz w:val="20"/>
          <w:szCs w:val="20"/>
          <w:i w:val="1"/>
          <w:iCs w:val="1"/>
          <w:color w:val="auto"/>
        </w:rPr>
        <w:t>Corporations</w:t>
      </w:r>
      <w:r>
        <w:rPr>
          <w:rFonts w:ascii="Arial" w:cs="Arial" w:eastAsia="Arial" w:hAnsi="Arial"/>
          <w:sz w:val="20"/>
          <w:szCs w:val="20"/>
          <w:color w:val="auto"/>
        </w:rPr>
        <w:t xml:space="preserve"> </w:t>
      </w:r>
      <w:r>
        <w:rPr>
          <w:rFonts w:ascii="Arial" w:cs="Arial" w:eastAsia="Arial" w:hAnsi="Arial"/>
          <w:sz w:val="20"/>
          <w:szCs w:val="20"/>
          <w:i w:val="1"/>
          <w:iCs w:val="1"/>
          <w:color w:val="auto"/>
        </w:rPr>
        <w:t>Act</w:t>
      </w:r>
      <w:r>
        <w:rPr>
          <w:rFonts w:ascii="Arial" w:cs="Arial" w:eastAsia="Arial" w:hAnsi="Arial"/>
          <w:sz w:val="20"/>
          <w:szCs w:val="20"/>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RELIANCE ON STATEMENTS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WHO IS ELIGIBLE TO PARTICIPATE?</w:t>
      </w:r>
    </w:p>
    <w:p>
      <w:pPr>
        <w:spacing w:after="0" w:line="16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ACCEPTING AN AWARD</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Agreement sets out additional terms and conditions of your Restricted Stock Unit award. You are not required to affirmatively accept your Restricted Stock Units award in writing.</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WHAT ARE THE MATERIAL TERMS OF THE RESTRICTED STOCK UNITS?</w:t>
      </w:r>
    </w:p>
    <w:p>
      <w:pPr>
        <w:spacing w:after="0" w:line="162" w:lineRule="exact"/>
        <w:rPr>
          <w:sz w:val="20"/>
          <w:szCs w:val="20"/>
          <w:color w:val="auto"/>
        </w:rPr>
      </w:pPr>
    </w:p>
    <w:p>
      <w:pPr>
        <w:ind w:left="280" w:hanging="272"/>
        <w:spacing w:after="0"/>
        <w:tabs>
          <w:tab w:leader="none" w:pos="280" w:val="left"/>
        </w:tabs>
        <w:numPr>
          <w:ilvl w:val="0"/>
          <w:numId w:val="92"/>
        </w:numPr>
        <w:rPr>
          <w:rFonts w:ascii="Arial" w:cs="Arial" w:eastAsia="Arial" w:hAnsi="Arial"/>
          <w:sz w:val="20"/>
          <w:szCs w:val="20"/>
          <w:color w:val="auto"/>
        </w:rPr>
      </w:pPr>
      <w:r>
        <w:rPr>
          <w:rFonts w:ascii="Arial" w:cs="Arial" w:eastAsia="Arial" w:hAnsi="Arial"/>
          <w:sz w:val="20"/>
          <w:szCs w:val="20"/>
          <w:b w:val="1"/>
          <w:bCs w:val="1"/>
          <w:color w:val="auto"/>
        </w:rPr>
        <w:t>What are Restricted Stock Units?</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Restricted Stock Units represent the right to receive Shares upon fulfilment of the vesting conditions set out in your Agreement. The Restricted Stock Units are considered “restricted” because they are subject to forfeiture and restrictions on transfer until they vest. The restrictions are set forth in your Agreement. When your Restricted Stock Units vest, you will be issued Shares at no monetary cost (other than applicable taxes) to you. Notwithstanding anything to the contrary in the Plan, the Agreement, or any related document, your Restricted Stock Units will be settled in Shares.</w:t>
      </w:r>
    </w:p>
    <w:p>
      <w:pPr>
        <w:spacing w:after="0" w:line="135" w:lineRule="exact"/>
        <w:rPr>
          <w:sz w:val="20"/>
          <w:szCs w:val="20"/>
          <w:color w:val="auto"/>
        </w:rPr>
      </w:pPr>
    </w:p>
    <w:p>
      <w:pPr>
        <w:ind w:left="280" w:hanging="272"/>
        <w:spacing w:after="0"/>
        <w:tabs>
          <w:tab w:leader="none" w:pos="280" w:val="left"/>
        </w:tabs>
        <w:numPr>
          <w:ilvl w:val="0"/>
          <w:numId w:val="93"/>
        </w:numPr>
        <w:rPr>
          <w:rFonts w:ascii="Arial" w:cs="Arial" w:eastAsia="Arial" w:hAnsi="Arial"/>
          <w:sz w:val="20"/>
          <w:szCs w:val="20"/>
          <w:color w:val="auto"/>
        </w:rPr>
      </w:pPr>
      <w:r>
        <w:rPr>
          <w:rFonts w:ascii="Arial" w:cs="Arial" w:eastAsia="Arial" w:hAnsi="Arial"/>
          <w:sz w:val="20"/>
          <w:szCs w:val="20"/>
          <w:b w:val="1"/>
          <w:bCs w:val="1"/>
          <w:color w:val="auto"/>
        </w:rPr>
        <w:t>Do I have to pay any money to receive the Restricted Stock Units?</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 You pay no monetary consideration to receive the Restricted Stock Units, nor do you pay anything to receive the Shares upon vesting (other than applicable taxes).</w:t>
      </w:r>
    </w:p>
    <w:p>
      <w:pPr>
        <w:spacing w:after="0" w:line="117" w:lineRule="exact"/>
        <w:rPr>
          <w:sz w:val="20"/>
          <w:szCs w:val="20"/>
          <w:color w:val="auto"/>
        </w:rPr>
      </w:pPr>
    </w:p>
    <w:p>
      <w:pPr>
        <w:ind w:left="280" w:hanging="272"/>
        <w:spacing w:after="0"/>
        <w:tabs>
          <w:tab w:leader="none" w:pos="280" w:val="left"/>
        </w:tabs>
        <w:numPr>
          <w:ilvl w:val="0"/>
          <w:numId w:val="94"/>
        </w:numPr>
        <w:rPr>
          <w:rFonts w:ascii="Arial" w:cs="Arial" w:eastAsia="Arial" w:hAnsi="Arial"/>
          <w:sz w:val="20"/>
          <w:szCs w:val="20"/>
          <w:color w:val="auto"/>
        </w:rPr>
      </w:pPr>
      <w:r>
        <w:rPr>
          <w:rFonts w:ascii="Arial" w:cs="Arial" w:eastAsia="Arial" w:hAnsi="Arial"/>
          <w:sz w:val="20"/>
          <w:szCs w:val="20"/>
          <w:b w:val="1"/>
          <w:bCs w:val="1"/>
          <w:color w:val="auto"/>
        </w:rPr>
        <w:t>How many Shares will I receive upon vesting of my Restricted Stock Units?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details of your Restricted Stock Units and the number of Shares subject to the award are set out in the Agreement.</w:t>
      </w:r>
    </w:p>
    <w:p>
      <w:pPr>
        <w:spacing w:after="0" w:line="156" w:lineRule="exact"/>
        <w:rPr>
          <w:sz w:val="20"/>
          <w:szCs w:val="20"/>
          <w:color w:val="auto"/>
        </w:rPr>
      </w:pPr>
    </w:p>
    <w:p>
      <w:pPr>
        <w:ind w:left="280" w:hanging="272"/>
        <w:spacing w:after="0"/>
        <w:tabs>
          <w:tab w:leader="none" w:pos="280" w:val="left"/>
        </w:tabs>
        <w:numPr>
          <w:ilvl w:val="0"/>
          <w:numId w:val="95"/>
        </w:numPr>
        <w:rPr>
          <w:rFonts w:ascii="Arial" w:cs="Arial" w:eastAsia="Arial" w:hAnsi="Arial"/>
          <w:sz w:val="20"/>
          <w:szCs w:val="20"/>
          <w:color w:val="auto"/>
        </w:rPr>
      </w:pPr>
      <w:r>
        <w:rPr>
          <w:rFonts w:ascii="Arial" w:cs="Arial" w:eastAsia="Arial" w:hAnsi="Arial"/>
          <w:sz w:val="20"/>
          <w:szCs w:val="20"/>
          <w:b w:val="1"/>
          <w:bCs w:val="1"/>
          <w:color w:val="auto"/>
        </w:rPr>
        <w:t>When do I become a stockholder?</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You are not a stockholder merely as a result of holding Restricted Stock Units. The Restricted Stock Units will not entitle you to any shareholder rights, including the right to vote the Shares or receive dividends, notices of meetings, proxy statements and other materials provided to stockholders, until the restrictions lapse at vesting and the Restricted Stock Units are paid out in Shares. In this regard, you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B-2</w:t>
      </w:r>
    </w:p>
    <w:p>
      <w:pPr>
        <w:sectPr>
          <w:pgSz w:w="11900" w:h="16838" w:orient="portrait"/>
          <w:cols w:equalWidth="0" w:num="1">
            <w:col w:w="11420"/>
          </w:cols>
          <w:pgMar w:left="240" w:top="116" w:right="239" w:bottom="1440" w:gutter="0" w:footer="0" w:header="0"/>
        </w:sectPr>
      </w:pPr>
    </w:p>
    <w:bookmarkStart w:id="156" w:name="page157"/>
    <w:bookmarkEnd w:id="156"/>
    <w:p>
      <w:pPr>
        <w:ind w:left="5120"/>
        <w:spacing w:after="0"/>
        <w:rPr>
          <w:sz w:val="20"/>
          <w:szCs w:val="20"/>
          <w:color w:val="auto"/>
        </w:rPr>
      </w:pPr>
      <w:r>
        <w:rPr>
          <w:rFonts w:ascii="Arial" w:cs="Arial" w:eastAsia="Arial" w:hAnsi="Arial"/>
          <w:sz w:val="20"/>
          <w:szCs w:val="20"/>
          <w:b w:val="1"/>
          <w:bCs w:val="1"/>
          <w:color w:val="auto"/>
        </w:rPr>
        <w:t>APPENDIX B</w:t>
      </w:r>
    </w:p>
    <w:p>
      <w:pPr>
        <w:spacing w:after="0" w:line="163"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OFFER DOCUMENT</w:t>
      </w:r>
    </w:p>
    <w:p>
      <w:pPr>
        <w:spacing w:after="0" w:line="162"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OFFER OF RESTRICTED STOCK UNITS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AUSTRALIAN RESIDENT EMPLOYEES</w:t>
      </w:r>
    </w:p>
    <w:p>
      <w:pPr>
        <w:spacing w:after="0" w:line="36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 recorded as the owner of the Shares prior to vesting. You should refer to your Agreement for details of the consequences of a change in the nature of your employment.</w:t>
      </w:r>
    </w:p>
    <w:p>
      <w:pPr>
        <w:spacing w:after="0" w:line="117" w:lineRule="exact"/>
        <w:rPr>
          <w:sz w:val="20"/>
          <w:szCs w:val="20"/>
          <w:color w:val="auto"/>
        </w:rPr>
      </w:pPr>
    </w:p>
    <w:p>
      <w:pPr>
        <w:ind w:left="280" w:hanging="272"/>
        <w:spacing w:after="0"/>
        <w:tabs>
          <w:tab w:leader="none" w:pos="280" w:val="left"/>
        </w:tabs>
        <w:numPr>
          <w:ilvl w:val="0"/>
          <w:numId w:val="96"/>
        </w:numPr>
        <w:rPr>
          <w:rFonts w:ascii="Arial" w:cs="Arial" w:eastAsia="Arial" w:hAnsi="Arial"/>
          <w:sz w:val="20"/>
          <w:szCs w:val="20"/>
          <w:color w:val="auto"/>
        </w:rPr>
      </w:pPr>
      <w:r>
        <w:rPr>
          <w:rFonts w:ascii="Arial" w:cs="Arial" w:eastAsia="Arial" w:hAnsi="Arial"/>
          <w:sz w:val="20"/>
          <w:szCs w:val="20"/>
          <w:b w:val="1"/>
          <w:bCs w:val="1"/>
          <w:color w:val="auto"/>
        </w:rPr>
        <w:t>Can I transfer the Restricted Stock Units to someone else?</w:t>
      </w:r>
    </w:p>
    <w:p>
      <w:pPr>
        <w:spacing w:after="0" w:line="168"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No. The Restricted Stock Units are generally non-transferable, unless otherwise provided in your Agreement; however, once Shares are issued upon vesting, the Shares will be freely tradeable (subject to the Company’s policies and applicable laws regarding insider trading).</w:t>
      </w:r>
    </w:p>
    <w:p>
      <w:pPr>
        <w:spacing w:after="0" w:line="70" w:lineRule="exact"/>
        <w:rPr>
          <w:sz w:val="20"/>
          <w:szCs w:val="20"/>
          <w:color w:val="auto"/>
        </w:rPr>
      </w:pPr>
    </w:p>
    <w:p>
      <w:pPr>
        <w:ind w:left="260" w:hanging="252"/>
        <w:spacing w:after="0"/>
        <w:tabs>
          <w:tab w:leader="none" w:pos="260" w:val="left"/>
        </w:tabs>
        <w:numPr>
          <w:ilvl w:val="0"/>
          <w:numId w:val="97"/>
        </w:numPr>
        <w:rPr>
          <w:rFonts w:ascii="Arial" w:cs="Arial" w:eastAsia="Arial" w:hAnsi="Arial"/>
          <w:sz w:val="20"/>
          <w:szCs w:val="20"/>
          <w:color w:val="auto"/>
        </w:rPr>
      </w:pPr>
      <w:r>
        <w:rPr>
          <w:rFonts w:ascii="Arial" w:cs="Arial" w:eastAsia="Arial" w:hAnsi="Arial"/>
          <w:sz w:val="20"/>
          <w:szCs w:val="20"/>
          <w:b w:val="1"/>
          <w:bCs w:val="1"/>
          <w:color w:val="auto"/>
        </w:rPr>
        <w:t>What happens if my employment with the Company or Australian Subsidiary terminates?</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Your right to any unvested Restricted Stock Units will terminate when you terminate employment with the Company or any subsidiary of the Company for reasons including, but not limited to, retirement, resignation, lay-off, discharge, or other change of employment status.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WHAT IS A SHARE IN THE COMPANY</w:t>
      </w:r>
    </w:p>
    <w:p>
      <w:pPr>
        <w:spacing w:after="0" w:line="16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Common stock of a U.S. corporation is analogous to an ordinary share of an Australian corporation. Each holder of a Share is entitled to one vote for every Share held in the Company.</w:t>
      </w:r>
    </w:p>
    <w:p>
      <w:pPr>
        <w:spacing w:after="0" w:line="12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Dividends may be paid on the Shares out of any funds of the Company legally available for dividends at the discretion of the board of directors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The Shares are traded on the Nasdaq Global Select Market in the United States of America and are traded under the symbol “ADI”.</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Shares are not liable to any further calls for payment of capital or for other assessment by the Company and have no sinking fund provisions, pre-emptive rights, conversion rights or redemption provisions.</w:t>
      </w:r>
    </w:p>
    <w:p>
      <w:pPr>
        <w:spacing w:after="0" w:line="117" w:lineRule="exact"/>
        <w:rPr>
          <w:sz w:val="20"/>
          <w:szCs w:val="20"/>
          <w:color w:val="auto"/>
        </w:rPr>
      </w:pPr>
    </w:p>
    <w:p>
      <w:pPr>
        <w:ind w:left="820" w:right="20" w:hanging="812"/>
        <w:spacing w:after="0" w:line="267" w:lineRule="auto"/>
        <w:tabs>
          <w:tab w:leader="none" w:pos="262"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HOW CAN I OBTAIN UPDATED INDICATIVE EXAMPLES OF THE CURRENT MARKET PRICE IN AUSTRALIAN DOLLARS?</w:t>
      </w:r>
    </w:p>
    <w:p>
      <w:pPr>
        <w:spacing w:after="0" w:line="116"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You may ascertain the current market price of the Shares as traded on the Nasdaq at http://www.nasdaq.com under the code “ADI”. The Australian dollar equivalent of that price can be obtained at: http://www.rba.gov.au/statistics/frequency/exchange-rates.html.</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This will not be a prediction of what the market price per Share will be when the Restricted Stock Units vest or settle or of the applicable exchange rate on the actual date of vesting or settlement.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WHAT ADDITIONAL RISK FACTORS APPLY TO AUSTRALIAN RESIDENTS’ PARTICIPATION IN THE PLAN?</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B-3</w:t>
      </w:r>
    </w:p>
    <w:p>
      <w:pPr>
        <w:sectPr>
          <w:pgSz w:w="11900" w:h="16838" w:orient="portrait"/>
          <w:cols w:equalWidth="0" w:num="1">
            <w:col w:w="11420"/>
          </w:cols>
          <w:pgMar w:left="240" w:top="116" w:right="239" w:bottom="1440" w:gutter="0" w:footer="0" w:header="0"/>
        </w:sectPr>
      </w:pPr>
    </w:p>
    <w:bookmarkStart w:id="157" w:name="page158"/>
    <w:bookmarkEnd w:id="157"/>
    <w:p>
      <w:pPr>
        <w:ind w:left="5120"/>
        <w:spacing w:after="0"/>
        <w:rPr>
          <w:sz w:val="20"/>
          <w:szCs w:val="20"/>
          <w:color w:val="auto"/>
        </w:rPr>
      </w:pPr>
      <w:r>
        <w:rPr>
          <w:rFonts w:ascii="Arial" w:cs="Arial" w:eastAsia="Arial" w:hAnsi="Arial"/>
          <w:sz w:val="20"/>
          <w:szCs w:val="20"/>
          <w:b w:val="1"/>
          <w:bCs w:val="1"/>
          <w:color w:val="auto"/>
        </w:rPr>
        <w:t>APPENDIX B</w:t>
      </w:r>
    </w:p>
    <w:p>
      <w:pPr>
        <w:spacing w:after="0" w:line="163"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OFFER DOCUMENT</w:t>
      </w:r>
    </w:p>
    <w:p>
      <w:pPr>
        <w:spacing w:after="0" w:line="162"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OFFER OF RESTRICTED STOCK UNITS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AUSTRALIAN RESIDENT EMPLOYEES</w:t>
      </w:r>
    </w:p>
    <w:p>
      <w:pPr>
        <w:spacing w:after="0" w:line="3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http://www.sec.gov/, on the Company’s “Investor Relations” page at http://investor.analog.com/, and upon request to the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In addition, you should be aware that the Australian dollar value of the Shares you may acquire at vesting will be affected by the U.S.</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dollar/Australian dollar exchange rate. Participation in the Plan involves certain risks related to fluctuations in this rate of exchange.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PLAN MODIFICATION, TERMINATION ETC.</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WHAT ARE THE AUSTRALIAN TAX CONSEQUENCES OF PARTICIPATION IN THE PLAN?</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is a summary of the tax consequences as of October 2019 for an Australian resident employee who receives Restricted Stock Units under the Plan. You may also be subject to Medicare levy and surcharge.</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note that for Restricted Stock Units granted under the Plan prior to 1 July 2015, different employee share scheme rules apply. The following taxation summary applies only to Restricted Stock Units granted on or after 1 July 2015. If you hold Restricted Stock Units granted before 1 July 2015, please consult with your personal tax advisor on the applicable tax treatment.</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summary is necessarily general in nature and does not purport to be tax advice in relation to an actual or potential recipient of Restricted Stock Units.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If you are a citizen or resident of another country for local tax law purposes or if you transfer employment to another country after the Restricted Stock Units are granted to you, the information contained in this summary may not be applicable to you. </w:t>
      </w:r>
      <w:r>
        <w:rPr>
          <w:rFonts w:ascii="Arial" w:cs="Arial" w:eastAsia="Arial" w:hAnsi="Arial"/>
          <w:sz w:val="19"/>
          <w:szCs w:val="19"/>
          <w:i w:val="1"/>
          <w:iCs w:val="1"/>
          <w:color w:val="auto"/>
        </w:rPr>
        <w:t>You should seek</w:t>
      </w:r>
      <w:r>
        <w:rPr>
          <w:rFonts w:ascii="Arial" w:cs="Arial" w:eastAsia="Arial" w:hAnsi="Arial"/>
          <w:sz w:val="19"/>
          <w:szCs w:val="19"/>
          <w:color w:val="auto"/>
        </w:rPr>
        <w:t xml:space="preserve"> </w:t>
      </w:r>
      <w:r>
        <w:rPr>
          <w:rFonts w:ascii="Arial" w:cs="Arial" w:eastAsia="Arial" w:hAnsi="Arial"/>
          <w:sz w:val="19"/>
          <w:szCs w:val="19"/>
          <w:i w:val="1"/>
          <w:iCs w:val="1"/>
          <w:color w:val="auto"/>
        </w:rPr>
        <w:t>appropriate professional advice as to how the tax or other laws in Australia and in your country apply to your specific situation.</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are awarded Restricted Stock Units under the Plan, you should not rely on this summary as anything other than a broad guide, and you should obtain independent taxation advice specific to your particular circumstances before making the decision to accept the Restricted Stock Units.</w:t>
      </w:r>
    </w:p>
    <w:p>
      <w:pPr>
        <w:spacing w:after="0" w:line="126"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auto"/>
        </w:rPr>
        <w:t>What is the effect of the grant of the Restricted Stock Units?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The Australian tax legislation contains specific rules, in Division 83A of the </w:t>
      </w:r>
      <w:r>
        <w:rPr>
          <w:rFonts w:ascii="Arial" w:cs="Arial" w:eastAsia="Arial" w:hAnsi="Arial"/>
          <w:sz w:val="19"/>
          <w:szCs w:val="19"/>
          <w:i w:val="1"/>
          <w:iCs w:val="1"/>
          <w:color w:val="auto"/>
        </w:rPr>
        <w:t>Income Tax Assessment Act 1997</w:t>
      </w:r>
      <w:r>
        <w:rPr>
          <w:rFonts w:ascii="Arial" w:cs="Arial" w:eastAsia="Arial" w:hAnsi="Arial"/>
          <w:sz w:val="19"/>
          <w:szCs w:val="19"/>
          <w:color w:val="auto"/>
        </w:rPr>
        <w:t>, governing the taxation of shares and rights (called “ESS interests”) acquired by employees under employee share schemes. The Restricted Stock Units granted under the Plan should be regarded as a right to acquire shares and accordingly, an ESS interest for these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B-4</w:t>
      </w:r>
    </w:p>
    <w:p>
      <w:pPr>
        <w:sectPr>
          <w:pgSz w:w="11900" w:h="16838" w:orient="portrait"/>
          <w:cols w:equalWidth="0" w:num="1">
            <w:col w:w="11420"/>
          </w:cols>
          <w:pgMar w:left="240" w:top="115" w:right="239" w:bottom="1440" w:gutter="0" w:footer="0" w:header="0"/>
        </w:sectPr>
      </w:pPr>
    </w:p>
    <w:bookmarkStart w:id="158" w:name="page159"/>
    <w:bookmarkEnd w:id="158"/>
    <w:p>
      <w:pPr>
        <w:ind w:left="5120"/>
        <w:spacing w:after="0"/>
        <w:rPr>
          <w:sz w:val="20"/>
          <w:szCs w:val="20"/>
          <w:color w:val="auto"/>
        </w:rPr>
      </w:pPr>
      <w:r>
        <w:rPr>
          <w:rFonts w:ascii="Arial" w:cs="Arial" w:eastAsia="Arial" w:hAnsi="Arial"/>
          <w:sz w:val="20"/>
          <w:szCs w:val="20"/>
          <w:b w:val="1"/>
          <w:bCs w:val="1"/>
          <w:color w:val="auto"/>
        </w:rPr>
        <w:t>APPENDIX B</w:t>
      </w:r>
    </w:p>
    <w:p>
      <w:pPr>
        <w:spacing w:after="0" w:line="163"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OFFER DOCUMENT</w:t>
      </w:r>
    </w:p>
    <w:p>
      <w:pPr>
        <w:spacing w:after="0" w:line="162"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OFFER OF RESTRICTED STOCK UNITS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AUSTRALIAN RESIDENT EMPLOYEES</w:t>
      </w:r>
    </w:p>
    <w:p>
      <w:pPr>
        <w:spacing w:after="0" w:line="36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Your assessable income includes the ESS interest at grant, unless the ESS interest is subject to a “real risk of forfeiture,” in which case you will be subject to deferred taxation.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In the case of the Restricted Stock Units, the “real risk of forfeiture” test requires that:</w:t>
      </w:r>
    </w:p>
    <w:p>
      <w:pPr>
        <w:spacing w:after="0" w:line="162" w:lineRule="exact"/>
        <w:rPr>
          <w:sz w:val="20"/>
          <w:szCs w:val="20"/>
          <w:color w:val="auto"/>
        </w:rPr>
      </w:pPr>
    </w:p>
    <w:p>
      <w:pPr>
        <w:ind w:left="1620" w:hanging="420"/>
        <w:spacing w:after="0" w:line="260" w:lineRule="auto"/>
        <w:tabs>
          <w:tab w:leader="none" w:pos="1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there must be a real risk that, under the conditions of the Plan, you will forfeit the Restricted Stock Units or lose them (other than by disposing of them or in connection with the vesting of the Restricted Stock Units); or</w:t>
      </w:r>
    </w:p>
    <w:p>
      <w:pPr>
        <w:spacing w:after="0" w:line="122" w:lineRule="exact"/>
        <w:rPr>
          <w:rFonts w:ascii="Arial" w:cs="Arial" w:eastAsia="Arial" w:hAnsi="Arial"/>
          <w:sz w:val="20"/>
          <w:szCs w:val="20"/>
          <w:color w:val="auto"/>
        </w:rPr>
      </w:pPr>
    </w:p>
    <w:p>
      <w:pPr>
        <w:ind w:left="1620" w:hanging="475"/>
        <w:spacing w:after="0" w:line="260" w:lineRule="auto"/>
        <w:tabs>
          <w:tab w:leader="none" w:pos="1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there must be a real risk that if your Restricted Stock Units vest, under the conditions of the Plan, you will forfeit the underlying Shares or lose them other than by disposing of them.</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terms of your Restricted Stock Unit award are set out in the Additional Documents. It is understood that your Restricted Stock Units will satisfy the real risk of forfeiture test and that you will be subject to deferred taxation (</w:t>
      </w:r>
      <w:r>
        <w:rPr>
          <w:rFonts w:ascii="Arial" w:cs="Arial" w:eastAsia="Arial" w:hAnsi="Arial"/>
          <w:sz w:val="20"/>
          <w:szCs w:val="20"/>
          <w:i w:val="1"/>
          <w:iCs w:val="1"/>
          <w:color w:val="auto"/>
        </w:rPr>
        <w:t>i.e.</w:t>
      </w:r>
      <w:r>
        <w:rPr>
          <w:rFonts w:ascii="Arial" w:cs="Arial" w:eastAsia="Arial" w:hAnsi="Arial"/>
          <w:sz w:val="20"/>
          <w:szCs w:val="20"/>
          <w:color w:val="auto"/>
        </w:rPr>
        <w:t>, you generally should not be subject to tax when the Restricted Share Units are granted to you).</w:t>
      </w:r>
    </w:p>
    <w:p>
      <w:pPr>
        <w:spacing w:after="0" w:line="126" w:lineRule="exact"/>
        <w:rPr>
          <w:sz w:val="20"/>
          <w:szCs w:val="20"/>
          <w:color w:val="auto"/>
        </w:rPr>
      </w:pPr>
    </w:p>
    <w:p>
      <w:pPr>
        <w:ind w:left="280" w:hanging="272"/>
        <w:spacing w:after="0"/>
        <w:tabs>
          <w:tab w:leader="none" w:pos="280" w:val="left"/>
        </w:tabs>
        <w:numPr>
          <w:ilvl w:val="0"/>
          <w:numId w:val="101"/>
        </w:numPr>
        <w:rPr>
          <w:rFonts w:ascii="Arial" w:cs="Arial" w:eastAsia="Arial" w:hAnsi="Arial"/>
          <w:sz w:val="20"/>
          <w:szCs w:val="20"/>
          <w:color w:val="auto"/>
        </w:rPr>
      </w:pPr>
      <w:r>
        <w:rPr>
          <w:rFonts w:ascii="Arial" w:cs="Arial" w:eastAsia="Arial" w:hAnsi="Arial"/>
          <w:sz w:val="20"/>
          <w:szCs w:val="20"/>
          <w:b w:val="1"/>
          <w:bCs w:val="1"/>
          <w:color w:val="auto"/>
        </w:rPr>
        <w:t>When will you be taxed if your Restricted Stock Units are subject to a real risk of forfeiture?</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You will be required to include an amount in your assessable income for the income year (</w:t>
      </w:r>
      <w:r>
        <w:rPr>
          <w:rFonts w:ascii="Arial" w:cs="Arial" w:eastAsia="Arial" w:hAnsi="Arial"/>
          <w:sz w:val="20"/>
          <w:szCs w:val="20"/>
          <w:i w:val="1"/>
          <w:iCs w:val="1"/>
          <w:color w:val="auto"/>
        </w:rPr>
        <w:t>i.e.</w:t>
      </w:r>
      <w:r>
        <w:rPr>
          <w:rFonts w:ascii="Arial" w:cs="Arial" w:eastAsia="Arial" w:hAnsi="Arial"/>
          <w:sz w:val="20"/>
          <w:szCs w:val="20"/>
          <w:color w:val="auto"/>
        </w:rPr>
        <w:t>, the financial year ending 30 June) in which the earliest of the following events occurs in relation to the Restricted Stock Units (the “ESS deferred taxing point”).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Your ESS deferred taxing point will be the earliest of the following:</w:t>
      </w:r>
    </w:p>
    <w:p>
      <w:pPr>
        <w:spacing w:after="0" w:line="162" w:lineRule="exact"/>
        <w:rPr>
          <w:sz w:val="20"/>
          <w:szCs w:val="20"/>
          <w:color w:val="auto"/>
        </w:rPr>
      </w:pPr>
    </w:p>
    <w:p>
      <w:pPr>
        <w:ind w:left="1620" w:hanging="420"/>
        <w:spacing w:after="0" w:line="260" w:lineRule="auto"/>
        <w:tabs>
          <w:tab w:leader="none" w:pos="16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when there are no longer any genuine restrictions on the vesting of the Restricted Stock Units and there is no real risk of you forfeiting your Restricted Stock Units;</w:t>
      </w:r>
    </w:p>
    <w:p>
      <w:pPr>
        <w:spacing w:after="0" w:line="122" w:lineRule="exact"/>
        <w:rPr>
          <w:rFonts w:ascii="Arial" w:cs="Arial" w:eastAsia="Arial" w:hAnsi="Arial"/>
          <w:sz w:val="20"/>
          <w:szCs w:val="20"/>
          <w:color w:val="auto"/>
        </w:rPr>
      </w:pPr>
    </w:p>
    <w:p>
      <w:pPr>
        <w:ind w:left="1620" w:hanging="475"/>
        <w:spacing w:after="0"/>
        <w:tabs>
          <w:tab w:leader="none" w:pos="16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when the Restricted Stock Units are settled and there is no genuine restriction on the disposal of the underlying Shares; and</w:t>
      </w:r>
    </w:p>
    <w:p>
      <w:pPr>
        <w:spacing w:after="0" w:line="207" w:lineRule="exact"/>
        <w:rPr>
          <w:rFonts w:ascii="Arial" w:cs="Arial" w:eastAsia="Arial" w:hAnsi="Arial"/>
          <w:sz w:val="16"/>
          <w:szCs w:val="16"/>
          <w:color w:val="auto"/>
        </w:rPr>
      </w:pPr>
    </w:p>
    <w:p>
      <w:pPr>
        <w:ind w:left="1620" w:hanging="530"/>
        <w:spacing w:after="0"/>
        <w:tabs>
          <w:tab w:leader="none" w:pos="16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your cessation of employment (but see Section 11(e) below).</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Generally, this means that you will be subject to tax when your Restricted Stock Units vest. However, the ESS deferred taxing point for your Restricted Stock Units will be moved to the time you sell the underlying Shares if you sell the shares within 30 days of the original ESS deferred 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In addition to income taxes, the assessable amount may also be subject to Medicare Levy and surcharge (if applicable).</w:t>
      </w:r>
    </w:p>
    <w:p>
      <w:pPr>
        <w:spacing w:after="0" w:line="156" w:lineRule="exact"/>
        <w:rPr>
          <w:sz w:val="20"/>
          <w:szCs w:val="20"/>
          <w:color w:val="auto"/>
        </w:rPr>
      </w:pPr>
    </w:p>
    <w:p>
      <w:pPr>
        <w:ind w:left="280" w:hanging="272"/>
        <w:spacing w:after="0"/>
        <w:tabs>
          <w:tab w:leader="none" w:pos="280" w:val="left"/>
        </w:tabs>
        <w:numPr>
          <w:ilvl w:val="0"/>
          <w:numId w:val="103"/>
        </w:numPr>
        <w:rPr>
          <w:rFonts w:ascii="Arial" w:cs="Arial" w:eastAsia="Arial" w:hAnsi="Arial"/>
          <w:sz w:val="20"/>
          <w:szCs w:val="20"/>
          <w:color w:val="auto"/>
        </w:rPr>
      </w:pPr>
      <w:r>
        <w:rPr>
          <w:rFonts w:ascii="Arial" w:cs="Arial" w:eastAsia="Arial" w:hAnsi="Arial"/>
          <w:sz w:val="20"/>
          <w:szCs w:val="20"/>
          <w:b w:val="1"/>
          <w:bCs w:val="1"/>
          <w:color w:val="auto"/>
        </w:rPr>
        <w:t>What is the amount to be included in your assessable income if an ESS deferred taxing point occurs?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amount you must include in your assessable income in the income year (</w:t>
      </w:r>
      <w:r>
        <w:rPr>
          <w:rFonts w:ascii="Arial" w:cs="Arial" w:eastAsia="Arial" w:hAnsi="Arial"/>
          <w:sz w:val="20"/>
          <w:szCs w:val="20"/>
          <w:i w:val="1"/>
          <w:iCs w:val="1"/>
          <w:color w:val="auto"/>
        </w:rPr>
        <w:t>i.e.</w:t>
      </w:r>
      <w:r>
        <w:rPr>
          <w:rFonts w:ascii="Arial" w:cs="Arial" w:eastAsia="Arial" w:hAnsi="Arial"/>
          <w:sz w:val="20"/>
          <w:szCs w:val="20"/>
          <w:color w:val="auto"/>
        </w:rPr>
        <w:t>, the financial year ending 30 June) in which the ESS deferred taxing point occurs in relation to your Restricted Stock Units (</w:t>
      </w:r>
      <w:r>
        <w:rPr>
          <w:rFonts w:ascii="Arial" w:cs="Arial" w:eastAsia="Arial" w:hAnsi="Arial"/>
          <w:sz w:val="20"/>
          <w:szCs w:val="20"/>
          <w:i w:val="1"/>
          <w:iCs w:val="1"/>
          <w:color w:val="auto"/>
        </w:rPr>
        <w:t>i.e.,</w:t>
      </w:r>
      <w:r>
        <w:rPr>
          <w:rFonts w:ascii="Arial" w:cs="Arial" w:eastAsia="Arial" w:hAnsi="Arial"/>
          <w:sz w:val="20"/>
          <w:szCs w:val="20"/>
          <w:color w:val="auto"/>
        </w:rPr>
        <w:t xml:space="preserve"> typically at vesting) will be the difference between the “market value” of the underlying Shares at the 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B-5</w:t>
      </w:r>
    </w:p>
    <w:p>
      <w:pPr>
        <w:sectPr>
          <w:pgSz w:w="11900" w:h="16838" w:orient="portrait"/>
          <w:cols w:equalWidth="0" w:num="1">
            <w:col w:w="11420"/>
          </w:cols>
          <w:pgMar w:left="240" w:top="116" w:right="239" w:bottom="1440" w:gutter="0" w:footer="0" w:header="0"/>
        </w:sectPr>
      </w:pPr>
    </w:p>
    <w:bookmarkStart w:id="159" w:name="page160"/>
    <w:bookmarkEnd w:id="159"/>
    <w:p>
      <w:pPr>
        <w:ind w:left="5120"/>
        <w:spacing w:after="0"/>
        <w:rPr>
          <w:sz w:val="20"/>
          <w:szCs w:val="20"/>
          <w:color w:val="auto"/>
        </w:rPr>
      </w:pPr>
      <w:r>
        <w:rPr>
          <w:rFonts w:ascii="Arial" w:cs="Arial" w:eastAsia="Arial" w:hAnsi="Arial"/>
          <w:sz w:val="20"/>
          <w:szCs w:val="20"/>
          <w:b w:val="1"/>
          <w:bCs w:val="1"/>
          <w:color w:val="auto"/>
        </w:rPr>
        <w:t>APPENDIX B</w:t>
      </w:r>
    </w:p>
    <w:p>
      <w:pPr>
        <w:spacing w:after="0" w:line="161"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OFFER DOCUMENT</w:t>
      </w:r>
    </w:p>
    <w:p>
      <w:pPr>
        <w:spacing w:after="0" w:line="162"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OFFER OF RESTRICTED STOCK UNITS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AUSTRALIAN RESIDENT EMPLOYEES</w:t>
      </w:r>
    </w:p>
    <w:p>
      <w:pPr>
        <w:spacing w:after="0" w:line="3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deferred taxing point and the cost base of the Restricted Stock Units (which should be nil because you do not have to pay anything to acquire the Restricted Stock Units or the underlying Shares).</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Restricted Stock Units (which, again, should be nil).</w:t>
      </w:r>
    </w:p>
    <w:p>
      <w:pPr>
        <w:spacing w:after="0" w:line="126" w:lineRule="exact"/>
        <w:rPr>
          <w:sz w:val="20"/>
          <w:szCs w:val="20"/>
          <w:color w:val="auto"/>
        </w:rPr>
      </w:pPr>
    </w:p>
    <w:p>
      <w:pPr>
        <w:ind w:left="280" w:hanging="272"/>
        <w:spacing w:after="0"/>
        <w:tabs>
          <w:tab w:leader="none" w:pos="280" w:val="left"/>
        </w:tabs>
        <w:numPr>
          <w:ilvl w:val="0"/>
          <w:numId w:val="104"/>
        </w:numPr>
        <w:rPr>
          <w:rFonts w:ascii="Arial" w:cs="Arial" w:eastAsia="Arial" w:hAnsi="Arial"/>
          <w:sz w:val="20"/>
          <w:szCs w:val="20"/>
          <w:color w:val="auto"/>
        </w:rPr>
      </w:pPr>
      <w:r>
        <w:rPr>
          <w:rFonts w:ascii="Arial" w:cs="Arial" w:eastAsia="Arial" w:hAnsi="Arial"/>
          <w:sz w:val="20"/>
          <w:szCs w:val="20"/>
          <w:b w:val="1"/>
          <w:bCs w:val="1"/>
          <w:color w:val="auto"/>
        </w:rPr>
        <w:t>What is the market value of the Underlying Shares?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“market value” of the Restricted Stock Units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Restricted Stock Units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35" w:lineRule="exact"/>
        <w:rPr>
          <w:sz w:val="20"/>
          <w:szCs w:val="20"/>
          <w:color w:val="auto"/>
        </w:rPr>
      </w:pPr>
    </w:p>
    <w:p>
      <w:pPr>
        <w:ind w:left="280" w:hanging="272"/>
        <w:spacing w:after="0"/>
        <w:tabs>
          <w:tab w:leader="none" w:pos="280" w:val="left"/>
        </w:tabs>
        <w:numPr>
          <w:ilvl w:val="0"/>
          <w:numId w:val="105"/>
        </w:numPr>
        <w:rPr>
          <w:rFonts w:ascii="Arial" w:cs="Arial" w:eastAsia="Arial" w:hAnsi="Arial"/>
          <w:sz w:val="20"/>
          <w:szCs w:val="20"/>
          <w:color w:val="auto"/>
        </w:rPr>
      </w:pPr>
      <w:r>
        <w:rPr>
          <w:rFonts w:ascii="Arial" w:cs="Arial" w:eastAsia="Arial" w:hAnsi="Arial"/>
          <w:sz w:val="20"/>
          <w:szCs w:val="20"/>
          <w:b w:val="1"/>
          <w:bCs w:val="1"/>
          <w:color w:val="auto"/>
        </w:rPr>
        <w:t>What happens if I cease employment before my Restricted Stock Units vest?</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cease employment with your employer prior to the vesting date of some or all of your Restricted Stock Units and the Restricted Stock Units do not vest upon termination of employment (</w:t>
      </w:r>
      <w:r>
        <w:rPr>
          <w:rFonts w:ascii="Arial" w:cs="Arial" w:eastAsia="Arial" w:hAnsi="Arial"/>
          <w:sz w:val="20"/>
          <w:szCs w:val="20"/>
          <w:i w:val="1"/>
          <w:iCs w:val="1"/>
          <w:color w:val="auto"/>
        </w:rPr>
        <w:t>i.e.,</w:t>
      </w:r>
      <w:r>
        <w:rPr>
          <w:rFonts w:ascii="Arial" w:cs="Arial" w:eastAsia="Arial" w:hAnsi="Arial"/>
          <w:sz w:val="20"/>
          <w:szCs w:val="20"/>
          <w:color w:val="auto"/>
        </w:rPr>
        <w:t xml:space="preserve"> they are forfeited), you may be treated as having never acquired the forfeited Restricted Stock Units in which case, no amount will be included in your assessable income.</w:t>
      </w:r>
    </w:p>
    <w:p>
      <w:pPr>
        <w:spacing w:after="0" w:line="126" w:lineRule="exact"/>
        <w:rPr>
          <w:sz w:val="20"/>
          <w:szCs w:val="20"/>
          <w:color w:val="auto"/>
        </w:rPr>
      </w:pPr>
    </w:p>
    <w:p>
      <w:pPr>
        <w:ind w:left="260" w:hanging="252"/>
        <w:spacing w:after="0"/>
        <w:tabs>
          <w:tab w:leader="none" w:pos="260" w:val="left"/>
        </w:tabs>
        <w:numPr>
          <w:ilvl w:val="0"/>
          <w:numId w:val="106"/>
        </w:numPr>
        <w:rPr>
          <w:rFonts w:ascii="Arial" w:cs="Arial" w:eastAsia="Arial" w:hAnsi="Arial"/>
          <w:sz w:val="20"/>
          <w:szCs w:val="20"/>
          <w:color w:val="auto"/>
        </w:rPr>
      </w:pPr>
      <w:r>
        <w:rPr>
          <w:rFonts w:ascii="Arial" w:cs="Arial" w:eastAsia="Arial" w:hAnsi="Arial"/>
          <w:sz w:val="20"/>
          <w:szCs w:val="20"/>
          <w:b w:val="1"/>
          <w:bCs w:val="1"/>
          <w:color w:val="auto"/>
        </w:rPr>
        <w:t>What tax consequences will arise when I sell my Shares?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sell the Shares acquired upon vesting of your Restricted Stock Units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sell the Shares acquired upon vesting of your Restricted Stock Units more than 30 days after the original ESS deferred taxing point, you will be subject to capital gains taxation to the extent that the sales proceeds exceed your cost basis in the Shares sold, assuming that the sale of Shares occurs in an arm’s -length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B-6</w:t>
      </w:r>
    </w:p>
    <w:p>
      <w:pPr>
        <w:sectPr>
          <w:pgSz w:w="11900" w:h="16838" w:orient="portrait"/>
          <w:cols w:equalWidth="0" w:num="1">
            <w:col w:w="11420"/>
          </w:cols>
          <w:pgMar w:left="240" w:top="118" w:right="239" w:bottom="1440" w:gutter="0" w:footer="0" w:header="0"/>
        </w:sectPr>
      </w:pPr>
    </w:p>
    <w:bookmarkStart w:id="160" w:name="page161"/>
    <w:bookmarkEnd w:id="160"/>
    <w:p>
      <w:pPr>
        <w:ind w:left="5120"/>
        <w:spacing w:after="0"/>
        <w:rPr>
          <w:sz w:val="20"/>
          <w:szCs w:val="20"/>
          <w:color w:val="auto"/>
        </w:rPr>
      </w:pPr>
      <w:r>
        <w:rPr>
          <w:rFonts w:ascii="Arial" w:cs="Arial" w:eastAsia="Arial" w:hAnsi="Arial"/>
          <w:sz w:val="20"/>
          <w:szCs w:val="20"/>
          <w:b w:val="1"/>
          <w:bCs w:val="1"/>
          <w:color w:val="auto"/>
        </w:rPr>
        <w:t>APPENDIX B</w:t>
      </w:r>
    </w:p>
    <w:p>
      <w:pPr>
        <w:spacing w:after="0" w:line="161"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OFFER DOCUMENT</w:t>
      </w:r>
    </w:p>
    <w:p>
      <w:pPr>
        <w:spacing w:after="0" w:line="162"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OFFER OF RESTRICTED STOCK UNITS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AUSTRALIAN RESIDENT EMPLOYEES</w:t>
      </w:r>
    </w:p>
    <w:p>
      <w:pPr>
        <w:spacing w:after="0" w:line="3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are responsible for reporting any income you realize from the sale of Shares acquired upon vesting of Restricted Stock Units and paying any applicable taxes due on such income.</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26"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20"/>
          <w:szCs w:val="20"/>
          <w:color w:val="auto"/>
        </w:rPr>
      </w:pPr>
      <w:r>
        <w:rPr>
          <w:rFonts w:ascii="Arial" w:cs="Arial" w:eastAsia="Arial" w:hAnsi="Arial"/>
          <w:sz w:val="20"/>
          <w:szCs w:val="20"/>
          <w:b w:val="1"/>
          <w:bCs w:val="1"/>
          <w:color w:val="auto"/>
        </w:rPr>
        <w:t>What are the taxation consequences if a dividend is paid on the Shares?</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you vest in the Restricted Stock Units and become a Company stockholder, you may be entitled to receive dividends on the Shares obtained from vesting in the Restricted Stock Units if the board of directors of the Company, in its discretion, declares a dividend. Any dividends paid on Shares will be subject to income tax in Australia in the tax year they are paid (even where such dividends are reinvested in Shares). The dividends are also subject to U.S. federal income tax withheld at source. You may be entitled to a foreign tax credit against your Australian income tax for the U.S. federal income tax withheld on any dividends.</w:t>
      </w:r>
    </w:p>
    <w:p>
      <w:pPr>
        <w:spacing w:after="0" w:line="135" w:lineRule="exact"/>
        <w:rPr>
          <w:sz w:val="20"/>
          <w:szCs w:val="20"/>
          <w:color w:val="auto"/>
        </w:rPr>
      </w:pPr>
    </w:p>
    <w:p>
      <w:pPr>
        <w:ind w:left="280" w:hanging="272"/>
        <w:spacing w:after="0"/>
        <w:tabs>
          <w:tab w:leader="none" w:pos="280" w:val="left"/>
        </w:tabs>
        <w:numPr>
          <w:ilvl w:val="0"/>
          <w:numId w:val="108"/>
        </w:numPr>
        <w:rPr>
          <w:rFonts w:ascii="Arial" w:cs="Arial" w:eastAsia="Arial" w:hAnsi="Arial"/>
          <w:sz w:val="20"/>
          <w:szCs w:val="20"/>
          <w:color w:val="auto"/>
        </w:rPr>
      </w:pPr>
      <w:r>
        <w:rPr>
          <w:rFonts w:ascii="Arial" w:cs="Arial" w:eastAsia="Arial" w:hAnsi="Arial"/>
          <w:sz w:val="20"/>
          <w:szCs w:val="20"/>
          <w:b w:val="1"/>
          <w:bCs w:val="1"/>
          <w:color w:val="auto"/>
        </w:rPr>
        <w:t>What are the tax withholding and reporting obligations associated with the Restricted Stock Units?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will be responsible for reporting on your tax return and paying any tax liability in relation to the Restricted Stock Units and any Shares issued to you at vesting. It is also your responsibility to report and pay any tax liability on the sale of any Shares acquired under the Plan any dividends received.</w:t>
      </w:r>
    </w:p>
    <w:p>
      <w:pPr>
        <w:spacing w:after="0" w:line="13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Your employer will be required to withhold tax due on the Restricted Stock Units only if you have not provided your Tax File Number or Australian Business Number, as applicable, to your employer.</w:t>
      </w:r>
    </w:p>
    <w:p>
      <w:pPr>
        <w:spacing w:after="0" w:line="12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 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Arial" w:cs="Arial" w:eastAsia="Arial" w:hAnsi="Arial"/>
          <w:sz w:val="18"/>
          <w:szCs w:val="18"/>
          <w:i w:val="1"/>
          <w:iCs w:val="1"/>
          <w:color w:val="auto"/>
        </w:rPr>
        <w:t>You will be responsible for determining this amount and calculating your tax accordingly.</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WHAT ARE THE U.S. TAX CONSEQUENCES OF PARTICIPATION IN THE PLAN?</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Australian residents who are not U.S. citizens or tax residents should not be subject to U.S. tax by reason only of the award or vesting of the Restricted Stock Units and/or the sale of Shares, except with respect to dividends as described above. However, liability for U.S. tax may accrue if an Australian resident is otherwise subject to U.S. tax.</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is only an indication of the likely U.S. tax consequences for an Australian resident who is awarded Restricted Stock Units under the Plan.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Each Australian resident should seek his or her own advice as to the U.S. tax consequences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B-7</w:t>
      </w:r>
    </w:p>
    <w:p>
      <w:pPr>
        <w:sectPr>
          <w:pgSz w:w="11900" w:h="16838" w:orient="portrait"/>
          <w:cols w:equalWidth="0" w:num="1">
            <w:col w:w="11420"/>
          </w:cols>
          <w:pgMar w:left="240" w:top="118" w:right="239" w:bottom="1440" w:gutter="0" w:footer="0" w:header="0"/>
        </w:sectPr>
      </w:pPr>
    </w:p>
    <w:bookmarkStart w:id="161" w:name="page162"/>
    <w:bookmarkEnd w:id="161"/>
    <w:p>
      <w:pPr>
        <w:ind w:left="5120"/>
        <w:spacing w:after="0"/>
        <w:rPr>
          <w:sz w:val="20"/>
          <w:szCs w:val="20"/>
          <w:color w:val="auto"/>
        </w:rPr>
      </w:pPr>
      <w:r>
        <w:rPr>
          <w:rFonts w:ascii="Arial" w:cs="Arial" w:eastAsia="Arial" w:hAnsi="Arial"/>
          <w:sz w:val="20"/>
          <w:szCs w:val="20"/>
          <w:b w:val="1"/>
          <w:bCs w:val="1"/>
          <w:color w:val="auto"/>
        </w:rPr>
        <w:t>APPENDIX B</w:t>
      </w:r>
    </w:p>
    <w:p>
      <w:pPr>
        <w:spacing w:after="0" w:line="163"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OFFER DOCUMENT</w:t>
      </w:r>
    </w:p>
    <w:p>
      <w:pPr>
        <w:spacing w:after="0" w:line="162"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OFFER OF RESTRICTED STOCK UNITS</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TO AUSTRALIAN RESIDENT EMPLOYEES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We urge you to carefully review the information contained in this Offer Document and the Additional Documents.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Appendix B-8</w:t>
      </w:r>
    </w:p>
    <w:p>
      <w:pPr>
        <w:sectPr>
          <w:pgSz w:w="11900" w:h="16838" w:orient="portrait"/>
          <w:cols w:equalWidth="0" w:num="1">
            <w:col w:w="10219"/>
          </w:cols>
          <w:pgMar w:left="240" w:top="116" w:right="1440" w:bottom="1440" w:gutter="0" w:footer="0" w:header="0"/>
        </w:sectPr>
      </w:pPr>
    </w:p>
    <w:bookmarkStart w:id="162" w:name="page163"/>
    <w:bookmarkEnd w:id="162"/>
    <w:p>
      <w:pPr>
        <w:ind w:left="5100"/>
        <w:spacing w:after="0"/>
        <w:rPr>
          <w:sz w:val="20"/>
          <w:szCs w:val="20"/>
          <w:color w:val="auto"/>
        </w:rPr>
      </w:pPr>
      <w:r>
        <w:rPr>
          <w:rFonts w:ascii="Arial" w:cs="Arial" w:eastAsia="Arial" w:hAnsi="Arial"/>
          <w:sz w:val="20"/>
          <w:szCs w:val="20"/>
          <w:b w:val="1"/>
          <w:bCs w:val="1"/>
          <w:u w:val="single" w:color="auto"/>
          <w:color w:val="auto"/>
        </w:rPr>
        <w:t>APPENDIX C</w:t>
      </w:r>
    </w:p>
    <w:p>
      <w:pPr>
        <w:spacing w:after="0" w:line="161"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EMPLOYER INFORMATION STATEMENT – DENMARK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ON {</w:t>
      </w:r>
      <w:r>
        <w:rPr>
          <w:rFonts w:ascii="Arial" w:cs="Arial" w:eastAsia="Arial" w:hAnsi="Arial"/>
          <w:sz w:val="20"/>
          <w:szCs w:val="20"/>
          <w:b w:val="1"/>
          <w:bCs w:val="1"/>
          <w:i w:val="1"/>
          <w:iCs w:val="1"/>
          <w:color w:val="auto"/>
        </w:rPr>
        <w:t>GRANT DATE</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29"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Restricted Stock Units (“RSUs”) by Analog Devices, Inc. (the “Company”) under the Analog Devices, Inc. 2020 Equity Incentive Plan (the “Plan”) in a separate written statement. This statement contains only the information mentioned in the Stock Option Act; the other terms and conditions of your grant of RSUs is described in detail in your Global Restricted Stock Unit Agreement (the “Agreement”), the appendix to your Agreement and the Plan.</w:t>
      </w:r>
    </w:p>
    <w:p>
      <w:pPr>
        <w:spacing w:after="0" w:line="136"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Date of Grant</w:t>
      </w:r>
    </w:p>
    <w:p>
      <w:pPr>
        <w:spacing w:after="0" w:line="167" w:lineRule="exact"/>
        <w:rPr>
          <w:rFonts w:ascii="Arial" w:cs="Arial" w:eastAsia="Arial" w:hAnsi="Arial"/>
          <w:sz w:val="20"/>
          <w:szCs w:val="20"/>
          <w:color w:val="auto"/>
        </w:rPr>
      </w:pPr>
    </w:p>
    <w:p>
      <w:pPr>
        <w:ind w:left="340" w:right="20"/>
        <w:spacing w:after="0" w:line="247" w:lineRule="auto"/>
        <w:rPr>
          <w:rFonts w:ascii="Arial" w:cs="Arial" w:eastAsia="Arial" w:hAnsi="Arial"/>
          <w:sz w:val="20"/>
          <w:szCs w:val="20"/>
          <w:color w:val="auto"/>
        </w:rPr>
      </w:pPr>
      <w:r>
        <w:rPr>
          <w:rFonts w:ascii="Arial" w:cs="Arial" w:eastAsia="Arial" w:hAnsi="Arial"/>
          <w:sz w:val="20"/>
          <w:szCs w:val="20"/>
          <w:color w:val="auto"/>
        </w:rPr>
        <w:t>The Company approved the grant of RSUs under the Plan on {</w:t>
      </w:r>
      <w:r>
        <w:rPr>
          <w:rFonts w:ascii="Arial" w:cs="Arial" w:eastAsia="Arial" w:hAnsi="Arial"/>
          <w:sz w:val="20"/>
          <w:szCs w:val="20"/>
          <w:i w:val="1"/>
          <w:iCs w:val="1"/>
          <w:color w:val="auto"/>
        </w:rPr>
        <w:t>Grant Date</w:t>
      </w:r>
      <w:r>
        <w:rPr>
          <w:rFonts w:ascii="Arial" w:cs="Arial" w:eastAsia="Arial" w:hAnsi="Arial"/>
          <w:sz w:val="20"/>
          <w:szCs w:val="20"/>
          <w:color w:val="auto"/>
        </w:rPr>
        <w:t>}. On this basis, the Date of Grant for your RSUs is {</w:t>
      </w:r>
      <w:r>
        <w:rPr>
          <w:rFonts w:ascii="Arial" w:cs="Arial" w:eastAsia="Arial" w:hAnsi="Arial"/>
          <w:sz w:val="20"/>
          <w:szCs w:val="20"/>
          <w:i w:val="1"/>
          <w:iCs w:val="1"/>
          <w:color w:val="auto"/>
        </w:rPr>
        <w:t>Grant</w:t>
      </w:r>
      <w:r>
        <w:rPr>
          <w:rFonts w:ascii="Arial" w:cs="Arial" w:eastAsia="Arial" w:hAnsi="Arial"/>
          <w:sz w:val="20"/>
          <w:szCs w:val="20"/>
          <w:color w:val="auto"/>
        </w:rPr>
        <w:t xml:space="preserve"> </w:t>
      </w:r>
      <w:r>
        <w:rPr>
          <w:rFonts w:ascii="Arial" w:cs="Arial" w:eastAsia="Arial" w:hAnsi="Arial"/>
          <w:sz w:val="20"/>
          <w:szCs w:val="20"/>
          <w:i w:val="1"/>
          <w:iCs w:val="1"/>
          <w:color w:val="auto"/>
        </w:rPr>
        <w:t>Date</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Terms and Conditions of the RSU Grant</w:t>
      </w:r>
    </w:p>
    <w:p>
      <w:pPr>
        <w:spacing w:after="0" w:line="145" w:lineRule="exact"/>
        <w:rPr>
          <w:rFonts w:ascii="Arial" w:cs="Arial" w:eastAsia="Arial" w:hAnsi="Arial"/>
          <w:sz w:val="20"/>
          <w:szCs w:val="20"/>
          <w:color w:val="auto"/>
        </w:rPr>
      </w:pPr>
    </w:p>
    <w:p>
      <w:pPr>
        <w:ind w:left="340" w:right="3080"/>
        <w:spacing w:after="0" w:line="309" w:lineRule="auto"/>
        <w:rPr>
          <w:rFonts w:ascii="Arial" w:cs="Arial" w:eastAsia="Arial" w:hAnsi="Arial"/>
          <w:sz w:val="20"/>
          <w:szCs w:val="20"/>
          <w:color w:val="auto"/>
        </w:rPr>
      </w:pPr>
      <w:r>
        <w:rPr>
          <w:rFonts w:ascii="Arial" w:cs="Arial" w:eastAsia="Arial" w:hAnsi="Arial"/>
          <w:sz w:val="16"/>
          <w:szCs w:val="16"/>
          <w:color w:val="auto"/>
        </w:rPr>
        <w:t>The grant of RSUs and other awards under the Plan is made at the sole discretion of the Company. In determining who will receive RSUs, the number of shares of the Company’s common stock that are</w:t>
      </w:r>
    </w:p>
    <w:p>
      <w:pPr>
        <w:spacing w:after="0" w:line="1" w:lineRule="exact"/>
        <w:rPr>
          <w:rFonts w:ascii="Arial" w:cs="Arial" w:eastAsia="Arial" w:hAnsi="Arial"/>
          <w:sz w:val="20"/>
          <w:szCs w:val="20"/>
          <w:color w:val="auto"/>
        </w:rPr>
      </w:pPr>
    </w:p>
    <w:p>
      <w:pPr>
        <w:jc w:val="both"/>
        <w:ind w:left="340"/>
        <w:spacing w:after="0" w:line="256" w:lineRule="auto"/>
        <w:rPr>
          <w:rFonts w:ascii="Arial" w:cs="Arial" w:eastAsia="Arial" w:hAnsi="Arial"/>
          <w:sz w:val="20"/>
          <w:szCs w:val="20"/>
          <w:color w:val="auto"/>
        </w:rPr>
      </w:pPr>
      <w:r>
        <w:rPr>
          <w:rFonts w:ascii="Arial" w:cs="Arial" w:eastAsia="Arial" w:hAnsi="Arial"/>
          <w:sz w:val="19"/>
          <w:szCs w:val="19"/>
          <w:color w:val="auto"/>
        </w:rPr>
        <w:t>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68" w:lineRule="exact"/>
        <w:rPr>
          <w:rFonts w:ascii="Arial" w:cs="Arial" w:eastAsia="Arial" w:hAnsi="Arial"/>
          <w:sz w:val="20"/>
          <w:szCs w:val="20"/>
          <w:color w:val="auto"/>
        </w:rPr>
      </w:pPr>
    </w:p>
    <w:p>
      <w:pPr>
        <w:ind w:left="340" w:hanging="332"/>
        <w:spacing w:after="0"/>
        <w:tabs>
          <w:tab w:leader="none" w:pos="340"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Vesting Date of RSUs</w:t>
      </w:r>
    </w:p>
    <w:p>
      <w:pPr>
        <w:spacing w:after="0" w:line="167" w:lineRule="exact"/>
        <w:rPr>
          <w:rFonts w:ascii="Arial" w:cs="Arial" w:eastAsia="Arial" w:hAnsi="Arial"/>
          <w:sz w:val="20"/>
          <w:szCs w:val="20"/>
          <w:color w:val="auto"/>
        </w:rPr>
      </w:pPr>
    </w:p>
    <w:p>
      <w:pPr>
        <w:jc w:val="both"/>
        <w:ind w:left="340"/>
        <w:spacing w:after="0" w:line="246" w:lineRule="auto"/>
        <w:rPr>
          <w:rFonts w:ascii="Arial" w:cs="Arial" w:eastAsia="Arial" w:hAnsi="Arial"/>
          <w:sz w:val="20"/>
          <w:szCs w:val="20"/>
          <w:color w:val="auto"/>
        </w:rPr>
      </w:pPr>
      <w:r>
        <w:rPr>
          <w:rFonts w:ascii="Arial" w:cs="Arial" w:eastAsia="Arial" w:hAnsi="Arial"/>
          <w:sz w:val="20"/>
          <w:szCs w:val="20"/>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37" w:lineRule="exact"/>
        <w:rPr>
          <w:rFonts w:ascii="Arial" w:cs="Arial" w:eastAsia="Arial" w:hAnsi="Arial"/>
          <w:sz w:val="20"/>
          <w:szCs w:val="20"/>
          <w:color w:val="auto"/>
        </w:rPr>
      </w:pPr>
    </w:p>
    <w:p>
      <w:pPr>
        <w:ind w:left="340"/>
        <w:spacing w:after="0"/>
        <w:rPr>
          <w:rFonts w:ascii="Arial" w:cs="Arial" w:eastAsia="Arial" w:hAnsi="Arial"/>
          <w:sz w:val="20"/>
          <w:szCs w:val="20"/>
          <w:color w:val="auto"/>
        </w:rPr>
      </w:pPr>
      <w:r>
        <w:rPr>
          <w:rFonts w:ascii="Arial" w:cs="Arial" w:eastAsia="Arial" w:hAnsi="Arial"/>
          <w:sz w:val="18"/>
          <w:szCs w:val="18"/>
          <w:color w:val="auto"/>
        </w:rPr>
        <w:t>When your RSUs vest, the Company will issue one share of the Company’s common stock to you in settlement of each vested RSU.</w:t>
      </w:r>
    </w:p>
    <w:p>
      <w:pPr>
        <w:spacing w:after="0" w:line="178" w:lineRule="exact"/>
        <w:rPr>
          <w:rFonts w:ascii="Arial" w:cs="Arial" w:eastAsia="Arial" w:hAnsi="Arial"/>
          <w:sz w:val="20"/>
          <w:szCs w:val="20"/>
          <w:color w:val="auto"/>
        </w:rPr>
      </w:pPr>
    </w:p>
    <w:p>
      <w:pPr>
        <w:ind w:left="340" w:hanging="332"/>
        <w:spacing w:after="0"/>
        <w:tabs>
          <w:tab w:leader="none" w:pos="340"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Exercise Price</w:t>
      </w:r>
    </w:p>
    <w:p>
      <w:pPr>
        <w:spacing w:after="0" w:line="167" w:lineRule="exact"/>
        <w:rPr>
          <w:rFonts w:ascii="Arial" w:cs="Arial" w:eastAsia="Arial" w:hAnsi="Arial"/>
          <w:sz w:val="20"/>
          <w:szCs w:val="20"/>
          <w:color w:val="auto"/>
        </w:rPr>
      </w:pPr>
    </w:p>
    <w:p>
      <w:pPr>
        <w:ind w:left="340"/>
        <w:spacing w:after="0" w:line="260" w:lineRule="auto"/>
        <w:rPr>
          <w:rFonts w:ascii="Arial" w:cs="Arial" w:eastAsia="Arial" w:hAnsi="Arial"/>
          <w:sz w:val="20"/>
          <w:szCs w:val="20"/>
          <w:color w:val="auto"/>
        </w:rPr>
      </w:pPr>
      <w:r>
        <w:rPr>
          <w:rFonts w:ascii="Arial" w:cs="Arial" w:eastAsia="Arial" w:hAnsi="Arial"/>
          <w:sz w:val="20"/>
          <w:szCs w:val="20"/>
          <w:color w:val="auto"/>
        </w:rPr>
        <w:t>Because each RSU entitles you to receive one share of the Company’s common stock on the date of vesting without any cost to you or other payment required from you, there is no exercise price associated with the RSUs.</w:t>
      </w:r>
    </w:p>
    <w:p>
      <w:pPr>
        <w:spacing w:after="0" w:line="116" w:lineRule="exact"/>
        <w:rPr>
          <w:rFonts w:ascii="Arial" w:cs="Arial" w:eastAsia="Arial" w:hAnsi="Arial"/>
          <w:sz w:val="20"/>
          <w:szCs w:val="20"/>
          <w:color w:val="auto"/>
        </w:rPr>
      </w:pPr>
    </w:p>
    <w:p>
      <w:pPr>
        <w:ind w:left="340" w:hanging="332"/>
        <w:spacing w:after="0"/>
        <w:tabs>
          <w:tab w:leader="none" w:pos="340"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Your Rights upon Termination of Service</w:t>
      </w:r>
    </w:p>
    <w:p>
      <w:pPr>
        <w:spacing w:after="0" w:line="167" w:lineRule="exact"/>
        <w:rPr>
          <w:rFonts w:ascii="Arial" w:cs="Arial" w:eastAsia="Arial" w:hAnsi="Arial"/>
          <w:sz w:val="20"/>
          <w:szCs w:val="20"/>
          <w:color w:val="auto"/>
        </w:rPr>
      </w:pPr>
    </w:p>
    <w:p>
      <w:pPr>
        <w:ind w:left="340"/>
        <w:spacing w:after="0" w:line="316" w:lineRule="auto"/>
        <w:rPr>
          <w:rFonts w:ascii="Arial" w:cs="Arial" w:eastAsia="Arial" w:hAnsi="Arial"/>
          <w:sz w:val="20"/>
          <w:szCs w:val="20"/>
          <w:color w:val="auto"/>
        </w:rPr>
      </w:pPr>
      <w:r>
        <w:rPr>
          <w:rFonts w:ascii="Arial" w:cs="Arial" w:eastAsia="Arial" w:hAnsi="Arial"/>
          <w:sz w:val="18"/>
          <w:szCs w:val="18"/>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70" w:lineRule="exact"/>
        <w:rPr>
          <w:rFonts w:ascii="Arial" w:cs="Arial" w:eastAsia="Arial" w:hAnsi="Arial"/>
          <w:sz w:val="20"/>
          <w:szCs w:val="20"/>
          <w:color w:val="auto"/>
        </w:rPr>
      </w:pPr>
    </w:p>
    <w:p>
      <w:pPr>
        <w:ind w:left="340" w:hanging="332"/>
        <w:spacing w:after="0"/>
        <w:tabs>
          <w:tab w:leader="none" w:pos="340"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Financial Aspects of Participating in the Plan</w:t>
      </w:r>
    </w:p>
    <w:p>
      <w:pPr>
        <w:spacing w:after="0" w:line="167" w:lineRule="exact"/>
        <w:rPr>
          <w:rFonts w:ascii="Arial" w:cs="Arial" w:eastAsia="Arial" w:hAnsi="Arial"/>
          <w:sz w:val="20"/>
          <w:szCs w:val="20"/>
          <w:color w:val="auto"/>
        </w:rPr>
      </w:pPr>
    </w:p>
    <w:p>
      <w:pPr>
        <w:ind w:left="340" w:right="20"/>
        <w:spacing w:after="0" w:line="260" w:lineRule="auto"/>
        <w:rPr>
          <w:rFonts w:ascii="Arial" w:cs="Arial" w:eastAsia="Arial" w:hAnsi="Arial"/>
          <w:sz w:val="20"/>
          <w:szCs w:val="20"/>
          <w:color w:val="auto"/>
        </w:rPr>
      </w:pPr>
      <w:r>
        <w:rPr>
          <w:rFonts w:ascii="Arial" w:cs="Arial" w:eastAsia="Arial" w:hAnsi="Arial"/>
          <w:sz w:val="20"/>
          <w:szCs w:val="20"/>
          <w:color w:val="auto"/>
        </w:rPr>
        <w:t>The grant of RSUs has no immediate financial consequences for you. The value of the RSUs is not taken into account when calculating holiday allowances, pension contributions or other statutory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C-1</w:t>
      </w:r>
    </w:p>
    <w:p>
      <w:pPr>
        <w:sectPr>
          <w:pgSz w:w="11900" w:h="16838" w:orient="portrait"/>
          <w:cols w:equalWidth="0" w:num="1">
            <w:col w:w="11420"/>
          </w:cols>
          <w:pgMar w:left="240" w:top="118" w:right="239" w:bottom="1440" w:gutter="0" w:footer="0" w:header="0"/>
        </w:sectPr>
      </w:pPr>
    </w:p>
    <w:bookmarkStart w:id="163" w:name="page164"/>
    <w:bookmarkEnd w:id="163"/>
    <w:p>
      <w:pPr>
        <w:ind w:left="5100"/>
        <w:spacing w:after="0"/>
        <w:rPr>
          <w:sz w:val="20"/>
          <w:szCs w:val="20"/>
          <w:color w:val="auto"/>
        </w:rPr>
      </w:pPr>
      <w:r>
        <w:rPr>
          <w:rFonts w:ascii="Arial" w:cs="Arial" w:eastAsia="Arial" w:hAnsi="Arial"/>
          <w:sz w:val="20"/>
          <w:szCs w:val="20"/>
          <w:b w:val="1"/>
          <w:bCs w:val="1"/>
          <w:u w:val="single" w:color="auto"/>
          <w:color w:val="auto"/>
        </w:rPr>
        <w:t>APPENDIX C</w:t>
      </w:r>
    </w:p>
    <w:p>
      <w:pPr>
        <w:spacing w:after="0" w:line="163"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EMPLOYER INFORMATION STATEMENT – DENMARK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ON {</w:t>
      </w:r>
      <w:r>
        <w:rPr>
          <w:rFonts w:ascii="Arial" w:cs="Arial" w:eastAsia="Arial" w:hAnsi="Arial"/>
          <w:sz w:val="20"/>
          <w:szCs w:val="20"/>
          <w:b w:val="1"/>
          <w:bCs w:val="1"/>
          <w:i w:val="1"/>
          <w:iCs w:val="1"/>
          <w:color w:val="auto"/>
        </w:rPr>
        <w:t>GRANT DATE</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29" w:lineRule="exact"/>
        <w:rPr>
          <w:sz w:val="20"/>
          <w:szCs w:val="20"/>
          <w:color w:val="auto"/>
        </w:rPr>
      </w:pPr>
    </w:p>
    <w:p>
      <w:pPr>
        <w:jc w:val="both"/>
        <w:ind w:left="340"/>
        <w:spacing w:after="0" w:line="260" w:lineRule="auto"/>
        <w:rPr>
          <w:sz w:val="20"/>
          <w:szCs w:val="20"/>
          <w:color w:val="auto"/>
        </w:rPr>
      </w:pPr>
      <w:r>
        <w:rPr>
          <w:rFonts w:ascii="Arial" w:cs="Arial" w:eastAsia="Arial" w:hAnsi="Arial"/>
          <w:sz w:val="20"/>
          <w:szCs w:val="20"/>
          <w:color w:val="auto"/>
        </w:rPr>
        <w:t>consideration calculated on the basis of salary. The tax treatment of RSUs depends on a number of aspects and thus, you are encouraged to seek particular advice regarding your tax position.</w:t>
      </w:r>
    </w:p>
    <w:p>
      <w:pPr>
        <w:spacing w:after="0" w:line="123" w:lineRule="exact"/>
        <w:rPr>
          <w:sz w:val="20"/>
          <w:szCs w:val="20"/>
          <w:color w:val="auto"/>
        </w:rPr>
      </w:pPr>
    </w:p>
    <w:p>
      <w:pPr>
        <w:jc w:val="both"/>
        <w:ind w:left="340"/>
        <w:spacing w:after="0" w:line="246" w:lineRule="auto"/>
        <w:rPr>
          <w:sz w:val="20"/>
          <w:szCs w:val="20"/>
          <w:color w:val="auto"/>
        </w:rPr>
      </w:pPr>
      <w:r>
        <w:rPr>
          <w:rFonts w:ascii="Arial" w:cs="Arial" w:eastAsia="Arial" w:hAnsi="Arial"/>
          <w:sz w:val="20"/>
          <w:szCs w:val="20"/>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32" w:lineRule="exact"/>
        <w:rPr>
          <w:sz w:val="20"/>
          <w:szCs w:val="20"/>
          <w:color w:val="auto"/>
        </w:rPr>
      </w:pPr>
    </w:p>
    <w:p>
      <w:pPr>
        <w:ind w:left="380" w:hanging="372"/>
        <w:spacing w:after="0"/>
        <w:tabs>
          <w:tab w:leader="none" w:pos="380" w:val="left"/>
        </w:tabs>
        <w:numPr>
          <w:ilvl w:val="0"/>
          <w:numId w:val="110"/>
        </w:numPr>
        <w:rPr>
          <w:rFonts w:ascii="Arial" w:cs="Arial" w:eastAsia="Arial" w:hAnsi="Arial"/>
          <w:sz w:val="20"/>
          <w:szCs w:val="20"/>
          <w:color w:val="auto"/>
        </w:rPr>
      </w:pPr>
      <w:r>
        <w:rPr>
          <w:rFonts w:ascii="Arial" w:cs="Arial" w:eastAsia="Arial" w:hAnsi="Arial"/>
          <w:sz w:val="20"/>
          <w:szCs w:val="20"/>
          <w:b w:val="1"/>
          <w:bCs w:val="1"/>
          <w:color w:val="auto"/>
        </w:rPr>
        <w:t>Other Issues</w:t>
      </w:r>
    </w:p>
    <w:p>
      <w:pPr>
        <w:spacing w:after="0" w:line="168" w:lineRule="exact"/>
        <w:rPr>
          <w:sz w:val="20"/>
          <w:szCs w:val="20"/>
          <w:color w:val="auto"/>
        </w:rPr>
      </w:pPr>
    </w:p>
    <w:p>
      <w:pPr>
        <w:jc w:val="both"/>
        <w:ind w:left="340"/>
        <w:spacing w:after="0" w:line="250" w:lineRule="auto"/>
        <w:rPr>
          <w:sz w:val="20"/>
          <w:szCs w:val="20"/>
          <w:color w:val="auto"/>
        </w:rPr>
      </w:pPr>
      <w:r>
        <w:rPr>
          <w:rFonts w:ascii="Arial" w:cs="Arial" w:eastAsia="Arial" w:hAnsi="Arial"/>
          <w:sz w:val="20"/>
          <w:szCs w:val="20"/>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Notice Provided By: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Analog Devices, Inc.</w:t>
      </w:r>
    </w:p>
    <w:p>
      <w:pPr>
        <w:spacing w:after="0"/>
        <w:rPr>
          <w:sz w:val="20"/>
          <w:szCs w:val="20"/>
          <w:color w:val="auto"/>
        </w:rPr>
      </w:pPr>
      <w:r>
        <w:rPr>
          <w:rFonts w:ascii="Arial" w:cs="Arial" w:eastAsia="Arial" w:hAnsi="Arial"/>
          <w:sz w:val="20"/>
          <w:szCs w:val="20"/>
          <w:color w:val="auto"/>
        </w:rPr>
        <w:t>Three Technology Way</w:t>
      </w:r>
    </w:p>
    <w:p>
      <w:pPr>
        <w:spacing w:after="0"/>
        <w:rPr>
          <w:sz w:val="20"/>
          <w:szCs w:val="20"/>
          <w:color w:val="auto"/>
        </w:rPr>
      </w:pPr>
      <w:r>
        <w:rPr>
          <w:rFonts w:ascii="Arial" w:cs="Arial" w:eastAsia="Arial" w:hAnsi="Arial"/>
          <w:sz w:val="20"/>
          <w:szCs w:val="20"/>
          <w:color w:val="auto"/>
        </w:rPr>
        <w:t>Norwood, MA 02062</w:t>
      </w:r>
    </w:p>
    <w:p>
      <w:pPr>
        <w:spacing w:after="0"/>
        <w:rPr>
          <w:sz w:val="20"/>
          <w:szCs w:val="20"/>
          <w:color w:val="auto"/>
        </w:rPr>
      </w:pPr>
      <w:r>
        <w:rPr>
          <w:rFonts w:ascii="Arial" w:cs="Arial" w:eastAsia="Arial" w:hAnsi="Arial"/>
          <w:sz w:val="20"/>
          <w:szCs w:val="20"/>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C-2</w:t>
      </w:r>
    </w:p>
    <w:p>
      <w:pPr>
        <w:sectPr>
          <w:pgSz w:w="11900" w:h="16838" w:orient="portrait"/>
          <w:cols w:equalWidth="0" w:num="1">
            <w:col w:w="11420"/>
          </w:cols>
          <w:pgMar w:left="240" w:top="116"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0"/>
          <w:szCs w:val="20"/>
          <w:b w:val="1"/>
          <w:bCs w:val="1"/>
          <w:color w:val="auto"/>
        </w:rPr>
        <w:t>ARBEJDSGIVERERKLÆRING – DANMARK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Tildeling af “Restricted Stock Units” den {</w:t>
      </w:r>
      <w:r>
        <w:rPr>
          <w:rFonts w:ascii="Arial" w:cs="Arial" w:eastAsia="Arial" w:hAnsi="Arial"/>
          <w:sz w:val="20"/>
          <w:szCs w:val="20"/>
          <w:b w:val="1"/>
          <w:bCs w:val="1"/>
          <w:i w:val="1"/>
          <w:iCs w:val="1"/>
          <w:color w:val="auto"/>
        </w:rPr>
        <w:t>GRANTDATE</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37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Arial" w:cs="Arial" w:eastAsia="Arial" w:hAnsi="Arial"/>
          <w:sz w:val="19"/>
          <w:szCs w:val="19"/>
          <w:i w:val="1"/>
          <w:iCs w:val="1"/>
          <w:color w:val="auto"/>
        </w:rPr>
        <w:t>Global Restricted Stock Unit Agreement</w:t>
      </w:r>
      <w:r>
        <w:rPr>
          <w:rFonts w:ascii="Arial" w:cs="Arial" w:eastAsia="Arial" w:hAnsi="Arial"/>
          <w:sz w:val="19"/>
          <w:szCs w:val="19"/>
          <w:color w:val="auto"/>
        </w:rPr>
        <w:t xml:space="preserve"> (“Aftalen”), i tillægget til Aftalen og i Ordningen.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Tildelingsdato</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Selskabets godkendte den {</w:t>
      </w:r>
      <w:r>
        <w:rPr>
          <w:rFonts w:ascii="Arial" w:cs="Arial" w:eastAsia="Arial" w:hAnsi="Arial"/>
          <w:sz w:val="20"/>
          <w:szCs w:val="20"/>
          <w:i w:val="1"/>
          <w:iCs w:val="1"/>
          <w:color w:val="auto"/>
        </w:rPr>
        <w:t>Grant Date</w:t>
      </w:r>
      <w:r>
        <w:rPr>
          <w:rFonts w:ascii="Arial" w:cs="Arial" w:eastAsia="Arial" w:hAnsi="Arial"/>
          <w:sz w:val="20"/>
          <w:szCs w:val="20"/>
          <w:color w:val="auto"/>
        </w:rPr>
        <w:t>} tildelingen af RSU’er i henhold til Ordningen. Tildelingsdatoen for dine RSU’er er således den {</w:t>
      </w:r>
      <w:r>
        <w:rPr>
          <w:rFonts w:ascii="Arial" w:cs="Arial" w:eastAsia="Arial" w:hAnsi="Arial"/>
          <w:sz w:val="20"/>
          <w:szCs w:val="20"/>
          <w:i w:val="1"/>
          <w:iCs w:val="1"/>
          <w:color w:val="auto"/>
        </w:rPr>
        <w:t>Grant</w:t>
      </w:r>
      <w:r>
        <w:rPr>
          <w:rFonts w:ascii="Arial" w:cs="Arial" w:eastAsia="Arial" w:hAnsi="Arial"/>
          <w:sz w:val="20"/>
          <w:szCs w:val="20"/>
          <w:color w:val="auto"/>
        </w:rPr>
        <w:t xml:space="preserve"> </w:t>
      </w:r>
      <w:r>
        <w:rPr>
          <w:rFonts w:ascii="Arial" w:cs="Arial" w:eastAsia="Arial" w:hAnsi="Arial"/>
          <w:sz w:val="20"/>
          <w:szCs w:val="20"/>
          <w:i w:val="1"/>
          <w:iCs w:val="1"/>
          <w:color w:val="auto"/>
        </w:rPr>
        <w:t>Date</w:t>
      </w:r>
      <w:r>
        <w:rPr>
          <w:rFonts w:ascii="Arial" w:cs="Arial" w:eastAsia="Arial" w:hAnsi="Arial"/>
          <w:sz w:val="20"/>
          <w:szCs w:val="20"/>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Vilkår og betingelser for RSU-tildelingen</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Modningsdato for RSU’er</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Når RSU’erne modnes, udsteder Selskabet én ordinær aktie i Selskabet til dig for hver RSU, der er modnet.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Udnyttelseskurs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Da hver RSU giver dig ret til at modtage én ordinær aktie i Selskabet på modningsdatoen, uden at du vil skulle betale nogen omkostninger eller andre beløb, er der ingen udnyttelseskurs forbundet med RSU’erne.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Din retsstilling i forbindelse med fratræden</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Økonomiske aspekter ved at deltage i Ordningen</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Tildelingen af RSU’er har ingen umiddelbare økonomiske konsekvenser for dig.Værdien af RSU’erne indgår ikke i beregningen af feriepenge, pensionsbidrag eller andre lovpligtige, vederlagsafhængige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C-3</w:t>
      </w:r>
    </w:p>
    <w:p>
      <w:pPr>
        <w:sectPr>
          <w:pgSz w:w="11900" w:h="16838" w:orient="portrait"/>
          <w:cols w:equalWidth="0" w:num="1">
            <w:col w:w="11420"/>
          </w:cols>
          <w:pgMar w:left="240" w:top="360"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0"/>
          <w:szCs w:val="20"/>
          <w:b w:val="1"/>
          <w:bCs w:val="1"/>
          <w:color w:val="auto"/>
        </w:rPr>
        <w:t>ARBEJDSGIVERERKLÆRING – DANMARK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Tildeling af “Restricted Stock Units” den {</w:t>
      </w:r>
      <w:r>
        <w:rPr>
          <w:rFonts w:ascii="Arial" w:cs="Arial" w:eastAsia="Arial" w:hAnsi="Arial"/>
          <w:sz w:val="20"/>
          <w:szCs w:val="20"/>
          <w:b w:val="1"/>
          <w:bCs w:val="1"/>
          <w:i w:val="1"/>
          <w:iCs w:val="1"/>
          <w:color w:val="auto"/>
        </w:rPr>
        <w:t>GRANTDATE</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3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ydelser. Den skattemæssige behandling af RSU’erne afhænger af flere forhold, og du opfordres derfor til at søge særskilt rådgivning vedrørende din skattemæssige situation.</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Diverse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Denne Erklæring har ikke til formål at ændre bestemmelserne i Ordningen eller Aftalen (eller i et dertil tilhørende dokument), og Ordningen og</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Aftalen (og eventuelle dertil tilhørende dokumenter) har forrang i tilfælde af flertydighed. Dine lovfæstede rettigheder i henhold til</w:t>
      </w:r>
    </w:p>
    <w:p>
      <w:pPr>
        <w:spacing w:after="0"/>
        <w:rPr>
          <w:sz w:val="20"/>
          <w:szCs w:val="20"/>
          <w:color w:val="auto"/>
        </w:rPr>
      </w:pPr>
      <w:r>
        <w:rPr>
          <w:rFonts w:ascii="Arial" w:cs="Arial" w:eastAsia="Arial" w:hAnsi="Arial"/>
          <w:sz w:val="20"/>
          <w:szCs w:val="20"/>
          <w:color w:val="auto"/>
        </w:rPr>
        <w:t>Aktieoptionsloven har dog forrang i tilfælde af flertydighed.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Meddelelse afgivet af:</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Analog Devices, Inc.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Three Technology Way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Norwood, MA 02062</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C-4</w:t>
      </w:r>
    </w:p>
    <w:p>
      <w:pPr>
        <w:sectPr>
          <w:pgSz w:w="11900" w:h="16838" w:orient="portrait"/>
          <w:cols w:equalWidth="0" w:num="1">
            <w:col w:w="11420"/>
          </w:cols>
          <w:pgMar w:left="240" w:top="360"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0"/>
          <w:szCs w:val="20"/>
          <w:b w:val="1"/>
          <w:bCs w:val="1"/>
          <w:u w:val="single" w:color="auto"/>
          <w:color w:val="auto"/>
        </w:rPr>
        <w:t>APPENDIX 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ISRAELI APPENDIX</w:t>
      </w:r>
    </w:p>
    <w:p>
      <w:pPr>
        <w:spacing w:after="0" w:line="200" w:lineRule="exact"/>
        <w:rPr>
          <w:sz w:val="20"/>
          <w:szCs w:val="20"/>
          <w:color w:val="auto"/>
        </w:rPr>
      </w:pPr>
    </w:p>
    <w:p>
      <w:pPr>
        <w:spacing w:after="0" w:line="36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u w:val="single" w:color="auto"/>
          <w:color w:val="auto"/>
        </w:rPr>
        <w:t>Trust Arrangement</w:t>
      </w:r>
      <w:r>
        <w:rPr>
          <w:rFonts w:ascii="Arial" w:cs="Arial" w:eastAsia="Arial" w:hAnsi="Arial"/>
          <w:sz w:val="18"/>
          <w:szCs w:val="18"/>
          <w:b w:val="1"/>
          <w:bCs w:val="1"/>
          <w:color w:val="auto"/>
        </w:rPr>
        <w:t>. If the Participant resides in Israel and has not already signed an Israeli Appendix in connection with grants made under the Analog Devices, Inc. 2020 Stock Incentive Plan (the “Plan”), then the Participant must print, sign &amp; deliver the signed copy of this Israeli Appendix within 45 days to: Stock Plan Administrator, Analog Devices, Inc., Norwood, Massachusetts, 02062 USA.</w:t>
      </w:r>
    </w:p>
    <w:p>
      <w:pPr>
        <w:spacing w:after="0" w:line="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Participant hereby understands and agrees that the RSUs are offered subject to and in accordance with the terms of the Israeli Sub-Plan (the “Israeli Sub-Plan”) to the Plan under the 102 Capital Gains Track (as defined in the Israeli Sub-Plan), the Trust Agreement between the trustee appointed by Analog Devices, (Israel) Ltd. (the “Trustee”), Global Restricted Stock Unit Agreement, including Appendix A thereto (collectively, the “Restricted Stock Unit Agreement”), and the Plan. In the event of any inconsistencies among the Israeli Sub-Plan, the Restricted Stock Unit Agreement, and/or the Plan, the Participant agrees that the Israeli Sub-Plan will govern the RSUs granted to the Participant in Israel.</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sign this Israeli Appendix and return it to the address shown on the top within 45 days of receipt. If Analog Devices, (Israel) Ltd.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 Analog Devices, Inc. does not receive your signed Israel Appendix, your RSUs shall terminate and will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1078230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20"/>
          <w:szCs w:val="20"/>
          <w:color w:val="auto"/>
        </w:rPr>
        <w:t>Name: {</w:t>
      </w:r>
      <w:r>
        <w:rPr>
          <w:rFonts w:ascii="Arial" w:cs="Arial" w:eastAsia="Arial" w:hAnsi="Arial"/>
          <w:sz w:val="20"/>
          <w:szCs w:val="20"/>
          <w:i w:val="1"/>
          <w:iCs w:val="1"/>
          <w:color w:val="auto"/>
        </w:rPr>
        <w:t>Participant Name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D-1</w:t>
      </w:r>
    </w:p>
    <w:p>
      <w:pPr>
        <w:sectPr>
          <w:pgSz w:w="11900" w:h="16838" w:orient="portrait"/>
          <w:cols w:equalWidth="0" w:num="1">
            <w:col w:w="11420"/>
          </w:cols>
          <w:pgMar w:left="240" w:top="1413" w:right="23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20"/>
          <w:szCs w:val="20"/>
          <w:b w:val="1"/>
          <w:bCs w:val="1"/>
          <w:color w:val="auto"/>
        </w:rPr>
        <w:t>APPENDIX 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ANALOG DEVICES, INC.</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Onscreen disclaimer</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are liable for National Insurance contributions (“NICs”) in the United Kingdom in connection with your restricted stock units (“Awards”), you are required to enter into an Election to transfer to you any liability for employer’s NICs that may arise in connection with your awards.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Clicking on the “ACCEPT” box indicates your acceptance of the Election. You should read the “Important Note on the Election to Transfer Employer NICs” before accepting the Election.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Note on the Election to Transfer Employer NICs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are liable for National Insurance contributions (“NICs”) in the United Kingdom in connection with Awards that have been granted or assumed and converted under the Analog Devices, Inc. 2020 Equity Incentive Plan (the “Plan”), you are required to enter into an Election to transfer to you any liability for employer’s NICs that may arise in connection with your Awards.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By entering into the Election:</w:t>
      </w:r>
    </w:p>
    <w:p>
      <w:pPr>
        <w:spacing w:after="0" w:line="162" w:lineRule="exact"/>
        <w:rPr>
          <w:sz w:val="20"/>
          <w:szCs w:val="20"/>
          <w:color w:val="auto"/>
        </w:rPr>
      </w:pPr>
    </w:p>
    <w:p>
      <w:pPr>
        <w:ind w:left="640" w:hanging="308"/>
        <w:spacing w:after="0"/>
        <w:tabs>
          <w:tab w:leader="none" w:pos="64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you agree that any employer’s NICs liability that may arise in connection with your Awards will be transferred to you;</w:t>
      </w:r>
    </w:p>
    <w:p>
      <w:pPr>
        <w:spacing w:after="0" w:line="161" w:lineRule="exact"/>
        <w:rPr>
          <w:rFonts w:ascii="Arial" w:cs="Arial" w:eastAsia="Arial" w:hAnsi="Arial"/>
          <w:sz w:val="20"/>
          <w:szCs w:val="20"/>
          <w:color w:val="auto"/>
        </w:rPr>
      </w:pPr>
    </w:p>
    <w:p>
      <w:pPr>
        <w:ind w:left="660" w:hanging="328"/>
        <w:spacing w:after="0" w:line="287" w:lineRule="auto"/>
        <w:tabs>
          <w:tab w:leader="none" w:pos="64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you authorize your employer to recover an amount sufficient to cover this liability by such methods including, but not limited to, deductions from your salary or other payments due or the sale of sufficient shares acquired pursuant to your Awards; and</w:t>
      </w:r>
    </w:p>
    <w:p>
      <w:pPr>
        <w:spacing w:after="0" w:line="98" w:lineRule="exact"/>
        <w:rPr>
          <w:rFonts w:ascii="Arial" w:cs="Arial" w:eastAsia="Arial" w:hAnsi="Arial"/>
          <w:sz w:val="19"/>
          <w:szCs w:val="19"/>
          <w:color w:val="auto"/>
        </w:rPr>
      </w:pPr>
    </w:p>
    <w:p>
      <w:pPr>
        <w:jc w:val="both"/>
        <w:ind w:left="660" w:hanging="328"/>
        <w:spacing w:after="0" w:line="250" w:lineRule="auto"/>
        <w:tabs>
          <w:tab w:leader="none" w:pos="64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Please read the Election carefully before accepting the Election.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Appendix E-1</w:t>
      </w:r>
    </w:p>
    <w:p>
      <w:pPr>
        <w:sectPr>
          <w:pgSz w:w="11900" w:h="16838" w:orient="portrait"/>
          <w:cols w:equalWidth="0" w:num="1">
            <w:col w:w="11420"/>
          </w:cols>
          <w:pgMar w:left="240" w:top="116"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20"/>
          <w:szCs w:val="20"/>
          <w:b w:val="1"/>
          <w:bCs w:val="1"/>
          <w:color w:val="auto"/>
        </w:rPr>
        <w:t>APPENDIX 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ANALOG DEVICES,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This Election is between:</w:t>
      </w:r>
    </w:p>
    <w:p>
      <w:pPr>
        <w:spacing w:after="0" w:line="156" w:lineRule="exact"/>
        <w:rPr>
          <w:sz w:val="20"/>
          <w:szCs w:val="20"/>
          <w:color w:val="auto"/>
        </w:rPr>
      </w:pPr>
    </w:p>
    <w:p>
      <w:pPr>
        <w:jc w:val="both"/>
        <w:ind w:left="660" w:hanging="652"/>
        <w:spacing w:after="0" w:line="253" w:lineRule="auto"/>
        <w:tabs>
          <w:tab w:leader="none" w:pos="65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individual who has obtained authorized access to this Election (the “</w:t>
      </w:r>
      <w:r>
        <w:rPr>
          <w:rFonts w:ascii="Arial" w:cs="Arial" w:eastAsia="Arial" w:hAnsi="Arial"/>
          <w:sz w:val="20"/>
          <w:szCs w:val="20"/>
          <w:b w:val="1"/>
          <w:bCs w:val="1"/>
          <w:color w:val="auto"/>
        </w:rPr>
        <w:t>Employee</w:t>
      </w:r>
      <w:r>
        <w:rPr>
          <w:rFonts w:ascii="Arial" w:cs="Arial" w:eastAsia="Arial" w:hAnsi="Arial"/>
          <w:sz w:val="20"/>
          <w:szCs w:val="20"/>
          <w:color w:val="auto"/>
        </w:rPr>
        <w:t>”), who is employed by one of the employing companies listed in the attached schedule (the “</w:t>
      </w:r>
      <w:r>
        <w:rPr>
          <w:rFonts w:ascii="Arial" w:cs="Arial" w:eastAsia="Arial" w:hAnsi="Arial"/>
          <w:sz w:val="20"/>
          <w:szCs w:val="20"/>
          <w:b w:val="1"/>
          <w:bCs w:val="1"/>
          <w:color w:val="auto"/>
        </w:rPr>
        <w:t>Employer</w:t>
      </w:r>
      <w:r>
        <w:rPr>
          <w:rFonts w:ascii="Arial" w:cs="Arial" w:eastAsia="Arial" w:hAnsi="Arial"/>
          <w:sz w:val="20"/>
          <w:szCs w:val="20"/>
          <w:color w:val="auto"/>
        </w:rPr>
        <w:t>”) and who is eligible to receive restricted stock units (“</w:t>
      </w:r>
      <w:r>
        <w:rPr>
          <w:rFonts w:ascii="Arial" w:cs="Arial" w:eastAsia="Arial" w:hAnsi="Arial"/>
          <w:sz w:val="20"/>
          <w:szCs w:val="20"/>
          <w:b w:val="1"/>
          <w:bCs w:val="1"/>
          <w:color w:val="auto"/>
        </w:rPr>
        <w:t>Awards</w:t>
      </w:r>
      <w:r>
        <w:rPr>
          <w:rFonts w:ascii="Arial" w:cs="Arial" w:eastAsia="Arial" w:hAnsi="Arial"/>
          <w:sz w:val="20"/>
          <w:szCs w:val="20"/>
          <w:color w:val="auto"/>
        </w:rPr>
        <w:t>”) pursuant to the Analog Devices, Inc. 2020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 and</w:t>
      </w:r>
    </w:p>
    <w:p>
      <w:pPr>
        <w:spacing w:after="0" w:line="123" w:lineRule="exact"/>
        <w:rPr>
          <w:rFonts w:ascii="Arial" w:cs="Arial" w:eastAsia="Arial" w:hAnsi="Arial"/>
          <w:sz w:val="20"/>
          <w:szCs w:val="20"/>
          <w:color w:val="auto"/>
        </w:rPr>
      </w:pPr>
    </w:p>
    <w:p>
      <w:pPr>
        <w:ind w:left="660" w:hanging="652"/>
        <w:spacing w:after="0" w:line="267" w:lineRule="auto"/>
        <w:tabs>
          <w:tab w:leader="none" w:pos="65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Analog Devices, Inc. of One Technology Way, Norwood, Massachusetts 02062, U.S.A. (the “</w:t>
      </w:r>
      <w:r>
        <w:rPr>
          <w:rFonts w:ascii="Arial" w:cs="Arial" w:eastAsia="Arial" w:hAnsi="Arial"/>
          <w:sz w:val="20"/>
          <w:szCs w:val="20"/>
          <w:b w:val="1"/>
          <w:bCs w:val="1"/>
          <w:color w:val="auto"/>
        </w:rPr>
        <w:t>Company</w:t>
      </w:r>
      <w:r>
        <w:rPr>
          <w:rFonts w:ascii="Arial" w:cs="Arial" w:eastAsia="Arial" w:hAnsi="Arial"/>
          <w:sz w:val="20"/>
          <w:szCs w:val="20"/>
          <w:color w:val="auto"/>
        </w:rPr>
        <w:t>”), which may grant Awards under the Plans and is entering into this Election on behalf of the Employer.</w:t>
      </w:r>
    </w:p>
    <w:p>
      <w:pPr>
        <w:spacing w:after="0" w:line="110"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20"/>
          <w:szCs w:val="20"/>
          <w:color w:val="auto"/>
        </w:rPr>
      </w:pPr>
      <w:r>
        <w:rPr>
          <w:rFonts w:ascii="Arial" w:cs="Arial" w:eastAsia="Arial" w:hAnsi="Arial"/>
          <w:sz w:val="20"/>
          <w:szCs w:val="20"/>
          <w:b w:val="1"/>
          <w:bCs w:val="1"/>
          <w:color w:val="auto"/>
        </w:rPr>
        <w:t>Introduction</w:t>
      </w:r>
    </w:p>
    <w:p>
      <w:pPr>
        <w:spacing w:after="0" w:line="168" w:lineRule="exact"/>
        <w:rPr>
          <w:sz w:val="20"/>
          <w:szCs w:val="20"/>
          <w:color w:val="auto"/>
        </w:rPr>
      </w:pPr>
    </w:p>
    <w:p>
      <w:pPr>
        <w:ind w:left="660" w:hanging="647"/>
        <w:spacing w:after="0" w:line="260" w:lineRule="auto"/>
        <w:rPr>
          <w:sz w:val="20"/>
          <w:szCs w:val="20"/>
          <w:color w:val="auto"/>
        </w:rPr>
      </w:pPr>
      <w:r>
        <w:rPr>
          <w:rFonts w:ascii="Arial" w:cs="Arial" w:eastAsia="Arial" w:hAnsi="Arial"/>
          <w:sz w:val="20"/>
          <w:szCs w:val="20"/>
          <w:color w:val="auto"/>
        </w:rPr>
        <w:t>1.1 This Election relates to all Awards granted to the Employee or assumed and converted under the Plan up to the termination dates of the Plans.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1.2 In this Election the following words and phrases have the following meanings:</w:t>
      </w:r>
    </w:p>
    <w:p>
      <w:pPr>
        <w:spacing w:after="0" w:line="156"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Chargeable Event</w:t>
      </w:r>
      <w:r>
        <w:rPr>
          <w:rFonts w:ascii="Arial" w:cs="Arial" w:eastAsia="Arial" w:hAnsi="Arial"/>
          <w:sz w:val="20"/>
          <w:szCs w:val="20"/>
          <w:color w:val="auto"/>
        </w:rPr>
        <w:t>” means, in relation to the Awards:</w:t>
      </w:r>
    </w:p>
    <w:p>
      <w:pPr>
        <w:spacing w:after="0" w:line="167" w:lineRule="exact"/>
        <w:rPr>
          <w:rFonts w:ascii="Arial" w:cs="Arial" w:eastAsia="Arial" w:hAnsi="Arial"/>
          <w:sz w:val="20"/>
          <w:szCs w:val="20"/>
          <w:color w:val="auto"/>
        </w:rPr>
      </w:pPr>
    </w:p>
    <w:p>
      <w:pPr>
        <w:ind w:left="1620" w:hanging="315"/>
        <w:spacing w:after="0" w:line="260" w:lineRule="auto"/>
        <w:tabs>
          <w:tab w:leader="none" w:pos="1636"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acquisition of securities pursuant to restricted stock units and/or stock purchase rights (within section 477(3)(a) of ITEPA);</w:t>
      </w:r>
    </w:p>
    <w:p>
      <w:pPr>
        <w:spacing w:after="0" w:line="122" w:lineRule="exact"/>
        <w:rPr>
          <w:rFonts w:ascii="Arial" w:cs="Arial" w:eastAsia="Arial" w:hAnsi="Arial"/>
          <w:sz w:val="20"/>
          <w:szCs w:val="20"/>
          <w:color w:val="auto"/>
        </w:rPr>
      </w:pPr>
    </w:p>
    <w:p>
      <w:pPr>
        <w:ind w:left="1620" w:hanging="315"/>
        <w:spacing w:after="0" w:line="260" w:lineRule="auto"/>
        <w:tabs>
          <w:tab w:leader="none" w:pos="1609"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assignment (if applicable) or release of the restricted stock units in return for consideration (within section 477(3)(b) of ITEPA);</w:t>
      </w:r>
    </w:p>
    <w:p>
      <w:pPr>
        <w:spacing w:after="0" w:line="122" w:lineRule="exact"/>
        <w:rPr>
          <w:rFonts w:ascii="Arial" w:cs="Arial" w:eastAsia="Arial" w:hAnsi="Arial"/>
          <w:sz w:val="20"/>
          <w:szCs w:val="20"/>
          <w:color w:val="auto"/>
        </w:rPr>
      </w:pPr>
    </w:p>
    <w:p>
      <w:pPr>
        <w:ind w:left="1620" w:hanging="315"/>
        <w:spacing w:after="0" w:line="260" w:lineRule="auto"/>
        <w:tabs>
          <w:tab w:leader="none" w:pos="1623"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receipt of a benefit in connection with the restricted stock units, other than a benefit within (i) or (ii) above (within section 477(3)(c) of ITEPA);</w:t>
      </w:r>
    </w:p>
    <w:p>
      <w:pPr>
        <w:spacing w:after="0" w:line="122" w:lineRule="exact"/>
        <w:rPr>
          <w:rFonts w:ascii="Arial" w:cs="Arial" w:eastAsia="Arial" w:hAnsi="Arial"/>
          <w:sz w:val="20"/>
          <w:szCs w:val="20"/>
          <w:color w:val="auto"/>
        </w:rPr>
      </w:pPr>
    </w:p>
    <w:p>
      <w:pPr>
        <w:ind w:left="1620" w:hanging="315"/>
        <w:spacing w:after="0" w:line="260" w:lineRule="auto"/>
        <w:tabs>
          <w:tab w:leader="none" w:pos="1609" w:val="left"/>
        </w:tabs>
        <w:numPr>
          <w:ilvl w:val="1"/>
          <w:numId w:val="114"/>
        </w:numPr>
        <w:rPr>
          <w:rFonts w:ascii="Arial" w:cs="Arial" w:eastAsia="Arial" w:hAnsi="Arial"/>
          <w:sz w:val="20"/>
          <w:szCs w:val="20"/>
          <w:color w:val="auto"/>
        </w:rPr>
      </w:pPr>
      <w:r>
        <w:rPr>
          <w:rFonts w:ascii="Arial" w:cs="Arial" w:eastAsia="Arial" w:hAnsi="Arial"/>
          <w:sz w:val="20"/>
          <w:szCs w:val="20"/>
          <w:color w:val="auto"/>
        </w:rPr>
        <w:t>post-acquisition charges relating to the shares acquired pursuant to the restricted stock units (within section 427 of ITEPA); and/or</w:t>
      </w:r>
    </w:p>
    <w:p>
      <w:pPr>
        <w:spacing w:after="0" w:line="122" w:lineRule="exact"/>
        <w:rPr>
          <w:rFonts w:ascii="Arial" w:cs="Arial" w:eastAsia="Arial" w:hAnsi="Arial"/>
          <w:sz w:val="20"/>
          <w:szCs w:val="20"/>
          <w:color w:val="auto"/>
        </w:rPr>
      </w:pPr>
    </w:p>
    <w:p>
      <w:pPr>
        <w:ind w:left="1620" w:hanging="315"/>
        <w:spacing w:after="0"/>
        <w:tabs>
          <w:tab w:leader="none" w:pos="16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post-acquisition charges relating to the shares acquired pursuant to the restricted stock units (within section 439 of ITEPA).</w:t>
      </w:r>
    </w:p>
    <w:p>
      <w:pPr>
        <w:spacing w:after="0" w:line="179"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ITEPA</w:t>
      </w:r>
      <w:r>
        <w:rPr>
          <w:rFonts w:ascii="Arial" w:cs="Arial" w:eastAsia="Arial" w:hAnsi="Arial"/>
          <w:sz w:val="20"/>
          <w:szCs w:val="20"/>
          <w:color w:val="auto"/>
        </w:rPr>
        <w:t>” means the Income Tax (Earnings and Pensions) Act 2003.</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SSCBA</w:t>
      </w:r>
      <w:r>
        <w:rPr>
          <w:rFonts w:ascii="Arial" w:cs="Arial" w:eastAsia="Arial" w:hAnsi="Arial"/>
          <w:sz w:val="20"/>
          <w:szCs w:val="20"/>
          <w:color w:val="auto"/>
        </w:rPr>
        <w:t>” means the Social Security Contributions and Benefits Act 1992.</w:t>
      </w:r>
    </w:p>
    <w:p>
      <w:pPr>
        <w:spacing w:after="0" w:line="168"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0"/>
          <w:szCs w:val="20"/>
          <w:color w:val="auto"/>
        </w:rPr>
        <w:t>1.3 This Election relates to the employer’s secondary Class 1 National Insurance Contributions (the “Employer’s Liability”) which may arise on the occurrence of a Chargeable Event in respect of the Awards pursuant to section 4(4)(a) and/or paragraph 3B(1A) of Schedule 1 of the SSCBA.</w:t>
      </w:r>
    </w:p>
    <w:p>
      <w:pPr>
        <w:spacing w:after="0" w:line="200" w:lineRule="exact"/>
        <w:rPr>
          <w:sz w:val="20"/>
          <w:szCs w:val="20"/>
          <w:color w:val="auto"/>
        </w:rPr>
      </w:pPr>
    </w:p>
    <w:p>
      <w:pPr>
        <w:spacing w:after="0" w:line="337"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0"/>
          <w:szCs w:val="20"/>
          <w:color w:val="auto"/>
        </w:rPr>
        <w:t>1.4 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E-2</w:t>
      </w:r>
    </w:p>
    <w:p>
      <w:pPr>
        <w:sectPr>
          <w:pgSz w:w="11900" w:h="16838" w:orient="portrait"/>
          <w:cols w:equalWidth="0" w:num="1">
            <w:col w:w="11420"/>
          </w:cols>
          <w:pgMar w:left="240" w:top="118"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20"/>
          <w:szCs w:val="20"/>
          <w:b w:val="1"/>
          <w:bCs w:val="1"/>
          <w:color w:val="auto"/>
        </w:rPr>
        <w:t>APPENDIX 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ANALOG DEVICES,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346" w:lineRule="exact"/>
        <w:rPr>
          <w:sz w:val="20"/>
          <w:szCs w:val="20"/>
          <w:color w:val="auto"/>
        </w:rPr>
      </w:pPr>
    </w:p>
    <w:p>
      <w:pPr>
        <w:ind w:left="660" w:hanging="647"/>
        <w:spacing w:after="0" w:line="287" w:lineRule="auto"/>
        <w:rPr>
          <w:sz w:val="20"/>
          <w:szCs w:val="20"/>
          <w:color w:val="auto"/>
        </w:rPr>
      </w:pPr>
      <w:r>
        <w:rPr>
          <w:rFonts w:ascii="Arial" w:cs="Arial" w:eastAsia="Arial" w:hAnsi="Arial"/>
          <w:sz w:val="19"/>
          <w:szCs w:val="19"/>
          <w:color w:val="auto"/>
        </w:rPr>
        <w:t>1.5 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93"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0"/>
          <w:szCs w:val="20"/>
          <w:color w:val="auto"/>
        </w:rPr>
      </w:pPr>
      <w:r>
        <w:rPr>
          <w:rFonts w:ascii="Arial" w:cs="Arial" w:eastAsia="Arial" w:hAnsi="Arial"/>
          <w:sz w:val="20"/>
          <w:szCs w:val="20"/>
          <w:b w:val="1"/>
          <w:bCs w:val="1"/>
          <w:color w:val="auto"/>
        </w:rPr>
        <w:t>The Election</w:t>
      </w:r>
    </w:p>
    <w:p>
      <w:pPr>
        <w:spacing w:after="0" w:line="167" w:lineRule="exact"/>
        <w:rPr>
          <w:rFonts w:ascii="Arial" w:cs="Arial" w:eastAsia="Arial" w:hAnsi="Arial"/>
          <w:sz w:val="20"/>
          <w:szCs w:val="20"/>
          <w:color w:val="auto"/>
        </w:rPr>
      </w:pPr>
    </w:p>
    <w:p>
      <w:pPr>
        <w:jc w:val="both"/>
        <w:ind w:left="660"/>
        <w:spacing w:after="0" w:line="246" w:lineRule="auto"/>
        <w:rPr>
          <w:rFonts w:ascii="Arial" w:cs="Arial" w:eastAsia="Arial" w:hAnsi="Arial"/>
          <w:sz w:val="20"/>
          <w:szCs w:val="20"/>
          <w:color w:val="auto"/>
        </w:rPr>
      </w:pPr>
      <w:r>
        <w:rPr>
          <w:rFonts w:ascii="Arial" w:cs="Arial" w:eastAsia="Arial" w:hAnsi="Arial"/>
          <w:sz w:val="20"/>
          <w:szCs w:val="20"/>
          <w:color w:val="auto"/>
        </w:rPr>
        <w:t>The Employee and the Company jointly elect that the entire liability of the Employer to pay the Employer’s Liability on the Chargeable Event is hereby transferred to the Employee. The Employee understands that, by signing or electronically accepting this Election, he or she will become personally liable for the Employer’s Liability covered by this Election. This Election is made in accordance with paragraph 3B(1) of Schedule 1 of the SSCBA.</w:t>
      </w:r>
    </w:p>
    <w:p>
      <w:pPr>
        <w:spacing w:after="0" w:line="131" w:lineRule="exact"/>
        <w:rPr>
          <w:rFonts w:ascii="Arial" w:cs="Arial" w:eastAsia="Arial" w:hAnsi="Arial"/>
          <w:sz w:val="20"/>
          <w:szCs w:val="20"/>
          <w:color w:val="auto"/>
        </w:rPr>
      </w:pPr>
    </w:p>
    <w:p>
      <w:pPr>
        <w:ind w:left="660" w:hanging="652"/>
        <w:spacing w:after="0"/>
        <w:tabs>
          <w:tab w:leader="none" w:pos="660" w:val="left"/>
        </w:tabs>
        <w:numPr>
          <w:ilvl w:val="0"/>
          <w:numId w:val="116"/>
        </w:numPr>
        <w:rPr>
          <w:rFonts w:ascii="Arial" w:cs="Arial" w:eastAsia="Arial" w:hAnsi="Arial"/>
          <w:sz w:val="20"/>
          <w:szCs w:val="20"/>
          <w:color w:val="auto"/>
        </w:rPr>
      </w:pPr>
      <w:r>
        <w:rPr>
          <w:rFonts w:ascii="Arial" w:cs="Arial" w:eastAsia="Arial" w:hAnsi="Arial"/>
          <w:sz w:val="20"/>
          <w:szCs w:val="20"/>
          <w:b w:val="1"/>
          <w:bCs w:val="1"/>
          <w:color w:val="auto"/>
        </w:rPr>
        <w:t>Payment of the Employer’s Liability</w:t>
      </w:r>
    </w:p>
    <w:p>
      <w:pPr>
        <w:spacing w:after="0" w:line="168" w:lineRule="exact"/>
        <w:rPr>
          <w:sz w:val="20"/>
          <w:szCs w:val="20"/>
          <w:color w:val="auto"/>
        </w:rPr>
      </w:pPr>
    </w:p>
    <w:p>
      <w:pPr>
        <w:ind w:left="660" w:hanging="647"/>
        <w:spacing w:after="0" w:line="260" w:lineRule="auto"/>
        <w:rPr>
          <w:sz w:val="20"/>
          <w:szCs w:val="20"/>
          <w:color w:val="auto"/>
        </w:rPr>
      </w:pPr>
      <w:r>
        <w:rPr>
          <w:rFonts w:ascii="Arial" w:cs="Arial" w:eastAsia="Arial" w:hAnsi="Arial"/>
          <w:sz w:val="20"/>
          <w:szCs w:val="20"/>
          <w:color w:val="auto"/>
        </w:rPr>
        <w:t>3.1 The Employee hereby authorizes the Company and/or the Employer to collect the Employer’s Liability from the Employee at any time after the Chargeable Event:</w:t>
      </w:r>
    </w:p>
    <w:p>
      <w:pPr>
        <w:spacing w:after="0" w:line="123" w:lineRule="exact"/>
        <w:rPr>
          <w:sz w:val="20"/>
          <w:szCs w:val="20"/>
          <w:color w:val="auto"/>
        </w:rPr>
      </w:pPr>
    </w:p>
    <w:p>
      <w:pPr>
        <w:ind w:left="1620" w:right="20" w:hanging="420"/>
        <w:spacing w:after="0" w:line="260" w:lineRule="auto"/>
        <w:tabs>
          <w:tab w:leader="none" w:pos="162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by deduction from salary or any other payment payable to the Employee at any time on or after the date of the Chargeable Event; and/or</w:t>
      </w:r>
    </w:p>
    <w:p>
      <w:pPr>
        <w:spacing w:after="0" w:line="122" w:lineRule="exact"/>
        <w:rPr>
          <w:rFonts w:ascii="Arial" w:cs="Arial" w:eastAsia="Arial" w:hAnsi="Arial"/>
          <w:sz w:val="20"/>
          <w:szCs w:val="20"/>
          <w:color w:val="auto"/>
        </w:rPr>
      </w:pPr>
    </w:p>
    <w:p>
      <w:pPr>
        <w:ind w:left="1620" w:hanging="475"/>
        <w:spacing w:after="0"/>
        <w:tabs>
          <w:tab w:leader="none" w:pos="162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directly from the Employee by payment in cash or cleared funds; and/or</w:t>
      </w:r>
    </w:p>
    <w:p>
      <w:pPr>
        <w:spacing w:after="0" w:line="161" w:lineRule="exact"/>
        <w:rPr>
          <w:rFonts w:ascii="Arial" w:cs="Arial" w:eastAsia="Arial" w:hAnsi="Arial"/>
          <w:sz w:val="20"/>
          <w:szCs w:val="20"/>
          <w:color w:val="auto"/>
        </w:rPr>
      </w:pPr>
    </w:p>
    <w:p>
      <w:pPr>
        <w:ind w:left="1620" w:hanging="530"/>
        <w:spacing w:after="0" w:line="260" w:lineRule="auto"/>
        <w:tabs>
          <w:tab w:leader="none" w:pos="162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by arranging, on behalf of the Employee, for the sale of some of the securities which the Employee is entitled to receive in respect of the Awards; and/or</w:t>
      </w:r>
    </w:p>
    <w:p>
      <w:pPr>
        <w:spacing w:after="0" w:line="122" w:lineRule="exact"/>
        <w:rPr>
          <w:rFonts w:ascii="Arial" w:cs="Arial" w:eastAsia="Arial" w:hAnsi="Arial"/>
          <w:sz w:val="20"/>
          <w:szCs w:val="20"/>
          <w:color w:val="auto"/>
        </w:rPr>
      </w:pPr>
    </w:p>
    <w:p>
      <w:pPr>
        <w:ind w:left="1620" w:hanging="519"/>
        <w:spacing w:after="0"/>
        <w:tabs>
          <w:tab w:leader="none" w:pos="162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by any other means specified in the applicable award agreement.</w:t>
      </w:r>
    </w:p>
    <w:p>
      <w:pPr>
        <w:spacing w:after="0" w:line="162" w:lineRule="exact"/>
        <w:rPr>
          <w:sz w:val="20"/>
          <w:szCs w:val="20"/>
          <w:color w:val="auto"/>
        </w:rPr>
      </w:pPr>
    </w:p>
    <w:p>
      <w:pPr>
        <w:jc w:val="both"/>
        <w:ind w:left="660" w:hanging="647"/>
        <w:spacing w:after="0" w:line="260" w:lineRule="auto"/>
        <w:rPr>
          <w:sz w:val="20"/>
          <w:szCs w:val="20"/>
          <w:color w:val="auto"/>
        </w:rPr>
      </w:pPr>
      <w:r>
        <w:rPr>
          <w:rFonts w:ascii="Arial" w:cs="Arial" w:eastAsia="Arial" w:hAnsi="Arial"/>
          <w:sz w:val="20"/>
          <w:szCs w:val="20"/>
          <w:color w:val="auto"/>
        </w:rPr>
        <w:t>3.2 The Company hereby reserves for itself and the Company the right to withhold the transfer of any securities related to the Awards to the Employee until full payment of the Employer’s Liability is received.</w:t>
      </w:r>
    </w:p>
    <w:p>
      <w:pPr>
        <w:spacing w:after="0" w:line="123"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0"/>
          <w:szCs w:val="20"/>
          <w:color w:val="auto"/>
        </w:rPr>
        <w:t>3.3 The Company agrees to remit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26"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20"/>
          <w:szCs w:val="20"/>
          <w:color w:val="auto"/>
        </w:rPr>
      </w:pPr>
      <w:r>
        <w:rPr>
          <w:rFonts w:ascii="Arial" w:cs="Arial" w:eastAsia="Arial" w:hAnsi="Arial"/>
          <w:sz w:val="20"/>
          <w:szCs w:val="20"/>
          <w:b w:val="1"/>
          <w:bCs w:val="1"/>
          <w:color w:val="auto"/>
        </w:rPr>
        <w:t>Duration of Election</w:t>
      </w:r>
    </w:p>
    <w:p>
      <w:pPr>
        <w:spacing w:after="0" w:line="168" w:lineRule="exact"/>
        <w:rPr>
          <w:sz w:val="20"/>
          <w:szCs w:val="20"/>
          <w:color w:val="auto"/>
        </w:rPr>
      </w:pPr>
    </w:p>
    <w:p>
      <w:pPr>
        <w:ind w:left="660" w:hanging="647"/>
        <w:spacing w:after="0" w:line="260" w:lineRule="auto"/>
        <w:rPr>
          <w:sz w:val="20"/>
          <w:szCs w:val="20"/>
          <w:color w:val="auto"/>
        </w:rPr>
      </w:pPr>
      <w:r>
        <w:rPr>
          <w:rFonts w:ascii="Arial" w:cs="Arial" w:eastAsia="Arial" w:hAnsi="Arial"/>
          <w:sz w:val="20"/>
          <w:szCs w:val="20"/>
          <w:color w:val="auto"/>
        </w:rPr>
        <w:t>4.1 The Employee and the Company agree to be bound by the terms of this Election regardless of whether the Employee is transferred abroad or is not employed by the Employer on the date on which the Employer’s Liability becomes due.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4.2 This Election will continue in effect until the earliest of the following:</w:t>
      </w:r>
    </w:p>
    <w:p>
      <w:pPr>
        <w:spacing w:after="0" w:line="162" w:lineRule="exact"/>
        <w:rPr>
          <w:sz w:val="20"/>
          <w:szCs w:val="20"/>
          <w:color w:val="auto"/>
        </w:rPr>
      </w:pPr>
    </w:p>
    <w:p>
      <w:pPr>
        <w:ind w:left="1300" w:hanging="424"/>
        <w:spacing w:after="0"/>
        <w:tabs>
          <w:tab w:leader="none" w:pos="13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Employee and the Company agree in writing that it should cease to have effect;</w:t>
      </w:r>
    </w:p>
    <w:p>
      <w:pPr>
        <w:spacing w:after="0" w:line="161" w:lineRule="exact"/>
        <w:rPr>
          <w:rFonts w:ascii="Arial" w:cs="Arial" w:eastAsia="Arial" w:hAnsi="Arial"/>
          <w:sz w:val="20"/>
          <w:szCs w:val="20"/>
          <w:color w:val="auto"/>
        </w:rPr>
      </w:pPr>
    </w:p>
    <w:p>
      <w:pPr>
        <w:ind w:left="1300" w:hanging="479"/>
        <w:spacing w:after="0"/>
        <w:tabs>
          <w:tab w:leader="none" w:pos="13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on the date the Company serves written notice on the Employee terminating its effect;</w:t>
      </w:r>
    </w:p>
    <w:p>
      <w:pPr>
        <w:spacing w:after="0" w:line="161" w:lineRule="exact"/>
        <w:rPr>
          <w:rFonts w:ascii="Arial" w:cs="Arial" w:eastAsia="Arial" w:hAnsi="Arial"/>
          <w:sz w:val="20"/>
          <w:szCs w:val="20"/>
          <w:color w:val="auto"/>
        </w:rPr>
      </w:pPr>
    </w:p>
    <w:p>
      <w:pPr>
        <w:ind w:left="1300" w:hanging="534"/>
        <w:spacing w:after="0"/>
        <w:tabs>
          <w:tab w:leader="none" w:pos="13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on the date HM Revenue &amp; Customs withdraws approval of this Election;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E-3</w:t>
      </w:r>
    </w:p>
    <w:p>
      <w:pPr>
        <w:sectPr>
          <w:pgSz w:w="11900" w:h="16838" w:orient="portrait"/>
          <w:cols w:equalWidth="0" w:num="1">
            <w:col w:w="11420"/>
          </w:cols>
          <w:pgMar w:left="240" w:top="116" w:right="2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20"/>
          <w:szCs w:val="20"/>
          <w:b w:val="1"/>
          <w:bCs w:val="1"/>
          <w:color w:val="auto"/>
        </w:rPr>
        <w:t>APPENDIX 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ANALOG DEVICES, INC.</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346" w:lineRule="exact"/>
        <w:rPr>
          <w:sz w:val="20"/>
          <w:szCs w:val="20"/>
          <w:color w:val="auto"/>
        </w:rPr>
      </w:pPr>
    </w:p>
    <w:p>
      <w:pPr>
        <w:ind w:left="1300" w:hanging="523"/>
        <w:spacing w:after="0" w:line="260" w:lineRule="auto"/>
        <w:tabs>
          <w:tab w:leader="none" w:pos="128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after due payment of the Employer’s Liability in respect of the entirety of the Awards to which this Election relates or could relate, such that the Election ceases to have effect in accordance with its terms.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4.3 This Election will continue in force regardless of whether the Employee ceases to be an employee of the Employer.</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the Awards in circumstances where section 483 ITEPA applies.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Acceptance by the Employee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The Employee acknowledges that, by clicking on the “ACCEPT” box, the Employee agrees to be bound by the terms of this Election.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Acceptance by Analog Devices, Inc.</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Signature for and 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behalf of Analog Devices,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Kevin P. Lanouette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27305</wp:posOffset>
            </wp:positionV>
            <wp:extent cx="34220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4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Kevin P. Lanouette, Assistant General Counsel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Date: {</w:t>
      </w:r>
      <w:r>
        <w:rPr>
          <w:rFonts w:ascii="Arial" w:cs="Arial" w:eastAsia="Arial" w:hAnsi="Arial"/>
          <w:sz w:val="20"/>
          <w:szCs w:val="20"/>
          <w:i w:val="1"/>
          <w:iCs w:val="1"/>
          <w:color w:val="auto"/>
        </w:rPr>
        <w:t>Grant Date</w:t>
      </w:r>
      <w:r>
        <w:rPr>
          <w:rFonts w:ascii="Arial" w:cs="Arial" w:eastAsia="Arial" w:hAnsi="Arial"/>
          <w:sz w:val="20"/>
          <w:szCs w:val="20"/>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w:t>
      </w:r>
      <w:r>
        <w:rPr>
          <w:rFonts w:ascii="Arial" w:cs="Arial" w:eastAsia="Arial" w:hAnsi="Arial"/>
          <w:sz w:val="20"/>
          <w:szCs w:val="20"/>
          <w:i w:val="1"/>
          <w:iCs w:val="1"/>
          <w:color w:val="auto"/>
        </w:rPr>
        <w:t>Participant Name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Appendix E-4</w:t>
      </w:r>
    </w:p>
    <w:p>
      <w:pPr>
        <w:sectPr>
          <w:pgSz w:w="11900" w:h="16838" w:orient="portrait"/>
          <w:cols w:equalWidth="0" w:num="1">
            <w:col w:w="11420"/>
          </w:cols>
          <w:pgMar w:left="240" w:top="118" w:right="239" w:bottom="1440" w:gutter="0" w:footer="0" w:header="0"/>
        </w:sectPr>
      </w:pPr>
    </w:p>
    <w:bookmarkStart w:id="171" w:name="page172"/>
    <w:bookmarkEnd w:id="171"/>
    <w:p>
      <w:pPr>
        <w:jc w:val="center"/>
        <w:ind w:right="-719"/>
        <w:spacing w:after="0"/>
        <w:rPr>
          <w:sz w:val="20"/>
          <w:szCs w:val="20"/>
          <w:color w:val="auto"/>
        </w:rPr>
      </w:pPr>
      <w:r>
        <w:rPr>
          <w:rFonts w:ascii="Arial" w:cs="Arial" w:eastAsia="Arial" w:hAnsi="Arial"/>
          <w:sz w:val="20"/>
          <w:szCs w:val="20"/>
          <w:b w:val="1"/>
          <w:bCs w:val="1"/>
          <w:color w:val="auto"/>
        </w:rPr>
        <w:t>APPENDIX E</w:t>
      </w:r>
    </w:p>
    <w:p>
      <w:pPr>
        <w:spacing w:after="0" w:line="163" w:lineRule="exact"/>
        <w:rPr>
          <w:sz w:val="20"/>
          <w:szCs w:val="20"/>
          <w:color w:val="auto"/>
        </w:rPr>
      </w:pPr>
    </w:p>
    <w:p>
      <w:pPr>
        <w:jc w:val="center"/>
        <w:ind w:right="-719"/>
        <w:spacing w:after="0"/>
        <w:rPr>
          <w:sz w:val="20"/>
          <w:szCs w:val="20"/>
          <w:color w:val="auto"/>
        </w:rPr>
      </w:pPr>
      <w:r>
        <w:rPr>
          <w:rFonts w:ascii="Arial" w:cs="Arial" w:eastAsia="Arial" w:hAnsi="Arial"/>
          <w:sz w:val="20"/>
          <w:szCs w:val="20"/>
          <w:b w:val="1"/>
          <w:bCs w:val="1"/>
          <w:color w:val="auto"/>
        </w:rPr>
        <w:t>ANALOG DEVICES, INC.</w:t>
      </w:r>
    </w:p>
    <w:p>
      <w:pPr>
        <w:spacing w:after="0" w:line="162" w:lineRule="exact"/>
        <w:rPr>
          <w:sz w:val="20"/>
          <w:szCs w:val="20"/>
          <w:color w:val="auto"/>
        </w:rPr>
      </w:pPr>
    </w:p>
    <w:p>
      <w:pPr>
        <w:jc w:val="center"/>
        <w:ind w:right="-719"/>
        <w:spacing w:after="0"/>
        <w:rPr>
          <w:sz w:val="20"/>
          <w:szCs w:val="20"/>
          <w:color w:val="auto"/>
        </w:rPr>
      </w:pPr>
      <w:r>
        <w:rPr>
          <w:rFonts w:ascii="Arial" w:cs="Arial" w:eastAsia="Arial" w:hAnsi="Arial"/>
          <w:sz w:val="20"/>
          <w:szCs w:val="20"/>
          <w:b w:val="1"/>
          <w:bCs w:val="1"/>
          <w:color w:val="auto"/>
        </w:rPr>
        <w:t>2020 EQUITY INCENTIVE PLAN</w:t>
      </w:r>
    </w:p>
    <w:p>
      <w:pPr>
        <w:spacing w:after="0" w:line="162" w:lineRule="exact"/>
        <w:rPr>
          <w:sz w:val="20"/>
          <w:szCs w:val="20"/>
          <w:color w:val="auto"/>
        </w:rPr>
      </w:pPr>
    </w:p>
    <w:p>
      <w:pPr>
        <w:jc w:val="center"/>
        <w:ind w:right="-719"/>
        <w:spacing w:after="0"/>
        <w:rPr>
          <w:sz w:val="20"/>
          <w:szCs w:val="20"/>
          <w:color w:val="auto"/>
        </w:rPr>
      </w:pPr>
      <w:r>
        <w:rPr>
          <w:rFonts w:ascii="Arial" w:cs="Arial" w:eastAsia="Arial" w:hAnsi="Arial"/>
          <w:sz w:val="20"/>
          <w:szCs w:val="20"/>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340" w:lineRule="exact"/>
        <w:rPr>
          <w:sz w:val="20"/>
          <w:szCs w:val="20"/>
          <w:color w:val="auto"/>
        </w:rPr>
      </w:pPr>
    </w:p>
    <w:p>
      <w:pPr>
        <w:ind w:left="4280"/>
        <w:spacing w:after="0"/>
        <w:rPr>
          <w:sz w:val="20"/>
          <w:szCs w:val="20"/>
          <w:color w:val="auto"/>
        </w:rPr>
      </w:pPr>
      <w:r>
        <w:rPr>
          <w:rFonts w:ascii="Arial" w:cs="Arial" w:eastAsia="Arial" w:hAnsi="Arial"/>
          <w:sz w:val="20"/>
          <w:szCs w:val="20"/>
          <w:b w:val="1"/>
          <w:bCs w:val="1"/>
          <w:u w:val="single" w:color="auto"/>
          <w:color w:val="auto"/>
        </w:rPr>
        <w:t>Schedule of Employer Companies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are employer companies to which this Election may apply: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each company, provide the following details: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Analog Devices Limited</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5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Registered Office:</w:t>
            </w:r>
          </w:p>
        </w:tc>
        <w:tc>
          <w:tcPr>
            <w:tcW w:w="5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2"/>
              </w:rPr>
              <w:t>Unit 3 Horizon Business Village, 1 Brooklands Road, Weybridge,</w:t>
            </w:r>
          </w:p>
        </w:tc>
      </w:tr>
      <w:tr>
        <w:trPr>
          <w:trHeight w:val="250"/>
        </w:trPr>
        <w:tc>
          <w:tcPr>
            <w:tcW w:w="5320" w:type="dxa"/>
            <w:vAlign w:val="bottom"/>
            <w:tcBorders>
              <w:left w:val="single" w:sz="8" w:color="auto"/>
              <w:right w:val="single" w:sz="8" w:color="auto"/>
            </w:tcBorders>
          </w:tcPr>
          <w:p>
            <w:pPr>
              <w:spacing w:after="0"/>
              <w:rPr>
                <w:sz w:val="21"/>
                <w:szCs w:val="21"/>
                <w:color w:val="auto"/>
              </w:rPr>
            </w:pP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Surrey, KT13 OTJ</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Company Registration Number:</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00895439</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Corporation Tax Reference: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6873689030216A</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PAYE Reference: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120/A4055</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794"/>
        </w:trPr>
        <w:tc>
          <w:tcPr>
            <w:tcW w:w="5320" w:type="dxa"/>
            <w:vAlign w:val="bottom"/>
          </w:tcPr>
          <w:p>
            <w:pPr>
              <w:spacing w:after="0"/>
              <w:rPr>
                <w:sz w:val="20"/>
                <w:szCs w:val="20"/>
                <w:color w:val="auto"/>
              </w:rPr>
            </w:pPr>
            <w:r>
              <w:rPr>
                <w:rFonts w:ascii="Arial" w:cs="Arial" w:eastAsia="Arial" w:hAnsi="Arial"/>
                <w:sz w:val="20"/>
                <w:szCs w:val="20"/>
                <w:color w:val="auto"/>
              </w:rPr>
              <w:t>Linear Technology (UK) Limited</w:t>
            </w:r>
          </w:p>
        </w:tc>
        <w:tc>
          <w:tcPr>
            <w:tcW w:w="5380" w:type="dxa"/>
            <w:vAlign w:val="bottom"/>
          </w:tcPr>
          <w:p>
            <w:pPr>
              <w:spacing w:after="0"/>
              <w:rPr>
                <w:sz w:val="24"/>
                <w:szCs w:val="24"/>
                <w:color w:val="auto"/>
              </w:rPr>
            </w:pPr>
          </w:p>
        </w:tc>
      </w:tr>
      <w:tr>
        <w:trPr>
          <w:trHeight w:val="185"/>
        </w:trPr>
        <w:tc>
          <w:tcPr>
            <w:tcW w:w="532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tcPr>
          <w:p>
            <w:pPr>
              <w:spacing w:after="0"/>
              <w:rPr>
                <w:sz w:val="16"/>
                <w:szCs w:val="16"/>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Registered Office: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3 The Listons, Liston Road, Marlow, Buckinghamshire, SL7 1FD</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Company Registration Number:</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02149602</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Corporation Tax Reference: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120PA00148447</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54"/>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PAYE Reference:</w:t>
            </w:r>
          </w:p>
        </w:tc>
        <w:tc>
          <w:tcPr>
            <w:tcW w:w="5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120/L30589</w:t>
            </w:r>
          </w:p>
        </w:tc>
      </w:tr>
      <w:tr>
        <w:trPr>
          <w:trHeight w:val="23"/>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Appendix E-5</w:t>
      </w:r>
    </w:p>
    <w:p>
      <w:pPr>
        <w:sectPr>
          <w:pgSz w:w="11900" w:h="16838" w:orient="portrait"/>
          <w:cols w:equalWidth="0" w:num="1">
            <w:col w:w="10700"/>
          </w:cols>
          <w:pgMar w:left="240" w:top="116" w:right="959" w:bottom="1440" w:gutter="0" w:footer="0" w:header="0"/>
        </w:sectPr>
      </w:pPr>
    </w:p>
    <w:bookmarkStart w:id="172" w:name="page173"/>
    <w:bookmarkEnd w:id="172"/>
    <w:p>
      <w:pPr>
        <w:jc w:val="right"/>
        <w:spacing w:after="0"/>
        <w:rPr>
          <w:sz w:val="20"/>
          <w:szCs w:val="20"/>
          <w:color w:val="auto"/>
        </w:rPr>
      </w:pPr>
      <w:r>
        <w:rPr>
          <w:rFonts w:ascii="Arial" w:cs="Arial" w:eastAsia="Arial" w:hAnsi="Arial"/>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Private &amp; Confidential (Addressee Only)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Participant Name</w:t>
      </w:r>
      <w:r>
        <w:rPr>
          <w:rFonts w:ascii="Arial" w:cs="Arial" w:eastAsia="Arial" w:hAnsi="Arial"/>
          <w:sz w:val="20"/>
          <w:szCs w:val="20"/>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Grant ID: {</w:t>
      </w:r>
      <w:r>
        <w:rPr>
          <w:rFonts w:ascii="Arial" w:cs="Arial" w:eastAsia="Arial" w:hAnsi="Arial"/>
          <w:sz w:val="20"/>
          <w:szCs w:val="20"/>
          <w:i w:val="1"/>
          <w:iCs w:val="1"/>
          <w:color w:val="auto"/>
        </w:rPr>
        <w:t>Client Grant ID</w:t>
      </w:r>
      <w:r>
        <w:rPr>
          <w:rFonts w:ascii="Arial" w:cs="Arial" w:eastAsia="Arial" w:hAnsi="Arial"/>
          <w:sz w:val="20"/>
          <w:szCs w:val="20"/>
          <w:color w:val="auto"/>
        </w:rPr>
        <w:t>}</w:t>
      </w:r>
    </w:p>
    <w:p>
      <w:pPr>
        <w:spacing w:after="0" w:line="227" w:lineRule="exact"/>
        <w:rPr>
          <w:sz w:val="20"/>
          <w:szCs w:val="20"/>
          <w:color w:val="auto"/>
        </w:rPr>
      </w:pPr>
    </w:p>
    <w:p>
      <w:pPr>
        <w:jc w:val="both"/>
        <w:ind w:right="280"/>
        <w:spacing w:after="0" w:line="272" w:lineRule="auto"/>
        <w:rPr>
          <w:sz w:val="20"/>
          <w:szCs w:val="20"/>
          <w:color w:val="auto"/>
        </w:rPr>
      </w:pPr>
      <w:r>
        <w:rPr>
          <w:rFonts w:ascii="Arial" w:cs="Arial" w:eastAsia="Arial" w:hAnsi="Arial"/>
          <w:sz w:val="18"/>
          <w:szCs w:val="18"/>
          <w:color w:val="auto"/>
        </w:rPr>
        <w:t>We are pleased to advise you (the “Participant”) that Analog Devices, Inc., a Massachusetts corporation (the “Company”), has granted to the Participant Restricted Stock Units (“RSUs”) on the terms and conditions set forth below (the “Award”). This Award reflects the Company’s confidence in the Participant’s commitment and contributions to the success and continued growth of the Company.</w:t>
      </w:r>
    </w:p>
    <w:p>
      <w:pPr>
        <w:spacing w:after="0" w:line="1" w:lineRule="exact"/>
        <w:rPr>
          <w:sz w:val="20"/>
          <w:szCs w:val="20"/>
          <w:color w:val="auto"/>
        </w:rPr>
      </w:pPr>
    </w:p>
    <w:p>
      <w:pPr>
        <w:ind w:right="620"/>
        <w:spacing w:after="0" w:line="244" w:lineRule="auto"/>
        <w:rPr>
          <w:sz w:val="20"/>
          <w:szCs w:val="20"/>
          <w:color w:val="auto"/>
        </w:rPr>
      </w:pPr>
      <w:r>
        <w:rPr>
          <w:rFonts w:ascii="Arial" w:cs="Arial" w:eastAsia="Arial" w:hAnsi="Arial"/>
          <w:sz w:val="20"/>
          <w:szCs w:val="20"/>
          <w:color w:val="auto"/>
        </w:rPr>
        <w:t>All terms not defined herein shall have the meanings assigned to such terms in the Analog Devices, Inc. 2020 Equity Incentive Plan (the “Plan”).</w:t>
      </w:r>
    </w:p>
    <w:p>
      <w:pPr>
        <w:spacing w:after="0" w:line="138"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Restricted Stock Unit</w:t>
      </w:r>
      <w:r>
        <w:rPr>
          <w:rFonts w:ascii="Arial" w:cs="Arial" w:eastAsia="Arial" w:hAnsi="Arial"/>
          <w:sz w:val="20"/>
          <w:szCs w:val="20"/>
          <w:color w:val="auto"/>
        </w:rPr>
        <w: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Restricted Stock Unit Agreement (the “Agreement”) confirms that, subject to the terms and conditions of the Plan, the Company has granted to the Participant, effective on the Date of Grant set forth below, that number of RSUs set forth below:</w:t>
      </w:r>
    </w:p>
    <w:p>
      <w:pPr>
        <w:spacing w:after="0" w:line="123"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color w:val="auto"/>
        </w:rPr>
        <w:t>Date of Grant:</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Grant Date}</w:t>
      </w:r>
    </w:p>
    <w:p>
      <w:pPr>
        <w:spacing w:after="0" w:line="16"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Number of RSUs Granted:</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Number of Awards Granted}</w:t>
      </w:r>
    </w:p>
    <w:p>
      <w:pPr>
        <w:spacing w:after="0" w:line="227" w:lineRule="exact"/>
        <w:rPr>
          <w:sz w:val="20"/>
          <w:szCs w:val="20"/>
          <w:color w:val="auto"/>
        </w:rPr>
      </w:pPr>
    </w:p>
    <w:p>
      <w:pPr>
        <w:ind w:left="2600" w:hanging="1944"/>
        <w:spacing w:after="0" w:line="316" w:lineRule="auto"/>
        <w:rPr>
          <w:sz w:val="20"/>
          <w:szCs w:val="20"/>
          <w:color w:val="auto"/>
        </w:rPr>
      </w:pPr>
      <w:r>
        <w:rPr>
          <w:rFonts w:ascii="Arial" w:cs="Arial" w:eastAsia="Arial" w:hAnsi="Arial"/>
          <w:sz w:val="18"/>
          <w:szCs w:val="18"/>
          <w:color w:val="auto"/>
        </w:rPr>
        <w:t>Vesting Schedule: The RSUs shall vest on the earlier of one year from Grant Date or the date of the Company’s next annual meeting of shareholders, subject to the Participant’s continued service as a member of the Board (a “Director”).</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one (1) RSU shall, if and when it vests in accordance with this Award,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7.</w:t>
      </w:r>
    </w:p>
    <w:p>
      <w:pPr>
        <w:spacing w:after="0" w:line="132"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Vesting and Conversion</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660" w:hanging="328"/>
        <w:spacing w:after="0" w:line="309" w:lineRule="auto"/>
        <w:tabs>
          <w:tab w:leader="none" w:pos="65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Subject to the terms of the Plan and this Award, the RSUs shall vest in accordance with the schedule set forth in Section 1. For purposes of this Award, RSUs that have not vested as of any particular time in accordance with this Section 2(a) are referred to as “Unvested RSUs.” The shares of Common Stock that are issuable upon the vesting and conversion of the RSUs are referred to in this Award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6" w:right="239" w:bottom="1440" w:gutter="0" w:footer="0" w:header="0"/>
        </w:sectPr>
      </w:pPr>
    </w:p>
    <w:bookmarkStart w:id="173" w:name="page174"/>
    <w:bookmarkEnd w:id="173"/>
    <w:p>
      <w:pPr>
        <w:jc w:val="both"/>
        <w:ind w:left="660" w:hanging="328"/>
        <w:spacing w:after="0" w:line="291" w:lineRule="auto"/>
        <w:tabs>
          <w:tab w:leader="none" w:pos="64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the event the Participant ceases to be a Director for any reason or no reason (other than due to death, Disability or otherwise as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30" w:lineRule="exact"/>
        <w:rPr>
          <w:rFonts w:ascii="Arial" w:cs="Arial" w:eastAsia="Arial" w:hAnsi="Arial"/>
          <w:sz w:val="18"/>
          <w:szCs w:val="18"/>
          <w:color w:val="auto"/>
        </w:rPr>
      </w:pPr>
    </w:p>
    <w:p>
      <w:pPr>
        <w:ind w:left="640" w:hanging="308"/>
        <w:spacing w:after="0"/>
        <w:tabs>
          <w:tab w:leader="none" w:pos="64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 xml:space="preserve">In the event the Participant </w:t>
      </w:r>
      <w:r>
        <w:rPr>
          <w:rFonts w:ascii="Arial" w:cs="Arial" w:eastAsia="Arial" w:hAnsi="Arial"/>
          <w:sz w:val="19"/>
          <w:szCs w:val="19"/>
          <w:u w:val="single" w:color="auto"/>
          <w:color w:val="auto"/>
        </w:rPr>
        <w:t>dies</w:t>
      </w:r>
      <w:r>
        <w:rPr>
          <w:rFonts w:ascii="Arial" w:cs="Arial" w:eastAsia="Arial" w:hAnsi="Arial"/>
          <w:sz w:val="19"/>
          <w:szCs w:val="19"/>
          <w:color w:val="auto"/>
        </w:rPr>
        <w:t xml:space="preserve"> while a Director, all Unvested RSUs shall vest in full as of the date of the Participant’s death.</w:t>
      </w:r>
    </w:p>
    <w:p>
      <w:pPr>
        <w:spacing w:after="0" w:line="92" w:lineRule="exact"/>
        <w:rPr>
          <w:rFonts w:ascii="Arial" w:cs="Arial" w:eastAsia="Arial" w:hAnsi="Arial"/>
          <w:sz w:val="19"/>
          <w:szCs w:val="19"/>
          <w:color w:val="auto"/>
        </w:rPr>
      </w:pPr>
    </w:p>
    <w:p>
      <w:pPr>
        <w:jc w:val="both"/>
        <w:ind w:left="660" w:hanging="328"/>
        <w:spacing w:after="0" w:line="263" w:lineRule="auto"/>
        <w:tabs>
          <w:tab w:leader="none" w:pos="648" w:val="left"/>
        </w:tabs>
        <w:numPr>
          <w:ilvl w:val="1"/>
          <w:numId w:val="124"/>
        </w:numPr>
        <w:rPr>
          <w:rFonts w:ascii="Arial" w:cs="Arial" w:eastAsia="Arial" w:hAnsi="Arial"/>
          <w:sz w:val="19"/>
          <w:szCs w:val="19"/>
          <w:color w:val="auto"/>
        </w:rPr>
      </w:pPr>
      <w:r>
        <w:rPr>
          <w:rFonts w:ascii="Arial" w:cs="Arial" w:eastAsia="Arial" w:hAnsi="Arial"/>
          <w:sz w:val="19"/>
          <w:szCs w:val="19"/>
          <w:color w:val="auto"/>
        </w:rPr>
        <w:t xml:space="preserve">In the event the Participant ceases to be a Director by reason of a </w:t>
      </w:r>
      <w:r>
        <w:rPr>
          <w:rFonts w:ascii="Arial" w:cs="Arial" w:eastAsia="Arial" w:hAnsi="Arial"/>
          <w:sz w:val="19"/>
          <w:szCs w:val="19"/>
          <w:u w:val="single" w:color="auto"/>
          <w:color w:val="auto"/>
        </w:rPr>
        <w:t>Disability</w:t>
      </w:r>
      <w:r>
        <w:rPr>
          <w:rFonts w:ascii="Arial" w:cs="Arial" w:eastAsia="Arial" w:hAnsi="Arial"/>
          <w:sz w:val="19"/>
          <w:szCs w:val="19"/>
          <w:color w:val="auto"/>
        </w:rPr>
        <w:t>, the Unvested RSUs as of the date of the Participant ceases to be a Director shall vest in full as of such date. “Disability” with respect to the Participant occurs, when and if, as a result of disease, injury or mental disorder, the Participant is incapable of engaging in regular service with the Company, which has lasted or can be expected to last for a continuous period of not less than 12 months, as determined by the Company.</w:t>
      </w:r>
    </w:p>
    <w:p>
      <w:pPr>
        <w:spacing w:after="0" w:line="55" w:lineRule="exact"/>
        <w:rPr>
          <w:rFonts w:ascii="Arial" w:cs="Arial" w:eastAsia="Arial" w:hAnsi="Arial"/>
          <w:sz w:val="19"/>
          <w:szCs w:val="19"/>
          <w:color w:val="auto"/>
        </w:rPr>
      </w:pPr>
    </w:p>
    <w:p>
      <w:pPr>
        <w:jc w:val="both"/>
        <w:ind w:left="660" w:hanging="328"/>
        <w:spacing w:after="0" w:line="250" w:lineRule="auto"/>
        <w:tabs>
          <w:tab w:leader="none" w:pos="65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 xml:space="preserve">If the Participant becomes an </w:t>
      </w:r>
      <w:r>
        <w:rPr>
          <w:rFonts w:ascii="Arial" w:cs="Arial" w:eastAsia="Arial" w:hAnsi="Arial"/>
          <w:sz w:val="20"/>
          <w:szCs w:val="20"/>
          <w:u w:val="single" w:color="auto"/>
          <w:color w:val="auto"/>
        </w:rPr>
        <w:t>employee</w:t>
      </w:r>
      <w:r>
        <w:rPr>
          <w:rFonts w:ascii="Arial" w:cs="Arial" w:eastAsia="Arial" w:hAnsi="Arial"/>
          <w:sz w:val="20"/>
          <w:szCs w:val="20"/>
          <w:color w:val="auto"/>
        </w:rPr>
        <w:t xml:space="preserve"> of the Company and, in connection with such employment, ceases to serve as a Director of the Company, Unvested RSUs shall vest in accordance with the terms hereof until the date that the Participant’s employment with the Company is terminated.</w:t>
      </w:r>
    </w:p>
    <w:p>
      <w:pPr>
        <w:spacing w:after="0" w:line="64" w:lineRule="exact"/>
        <w:rPr>
          <w:rFonts w:ascii="Arial" w:cs="Arial" w:eastAsia="Arial" w:hAnsi="Arial"/>
          <w:sz w:val="20"/>
          <w:szCs w:val="20"/>
          <w:color w:val="auto"/>
        </w:rPr>
      </w:pPr>
    </w:p>
    <w:p>
      <w:pPr>
        <w:ind w:left="660" w:right="20" w:hanging="328"/>
        <w:spacing w:after="0" w:line="260" w:lineRule="auto"/>
        <w:tabs>
          <w:tab w:leader="none" w:pos="655" w:val="left"/>
        </w:tabs>
        <w:numPr>
          <w:ilvl w:val="1"/>
          <w:numId w:val="124"/>
        </w:numPr>
        <w:rPr>
          <w:rFonts w:ascii="Arial" w:cs="Arial" w:eastAsia="Arial" w:hAnsi="Arial"/>
          <w:sz w:val="20"/>
          <w:szCs w:val="20"/>
          <w:color w:val="auto"/>
        </w:rPr>
      </w:pPr>
      <w:r>
        <w:rPr>
          <w:rFonts w:ascii="Arial" w:cs="Arial" w:eastAsia="Arial" w:hAnsi="Arial"/>
          <w:sz w:val="20"/>
          <w:szCs w:val="20"/>
          <w:color w:val="auto"/>
        </w:rPr>
        <w:t>Notwithstanding anything in the Plan or herein, all Unvested RSUs shall vest in full as of a Change in Control Event (as defined in the Plan).</w:t>
      </w:r>
    </w:p>
    <w:p>
      <w:pPr>
        <w:spacing w:after="0" w:line="41" w:lineRule="exact"/>
        <w:rPr>
          <w:rFonts w:ascii="Arial" w:cs="Arial" w:eastAsia="Arial" w:hAnsi="Arial"/>
          <w:sz w:val="20"/>
          <w:szCs w:val="20"/>
          <w:color w:val="auto"/>
        </w:rPr>
      </w:pPr>
    </w:p>
    <w:p>
      <w:pPr>
        <w:ind w:left="660" w:hanging="328"/>
        <w:spacing w:after="0" w:line="316" w:lineRule="auto"/>
        <w:tabs>
          <w:tab w:leader="none" w:pos="64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For purposes of this Award, employment with the Company shall include being an employee, consultant or advisor with any direct or indirect parent or subsidiary of the Company, or any successor to the Company or any such parent or subsidiary of the Company.</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Participant shall not sell, assign, transfer, pledge or otherwise encumber any RSUs, either voluntarily or by operation of law.</w:t>
      </w:r>
    </w:p>
    <w:p>
      <w:pPr>
        <w:spacing w:after="0" w:line="105" w:lineRule="exact"/>
        <w:rPr>
          <w:rFonts w:ascii="Arial" w:cs="Arial" w:eastAsia="Arial" w:hAnsi="Arial"/>
          <w:sz w:val="19"/>
          <w:szCs w:val="19"/>
          <w:color w:val="auto"/>
        </w:rPr>
      </w:pPr>
    </w:p>
    <w:p>
      <w:pPr>
        <w:jc w:val="both"/>
        <w:ind w:left="660" w:hanging="328"/>
        <w:spacing w:after="0" w:line="250" w:lineRule="auto"/>
        <w:tabs>
          <w:tab w:leader="none" w:pos="648"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32" w:lineRule="exact"/>
        <w:rPr>
          <w:rFonts w:ascii="Arial" w:cs="Arial" w:eastAsia="Arial" w:hAnsi="Arial"/>
          <w:sz w:val="20"/>
          <w:szCs w:val="20"/>
          <w:color w:val="auto"/>
        </w:rPr>
      </w:pPr>
    </w:p>
    <w:p>
      <w:pPr>
        <w:jc w:val="both"/>
        <w:ind w:left="340" w:hanging="332"/>
        <w:spacing w:after="0" w:line="244" w:lineRule="auto"/>
        <w:tabs>
          <w:tab w:leader="none" w:pos="340"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Not a Shareholder</w:t>
      </w:r>
      <w:r>
        <w:rPr>
          <w:rFonts w:ascii="Arial" w:cs="Arial" w:eastAsia="Arial" w:hAnsi="Arial"/>
          <w:sz w:val="20"/>
          <w:szCs w:val="20"/>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40" w:lineRule="exact"/>
        <w:rPr>
          <w:rFonts w:ascii="Arial" w:cs="Arial" w:eastAsia="Arial" w:hAnsi="Arial"/>
          <w:sz w:val="20"/>
          <w:szCs w:val="20"/>
          <w:color w:val="auto"/>
        </w:rPr>
      </w:pPr>
    </w:p>
    <w:p>
      <w:pPr>
        <w:ind w:left="340" w:hanging="332"/>
        <w:spacing w:after="0"/>
        <w:tabs>
          <w:tab w:leader="none" w:pos="340"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Provisions of the Plan</w:t>
      </w:r>
      <w:r>
        <w:rPr>
          <w:rFonts w:ascii="Arial" w:cs="Arial" w:eastAsia="Arial" w:hAnsi="Arial"/>
          <w:sz w:val="19"/>
          <w:szCs w:val="19"/>
          <w:color w:val="auto"/>
        </w:rPr>
        <w:t>. The RSUs and Shares, including the grant and issuance thereof, are subject to the provisions of the Plan.</w:t>
      </w:r>
    </w:p>
    <w:p>
      <w:pPr>
        <w:spacing w:after="0" w:line="173" w:lineRule="exact"/>
        <w:rPr>
          <w:rFonts w:ascii="Arial" w:cs="Arial" w:eastAsia="Arial" w:hAnsi="Arial"/>
          <w:sz w:val="19"/>
          <w:szCs w:val="19"/>
          <w:color w:val="auto"/>
        </w:rPr>
      </w:pPr>
    </w:p>
    <w:p>
      <w:pPr>
        <w:jc w:val="both"/>
        <w:ind w:left="340" w:hanging="332"/>
        <w:spacing w:after="0" w:line="250" w:lineRule="auto"/>
        <w:tabs>
          <w:tab w:leader="none" w:pos="340"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Consideration</w:t>
      </w:r>
      <w:r>
        <w:rPr>
          <w:rFonts w:ascii="Arial" w:cs="Arial" w:eastAsia="Arial" w:hAnsi="Arial"/>
          <w:sz w:val="20"/>
          <w:szCs w:val="20"/>
          <w:color w:val="auto"/>
        </w:rPr>
        <w:t>. Any Shares that are issued and any cash payment that is delivered, in either case upon settlement of the RSUs pursuant to this Award, will be in consideration of the Participant’s service as a member of the Board and/or the Participant’s continued employment with the Company, which consideration is deemed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419" w:right="239" w:bottom="1440" w:gutter="0" w:footer="0" w:header="0"/>
        </w:sectPr>
      </w:pPr>
    </w:p>
    <w:bookmarkStart w:id="174" w:name="page175"/>
    <w:bookmarkEnd w:id="174"/>
    <w:p>
      <w:pPr>
        <w:ind w:left="340" w:hanging="332"/>
        <w:spacing w:after="0"/>
        <w:tabs>
          <w:tab w:leader="none" w:pos="340"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Withholding Taxes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660" w:hanging="328"/>
        <w:spacing w:after="0" w:line="274" w:lineRule="auto"/>
        <w:tabs>
          <w:tab w:leader="none" w:pos="65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Regardless of any action the Company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due by the Participant is and remains the Participant’s responsibility, and that the Company (i) makes no representations or undertakings regarding the treatment of any Tax-Related Items in connection with any aspect of the RSUs, including the grant or vesting of the RSUs, the subsequent sale of any Shares acquired pursuant to the RSUs and the receipt of any dividends; and (ii) does not commit to structure the terms of the grant or any aspect of the RSUs to reduce or eliminate the Participant’s liability for Tax-Related Items.</w:t>
      </w:r>
    </w:p>
    <w:p>
      <w:pPr>
        <w:spacing w:after="0" w:line="6" w:lineRule="exact"/>
        <w:rPr>
          <w:rFonts w:ascii="Arial" w:cs="Arial" w:eastAsia="Arial" w:hAnsi="Arial"/>
          <w:sz w:val="18"/>
          <w:szCs w:val="18"/>
          <w:color w:val="auto"/>
        </w:rPr>
      </w:pPr>
    </w:p>
    <w:p>
      <w:pPr>
        <w:jc w:val="both"/>
        <w:ind w:left="660" w:hanging="328"/>
        <w:spacing w:after="0" w:line="250" w:lineRule="auto"/>
        <w:tabs>
          <w:tab w:leader="none" w:pos="648" w:val="left"/>
        </w:tabs>
        <w:numPr>
          <w:ilvl w:val="1"/>
          <w:numId w:val="126"/>
        </w:numPr>
        <w:rPr>
          <w:rFonts w:ascii="Arial" w:cs="Arial" w:eastAsia="Arial" w:hAnsi="Arial"/>
          <w:sz w:val="20"/>
          <w:szCs w:val="20"/>
          <w:color w:val="auto"/>
        </w:rPr>
      </w:pPr>
      <w:r>
        <w:rPr>
          <w:rFonts w:ascii="Arial" w:cs="Arial" w:eastAsia="Arial" w:hAnsi="Arial"/>
          <w:sz w:val="20"/>
          <w:szCs w:val="20"/>
          <w:color w:val="auto"/>
        </w:rPr>
        <w:t>Prior to the delivery of Shares upon vesting of the RSUs, if any taxing jurisdiction requires withholding of Tax-Related Items, the Participant authorizes the Company to satisfy the obligations with regard to all Tax-Related Items, if any, by one or a combination of methods set forth below:</w:t>
      </w:r>
    </w:p>
    <w:p>
      <w:pPr>
        <w:spacing w:after="0" w:line="24" w:lineRule="exact"/>
        <w:rPr>
          <w:rFonts w:ascii="Arial" w:cs="Arial" w:eastAsia="Arial" w:hAnsi="Arial"/>
          <w:sz w:val="20"/>
          <w:szCs w:val="20"/>
          <w:color w:val="auto"/>
        </w:rPr>
      </w:pPr>
    </w:p>
    <w:p>
      <w:pPr>
        <w:jc w:val="both"/>
        <w:ind w:left="1300" w:hanging="424"/>
        <w:spacing w:after="0" w:line="278" w:lineRule="auto"/>
        <w:tabs>
          <w:tab w:leader="none" w:pos="130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Company may withhold a number of whole Shares otherwise issuable upon vesting of the RSUs that have an aggregate Fair Market Value sufficient to pay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No fractional Shares will be withheld or issued pursuant to the grant of the RSUs and the issuance of Shares hereunder.</w:t>
      </w:r>
    </w:p>
    <w:p>
      <w:pPr>
        <w:spacing w:after="0" w:line="3" w:lineRule="exact"/>
        <w:rPr>
          <w:rFonts w:ascii="Arial" w:cs="Arial" w:eastAsia="Arial" w:hAnsi="Arial"/>
          <w:sz w:val="18"/>
          <w:szCs w:val="18"/>
          <w:color w:val="auto"/>
        </w:rPr>
      </w:pPr>
    </w:p>
    <w:p>
      <w:pPr>
        <w:ind w:left="1300" w:hanging="479"/>
        <w:spacing w:after="0" w:line="260" w:lineRule="auto"/>
        <w:tabs>
          <w:tab w:leader="none" w:pos="1300" w:val="left"/>
        </w:tabs>
        <w:numPr>
          <w:ilvl w:val="2"/>
          <w:numId w:val="126"/>
        </w:numPr>
        <w:rPr>
          <w:rFonts w:ascii="Arial" w:cs="Arial" w:eastAsia="Arial" w:hAnsi="Arial"/>
          <w:sz w:val="20"/>
          <w:szCs w:val="20"/>
          <w:color w:val="auto"/>
        </w:rPr>
      </w:pPr>
      <w:r>
        <w:rPr>
          <w:rFonts w:ascii="Arial" w:cs="Arial" w:eastAsia="Arial" w:hAnsi="Arial"/>
          <w:sz w:val="20"/>
          <w:szCs w:val="20"/>
          <w:color w:val="auto"/>
        </w:rPr>
        <w:t>the Company may, in its discretion, withhold any amount necessary to pay the Tax-Related Items from the Participant’s salary or other amounts payable to the Participant.</w:t>
      </w:r>
    </w:p>
    <w:p>
      <w:pPr>
        <w:spacing w:after="0" w:line="14" w:lineRule="exact"/>
        <w:rPr>
          <w:rFonts w:ascii="Arial" w:cs="Arial" w:eastAsia="Arial" w:hAnsi="Arial"/>
          <w:sz w:val="20"/>
          <w:szCs w:val="20"/>
          <w:color w:val="auto"/>
        </w:rPr>
      </w:pPr>
    </w:p>
    <w:p>
      <w:pPr>
        <w:ind w:left="1300" w:hanging="534"/>
        <w:spacing w:after="0" w:line="260" w:lineRule="auto"/>
        <w:tabs>
          <w:tab w:leader="none" w:pos="1300" w:val="left"/>
        </w:tabs>
        <w:numPr>
          <w:ilvl w:val="2"/>
          <w:numId w:val="126"/>
        </w:numPr>
        <w:rPr>
          <w:rFonts w:ascii="Arial" w:cs="Arial" w:eastAsia="Arial" w:hAnsi="Arial"/>
          <w:sz w:val="20"/>
          <w:szCs w:val="20"/>
          <w:color w:val="auto"/>
        </w:rPr>
      </w:pPr>
      <w:r>
        <w:rPr>
          <w:rFonts w:ascii="Arial" w:cs="Arial" w:eastAsia="Arial" w:hAnsi="Arial"/>
          <w:sz w:val="20"/>
          <w:szCs w:val="20"/>
          <w:color w:val="auto"/>
        </w:rPr>
        <w:t>the Company may withhold from proceeds of the sale of Shares either through a voluntary sale or through a mandatory sale arranged by the Company (on the Participant’s behalf pursuant to this authorization).</w:t>
      </w:r>
    </w:p>
    <w:p>
      <w:pPr>
        <w:spacing w:after="0" w:line="14" w:lineRule="exact"/>
        <w:rPr>
          <w:rFonts w:ascii="Arial" w:cs="Arial" w:eastAsia="Arial" w:hAnsi="Arial"/>
          <w:sz w:val="20"/>
          <w:szCs w:val="20"/>
          <w:color w:val="auto"/>
        </w:rPr>
      </w:pPr>
    </w:p>
    <w:p>
      <w:pPr>
        <w:jc w:val="both"/>
        <w:ind w:left="1300"/>
        <w:spacing w:after="0" w:line="244" w:lineRule="auto"/>
        <w:rPr>
          <w:rFonts w:ascii="Arial" w:cs="Arial" w:eastAsia="Arial" w:hAnsi="Arial"/>
          <w:sz w:val="20"/>
          <w:szCs w:val="20"/>
          <w:color w:val="auto"/>
        </w:rPr>
      </w:pPr>
      <w:r>
        <w:rPr>
          <w:rFonts w:ascii="Arial" w:cs="Arial" w:eastAsia="Arial" w:hAnsi="Arial"/>
          <w:sz w:val="20"/>
          <w:szCs w:val="20"/>
          <w:color w:val="auto"/>
        </w:rPr>
        <w:t>The Company may withhold or account for Tax-Related Items by considering statutory withholding amounts or other applicable withholding rates, including maximum applicable rates in the Participant’s jurisdiction(s). If the obligation for Tax-Related Items is satisfied by withholding in Shares, for tax purposes, the Participant is deemed to have been issued the full number of Shares subject to the vested RSU, notwithstanding that a number of the Shares is held back solely for the purpose of paying the Tax-Related Items.</w:t>
      </w:r>
    </w:p>
    <w:p>
      <w:pPr>
        <w:spacing w:after="0" w:line="32" w:lineRule="exact"/>
        <w:rPr>
          <w:rFonts w:ascii="Arial" w:cs="Arial" w:eastAsia="Arial" w:hAnsi="Arial"/>
          <w:sz w:val="20"/>
          <w:szCs w:val="20"/>
          <w:color w:val="auto"/>
        </w:rPr>
      </w:pPr>
    </w:p>
    <w:p>
      <w:pPr>
        <w:jc w:val="both"/>
        <w:ind w:left="1300"/>
        <w:spacing w:after="0" w:line="258" w:lineRule="auto"/>
        <w:rPr>
          <w:rFonts w:ascii="Arial" w:cs="Arial" w:eastAsia="Arial" w:hAnsi="Arial"/>
          <w:sz w:val="20"/>
          <w:szCs w:val="20"/>
          <w:color w:val="auto"/>
        </w:rPr>
      </w:pPr>
      <w:r>
        <w:rPr>
          <w:rFonts w:ascii="Arial" w:cs="Arial" w:eastAsia="Arial" w:hAnsi="Arial"/>
          <w:sz w:val="19"/>
          <w:szCs w:val="19"/>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determines, in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7"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Option of Company to Deliver Cash</w:t>
      </w:r>
      <w:r>
        <w:rPr>
          <w:rFonts w:ascii="Arial" w:cs="Arial" w:eastAsia="Arial" w:hAnsi="Arial"/>
          <w:sz w:val="20"/>
          <w:szCs w:val="20"/>
          <w:color w:val="auto"/>
        </w:rPr>
        <w:t>. Notwithstanding any of the other provisions of this Award, where settlement in Shares is otherwise prohibited under local law or may present adverse tax consequences to the Participant, at the time the RSUs vest, the Company may elect, in the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419" w:right="239" w:bottom="1440" w:gutter="0" w:footer="0" w:header="0"/>
        </w:sectPr>
      </w:pPr>
    </w:p>
    <w:bookmarkStart w:id="175" w:name="page176"/>
    <w:bookmarkEnd w:id="175"/>
    <w:p>
      <w:pPr>
        <w:jc w:val="both"/>
        <w:ind w:left="340"/>
        <w:spacing w:after="0" w:line="282" w:lineRule="auto"/>
        <w:rPr>
          <w:sz w:val="20"/>
          <w:szCs w:val="20"/>
          <w:color w:val="auto"/>
        </w:rPr>
      </w:pPr>
      <w:r>
        <w:rPr>
          <w:rFonts w:ascii="Arial" w:cs="Arial" w:eastAsia="Arial" w:hAnsi="Arial"/>
          <w:sz w:val="18"/>
          <w:szCs w:val="18"/>
          <w:color w:val="auto"/>
        </w:rPr>
        <w:t>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 Related Items withholding obligations of the Company pursuant to Section 7 herein.</w:t>
      </w:r>
    </w:p>
    <w:p>
      <w:pPr>
        <w:spacing w:after="0" w:line="108" w:lineRule="exact"/>
        <w:rPr>
          <w:sz w:val="20"/>
          <w:szCs w:val="20"/>
          <w:color w:val="auto"/>
        </w:rPr>
      </w:pPr>
    </w:p>
    <w:p>
      <w:pPr>
        <w:jc w:val="both"/>
        <w:ind w:left="340" w:hanging="332"/>
        <w:spacing w:after="0" w:line="246" w:lineRule="auto"/>
        <w:tabs>
          <w:tab w:leader="none" w:pos="340"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the Participant’s participation in the Plan, or the Participant’s acquisition or sale of the underlying Shares. The Participant is encouraged to consult with his or her own personal tax, legal and financial advisors regarding his or her participation in the Plan before taking any action related to the Plan.</w:t>
      </w:r>
    </w:p>
    <w:p>
      <w:pPr>
        <w:spacing w:after="0" w:line="137" w:lineRule="exact"/>
        <w:rPr>
          <w:rFonts w:ascii="Arial" w:cs="Arial" w:eastAsia="Arial" w:hAnsi="Arial"/>
          <w:sz w:val="20"/>
          <w:szCs w:val="20"/>
          <w:color w:val="auto"/>
        </w:rPr>
      </w:pPr>
    </w:p>
    <w:p>
      <w:pPr>
        <w:jc w:val="both"/>
        <w:ind w:left="340" w:hanging="332"/>
        <w:spacing w:after="0" w:line="274" w:lineRule="auto"/>
        <w:tabs>
          <w:tab w:leader="none" w:pos="331"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Privacy</w:t>
      </w:r>
      <w:r>
        <w:rPr>
          <w:rFonts w:ascii="Arial" w:cs="Arial" w:eastAsia="Arial" w:hAnsi="Arial"/>
          <w:sz w:val="18"/>
          <w:szCs w:val="18"/>
          <w:b w:val="1"/>
          <w:bCs w:val="1"/>
          <w:i w:val="1"/>
          <w:iCs w:val="1"/>
          <w:color w:val="auto"/>
        </w:rPr>
        <w:t>. The Company hereby notifies the Participant of the following in relation to the Participant’s personal data and the collection, processing and transfer of such data in relation to the grant of the RSUs and the Participant’s participation in the Plan, pursuant to applicable personal data protection laws. The collection, processing and transfer of the Participant’s personal data is necessary for the Company’s administration of the Plan and the Participant’s participation in the Plan, and the Participant’s denial and/or objection to the collection, processing and transfer of personal data may affect the Participant’s ability to participate in the Plan. As such, the Participant voluntarily acknowledges, consents and agrees (where required under applicable law) to the collection, use, processing and transfer of personal data as described herein.</w:t>
      </w:r>
    </w:p>
    <w:p>
      <w:pPr>
        <w:spacing w:after="0" w:line="115" w:lineRule="exact"/>
        <w:rPr>
          <w:rFonts w:ascii="Arial" w:cs="Arial" w:eastAsia="Arial" w:hAnsi="Arial"/>
          <w:sz w:val="18"/>
          <w:szCs w:val="18"/>
          <w:color w:val="auto"/>
        </w:rPr>
      </w:pPr>
    </w:p>
    <w:p>
      <w:pPr>
        <w:jc w:val="both"/>
        <w:ind w:left="340"/>
        <w:spacing w:after="0" w:line="270" w:lineRule="auto"/>
        <w:rPr>
          <w:rFonts w:ascii="Arial" w:cs="Arial" w:eastAsia="Arial" w:hAnsi="Arial"/>
          <w:sz w:val="18"/>
          <w:szCs w:val="18"/>
          <w:color w:val="auto"/>
        </w:rPr>
      </w:pPr>
      <w:r>
        <w:rPr>
          <w:rFonts w:ascii="Arial" w:cs="Arial" w:eastAsia="Arial" w:hAnsi="Arial"/>
          <w:sz w:val="18"/>
          <w:szCs w:val="18"/>
          <w:b w:val="1"/>
          <w:bCs w:val="1"/>
          <w:i w:val="1"/>
          <w:iCs w:val="1"/>
          <w:color w:val="auto"/>
        </w:rPr>
        <w:t>The Company holds certain personal information about the Participant, including the Participant’s name, home address, email address and telephone number, date of birth, social security number, passport number or other employee identification number, salary, nationality, job title, any Shares or directorships held in the Company, details of all RSUs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logistics and procedures strictly correlated to the purposes for which the Data is collected and with confidentiality and security provisions as set forth by applicable laws and regulations in the Participant’s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Plan and for the Participant’s participation in the Plan.</w:t>
      </w:r>
    </w:p>
    <w:p>
      <w:pPr>
        <w:spacing w:after="0" w:line="122" w:lineRule="exact"/>
        <w:rPr>
          <w:rFonts w:ascii="Arial" w:cs="Arial" w:eastAsia="Arial" w:hAnsi="Arial"/>
          <w:sz w:val="18"/>
          <w:szCs w:val="18"/>
          <w:color w:val="auto"/>
        </w:rPr>
      </w:pPr>
    </w:p>
    <w:p>
      <w:pPr>
        <w:jc w:val="both"/>
        <w:ind w:left="340"/>
        <w:spacing w:after="0" w:line="274" w:lineRule="auto"/>
        <w:rPr>
          <w:rFonts w:ascii="Arial" w:cs="Arial" w:eastAsia="Arial" w:hAnsi="Arial"/>
          <w:sz w:val="18"/>
          <w:szCs w:val="18"/>
          <w:color w:val="auto"/>
        </w:rPr>
      </w:pPr>
      <w:r>
        <w:rPr>
          <w:rFonts w:ascii="Arial" w:cs="Arial" w:eastAsia="Arial" w:hAnsi="Arial"/>
          <w:sz w:val="18"/>
          <w:szCs w:val="18"/>
          <w:b w:val="1"/>
          <w:bCs w:val="1"/>
          <w:i w:val="1"/>
          <w:iCs w:val="1"/>
          <w:color w:val="auto"/>
        </w:rPr>
        <w:t>The Company will transfer Data as necessary for the purpose of implementation, administration and management of the Participant’s participation in the Plan, and the Company may further transfer Data to any third parties assisting the Company in the implementation, administration and management of the Plan. These recipients may be located in the European Economic Area, the United States or elsewhere throughout the world. The Participant hereby authorizes (where required under applicable law) the recipients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419" w:right="239" w:bottom="1440" w:gutter="0" w:footer="0" w:header="0"/>
        </w:sectPr>
      </w:pPr>
    </w:p>
    <w:bookmarkStart w:id="176" w:name="page177"/>
    <w:bookmarkEnd w:id="176"/>
    <w:p>
      <w:pPr>
        <w:jc w:val="both"/>
        <w:ind w:left="340"/>
        <w:spacing w:after="0" w:line="260" w:lineRule="auto"/>
        <w:rPr>
          <w:sz w:val="20"/>
          <w:szCs w:val="20"/>
          <w:color w:val="auto"/>
        </w:rPr>
      </w:pPr>
      <w:r>
        <w:rPr>
          <w:rFonts w:ascii="Arial" w:cs="Arial" w:eastAsia="Arial" w:hAnsi="Arial"/>
          <w:sz w:val="20"/>
          <w:szCs w:val="20"/>
          <w:b w:val="1"/>
          <w:bCs w:val="1"/>
          <w:i w:val="1"/>
          <w:iCs w:val="1"/>
          <w:color w:val="auto"/>
        </w:rPr>
        <w:t>Participant’s behalf to a broker or other third party with whom the Participant may elect to deposit any Shares acquired pursuant to the Plan.</w:t>
      </w:r>
    </w:p>
    <w:p>
      <w:pPr>
        <w:spacing w:after="0" w:line="123" w:lineRule="exact"/>
        <w:rPr>
          <w:sz w:val="20"/>
          <w:szCs w:val="20"/>
          <w:color w:val="auto"/>
        </w:rPr>
      </w:pPr>
    </w:p>
    <w:p>
      <w:pPr>
        <w:jc w:val="both"/>
        <w:ind w:left="340"/>
        <w:spacing w:after="0" w:line="258" w:lineRule="auto"/>
        <w:rPr>
          <w:sz w:val="20"/>
          <w:szCs w:val="20"/>
          <w:color w:val="auto"/>
        </w:rPr>
      </w:pPr>
      <w:r>
        <w:rPr>
          <w:rFonts w:ascii="Arial" w:cs="Arial" w:eastAsia="Arial" w:hAnsi="Arial"/>
          <w:sz w:val="19"/>
          <w:szCs w:val="19"/>
          <w:b w:val="1"/>
          <w:bCs w:val="1"/>
          <w:i w:val="1"/>
          <w:iCs w:val="1"/>
          <w:color w:val="auto"/>
        </w:rPr>
        <w:t>The Participant may, at any time, exercise the Participant’s rights provided under applicable personal data protection laws, which may include the right to (a) obtain confirmation as to the existence of the Data, (b) verify the content, origin and accuracy of the Data, (c) request the integration, update, amendment, deletion, or blockage (for breach of applicable laws) of the Data, and (d)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Company at Analog Devices, Inc., One Technology Way, Norwood, Massachusetts, 02062 U.S.A., Attention: Stock Plan Administrator.</w:t>
      </w:r>
    </w:p>
    <w:p>
      <w:pPr>
        <w:spacing w:after="0" w:line="125" w:lineRule="exact"/>
        <w:rPr>
          <w:sz w:val="20"/>
          <w:szCs w:val="20"/>
          <w:color w:val="auto"/>
        </w:rPr>
      </w:pPr>
    </w:p>
    <w:p>
      <w:pPr>
        <w:jc w:val="both"/>
        <w:ind w:left="340" w:hanging="332"/>
        <w:spacing w:after="0" w:line="258" w:lineRule="auto"/>
        <w:tabs>
          <w:tab w:leader="none" w:pos="323"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Repatriation: Compliance with Laws</w:t>
      </w:r>
      <w:r>
        <w:rPr>
          <w:rFonts w:ascii="Arial" w:cs="Arial" w:eastAsia="Arial" w:hAnsi="Arial"/>
          <w:sz w:val="19"/>
          <w:szCs w:val="19"/>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25" w:lineRule="exact"/>
        <w:rPr>
          <w:rFonts w:ascii="Arial" w:cs="Arial" w:eastAsia="Arial" w:hAnsi="Arial"/>
          <w:sz w:val="19"/>
          <w:szCs w:val="19"/>
          <w:color w:val="auto"/>
        </w:rPr>
      </w:pPr>
    </w:p>
    <w:p>
      <w:pPr>
        <w:ind w:left="320" w:hanging="312"/>
        <w:spacing w:after="0"/>
        <w:tabs>
          <w:tab w:leader="none" w:pos="32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660" w:hanging="328"/>
        <w:spacing w:after="0" w:line="243" w:lineRule="auto"/>
        <w:tabs>
          <w:tab w:leader="none" w:pos="650" w:val="left"/>
        </w:tabs>
        <w:numPr>
          <w:ilvl w:val="1"/>
          <w:numId w:val="128"/>
        </w:numPr>
        <w:rPr>
          <w:rFonts w:ascii="Arial" w:cs="Arial" w:eastAsia="Arial" w:hAnsi="Arial"/>
          <w:sz w:val="20"/>
          <w:szCs w:val="20"/>
          <w:color w:val="auto"/>
        </w:rPr>
      </w:pPr>
      <w:r>
        <w:rPr>
          <w:rFonts w:ascii="Arial" w:cs="Arial" w:eastAsia="Arial" w:hAnsi="Arial"/>
          <w:sz w:val="20"/>
          <w:szCs w:val="20"/>
          <w:u w:val="single" w:color="auto"/>
          <w:color w:val="auto"/>
        </w:rPr>
        <w:t>No Rights to Board Service</w:t>
      </w:r>
      <w:r>
        <w:rPr>
          <w:rFonts w:ascii="Arial" w:cs="Arial" w:eastAsia="Arial" w:hAnsi="Arial"/>
          <w:sz w:val="20"/>
          <w:szCs w:val="20"/>
          <w:color w:val="auto"/>
        </w:rPr>
        <w:t>. The grant of the RSUs shall not confer upon the Participant any right to continue to serve on the Board or, if applicable, as an employee of the Company or its subsidiaries, nor limit in any way the terms of the Participant’s service on the Board, including for removal therefrom. Except in the event of a termination of employment due to death or Disability, the vesting of the RSUs pursuant to Section 2 hereof is earned only by satisfaction of the performance conditions, if any, and continuing service on the Board or as otherwise set forth in Section 2 (not through the act of being elected, hired or engaged or being granted the RSUs hereunder).</w:t>
      </w:r>
    </w:p>
    <w:p>
      <w:pPr>
        <w:spacing w:after="0" w:line="34" w:lineRule="exact"/>
        <w:rPr>
          <w:rFonts w:ascii="Arial" w:cs="Arial" w:eastAsia="Arial" w:hAnsi="Arial"/>
          <w:sz w:val="20"/>
          <w:szCs w:val="20"/>
          <w:color w:val="auto"/>
        </w:rPr>
      </w:pPr>
    </w:p>
    <w:p>
      <w:pPr>
        <w:jc w:val="both"/>
        <w:ind w:left="660" w:hanging="328"/>
        <w:spacing w:after="0" w:line="243" w:lineRule="auto"/>
        <w:tabs>
          <w:tab w:leader="none" w:pos="648" w:val="left"/>
        </w:tabs>
        <w:numPr>
          <w:ilvl w:val="1"/>
          <w:numId w:val="128"/>
        </w:numPr>
        <w:rPr>
          <w:rFonts w:ascii="Arial" w:cs="Arial" w:eastAsia="Arial" w:hAnsi="Arial"/>
          <w:sz w:val="20"/>
          <w:szCs w:val="20"/>
          <w:color w:val="auto"/>
        </w:rPr>
      </w:pPr>
      <w:r>
        <w:rPr>
          <w:rFonts w:ascii="Arial" w:cs="Arial" w:eastAsia="Arial" w:hAnsi="Arial"/>
          <w:sz w:val="20"/>
          <w:szCs w:val="20"/>
          <w:u w:val="single" w:color="auto"/>
          <w:color w:val="auto"/>
        </w:rPr>
        <w:t>Discretionary Nature</w:t>
      </w:r>
      <w:r>
        <w:rPr>
          <w:rFonts w:ascii="Arial" w:cs="Arial" w:eastAsia="Arial" w:hAnsi="Arial"/>
          <w:sz w:val="20"/>
          <w:szCs w:val="20"/>
          <w:color w:val="auto"/>
        </w:rPr>
        <w:t>. The Participant acknowledges and agrees that the Plan is discretionary in nature and may be amended, cancelled, or terminated by the Company at any time, to the extent permitted under the Plan.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service with the Company.</w:t>
      </w:r>
    </w:p>
    <w:p>
      <w:pPr>
        <w:spacing w:after="0" w:line="31" w:lineRule="exact"/>
        <w:rPr>
          <w:rFonts w:ascii="Arial" w:cs="Arial" w:eastAsia="Arial" w:hAnsi="Arial"/>
          <w:sz w:val="20"/>
          <w:szCs w:val="20"/>
          <w:color w:val="auto"/>
        </w:rPr>
      </w:pPr>
    </w:p>
    <w:p>
      <w:pPr>
        <w:jc w:val="both"/>
        <w:ind w:left="660" w:hanging="328"/>
        <w:spacing w:after="0" w:line="244" w:lineRule="auto"/>
        <w:tabs>
          <w:tab w:leader="none" w:pos="650" w:val="left"/>
        </w:tabs>
        <w:numPr>
          <w:ilvl w:val="1"/>
          <w:numId w:val="128"/>
        </w:numPr>
        <w:rPr>
          <w:rFonts w:ascii="Arial" w:cs="Arial" w:eastAsia="Arial" w:hAnsi="Arial"/>
          <w:sz w:val="20"/>
          <w:szCs w:val="20"/>
          <w:color w:val="auto"/>
        </w:rPr>
      </w:pPr>
      <w:r>
        <w:rPr>
          <w:rFonts w:ascii="Arial" w:cs="Arial" w:eastAsia="Arial" w:hAnsi="Arial"/>
          <w:sz w:val="20"/>
          <w:szCs w:val="20"/>
          <w:u w:val="single" w:color="auto"/>
          <w:color w:val="auto"/>
        </w:rPr>
        <w:t>Exclusion from Termination Indemnities and Other Benefits</w:t>
      </w:r>
      <w:r>
        <w:rPr>
          <w:rFonts w:ascii="Arial" w:cs="Arial" w:eastAsia="Arial" w:hAnsi="Arial"/>
          <w:sz w:val="20"/>
          <w:szCs w:val="20"/>
          <w:color w:val="auto"/>
        </w:rPr>
        <w:t>. The Participant’s participation in the Plan is voluntary. The value of the RSUs and any other awards granted under the Plan is an extraordinary item of compensation outside the scope of the Participant’s service on the Board. Any grant under the Plan, including the grant of the RSUs and the income and value of same, is not part of normal or expected compensation for purposes of calculating any severance, resignation, redundancy, end of service payments, bonuses, long-service awards, pension,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419" w:right="239" w:bottom="1440" w:gutter="0" w:footer="0" w:header="0"/>
        </w:sectPr>
      </w:pPr>
    </w:p>
    <w:bookmarkStart w:id="177" w:name="page178"/>
    <w:bookmarkEnd w:id="177"/>
    <w:p>
      <w:pPr>
        <w:ind w:left="328"/>
        <w:spacing w:after="0" w:line="260" w:lineRule="auto"/>
        <w:rPr>
          <w:sz w:val="20"/>
          <w:szCs w:val="20"/>
          <w:color w:val="auto"/>
        </w:rPr>
      </w:pPr>
      <w:r>
        <w:rPr>
          <w:rFonts w:ascii="Arial" w:cs="Arial" w:eastAsia="Arial" w:hAnsi="Arial"/>
          <w:sz w:val="20"/>
          <w:szCs w:val="20"/>
          <w:color w:val="auto"/>
        </w:rPr>
        <w:t>retirement benefits or similar payments. The grant of RSUs should in no event be considered as compensation for, or in any way related to, past services for the Company.</w:t>
      </w:r>
    </w:p>
    <w:p>
      <w:pPr>
        <w:spacing w:after="0" w:line="15" w:lineRule="exact"/>
        <w:rPr>
          <w:sz w:val="20"/>
          <w:szCs w:val="20"/>
          <w:color w:val="auto"/>
        </w:rPr>
      </w:pPr>
    </w:p>
    <w:p>
      <w:pPr>
        <w:ind w:left="328" w:hanging="328"/>
        <w:spacing w:after="0" w:line="297" w:lineRule="auto"/>
        <w:tabs>
          <w:tab w:leader="none" w:pos="315"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Award shall not affect the validity or enforceability of any other provision of this Award, and each other provision of this Award shall be severable and enforceable to the extent permitted by law.</w:t>
      </w:r>
    </w:p>
    <w:p>
      <w:pPr>
        <w:jc w:val="both"/>
        <w:ind w:left="328" w:hanging="328"/>
        <w:spacing w:after="0" w:line="250" w:lineRule="auto"/>
        <w:tabs>
          <w:tab w:leader="none" w:pos="318"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Award shall be binding upon and inure to the benefit of the Company and the Participant and his or her respective heirs, executors, administrators, legal representatives, successors and assigns, subject to the restrictions on transfer set forth in Section 3 of this Award.</w:t>
      </w:r>
    </w:p>
    <w:p>
      <w:pPr>
        <w:spacing w:after="0" w:line="24" w:lineRule="exact"/>
        <w:rPr>
          <w:rFonts w:ascii="Arial" w:cs="Arial" w:eastAsia="Arial" w:hAnsi="Arial"/>
          <w:sz w:val="20"/>
          <w:szCs w:val="20"/>
          <w:color w:val="auto"/>
        </w:rPr>
      </w:pPr>
    </w:p>
    <w:p>
      <w:pPr>
        <w:jc w:val="both"/>
        <w:ind w:left="328" w:hanging="328"/>
        <w:spacing w:after="0" w:line="278" w:lineRule="auto"/>
        <w:tabs>
          <w:tab w:leader="none" w:pos="323"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Technology Way, Norwood, Massachusetts, 02062 U.S.A., Attention: Stock Plan Administrator. Each notice to the Participant shall be addressed to the Participant at the Participant’s last known mailing or email address, as applicable, on the records of the Company.</w:t>
      </w:r>
    </w:p>
    <w:p>
      <w:pPr>
        <w:spacing w:after="0" w:line="3" w:lineRule="exact"/>
        <w:rPr>
          <w:rFonts w:ascii="Arial" w:cs="Arial" w:eastAsia="Arial" w:hAnsi="Arial"/>
          <w:sz w:val="18"/>
          <w:szCs w:val="18"/>
          <w:color w:val="auto"/>
        </w:rPr>
      </w:pPr>
    </w:p>
    <w:p>
      <w:pPr>
        <w:ind w:left="328" w:hanging="328"/>
        <w:spacing w:after="0" w:line="281" w:lineRule="auto"/>
        <w:tabs>
          <w:tab w:leader="none" w:pos="315"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Pronouns</w:t>
      </w:r>
      <w:r>
        <w:rPr>
          <w:rFonts w:ascii="Arial" w:cs="Arial" w:eastAsia="Arial" w:hAnsi="Arial"/>
          <w:sz w:val="19"/>
          <w:szCs w:val="19"/>
          <w:color w:val="auto"/>
        </w:rPr>
        <w:t>. Whenever the context may require, any pronouns used in this Award shall include the corresponding masculine, feminine or neuter forms, and the singular form of nouns and pronouns shall include the plural, and vice versa.</w:t>
      </w:r>
    </w:p>
    <w:p>
      <w:pPr>
        <w:spacing w:after="0" w:line="1" w:lineRule="exact"/>
        <w:rPr>
          <w:rFonts w:ascii="Arial" w:cs="Arial" w:eastAsia="Arial" w:hAnsi="Arial"/>
          <w:sz w:val="19"/>
          <w:szCs w:val="19"/>
          <w:color w:val="auto"/>
        </w:rPr>
      </w:pPr>
    </w:p>
    <w:p>
      <w:pPr>
        <w:ind w:left="328" w:hanging="328"/>
        <w:spacing w:after="0" w:line="260" w:lineRule="auto"/>
        <w:tabs>
          <w:tab w:leader="none" w:pos="315"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Award and the Plan constitute the entire understanding between the parties, and supersede all prior agreements and understandings, relating to the subject matter of these documents.</w:t>
      </w:r>
    </w:p>
    <w:p>
      <w:pPr>
        <w:spacing w:after="0" w:line="14" w:lineRule="exact"/>
        <w:rPr>
          <w:rFonts w:ascii="Arial" w:cs="Arial" w:eastAsia="Arial" w:hAnsi="Arial"/>
          <w:sz w:val="20"/>
          <w:szCs w:val="20"/>
          <w:color w:val="auto"/>
        </w:rPr>
      </w:pPr>
    </w:p>
    <w:p>
      <w:pPr>
        <w:ind w:left="328" w:hanging="328"/>
        <w:spacing w:after="0" w:line="260" w:lineRule="auto"/>
        <w:tabs>
          <w:tab w:leader="none" w:pos="326"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Award shall be construed, interpreted and enforced in accordance with the internal laws of the Commonwealth of Massachusetts without regard to any applicable conflicts of laws.</w:t>
      </w:r>
    </w:p>
    <w:p>
      <w:pPr>
        <w:spacing w:after="0" w:line="14" w:lineRule="exact"/>
        <w:rPr>
          <w:rFonts w:ascii="Arial" w:cs="Arial" w:eastAsia="Arial" w:hAnsi="Arial"/>
          <w:sz w:val="20"/>
          <w:szCs w:val="20"/>
          <w:color w:val="auto"/>
        </w:rPr>
      </w:pPr>
    </w:p>
    <w:p>
      <w:pPr>
        <w:ind w:left="328" w:right="20" w:hanging="328"/>
        <w:spacing w:after="0" w:line="260" w:lineRule="auto"/>
        <w:tabs>
          <w:tab w:leader="none" w:pos="326"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interpretation and construction of any terms or conditions of this Award or the Plan, or other matters related to the Plan, by the Compensation Committee of the Board of the Company shall be final and conclusive.</w:t>
      </w:r>
    </w:p>
    <w:p>
      <w:pPr>
        <w:spacing w:after="0" w:line="14" w:lineRule="exact"/>
        <w:rPr>
          <w:rFonts w:ascii="Arial" w:cs="Arial" w:eastAsia="Arial" w:hAnsi="Arial"/>
          <w:sz w:val="20"/>
          <w:szCs w:val="20"/>
          <w:color w:val="auto"/>
        </w:rPr>
      </w:pPr>
    </w:p>
    <w:p>
      <w:pPr>
        <w:jc w:val="both"/>
        <w:ind w:left="328" w:hanging="328"/>
        <w:spacing w:after="0" w:line="246" w:lineRule="auto"/>
        <w:tabs>
          <w:tab w:leader="none" w:pos="315"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Participant’s Acceptance</w:t>
      </w:r>
      <w:r>
        <w:rPr>
          <w:rFonts w:ascii="Arial" w:cs="Arial" w:eastAsia="Arial" w:hAnsi="Arial"/>
          <w:sz w:val="20"/>
          <w:szCs w:val="20"/>
          <w:color w:val="auto"/>
        </w:rPr>
        <w:t>. The Participant is urged to read this Award carefully and to consult with his or her own legal counsel regarding the terms and consequences of this Award and the legal and binding effect of this Award. By virtue of his or her acceptance of this Award, the Participant is deemed to have accepted and agreed to all of the terms and conditions of this Award and the provisions of the Plan.</w:t>
      </w:r>
    </w:p>
    <w:p>
      <w:pPr>
        <w:spacing w:after="0" w:line="29" w:lineRule="exact"/>
        <w:rPr>
          <w:rFonts w:ascii="Arial" w:cs="Arial" w:eastAsia="Arial" w:hAnsi="Arial"/>
          <w:sz w:val="20"/>
          <w:szCs w:val="20"/>
          <w:color w:val="auto"/>
        </w:rPr>
      </w:pPr>
    </w:p>
    <w:p>
      <w:pPr>
        <w:jc w:val="both"/>
        <w:ind w:left="328" w:hanging="328"/>
        <w:spacing w:after="0" w:line="246" w:lineRule="auto"/>
        <w:tabs>
          <w:tab w:leader="none" w:pos="326"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9" w:lineRule="exact"/>
        <w:rPr>
          <w:rFonts w:ascii="Arial" w:cs="Arial" w:eastAsia="Arial" w:hAnsi="Arial"/>
          <w:sz w:val="20"/>
          <w:szCs w:val="20"/>
          <w:color w:val="auto"/>
        </w:rPr>
      </w:pPr>
    </w:p>
    <w:p>
      <w:pPr>
        <w:jc w:val="both"/>
        <w:ind w:left="328" w:hanging="328"/>
        <w:spacing w:after="0" w:line="281" w:lineRule="auto"/>
        <w:tabs>
          <w:tab w:leader="none" w:pos="31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3" w:lineRule="exact"/>
        <w:rPr>
          <w:rFonts w:ascii="Arial" w:cs="Arial" w:eastAsia="Arial" w:hAnsi="Arial"/>
          <w:sz w:val="18"/>
          <w:szCs w:val="18"/>
          <w:color w:val="auto"/>
        </w:rPr>
      </w:pPr>
    </w:p>
    <w:p>
      <w:pPr>
        <w:jc w:val="both"/>
        <w:ind w:left="328" w:hanging="328"/>
        <w:spacing w:after="0" w:line="250" w:lineRule="auto"/>
        <w:tabs>
          <w:tab w:leader="none" w:pos="315"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Private Placement</w:t>
      </w:r>
      <w:r>
        <w:rPr>
          <w:rFonts w:ascii="Arial" w:cs="Arial" w:eastAsia="Arial" w:hAnsi="Arial"/>
          <w:sz w:val="20"/>
          <w:szCs w:val="20"/>
          <w:color w:val="auto"/>
        </w:rPr>
        <w:t>. The Company has submitted regulatory filings in the United States in connection with the stock incentive plan under which this Award was made. The Company has not submitted any registration statement, prospectus or other filings with other local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88"/>
          </w:cols>
          <w:pgMar w:left="572" w:top="1419" w:right="239" w:bottom="1440" w:gutter="0" w:footer="0" w:header="0"/>
        </w:sectPr>
      </w:pPr>
    </w:p>
    <w:bookmarkStart w:id="178" w:name="page179"/>
    <w:bookmarkEnd w:id="178"/>
    <w:p>
      <w:pPr>
        <w:ind w:left="660"/>
        <w:spacing w:after="0" w:line="260" w:lineRule="auto"/>
        <w:rPr>
          <w:sz w:val="20"/>
          <w:szCs w:val="20"/>
          <w:color w:val="auto"/>
        </w:rPr>
      </w:pPr>
      <w:r>
        <w:rPr>
          <w:rFonts w:ascii="Arial" w:cs="Arial" w:eastAsia="Arial" w:hAnsi="Arial"/>
          <w:sz w:val="20"/>
          <w:szCs w:val="20"/>
          <w:color w:val="auto"/>
        </w:rPr>
        <w:t>authorities (unless otherwise required under such local law), and the grant of the Award is not intended to be a public offering of securities in any other jurisdiction or subject to the supervision of other local securities authorities.</w:t>
      </w:r>
    </w:p>
    <w:p>
      <w:pPr>
        <w:spacing w:after="0" w:line="15" w:lineRule="exact"/>
        <w:rPr>
          <w:sz w:val="20"/>
          <w:szCs w:val="20"/>
          <w:color w:val="auto"/>
        </w:rPr>
      </w:pPr>
    </w:p>
    <w:p>
      <w:pPr>
        <w:jc w:val="both"/>
        <w:ind w:left="660" w:hanging="328"/>
        <w:spacing w:after="0" w:line="246" w:lineRule="auto"/>
        <w:tabs>
          <w:tab w:leader="none" w:pos="648"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Changes in Capitalization</w:t>
      </w:r>
      <w:r>
        <w:rPr>
          <w:rFonts w:ascii="Arial" w:cs="Arial" w:eastAsia="Arial" w:hAnsi="Arial"/>
          <w:sz w:val="20"/>
          <w:szCs w:val="20"/>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w:t>
      </w:r>
    </w:p>
    <w:p>
      <w:pPr>
        <w:spacing w:after="0" w:line="29" w:lineRule="exact"/>
        <w:rPr>
          <w:rFonts w:ascii="Arial" w:cs="Arial" w:eastAsia="Arial" w:hAnsi="Arial"/>
          <w:sz w:val="20"/>
          <w:szCs w:val="20"/>
          <w:color w:val="auto"/>
        </w:rPr>
      </w:pPr>
    </w:p>
    <w:p>
      <w:pPr>
        <w:ind w:left="640" w:hanging="308"/>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Award may be amended or modified only by a written instrument executed by both the Company and the Participant.</w:t>
      </w:r>
    </w:p>
    <w:p>
      <w:pPr>
        <w:spacing w:after="0" w:line="76" w:lineRule="exact"/>
        <w:rPr>
          <w:rFonts w:ascii="Arial" w:cs="Arial" w:eastAsia="Arial" w:hAnsi="Arial"/>
          <w:sz w:val="18"/>
          <w:szCs w:val="18"/>
          <w:color w:val="auto"/>
        </w:rPr>
      </w:pPr>
    </w:p>
    <w:p>
      <w:pPr>
        <w:jc w:val="both"/>
        <w:ind w:left="660" w:hanging="328"/>
        <w:spacing w:after="0" w:line="250" w:lineRule="auto"/>
        <w:tabs>
          <w:tab w:leader="none" w:pos="648"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4" w:lineRule="exact"/>
        <w:rPr>
          <w:rFonts w:ascii="Arial" w:cs="Arial" w:eastAsia="Arial" w:hAnsi="Arial"/>
          <w:sz w:val="20"/>
          <w:szCs w:val="20"/>
          <w:color w:val="auto"/>
        </w:rPr>
      </w:pPr>
    </w:p>
    <w:p>
      <w:pPr>
        <w:jc w:val="both"/>
        <w:ind w:left="660" w:hanging="328"/>
        <w:spacing w:after="0" w:line="271"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The Participant acknowledges that, depending on the Participant’s or the Participant’s broker’s country of residence or where the Common Stock is listed, the Participant may be subject to insider trading restrictions and/or market abuse laws, which may affect the Participant’s ability to accept, acquire, sell, or otherwise dispose of Common Stock, rights to Common Stock (</w:t>
      </w:r>
      <w:r>
        <w:rPr>
          <w:rFonts w:ascii="Arial" w:cs="Arial" w:eastAsia="Arial" w:hAnsi="Arial"/>
          <w:sz w:val="18"/>
          <w:szCs w:val="18"/>
          <w:i w:val="1"/>
          <w:iCs w:val="1"/>
          <w:color w:val="auto"/>
        </w:rPr>
        <w:t>e.g.</w:t>
      </w:r>
      <w:r>
        <w:rPr>
          <w:rFonts w:ascii="Arial" w:cs="Arial" w:eastAsia="Arial" w:hAnsi="Arial"/>
          <w:sz w:val="18"/>
          <w:szCs w:val="18"/>
          <w:color w:val="auto"/>
        </w:rPr>
        <w:t>, RSUs) or rights linked to the value of Common Stock (</w:t>
      </w:r>
      <w:r>
        <w:rPr>
          <w:rFonts w:ascii="Arial" w:cs="Arial" w:eastAsia="Arial" w:hAnsi="Arial"/>
          <w:sz w:val="18"/>
          <w:szCs w:val="18"/>
          <w:i w:val="1"/>
          <w:iCs w:val="1"/>
          <w:color w:val="auto"/>
        </w:rPr>
        <w:t>e.g.</w:t>
      </w:r>
      <w:r>
        <w:rPr>
          <w:rFonts w:ascii="Arial" w:cs="Arial" w:eastAsia="Arial" w:hAnsi="Arial"/>
          <w:sz w:val="18"/>
          <w:szCs w:val="18"/>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30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4380" w:type="dxa"/>
            <w:vAlign w:val="bottom"/>
          </w:tcPr>
          <w:p>
            <w:pPr>
              <w:ind w:left="20"/>
              <w:spacing w:after="0"/>
              <w:rPr>
                <w:sz w:val="20"/>
                <w:szCs w:val="20"/>
                <w:color w:val="auto"/>
              </w:rPr>
            </w:pPr>
            <w:r>
              <w:rPr>
                <w:rFonts w:ascii="Arial" w:cs="Arial" w:eastAsia="Arial" w:hAnsi="Arial"/>
                <w:sz w:val="20"/>
                <w:szCs w:val="20"/>
                <w:color w:val="auto"/>
              </w:rPr>
              <w:t>/s/ Ray Stata</w:t>
            </w:r>
          </w:p>
        </w:tc>
        <w:tc>
          <w:tcPr>
            <w:tcW w:w="6420" w:type="dxa"/>
            <w:vAlign w:val="bottom"/>
            <w:gridSpan w:val="2"/>
          </w:tcPr>
          <w:p>
            <w:pPr>
              <w:ind w:left="1520"/>
              <w:spacing w:after="0"/>
              <w:rPr>
                <w:sz w:val="20"/>
                <w:szCs w:val="20"/>
                <w:color w:val="auto"/>
              </w:rPr>
            </w:pPr>
            <w:r>
              <w:rPr>
                <w:rFonts w:ascii="Arial" w:cs="Arial" w:eastAsia="Arial" w:hAnsi="Arial"/>
                <w:sz w:val="20"/>
                <w:szCs w:val="20"/>
                <w:color w:val="auto"/>
              </w:rPr>
              <w:t>By:   /s/ Vincent Roche</w:t>
            </w:r>
          </w:p>
        </w:tc>
      </w:tr>
      <w:tr>
        <w:trPr>
          <w:trHeight w:val="23"/>
        </w:trPr>
        <w:tc>
          <w:tcPr>
            <w:tcW w:w="60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4380" w:type="dxa"/>
            <w:vAlign w:val="bottom"/>
          </w:tcPr>
          <w:p>
            <w:pPr>
              <w:ind w:left="20"/>
              <w:spacing w:after="0"/>
              <w:rPr>
                <w:sz w:val="20"/>
                <w:szCs w:val="20"/>
                <w:color w:val="auto"/>
              </w:rPr>
            </w:pPr>
            <w:r>
              <w:rPr>
                <w:rFonts w:ascii="Arial" w:cs="Arial" w:eastAsia="Arial" w:hAnsi="Arial"/>
                <w:sz w:val="20"/>
                <w:szCs w:val="20"/>
                <w:color w:val="auto"/>
              </w:rPr>
              <w:t>Ray Stata, Chairman of the Board of Directors</w:t>
            </w:r>
          </w:p>
        </w:tc>
        <w:tc>
          <w:tcPr>
            <w:tcW w:w="2080" w:type="dxa"/>
            <w:vAlign w:val="bottom"/>
          </w:tcPr>
          <w:p>
            <w:pPr>
              <w:spacing w:after="0"/>
              <w:rPr>
                <w:sz w:val="22"/>
                <w:szCs w:val="22"/>
                <w:color w:val="auto"/>
              </w:rPr>
            </w:pPr>
          </w:p>
        </w:tc>
        <w:tc>
          <w:tcPr>
            <w:tcW w:w="4340" w:type="dxa"/>
            <w:vAlign w:val="bottom"/>
          </w:tcPr>
          <w:p>
            <w:pPr>
              <w:spacing w:after="0"/>
              <w:rPr>
                <w:sz w:val="20"/>
                <w:szCs w:val="20"/>
                <w:color w:val="auto"/>
              </w:rPr>
            </w:pPr>
            <w:r>
              <w:rPr>
                <w:rFonts w:ascii="Arial" w:cs="Arial" w:eastAsia="Arial" w:hAnsi="Arial"/>
                <w:sz w:val="20"/>
                <w:szCs w:val="20"/>
                <w:color w:val="auto"/>
                <w:w w:val="95"/>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1419"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Private &amp; Confidential (Addressee Only)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Participant Name}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{Employee ID</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Grant ID: {</w:t>
      </w:r>
      <w:r>
        <w:rPr>
          <w:rFonts w:ascii="Arial" w:cs="Arial" w:eastAsia="Arial" w:hAnsi="Arial"/>
          <w:sz w:val="20"/>
          <w:szCs w:val="20"/>
          <w:i w:val="1"/>
          <w:iCs w:val="1"/>
          <w:color w:val="auto"/>
        </w:rPr>
        <w:t>Client Grant ID</w:t>
      </w:r>
      <w:r>
        <w:rPr>
          <w:rFonts w:ascii="Arial" w:cs="Arial" w:eastAsia="Arial" w:hAnsi="Arial"/>
          <w:sz w:val="20"/>
          <w:szCs w:val="20"/>
          <w:color w:val="auto"/>
        </w:rPr>
        <w:t>}</w:t>
      </w:r>
    </w:p>
    <w:p>
      <w:pPr>
        <w:spacing w:after="0" w:line="38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15"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Performance Restricted Stock Unit</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660"/>
        <w:spacing w:after="0" w:line="260" w:lineRule="auto"/>
        <w:rPr>
          <w:rFonts w:ascii="Arial" w:cs="Arial" w:eastAsia="Arial" w:hAnsi="Arial"/>
          <w:sz w:val="20"/>
          <w:szCs w:val="20"/>
          <w:color w:val="auto"/>
        </w:rPr>
      </w:pPr>
      <w:r>
        <w:rPr>
          <w:rFonts w:ascii="Arial" w:cs="Arial" w:eastAsia="Arial" w:hAnsi="Arial"/>
          <w:sz w:val="20"/>
          <w:szCs w:val="20"/>
          <w:color w:val="auto"/>
        </w:rPr>
        <w:t>Subject to the terms and conditions of the Plan and this Agreement, the Company has granted to the Participant that number of Performance RSUs (the “Award”) effective on the Date of Grant set forth below:</w:t>
      </w:r>
    </w:p>
    <w:p>
      <w:pPr>
        <w:spacing w:after="0" w:line="11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0000CC"/>
        </w:rPr>
        <w:t>Date of Grant: {</w:t>
      </w:r>
      <w:r>
        <w:rPr>
          <w:rFonts w:ascii="Arial" w:cs="Arial" w:eastAsia="Arial" w:hAnsi="Arial"/>
          <w:sz w:val="20"/>
          <w:szCs w:val="20"/>
          <w:b w:val="1"/>
          <w:bCs w:val="1"/>
          <w:i w:val="1"/>
          <w:iCs w:val="1"/>
          <w:color w:val="0000CC"/>
        </w:rPr>
        <w:t>Grant Date</w:t>
      </w:r>
      <w:r>
        <w:rPr>
          <w:rFonts w:ascii="Arial" w:cs="Arial" w:eastAsia="Arial" w:hAnsi="Arial"/>
          <w:sz w:val="20"/>
          <w:szCs w:val="20"/>
          <w:b w:val="1"/>
          <w:bCs w:val="1"/>
          <w:color w:val="0000CC"/>
        </w:rPr>
        <w:t>}</w:t>
      </w:r>
    </w:p>
    <w:p>
      <w:pPr>
        <w:spacing w:after="0" w:line="2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0000CC"/>
        </w:rPr>
        <w:t>Number of Performance RSUs (“Initial Grant Number”): {</w:t>
      </w:r>
      <w:r>
        <w:rPr>
          <w:rFonts w:ascii="Arial" w:cs="Arial" w:eastAsia="Arial" w:hAnsi="Arial"/>
          <w:sz w:val="20"/>
          <w:szCs w:val="20"/>
          <w:b w:val="1"/>
          <w:bCs w:val="1"/>
          <w:i w:val="1"/>
          <w:iCs w:val="1"/>
          <w:color w:val="0000CC"/>
        </w:rPr>
        <w:t>Number of Awards Granted</w:t>
      </w:r>
      <w:r>
        <w:rPr>
          <w:rFonts w:ascii="Arial" w:cs="Arial" w:eastAsia="Arial" w:hAnsi="Arial"/>
          <w:sz w:val="20"/>
          <w:szCs w:val="20"/>
          <w:b w:val="1"/>
          <w:bCs w:val="1"/>
          <w:color w:val="0000CC"/>
        </w:rPr>
        <w:t>}</w:t>
      </w:r>
    </w:p>
    <w:p>
      <w:pPr>
        <w:ind w:left="660"/>
        <w:spacing w:after="0"/>
        <w:rPr>
          <w:rFonts w:ascii="Arial" w:cs="Arial" w:eastAsia="Arial" w:hAnsi="Arial"/>
          <w:sz w:val="20"/>
          <w:szCs w:val="20"/>
          <w:color w:val="auto"/>
        </w:rPr>
      </w:pPr>
      <w:r>
        <w:rPr>
          <w:rFonts w:ascii="Arial" w:cs="Arial" w:eastAsia="Arial" w:hAnsi="Arial"/>
          <w:sz w:val="20"/>
          <w:szCs w:val="20"/>
          <w:b w:val="1"/>
          <w:bCs w:val="1"/>
          <w:color w:val="0000CC"/>
        </w:rPr>
        <w:t>Vesting Date: {</w:t>
      </w:r>
      <w:r>
        <w:rPr>
          <w:rFonts w:ascii="Arial" w:cs="Arial" w:eastAsia="Arial" w:hAnsi="Arial"/>
          <w:sz w:val="20"/>
          <w:szCs w:val="20"/>
          <w:b w:val="1"/>
          <w:bCs w:val="1"/>
          <w:i w:val="1"/>
          <w:iCs w:val="1"/>
          <w:color w:val="0000CC"/>
        </w:rPr>
        <w:t>Cliff Vesting Date</w:t>
      </w:r>
      <w:r>
        <w:rPr>
          <w:rFonts w:ascii="Arial" w:cs="Arial" w:eastAsia="Arial" w:hAnsi="Arial"/>
          <w:sz w:val="20"/>
          <w:szCs w:val="20"/>
          <w:b w:val="1"/>
          <w:bCs w:val="1"/>
          <w:color w:val="0000CC"/>
        </w:rPr>
        <w:t>}</w:t>
      </w:r>
    </w:p>
    <w:p>
      <w:pPr>
        <w:spacing w:after="0" w:line="226" w:lineRule="exact"/>
        <w:rPr>
          <w:rFonts w:ascii="Arial" w:cs="Arial" w:eastAsia="Arial" w:hAnsi="Arial"/>
          <w:sz w:val="20"/>
          <w:szCs w:val="20"/>
          <w:color w:val="auto"/>
        </w:rPr>
      </w:pPr>
    </w:p>
    <w:p>
      <w:pPr>
        <w:jc w:val="both"/>
        <w:ind w:left="660"/>
        <w:spacing w:after="0" w:line="291" w:lineRule="auto"/>
        <w:rPr>
          <w:rFonts w:ascii="Arial" w:cs="Arial" w:eastAsia="Arial" w:hAnsi="Arial"/>
          <w:sz w:val="20"/>
          <w:szCs w:val="20"/>
          <w:color w:val="auto"/>
        </w:rPr>
      </w:pPr>
      <w:r>
        <w:rPr>
          <w:rFonts w:ascii="Arial" w:cs="Arial" w:eastAsia="Arial" w:hAnsi="Arial"/>
          <w:sz w:val="18"/>
          <w:szCs w:val="18"/>
          <w:color w:val="auto"/>
        </w:rPr>
        <w:t xml:space="preserve">If the Participant resides in a European Economic Area or European Union member state, due to local legal requirements the Participant </w:t>
      </w:r>
      <w:r>
        <w:rPr>
          <w:rFonts w:ascii="Arial" w:cs="Arial" w:eastAsia="Arial" w:hAnsi="Arial"/>
          <w:sz w:val="18"/>
          <w:szCs w:val="18"/>
          <w:b w:val="1"/>
          <w:bCs w:val="1"/>
          <w:i w:val="1"/>
          <w:iCs w:val="1"/>
          <w:color w:val="auto"/>
        </w:rPr>
        <w:t>must accept</w:t>
      </w:r>
      <w:r>
        <w:rPr>
          <w:rFonts w:ascii="Arial" w:cs="Arial" w:eastAsia="Arial" w:hAnsi="Arial"/>
          <w:sz w:val="18"/>
          <w:szCs w:val="18"/>
          <w:color w:val="auto"/>
        </w:rPr>
        <w:t xml:space="preserve"> this Agreement no later than {</w:t>
      </w:r>
      <w:r>
        <w:rPr>
          <w:rFonts w:ascii="Arial" w:cs="Arial" w:eastAsia="Arial" w:hAnsi="Arial"/>
          <w:sz w:val="18"/>
          <w:szCs w:val="18"/>
          <w:i w:val="1"/>
          <w:iCs w:val="1"/>
          <w:color w:val="auto"/>
        </w:rPr>
        <w:t>Grant Custom 4</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this Award shall terminate and will become null and void</w:t>
      </w:r>
      <w:r>
        <w:rPr>
          <w:rFonts w:ascii="Arial" w:cs="Arial" w:eastAsia="Arial" w:hAnsi="Arial"/>
          <w:sz w:val="18"/>
          <w:szCs w:val="18"/>
          <w:color w:val="auto"/>
        </w:rPr>
        <w:t>. For purposes of this Agreement, the Participant is deemed to reside in the country where his or her Employer is located.</w:t>
      </w:r>
    </w:p>
    <w:p>
      <w:pPr>
        <w:spacing w:after="0" w:line="97" w:lineRule="exact"/>
        <w:rPr>
          <w:rFonts w:ascii="Arial" w:cs="Arial" w:eastAsia="Arial" w:hAnsi="Arial"/>
          <w:sz w:val="20"/>
          <w:szCs w:val="20"/>
          <w:color w:val="auto"/>
        </w:rPr>
      </w:pPr>
    </w:p>
    <w:p>
      <w:pPr>
        <w:jc w:val="both"/>
        <w:ind w:left="660"/>
        <w:spacing w:after="0" w:line="246" w:lineRule="auto"/>
        <w:rPr>
          <w:rFonts w:ascii="Arial" w:cs="Arial" w:eastAsia="Arial" w:hAnsi="Arial"/>
          <w:sz w:val="20"/>
          <w:szCs w:val="20"/>
          <w:color w:val="auto"/>
        </w:rPr>
      </w:pPr>
      <w:r>
        <w:rPr>
          <w:rFonts w:ascii="Arial" w:cs="Arial" w:eastAsia="Arial" w:hAnsi="Arial"/>
          <w:sz w:val="20"/>
          <w:szCs w:val="20"/>
          <w:color w:val="auto"/>
        </w:rPr>
        <w:t>If the Participant resides in the United States and does not accept this Agreement by {</w:t>
      </w:r>
      <w:r>
        <w:rPr>
          <w:rFonts w:ascii="Arial" w:cs="Arial" w:eastAsia="Arial" w:hAnsi="Arial"/>
          <w:sz w:val="20"/>
          <w:szCs w:val="20"/>
          <w:i w:val="1"/>
          <w:iCs w:val="1"/>
          <w:color w:val="auto"/>
        </w:rPr>
        <w:t>Grant Custom 4</w:t>
      </w:r>
      <w:r>
        <w:rPr>
          <w:rFonts w:ascii="Arial" w:cs="Arial" w:eastAsia="Arial" w:hAnsi="Arial"/>
          <w:sz w:val="20"/>
          <w:szCs w:val="20"/>
          <w:color w:val="auto"/>
        </w:rPr>
        <w:t>},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w:t>
      </w:r>
      <w:r>
        <w:rPr>
          <w:rFonts w:ascii="Arial" w:cs="Arial" w:eastAsia="Arial" w:hAnsi="Arial"/>
          <w:sz w:val="20"/>
          <w:szCs w:val="20"/>
          <w:i w:val="1"/>
          <w:iCs w:val="1"/>
          <w:color w:val="auto"/>
        </w:rPr>
        <w:t>Grant Custom 4</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jc w:val="both"/>
        <w:ind w:left="660"/>
        <w:spacing w:after="0" w:line="246" w:lineRule="auto"/>
        <w:rPr>
          <w:rFonts w:ascii="Arial" w:cs="Arial" w:eastAsia="Arial" w:hAnsi="Arial"/>
          <w:sz w:val="20"/>
          <w:szCs w:val="20"/>
          <w:color w:val="auto"/>
        </w:rPr>
      </w:pPr>
      <w:r>
        <w:rPr>
          <w:rFonts w:ascii="Arial" w:cs="Arial" w:eastAsia="Arial" w:hAnsi="Arial"/>
          <w:sz w:val="20"/>
          <w:szCs w:val="20"/>
          <w:color w:val="auto"/>
        </w:rPr>
        <w:t>Each one (1) Performance RSU shall, if and when it vests in accordance with this Agreement, automatically convert into one (1) share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6" w:right="239" w:bottom="1440" w:gutter="0" w:footer="0" w:header="0"/>
        </w:sectPr>
      </w:pPr>
    </w:p>
    <w:bookmarkStart w:id="180" w:name="page181"/>
    <w:bookmarkEnd w:id="180"/>
    <w:p>
      <w:pPr>
        <w:ind w:left="660" w:hanging="652"/>
        <w:spacing w:after="0"/>
        <w:tabs>
          <w:tab w:leader="none" w:pos="660"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Vesting and Conversion</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980" w:hanging="324"/>
        <w:spacing w:after="0" w:line="270" w:lineRule="auto"/>
        <w:tabs>
          <w:tab w:leader="none" w:pos="97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Subject to the terms of the Plan and this Agreement, the Performance RSUs shall vest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9" w:lineRule="exact"/>
        <w:rPr>
          <w:rFonts w:ascii="Arial" w:cs="Arial" w:eastAsia="Arial" w:hAnsi="Arial"/>
          <w:sz w:val="18"/>
          <w:szCs w:val="18"/>
          <w:color w:val="auto"/>
        </w:rPr>
      </w:pPr>
    </w:p>
    <w:p>
      <w:pPr>
        <w:jc w:val="both"/>
        <w:ind w:left="980" w:hanging="324"/>
        <w:spacing w:after="0" w:line="282" w:lineRule="auto"/>
        <w:tabs>
          <w:tab w:leader="none" w:pos="96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07" w:lineRule="exact"/>
        <w:rPr>
          <w:rFonts w:ascii="Arial" w:cs="Arial" w:eastAsia="Arial" w:hAnsi="Arial"/>
          <w:sz w:val="18"/>
          <w:szCs w:val="18"/>
          <w:color w:val="auto"/>
        </w:rPr>
      </w:pPr>
    </w:p>
    <w:p>
      <w:pPr>
        <w:jc w:val="both"/>
        <w:ind w:left="980" w:hanging="324"/>
        <w:spacing w:after="0" w:line="243" w:lineRule="auto"/>
        <w:tabs>
          <w:tab w:leader="none" w:pos="97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In the event of the Participant’s death prior to the end of the Performance Period, the Unvested Performance RSUs shall vest immediately upon death with respect to the Initial Grant Number of Shares underlying the Performance RSUs, notwithstanding that the Participant was not employed as of the Vesting Date. In the event of the Participant’s death after the end of the 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pacing w:after="0" w:line="142" w:lineRule="exact"/>
        <w:rPr>
          <w:rFonts w:ascii="Arial" w:cs="Arial" w:eastAsia="Arial" w:hAnsi="Arial"/>
          <w:sz w:val="20"/>
          <w:szCs w:val="20"/>
          <w:color w:val="auto"/>
        </w:rPr>
      </w:pPr>
    </w:p>
    <w:p>
      <w:pPr>
        <w:jc w:val="both"/>
        <w:ind w:left="980" w:hanging="324"/>
        <w:spacing w:after="0" w:line="273" w:lineRule="auto"/>
        <w:tabs>
          <w:tab w:leader="none" w:pos="96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In the event the Participant becomes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prior to the Vesting Date. In the event the Participant becomes Disabled after the end of the Performance Period, the Unvested Performance RSUs shall vest with respect to the number of Shares underlying the Performance RSUs that would have vested in accordance with Appendix A regardless of whether the Participant continues employment through the Vesting Date. “Disabled” with respect to the Participant means, when and if, as a result of disease, injury or mental disorder, the Participant is incapable of engaging in regular service or occupation with the Company or the Employer (as defined in paragraph (e)) which has lasted or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419" w:right="239" w:bottom="1440" w:gutter="0" w:footer="0" w:header="0"/>
        </w:sectPr>
      </w:pPr>
    </w:p>
    <w:bookmarkStart w:id="181" w:name="page182"/>
    <w:bookmarkEnd w:id="181"/>
    <w:p>
      <w:pPr>
        <w:ind w:left="980"/>
        <w:spacing w:after="0"/>
        <w:rPr>
          <w:sz w:val="20"/>
          <w:szCs w:val="20"/>
          <w:color w:val="auto"/>
        </w:rPr>
      </w:pPr>
      <w:r>
        <w:rPr>
          <w:rFonts w:ascii="Arial" w:cs="Arial" w:eastAsia="Arial" w:hAnsi="Arial"/>
          <w:sz w:val="20"/>
          <w:szCs w:val="20"/>
          <w:color w:val="auto"/>
        </w:rPr>
        <w:t>expected to last for a continuous period of not less than 12 months, as determined by the Company.</w:t>
      </w:r>
    </w:p>
    <w:p>
      <w:pPr>
        <w:spacing w:after="0" w:line="162" w:lineRule="exact"/>
        <w:rPr>
          <w:sz w:val="20"/>
          <w:szCs w:val="20"/>
          <w:color w:val="auto"/>
        </w:rPr>
      </w:pPr>
    </w:p>
    <w:p>
      <w:pPr>
        <w:jc w:val="both"/>
        <w:ind w:left="980" w:hanging="324"/>
        <w:spacing w:after="0" w:line="276" w:lineRule="auto"/>
        <w:tabs>
          <w:tab w:leader="none" w:pos="97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1" w:lineRule="exact"/>
        <w:rPr>
          <w:rFonts w:ascii="Arial" w:cs="Arial" w:eastAsia="Arial" w:hAnsi="Arial"/>
          <w:sz w:val="18"/>
          <w:szCs w:val="18"/>
          <w:color w:val="auto"/>
        </w:rPr>
      </w:pPr>
    </w:p>
    <w:p>
      <w:pPr>
        <w:ind w:left="660" w:hanging="652"/>
        <w:spacing w:after="0"/>
        <w:tabs>
          <w:tab w:leader="none" w:pos="660"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980" w:hanging="324"/>
        <w:spacing w:after="0" w:line="260" w:lineRule="auto"/>
        <w:tabs>
          <w:tab w:leader="none" w:pos="97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Participant shall not sell, assign, transfer, pledge or otherwise encumber any Performance RSUs, either voluntarily or by operation of law.</w:t>
      </w:r>
    </w:p>
    <w:p>
      <w:pPr>
        <w:spacing w:after="0" w:line="122" w:lineRule="exact"/>
        <w:rPr>
          <w:rFonts w:ascii="Arial" w:cs="Arial" w:eastAsia="Arial" w:hAnsi="Arial"/>
          <w:sz w:val="20"/>
          <w:szCs w:val="20"/>
          <w:color w:val="auto"/>
        </w:rPr>
      </w:pPr>
    </w:p>
    <w:p>
      <w:pPr>
        <w:jc w:val="both"/>
        <w:ind w:left="980" w:hanging="324"/>
        <w:spacing w:after="0" w:line="269" w:lineRule="auto"/>
        <w:tabs>
          <w:tab w:leader="none" w:pos="968"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6" w:lineRule="exact"/>
        <w:rPr>
          <w:rFonts w:ascii="Arial" w:cs="Arial" w:eastAsia="Arial" w:hAnsi="Arial"/>
          <w:sz w:val="19"/>
          <w:szCs w:val="19"/>
          <w:color w:val="auto"/>
        </w:rPr>
      </w:pPr>
    </w:p>
    <w:p>
      <w:pPr>
        <w:jc w:val="both"/>
        <w:ind w:left="660" w:hanging="652"/>
        <w:spacing w:after="0" w:line="243" w:lineRule="auto"/>
        <w:tabs>
          <w:tab w:leader="none" w:pos="660"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Not a Shareholder</w:t>
      </w:r>
      <w:r>
        <w:rPr>
          <w:rFonts w:ascii="Arial" w:cs="Arial" w:eastAsia="Arial" w:hAnsi="Arial"/>
          <w:sz w:val="20"/>
          <w:szCs w:val="20"/>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42" w:lineRule="exact"/>
        <w:rPr>
          <w:rFonts w:ascii="Arial" w:cs="Arial" w:eastAsia="Arial" w:hAnsi="Arial"/>
          <w:sz w:val="20"/>
          <w:szCs w:val="20"/>
          <w:color w:val="auto"/>
        </w:rPr>
      </w:pPr>
    </w:p>
    <w:p>
      <w:pPr>
        <w:ind w:left="660" w:hanging="652"/>
        <w:spacing w:after="0"/>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Provisions of the Plan</w:t>
      </w:r>
      <w:r>
        <w:rPr>
          <w:rFonts w:ascii="Arial" w:cs="Arial" w:eastAsia="Arial" w:hAnsi="Arial"/>
          <w:sz w:val="16"/>
          <w:szCs w:val="16"/>
          <w:color w:val="auto"/>
        </w:rPr>
        <w:t>. The Performance RSUs and Shares, including the grant and issuance thereof, are subject to the provisions of the</w:t>
      </w:r>
    </w:p>
    <w:p>
      <w:pPr>
        <w:spacing w:after="0" w:line="61" w:lineRule="exact"/>
        <w:rPr>
          <w:rFonts w:ascii="Arial" w:cs="Arial" w:eastAsia="Arial" w:hAnsi="Arial"/>
          <w:sz w:val="16"/>
          <w:szCs w:val="16"/>
          <w:color w:val="auto"/>
        </w:rPr>
      </w:pPr>
    </w:p>
    <w:p>
      <w:pPr>
        <w:jc w:val="both"/>
        <w:ind w:left="660"/>
        <w:spacing w:after="0" w:line="276" w:lineRule="auto"/>
        <w:rPr>
          <w:rFonts w:ascii="Arial" w:cs="Arial" w:eastAsia="Arial" w:hAnsi="Arial"/>
          <w:sz w:val="16"/>
          <w:szCs w:val="16"/>
          <w:color w:val="auto"/>
        </w:rPr>
      </w:pPr>
      <w:r>
        <w:rPr>
          <w:rFonts w:ascii="Arial" w:cs="Arial" w:eastAsia="Arial" w:hAnsi="Arial"/>
          <w:sz w:val="18"/>
          <w:szCs w:val="18"/>
          <w:color w:val="auto"/>
        </w:rPr>
        <w:t>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12" w:lineRule="exact"/>
        <w:rPr>
          <w:rFonts w:ascii="Arial" w:cs="Arial" w:eastAsia="Arial" w:hAnsi="Arial"/>
          <w:sz w:val="16"/>
          <w:szCs w:val="16"/>
          <w:color w:val="auto"/>
        </w:rPr>
      </w:pPr>
    </w:p>
    <w:p>
      <w:pPr>
        <w:ind w:left="660" w:hanging="652"/>
        <w:spacing w:after="0"/>
        <w:tabs>
          <w:tab w:leader="none" w:pos="660"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Withholding Taxes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980" w:hanging="324"/>
        <w:spacing w:after="0" w:line="242" w:lineRule="auto"/>
        <w:tabs>
          <w:tab w:leader="none" w:pos="97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419" w:right="239" w:bottom="1440" w:gutter="0" w:footer="0" w:header="0"/>
        </w:sectPr>
      </w:pPr>
    </w:p>
    <w:bookmarkStart w:id="182" w:name="page183"/>
    <w:bookmarkEnd w:id="182"/>
    <w:p>
      <w:pPr>
        <w:jc w:val="both"/>
        <w:ind w:left="324"/>
        <w:spacing w:after="0" w:line="278" w:lineRule="auto"/>
        <w:rPr>
          <w:sz w:val="20"/>
          <w:szCs w:val="20"/>
          <w:color w:val="auto"/>
        </w:rPr>
      </w:pPr>
      <w:r>
        <w:rPr>
          <w:rFonts w:ascii="Arial" w:cs="Arial" w:eastAsia="Arial" w:hAnsi="Arial"/>
          <w:sz w:val="18"/>
          <w:szCs w:val="18"/>
          <w:color w:val="auto"/>
        </w:rPr>
        <w:t>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1" w:lineRule="exact"/>
        <w:rPr>
          <w:sz w:val="20"/>
          <w:szCs w:val="20"/>
          <w:color w:val="auto"/>
        </w:rPr>
      </w:pPr>
    </w:p>
    <w:p>
      <w:pPr>
        <w:jc w:val="both"/>
        <w:ind w:left="324" w:hanging="324"/>
        <w:spacing w:after="0" w:line="246" w:lineRule="auto"/>
        <w:tabs>
          <w:tab w:leader="none" w:pos="311" w:val="left"/>
        </w:tabs>
        <w:numPr>
          <w:ilvl w:val="0"/>
          <w:numId w:val="135"/>
        </w:numPr>
        <w:rPr>
          <w:rFonts w:ascii="Arial" w:cs="Arial" w:eastAsia="Arial" w:hAnsi="Arial"/>
          <w:sz w:val="20"/>
          <w:szCs w:val="20"/>
          <w:color w:val="auto"/>
        </w:rPr>
      </w:pPr>
      <w:r>
        <w:rPr>
          <w:rFonts w:ascii="Arial" w:cs="Arial" w:eastAsia="Arial" w:hAnsi="Arial"/>
          <w:sz w:val="20"/>
          <w:szCs w:val="20"/>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37" w:lineRule="exact"/>
        <w:rPr>
          <w:rFonts w:ascii="Arial" w:cs="Arial" w:eastAsia="Arial" w:hAnsi="Arial"/>
          <w:sz w:val="20"/>
          <w:szCs w:val="20"/>
          <w:color w:val="auto"/>
        </w:rPr>
      </w:pPr>
    </w:p>
    <w:p>
      <w:pPr>
        <w:jc w:val="both"/>
        <w:ind w:left="1304" w:hanging="841"/>
        <w:spacing w:after="0" w:line="278" w:lineRule="auto"/>
        <w:tabs>
          <w:tab w:leader="none" w:pos="130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1" w:lineRule="exact"/>
        <w:rPr>
          <w:rFonts w:ascii="Arial" w:cs="Arial" w:eastAsia="Arial" w:hAnsi="Arial"/>
          <w:sz w:val="18"/>
          <w:szCs w:val="18"/>
          <w:color w:val="auto"/>
        </w:rPr>
      </w:pPr>
    </w:p>
    <w:p>
      <w:pPr>
        <w:ind w:left="1304" w:right="20" w:hanging="896"/>
        <w:spacing w:after="0" w:line="260" w:lineRule="auto"/>
        <w:tabs>
          <w:tab w:leader="none" w:pos="1304" w:val="left"/>
        </w:tabs>
        <w:numPr>
          <w:ilvl w:val="1"/>
          <w:numId w:val="135"/>
        </w:numPr>
        <w:rPr>
          <w:rFonts w:ascii="Arial" w:cs="Arial" w:eastAsia="Arial" w:hAnsi="Arial"/>
          <w:sz w:val="20"/>
          <w:szCs w:val="20"/>
          <w:color w:val="auto"/>
        </w:rPr>
      </w:pPr>
      <w:r>
        <w:rPr>
          <w:rFonts w:ascii="Arial" w:cs="Arial" w:eastAsia="Arial" w:hAnsi="Arial"/>
          <w:sz w:val="20"/>
          <w:szCs w:val="20"/>
          <w:color w:val="auto"/>
        </w:rPr>
        <w:t>the Company may, in its discretion, withhold any amount necessary to pay the Tax-Related Items from the Participant’s salary or other amounts payable to the Participant; or</w:t>
      </w:r>
    </w:p>
    <w:p>
      <w:pPr>
        <w:spacing w:after="0" w:line="122" w:lineRule="exact"/>
        <w:rPr>
          <w:rFonts w:ascii="Arial" w:cs="Arial" w:eastAsia="Arial" w:hAnsi="Arial"/>
          <w:sz w:val="20"/>
          <w:szCs w:val="20"/>
          <w:color w:val="auto"/>
        </w:rPr>
      </w:pPr>
    </w:p>
    <w:p>
      <w:pPr>
        <w:ind w:left="1304" w:right="20" w:hanging="951"/>
        <w:spacing w:after="0" w:line="260" w:lineRule="auto"/>
        <w:tabs>
          <w:tab w:leader="none" w:pos="1304" w:val="left"/>
        </w:tabs>
        <w:numPr>
          <w:ilvl w:val="1"/>
          <w:numId w:val="135"/>
        </w:numPr>
        <w:rPr>
          <w:rFonts w:ascii="Arial" w:cs="Arial" w:eastAsia="Arial" w:hAnsi="Arial"/>
          <w:sz w:val="20"/>
          <w:szCs w:val="20"/>
          <w:color w:val="auto"/>
        </w:rPr>
      </w:pPr>
      <w:r>
        <w:rPr>
          <w:rFonts w:ascii="Arial" w:cs="Arial" w:eastAsia="Arial" w:hAnsi="Arial"/>
          <w:sz w:val="20"/>
          <w:szCs w:val="20"/>
          <w:color w:val="auto"/>
        </w:rPr>
        <w:t>the Company may withhold from proceeds of the sale of Shares either through a voluntary sale or through a mandatory sale arranged by the Company (on the Participant’s behalf pursuant to this authorization).</w:t>
      </w:r>
    </w:p>
    <w:p>
      <w:pPr>
        <w:spacing w:after="0" w:line="122" w:lineRule="exact"/>
        <w:rPr>
          <w:rFonts w:ascii="Arial" w:cs="Arial" w:eastAsia="Arial" w:hAnsi="Arial"/>
          <w:sz w:val="20"/>
          <w:szCs w:val="20"/>
          <w:color w:val="auto"/>
        </w:rPr>
      </w:pPr>
    </w:p>
    <w:p>
      <w:pPr>
        <w:jc w:val="both"/>
        <w:ind w:left="1304"/>
        <w:spacing w:after="0" w:line="244" w:lineRule="auto"/>
        <w:rPr>
          <w:rFonts w:ascii="Arial" w:cs="Arial" w:eastAsia="Arial" w:hAnsi="Arial"/>
          <w:sz w:val="20"/>
          <w:szCs w:val="20"/>
          <w:color w:val="auto"/>
        </w:rPr>
      </w:pPr>
      <w:r>
        <w:rPr>
          <w:rFonts w:ascii="Arial" w:cs="Arial" w:eastAsia="Arial" w:hAnsi="Arial"/>
          <w:sz w:val="20"/>
          <w:szCs w:val="20"/>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w:t>
      </w:r>
    </w:p>
    <w:p>
      <w:pPr>
        <w:spacing w:after="0" w:line="140" w:lineRule="exact"/>
        <w:rPr>
          <w:rFonts w:ascii="Arial" w:cs="Arial" w:eastAsia="Arial" w:hAnsi="Arial"/>
          <w:sz w:val="20"/>
          <w:szCs w:val="20"/>
          <w:color w:val="auto"/>
        </w:rPr>
      </w:pPr>
    </w:p>
    <w:p>
      <w:pPr>
        <w:jc w:val="both"/>
        <w:ind w:left="1304"/>
        <w:spacing w:after="0" w:line="260" w:lineRule="auto"/>
        <w:rPr>
          <w:rFonts w:ascii="Arial" w:cs="Arial" w:eastAsia="Arial" w:hAnsi="Arial"/>
          <w:sz w:val="20"/>
          <w:szCs w:val="20"/>
          <w:color w:val="auto"/>
        </w:rPr>
      </w:pPr>
      <w:r>
        <w:rPr>
          <w:rFonts w:ascii="Arial" w:cs="Arial" w:eastAsia="Arial" w:hAnsi="Arial"/>
          <w:sz w:val="19"/>
          <w:szCs w:val="19"/>
          <w:color w:val="auto"/>
        </w:rPr>
        <w:t>The Company may withhold or account for Tax-Related Items by considering statutory withholding amounts or other applicable withholding rates, including maximum applicable rates in the Participant’s jurisdiction(s). If the obligation for Tax-Related Items is satisfied by withholding in Shares, for tax purposes, the Participant is deemed to have been issued the full number of Shares subject to the vested Performance RSU, notwithstanding that a number of the Shares are held back solely for the purpose of paying the Tax-Related Items.</w:t>
      </w:r>
    </w:p>
    <w:p>
      <w:pPr>
        <w:spacing w:after="0" w:line="126" w:lineRule="exact"/>
        <w:rPr>
          <w:rFonts w:ascii="Arial" w:cs="Arial" w:eastAsia="Arial" w:hAnsi="Arial"/>
          <w:sz w:val="20"/>
          <w:szCs w:val="20"/>
          <w:color w:val="auto"/>
        </w:rPr>
      </w:pPr>
    </w:p>
    <w:p>
      <w:pPr>
        <w:jc w:val="both"/>
        <w:ind w:left="1304"/>
        <w:spacing w:after="0" w:line="250" w:lineRule="auto"/>
        <w:rPr>
          <w:rFonts w:ascii="Arial" w:cs="Arial" w:eastAsia="Arial" w:hAnsi="Arial"/>
          <w:sz w:val="20"/>
          <w:szCs w:val="20"/>
          <w:color w:val="auto"/>
        </w:rPr>
      </w:pPr>
      <w:r>
        <w:rPr>
          <w:rFonts w:ascii="Arial" w:cs="Arial" w:eastAsia="Arial" w:hAnsi="Arial"/>
          <w:sz w:val="20"/>
          <w:szCs w:val="20"/>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64"/>
          </w:cols>
          <w:pgMar w:left="896" w:top="1419" w:right="239" w:bottom="1440" w:gutter="0" w:footer="0" w:header="0"/>
        </w:sectPr>
      </w:pPr>
    </w:p>
    <w:bookmarkStart w:id="183" w:name="page184"/>
    <w:bookmarkEnd w:id="183"/>
    <w:p>
      <w:pPr>
        <w:jc w:val="both"/>
        <w:ind w:left="1960"/>
        <w:spacing w:after="0" w:line="243" w:lineRule="auto"/>
        <w:rPr>
          <w:sz w:val="20"/>
          <w:szCs w:val="20"/>
          <w:color w:val="auto"/>
        </w:rPr>
      </w:pPr>
      <w:r>
        <w:rPr>
          <w:rFonts w:ascii="Arial" w:cs="Arial" w:eastAsia="Arial" w:hAnsi="Arial"/>
          <w:sz w:val="20"/>
          <w:szCs w:val="20"/>
          <w:color w:val="auto"/>
        </w:rPr>
        <w:t>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39" w:lineRule="exact"/>
        <w:rPr>
          <w:sz w:val="20"/>
          <w:szCs w:val="20"/>
          <w:color w:val="auto"/>
        </w:rPr>
      </w:pPr>
    </w:p>
    <w:p>
      <w:pPr>
        <w:jc w:val="both"/>
        <w:ind w:left="660" w:hanging="652"/>
        <w:spacing w:after="0" w:line="258" w:lineRule="auto"/>
        <w:tabs>
          <w:tab w:leader="none" w:pos="660"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Option of Company to Deliver Cash</w:t>
      </w:r>
      <w:r>
        <w:rPr>
          <w:rFonts w:ascii="Arial" w:cs="Arial" w:eastAsia="Arial" w:hAnsi="Arial"/>
          <w:sz w:val="19"/>
          <w:szCs w:val="19"/>
          <w:color w:val="auto"/>
        </w:rPr>
        <w:t>. Notwithstanding any of the other provisions of this Agreement, and except as set forth in Appendix B, where share settlement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pursuant to Section 6 herein.</w:t>
      </w:r>
    </w:p>
    <w:p>
      <w:pPr>
        <w:spacing w:after="0" w:line="125" w:lineRule="exact"/>
        <w:rPr>
          <w:rFonts w:ascii="Arial" w:cs="Arial" w:eastAsia="Arial" w:hAnsi="Arial"/>
          <w:sz w:val="19"/>
          <w:szCs w:val="19"/>
          <w:color w:val="auto"/>
        </w:rPr>
      </w:pPr>
    </w:p>
    <w:p>
      <w:pPr>
        <w:jc w:val="both"/>
        <w:ind w:left="660" w:hanging="652"/>
        <w:spacing w:after="0" w:line="313" w:lineRule="auto"/>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Repatriation and Other Legal Requirements</w:t>
      </w:r>
      <w:r>
        <w:rPr>
          <w:rFonts w:ascii="Arial" w:cs="Arial" w:eastAsia="Arial" w:hAnsi="Arial"/>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89" w:lineRule="exact"/>
        <w:rPr>
          <w:rFonts w:ascii="Arial" w:cs="Arial" w:eastAsia="Arial" w:hAnsi="Arial"/>
          <w:sz w:val="16"/>
          <w:szCs w:val="16"/>
          <w:color w:val="auto"/>
        </w:rPr>
      </w:pPr>
    </w:p>
    <w:p>
      <w:pPr>
        <w:ind w:left="660" w:hanging="652"/>
        <w:spacing w:after="0"/>
        <w:tabs>
          <w:tab w:leader="none" w:pos="660"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980" w:hanging="324"/>
        <w:spacing w:after="0" w:line="259" w:lineRule="auto"/>
        <w:tabs>
          <w:tab w:leader="none" w:pos="970"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No Rights to Employment</w:t>
      </w:r>
      <w:r>
        <w:rPr>
          <w:rFonts w:ascii="Arial" w:cs="Arial" w:eastAsia="Arial" w:hAnsi="Arial"/>
          <w:sz w:val="19"/>
          <w:szCs w:val="19"/>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24" w:lineRule="exact"/>
        <w:rPr>
          <w:rFonts w:ascii="Arial" w:cs="Arial" w:eastAsia="Arial" w:hAnsi="Arial"/>
          <w:sz w:val="19"/>
          <w:szCs w:val="19"/>
          <w:color w:val="auto"/>
        </w:rPr>
      </w:pPr>
    </w:p>
    <w:p>
      <w:pPr>
        <w:jc w:val="both"/>
        <w:ind w:left="980" w:hanging="324"/>
        <w:spacing w:after="0" w:line="244" w:lineRule="auto"/>
        <w:tabs>
          <w:tab w:leader="none" w:pos="968" w:val="left"/>
        </w:tabs>
        <w:numPr>
          <w:ilvl w:val="1"/>
          <w:numId w:val="136"/>
        </w:numPr>
        <w:rPr>
          <w:rFonts w:ascii="Arial" w:cs="Arial" w:eastAsia="Arial" w:hAnsi="Arial"/>
          <w:sz w:val="20"/>
          <w:szCs w:val="20"/>
          <w:color w:val="auto"/>
        </w:rPr>
      </w:pPr>
      <w:r>
        <w:rPr>
          <w:rFonts w:ascii="Arial" w:cs="Arial" w:eastAsia="Arial" w:hAnsi="Arial"/>
          <w:sz w:val="20"/>
          <w:szCs w:val="20"/>
          <w:u w:val="single" w:color="auto"/>
          <w:color w:val="auto"/>
        </w:rPr>
        <w:t>Discretionary Nature</w:t>
      </w:r>
      <w:r>
        <w:rPr>
          <w:rFonts w:ascii="Arial" w:cs="Arial" w:eastAsia="Arial" w:hAnsi="Arial"/>
          <w:sz w:val="20"/>
          <w:szCs w:val="20"/>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419" w:right="239" w:bottom="1440" w:gutter="0" w:footer="0" w:header="0"/>
        </w:sectPr>
      </w:pPr>
    </w:p>
    <w:bookmarkStart w:id="184" w:name="page185"/>
    <w:bookmarkEnd w:id="184"/>
    <w:p>
      <w:pPr>
        <w:jc w:val="both"/>
        <w:ind w:left="324"/>
        <w:spacing w:after="0" w:line="243" w:lineRule="auto"/>
        <w:rPr>
          <w:sz w:val="20"/>
          <w:szCs w:val="20"/>
          <w:color w:val="auto"/>
        </w:rPr>
      </w:pPr>
      <w:r>
        <w:rPr>
          <w:rFonts w:ascii="Arial" w:cs="Arial" w:eastAsia="Arial" w:hAnsi="Arial"/>
          <w:sz w:val="20"/>
          <w:szCs w:val="20"/>
          <w:color w:val="auto"/>
        </w:rPr>
        <w:t>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39" w:lineRule="exact"/>
        <w:rPr>
          <w:sz w:val="20"/>
          <w:szCs w:val="20"/>
          <w:color w:val="auto"/>
        </w:rPr>
      </w:pPr>
    </w:p>
    <w:p>
      <w:pPr>
        <w:jc w:val="both"/>
        <w:ind w:left="324" w:hanging="324"/>
        <w:spacing w:after="0" w:line="259" w:lineRule="auto"/>
        <w:tabs>
          <w:tab w:leader="none" w:pos="314"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Exclusion from Termination Indemnities and Other Benefits</w:t>
      </w:r>
      <w:r>
        <w:rPr>
          <w:rFonts w:ascii="Arial" w:cs="Arial" w:eastAsia="Arial" w:hAnsi="Arial"/>
          <w:sz w:val="19"/>
          <w:szCs w:val="19"/>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24" w:lineRule="exact"/>
        <w:rPr>
          <w:rFonts w:ascii="Arial" w:cs="Arial" w:eastAsia="Arial" w:hAnsi="Arial"/>
          <w:sz w:val="19"/>
          <w:szCs w:val="19"/>
          <w:color w:val="auto"/>
        </w:rPr>
      </w:pPr>
    </w:p>
    <w:p>
      <w:pPr>
        <w:jc w:val="both"/>
        <w:ind w:left="324" w:hanging="324"/>
        <w:spacing w:after="0" w:line="257" w:lineRule="auto"/>
        <w:tabs>
          <w:tab w:leader="none" w:pos="311"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No Entitlement</w:t>
      </w:r>
      <w:r>
        <w:rPr>
          <w:rFonts w:ascii="Arial" w:cs="Arial" w:eastAsia="Arial" w:hAnsi="Arial"/>
          <w:sz w:val="19"/>
          <w:szCs w:val="19"/>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27" w:lineRule="exact"/>
        <w:rPr>
          <w:rFonts w:ascii="Arial" w:cs="Arial" w:eastAsia="Arial" w:hAnsi="Arial"/>
          <w:sz w:val="19"/>
          <w:szCs w:val="19"/>
          <w:color w:val="auto"/>
        </w:rPr>
      </w:pPr>
    </w:p>
    <w:p>
      <w:pPr>
        <w:jc w:val="both"/>
        <w:ind w:left="324" w:hanging="324"/>
        <w:spacing w:after="0" w:line="282" w:lineRule="auto"/>
        <w:tabs>
          <w:tab w:leader="none" w:pos="314"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Exchange Rates</w:t>
      </w:r>
      <w:r>
        <w:rPr>
          <w:rFonts w:ascii="Arial" w:cs="Arial" w:eastAsia="Arial" w:hAnsi="Arial"/>
          <w:sz w:val="18"/>
          <w:szCs w:val="18"/>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07" w:lineRule="exact"/>
        <w:rPr>
          <w:rFonts w:ascii="Arial" w:cs="Arial" w:eastAsia="Arial" w:hAnsi="Arial"/>
          <w:sz w:val="18"/>
          <w:szCs w:val="18"/>
          <w:color w:val="auto"/>
        </w:rPr>
      </w:pPr>
    </w:p>
    <w:p>
      <w:pPr>
        <w:ind w:left="324" w:hanging="324"/>
        <w:spacing w:after="0" w:line="260" w:lineRule="auto"/>
        <w:tabs>
          <w:tab w:leader="none" w:pos="319"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Future Value of Shares</w:t>
      </w:r>
      <w:r>
        <w:rPr>
          <w:rFonts w:ascii="Arial" w:cs="Arial" w:eastAsia="Arial" w:hAnsi="Arial"/>
          <w:sz w:val="20"/>
          <w:szCs w:val="20"/>
          <w:color w:val="auto"/>
        </w:rPr>
        <w:t>. The future value of the underlying Shares is unknown, indeterminable, and cannot be predicted with certainty.</w:t>
      </w:r>
    </w:p>
    <w:p>
      <w:pPr>
        <w:spacing w:after="0" w:line="122" w:lineRule="exact"/>
        <w:rPr>
          <w:rFonts w:ascii="Arial" w:cs="Arial" w:eastAsia="Arial" w:hAnsi="Arial"/>
          <w:sz w:val="20"/>
          <w:szCs w:val="20"/>
          <w:color w:val="auto"/>
        </w:rPr>
      </w:pPr>
    </w:p>
    <w:p>
      <w:pPr>
        <w:jc w:val="both"/>
        <w:ind w:left="324" w:hanging="324"/>
        <w:spacing w:after="0" w:line="250" w:lineRule="auto"/>
        <w:tabs>
          <w:tab w:leader="none" w:pos="311"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32" w:lineRule="exact"/>
        <w:rPr>
          <w:rFonts w:ascii="Arial" w:cs="Arial" w:eastAsia="Arial" w:hAnsi="Arial"/>
          <w:sz w:val="20"/>
          <w:szCs w:val="20"/>
          <w:color w:val="auto"/>
        </w:rPr>
      </w:pPr>
    </w:p>
    <w:p>
      <w:pPr>
        <w:jc w:val="both"/>
        <w:ind w:left="324" w:hanging="324"/>
        <w:spacing w:after="0" w:line="250" w:lineRule="auto"/>
        <w:tabs>
          <w:tab w:leader="none" w:pos="311"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764"/>
          </w:cols>
          <w:pgMar w:left="896" w:top="1419" w:right="239" w:bottom="1440" w:gutter="0" w:footer="0" w:header="0"/>
        </w:sectPr>
      </w:pPr>
    </w:p>
    <w:bookmarkStart w:id="185" w:name="page186"/>
    <w:bookmarkEnd w:id="185"/>
    <w:p>
      <w:pPr>
        <w:jc w:val="both"/>
        <w:ind w:left="324" w:hanging="324"/>
        <w:spacing w:after="0" w:line="321" w:lineRule="auto"/>
        <w:tabs>
          <w:tab w:leader="none" w:pos="321"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Technology Way, Norwood, Massachusetts, 02062, Attention: Chief Financial Officer. Each notice to the Participant shall be addressed to the Participant at the Participant’s last known mailing or email address, as applicable, on the records of the Company.</w:t>
      </w:r>
    </w:p>
    <w:p>
      <w:pPr>
        <w:spacing w:after="0" w:line="79" w:lineRule="exact"/>
        <w:rPr>
          <w:rFonts w:ascii="Arial" w:cs="Arial" w:eastAsia="Arial" w:hAnsi="Arial"/>
          <w:sz w:val="16"/>
          <w:szCs w:val="16"/>
          <w:color w:val="auto"/>
        </w:rPr>
      </w:pPr>
    </w:p>
    <w:p>
      <w:pPr>
        <w:ind w:left="324" w:right="20" w:hanging="324"/>
        <w:spacing w:after="0" w:line="287" w:lineRule="auto"/>
        <w:tabs>
          <w:tab w:leader="none" w:pos="321"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Pronouns</w:t>
      </w:r>
      <w:r>
        <w:rPr>
          <w:rFonts w:ascii="Arial" w:cs="Arial" w:eastAsia="Arial" w:hAnsi="Arial"/>
          <w:sz w:val="19"/>
          <w:szCs w:val="19"/>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98" w:lineRule="exact"/>
        <w:rPr>
          <w:rFonts w:ascii="Arial" w:cs="Arial" w:eastAsia="Arial" w:hAnsi="Arial"/>
          <w:sz w:val="19"/>
          <w:szCs w:val="19"/>
          <w:color w:val="auto"/>
        </w:rPr>
      </w:pPr>
    </w:p>
    <w:p>
      <w:pPr>
        <w:ind w:left="324" w:right="20" w:hanging="324"/>
        <w:spacing w:after="0" w:line="260" w:lineRule="auto"/>
        <w:tabs>
          <w:tab w:leader="none" w:pos="311"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constitute the entire understanding between the parties, and supersede all prior agreements and understandings, relating to the subject matter of these documents.</w:t>
      </w:r>
    </w:p>
    <w:p>
      <w:pPr>
        <w:spacing w:after="0" w:line="122" w:lineRule="exact"/>
        <w:rPr>
          <w:rFonts w:ascii="Arial" w:cs="Arial" w:eastAsia="Arial" w:hAnsi="Arial"/>
          <w:sz w:val="20"/>
          <w:szCs w:val="20"/>
          <w:color w:val="auto"/>
        </w:rPr>
      </w:pPr>
    </w:p>
    <w:p>
      <w:pPr>
        <w:ind w:left="324" w:hanging="324"/>
        <w:spacing w:after="0" w:line="260" w:lineRule="auto"/>
        <w:tabs>
          <w:tab w:leader="none" w:pos="321"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interpreted and enforced in accordance with the internal laws of the Commonwealth of Massachusetts without regard to any applicable conflicts of laws.</w:t>
      </w:r>
    </w:p>
    <w:p>
      <w:pPr>
        <w:spacing w:after="0" w:line="122" w:lineRule="exact"/>
        <w:rPr>
          <w:rFonts w:ascii="Arial" w:cs="Arial" w:eastAsia="Arial" w:hAnsi="Arial"/>
          <w:sz w:val="20"/>
          <w:szCs w:val="20"/>
          <w:color w:val="auto"/>
        </w:rPr>
      </w:pPr>
    </w:p>
    <w:p>
      <w:pPr>
        <w:jc w:val="both"/>
        <w:ind w:left="324" w:hanging="324"/>
        <w:spacing w:after="0" w:line="270" w:lineRule="auto"/>
        <w:tabs>
          <w:tab w:leader="none" w:pos="31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6" w:lineRule="exact"/>
        <w:rPr>
          <w:rFonts w:ascii="Arial" w:cs="Arial" w:eastAsia="Arial" w:hAnsi="Arial"/>
          <w:sz w:val="18"/>
          <w:szCs w:val="18"/>
          <w:color w:val="auto"/>
        </w:rPr>
      </w:pPr>
    </w:p>
    <w:p>
      <w:pPr>
        <w:ind w:left="324" w:hanging="324"/>
        <w:spacing w:after="0" w:line="260" w:lineRule="auto"/>
        <w:tabs>
          <w:tab w:leader="none" w:pos="311"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interpretation and construction of any terms or conditions of this Agreement or the Plan, or other matters related to the Plan, by the Compensation Committee of the Board shall be final and conclusive.</w:t>
      </w:r>
    </w:p>
    <w:p>
      <w:pPr>
        <w:spacing w:after="0" w:line="122" w:lineRule="exact"/>
        <w:rPr>
          <w:rFonts w:ascii="Arial" w:cs="Arial" w:eastAsia="Arial" w:hAnsi="Arial"/>
          <w:sz w:val="20"/>
          <w:szCs w:val="20"/>
          <w:color w:val="auto"/>
        </w:rPr>
      </w:pPr>
    </w:p>
    <w:p>
      <w:pPr>
        <w:jc w:val="both"/>
        <w:ind w:left="324" w:hanging="324"/>
        <w:spacing w:after="0" w:line="246" w:lineRule="auto"/>
        <w:tabs>
          <w:tab w:leader="none" w:pos="311"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Participant’s Acceptance</w:t>
      </w:r>
      <w:r>
        <w:rPr>
          <w:rFonts w:ascii="Arial" w:cs="Arial" w:eastAsia="Arial" w:hAnsi="Arial"/>
          <w:sz w:val="20"/>
          <w:szCs w:val="20"/>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64"/>
          </w:cols>
          <w:pgMar w:left="896" w:top="1419" w:right="239" w:bottom="1440" w:gutter="0" w:footer="0" w:header="0"/>
        </w:sectPr>
      </w:pPr>
    </w:p>
    <w:bookmarkStart w:id="186" w:name="page187"/>
    <w:bookmarkEnd w:id="186"/>
    <w:p>
      <w:pPr>
        <w:jc w:val="both"/>
        <w:ind w:left="324" w:hanging="324"/>
        <w:spacing w:after="0" w:line="246" w:lineRule="auto"/>
        <w:tabs>
          <w:tab w:leader="none" w:pos="311"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37" w:lineRule="exact"/>
        <w:rPr>
          <w:rFonts w:ascii="Arial" w:cs="Arial" w:eastAsia="Arial" w:hAnsi="Arial"/>
          <w:sz w:val="20"/>
          <w:szCs w:val="20"/>
          <w:color w:val="auto"/>
        </w:rPr>
      </w:pPr>
    </w:p>
    <w:p>
      <w:pPr>
        <w:jc w:val="both"/>
        <w:ind w:left="324" w:hanging="324"/>
        <w:spacing w:after="0" w:line="244" w:lineRule="auto"/>
        <w:tabs>
          <w:tab w:leader="none" w:pos="311"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English Language</w:t>
      </w:r>
      <w:r>
        <w:rPr>
          <w:rFonts w:ascii="Arial" w:cs="Arial" w:eastAsia="Arial" w:hAnsi="Arial"/>
          <w:sz w:val="20"/>
          <w:szCs w:val="20"/>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40" w:lineRule="exact"/>
        <w:rPr>
          <w:rFonts w:ascii="Arial" w:cs="Arial" w:eastAsia="Arial" w:hAnsi="Arial"/>
          <w:sz w:val="20"/>
          <w:szCs w:val="20"/>
          <w:color w:val="auto"/>
        </w:rPr>
      </w:pPr>
    </w:p>
    <w:p>
      <w:pPr>
        <w:jc w:val="both"/>
        <w:ind w:left="324" w:hanging="324"/>
        <w:spacing w:after="0" w:line="276" w:lineRule="auto"/>
        <w:tabs>
          <w:tab w:leader="none" w:pos="319"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Appendix B</w:t>
      </w:r>
      <w:r>
        <w:rPr>
          <w:rFonts w:ascii="Arial" w:cs="Arial" w:eastAsia="Arial" w:hAnsi="Arial"/>
          <w:sz w:val="18"/>
          <w:szCs w:val="18"/>
          <w:color w:val="auto"/>
        </w:rPr>
        <w:t>. Notwithstanding any provisions herein to the contrary, if the Participant transfers the Participant’s residence and/or employment to a country other than the United States, the Performance RSUs shall be subject to any special terms and conditions for such country as may be set forth in Appendix B to this Agreement. Moreover, if the Participant relocates to one of the countries included in Appendix B, the special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11" w:lineRule="exact"/>
        <w:rPr>
          <w:rFonts w:ascii="Arial" w:cs="Arial" w:eastAsia="Arial" w:hAnsi="Arial"/>
          <w:sz w:val="18"/>
          <w:szCs w:val="18"/>
          <w:color w:val="auto"/>
        </w:rPr>
      </w:pPr>
    </w:p>
    <w:p>
      <w:pPr>
        <w:jc w:val="both"/>
        <w:ind w:left="324" w:hanging="324"/>
        <w:spacing w:after="0" w:line="244" w:lineRule="auto"/>
        <w:tabs>
          <w:tab w:leader="none" w:pos="316"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Additional Requirements</w:t>
      </w:r>
      <w:r>
        <w:rPr>
          <w:rFonts w:ascii="Arial" w:cs="Arial" w:eastAsia="Arial" w:hAnsi="Arial"/>
          <w:sz w:val="20"/>
          <w:szCs w:val="20"/>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40" w:lineRule="exact"/>
        <w:rPr>
          <w:rFonts w:ascii="Arial" w:cs="Arial" w:eastAsia="Arial" w:hAnsi="Arial"/>
          <w:sz w:val="20"/>
          <w:szCs w:val="20"/>
          <w:color w:val="auto"/>
        </w:rPr>
      </w:pPr>
    </w:p>
    <w:p>
      <w:pPr>
        <w:jc w:val="both"/>
        <w:ind w:left="324" w:hanging="324"/>
        <w:spacing w:after="0" w:line="282" w:lineRule="auto"/>
        <w:tabs>
          <w:tab w:leader="none" w:pos="32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The Company has submitted filings in the United States in connection with the equity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07" w:lineRule="exact"/>
        <w:rPr>
          <w:rFonts w:ascii="Arial" w:cs="Arial" w:eastAsia="Arial" w:hAnsi="Arial"/>
          <w:sz w:val="18"/>
          <w:szCs w:val="18"/>
          <w:color w:val="auto"/>
        </w:rPr>
      </w:pPr>
    </w:p>
    <w:p>
      <w:pPr>
        <w:jc w:val="both"/>
        <w:ind w:left="324" w:hanging="324"/>
        <w:spacing w:after="0" w:line="263" w:lineRule="auto"/>
        <w:tabs>
          <w:tab w:leader="none" w:pos="311"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Changes in Capitalization</w:t>
      </w:r>
      <w:r>
        <w:rPr>
          <w:rFonts w:ascii="Arial" w:cs="Arial" w:eastAsia="Arial" w:hAnsi="Arial"/>
          <w:sz w:val="19"/>
          <w:szCs w:val="19"/>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22" w:lineRule="exact"/>
        <w:rPr>
          <w:rFonts w:ascii="Arial" w:cs="Arial" w:eastAsia="Arial" w:hAnsi="Arial"/>
          <w:sz w:val="19"/>
          <w:szCs w:val="19"/>
          <w:color w:val="auto"/>
        </w:rPr>
      </w:pPr>
    </w:p>
    <w:p>
      <w:pPr>
        <w:jc w:val="both"/>
        <w:ind w:left="324" w:hanging="324"/>
        <w:spacing w:after="0" w:line="246" w:lineRule="auto"/>
        <w:tabs>
          <w:tab w:leader="none" w:pos="311"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64"/>
          </w:cols>
          <w:pgMar w:left="896" w:top="1419" w:right="239" w:bottom="1440" w:gutter="0" w:footer="0" w:header="0"/>
        </w:sectPr>
      </w:pPr>
    </w:p>
    <w:bookmarkStart w:id="187" w:name="page188"/>
    <w:bookmarkEnd w:id="187"/>
    <w:p>
      <w:pPr>
        <w:jc w:val="both"/>
        <w:ind w:left="960" w:hanging="324"/>
        <w:spacing w:after="0" w:line="255" w:lineRule="auto"/>
        <w:tabs>
          <w:tab w:leader="none" w:pos="951"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Restrictions/Market Abuse Laws</w:t>
      </w:r>
      <w:r>
        <w:rPr>
          <w:rFonts w:ascii="Arial" w:cs="Arial" w:eastAsia="Arial" w:hAnsi="Arial"/>
          <w:sz w:val="19"/>
          <w:szCs w:val="19"/>
          <w:color w:val="auto"/>
        </w:rPr>
        <w:t>. The Participant acknowledges that, depending on the Participant’s or the Participant’s broker’s country of residence or where the Common Stock is listed, the Participant may be subject to insider trading restrictions and/or market abuse laws in applicable jurisdictions which may affect the Participant’s ability to accept, acquire, sell, or otherwise dispose of Common Stock, rights to Common Stock (</w:t>
      </w:r>
      <w:r>
        <w:rPr>
          <w:rFonts w:ascii="Arial" w:cs="Arial" w:eastAsia="Arial" w:hAnsi="Arial"/>
          <w:sz w:val="19"/>
          <w:szCs w:val="19"/>
          <w:i w:val="1"/>
          <w:iCs w:val="1"/>
          <w:color w:val="auto"/>
        </w:rPr>
        <w:t>e.g.</w:t>
      </w:r>
      <w:r>
        <w:rPr>
          <w:rFonts w:ascii="Arial" w:cs="Arial" w:eastAsia="Arial" w:hAnsi="Arial"/>
          <w:sz w:val="19"/>
          <w:szCs w:val="19"/>
          <w:color w:val="auto"/>
        </w:rPr>
        <w:t>, Performance RSUs), or rights linked to the value of Common Stock (</w:t>
      </w:r>
      <w:r>
        <w:rPr>
          <w:rFonts w:ascii="Arial" w:cs="Arial" w:eastAsia="Arial" w:hAnsi="Arial"/>
          <w:sz w:val="19"/>
          <w:szCs w:val="19"/>
          <w:i w:val="1"/>
          <w:iCs w:val="1"/>
          <w:color w:val="auto"/>
        </w:rPr>
        <w:t>e.g.</w:t>
      </w:r>
      <w:r>
        <w:rPr>
          <w:rFonts w:ascii="Arial" w:cs="Arial" w:eastAsia="Arial" w:hAnsi="Arial"/>
          <w:sz w:val="19"/>
          <w:szCs w:val="19"/>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28" w:lineRule="exact"/>
        <w:rPr>
          <w:rFonts w:ascii="Arial" w:cs="Arial" w:eastAsia="Arial" w:hAnsi="Arial"/>
          <w:sz w:val="19"/>
          <w:szCs w:val="19"/>
          <w:color w:val="auto"/>
        </w:rPr>
      </w:pPr>
    </w:p>
    <w:p>
      <w:pPr>
        <w:jc w:val="both"/>
        <w:ind w:left="960" w:hanging="324"/>
        <w:spacing w:after="0" w:line="272" w:lineRule="auto"/>
        <w:tabs>
          <w:tab w:leader="none" w:pos="94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Foreign Asset/Account, Exchange Control, and Tax Reporting</w:t>
      </w:r>
      <w:r>
        <w:rPr>
          <w:rFonts w:ascii="Arial" w:cs="Arial" w:eastAsia="Arial" w:hAnsi="Arial"/>
          <w:sz w:val="18"/>
          <w:szCs w:val="18"/>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7" w:lineRule="exact"/>
        <w:rPr>
          <w:rFonts w:ascii="Arial" w:cs="Arial" w:eastAsia="Arial" w:hAnsi="Arial"/>
          <w:sz w:val="18"/>
          <w:szCs w:val="18"/>
          <w:color w:val="auto"/>
        </w:rPr>
      </w:pPr>
    </w:p>
    <w:p>
      <w:pPr>
        <w:jc w:val="both"/>
        <w:ind w:left="960" w:hanging="324"/>
        <w:spacing w:after="0" w:line="250" w:lineRule="auto"/>
        <w:tabs>
          <w:tab w:leader="none" w:pos="948"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60" w:type="dxa"/>
            <w:vAlign w:val="bottom"/>
            <w:gridSpan w:val="2"/>
          </w:tcPr>
          <w:p>
            <w:pPr>
              <w:spacing w:after="0"/>
              <w:rPr>
                <w:sz w:val="20"/>
                <w:szCs w:val="20"/>
                <w:color w:val="auto"/>
              </w:rPr>
            </w:pPr>
            <w:r>
              <w:rPr>
                <w:rFonts w:ascii="Arial" w:cs="Arial" w:eastAsia="Arial" w:hAnsi="Arial"/>
                <w:sz w:val="20"/>
                <w:szCs w:val="20"/>
                <w:color w:val="auto"/>
              </w:rPr>
              <w:t>By:   /s/ Ray Stata</w:t>
            </w:r>
          </w:p>
        </w:tc>
        <w:tc>
          <w:tcPr>
            <w:tcW w:w="5820" w:type="dxa"/>
            <w:vAlign w:val="bottom"/>
            <w:gridSpan w:val="2"/>
          </w:tcPr>
          <w:p>
            <w:pPr>
              <w:ind w:left="340"/>
              <w:spacing w:after="0"/>
              <w:rPr>
                <w:sz w:val="20"/>
                <w:szCs w:val="20"/>
                <w:color w:val="auto"/>
              </w:rPr>
            </w:pPr>
            <w:r>
              <w:rPr>
                <w:rFonts w:ascii="Arial" w:cs="Arial" w:eastAsia="Arial" w:hAnsi="Arial"/>
                <w:sz w:val="20"/>
                <w:szCs w:val="20"/>
                <w:color w:val="auto"/>
              </w:rPr>
              <w:t>By:   /s/ Vincent Roche</w:t>
            </w:r>
          </w:p>
        </w:tc>
      </w:tr>
      <w:tr>
        <w:trPr>
          <w:trHeight w:val="23"/>
        </w:trPr>
        <w:tc>
          <w:tcPr>
            <w:tcW w:w="54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54"/>
        </w:trPr>
        <w:tc>
          <w:tcPr>
            <w:tcW w:w="54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Arial" w:cs="Arial" w:eastAsia="Arial" w:hAnsi="Arial"/>
                <w:sz w:val="20"/>
                <w:szCs w:val="20"/>
                <w:color w:val="auto"/>
              </w:rPr>
              <w:t>Ray Stata, Chairman of the Board of Directors</w:t>
            </w:r>
          </w:p>
        </w:tc>
        <w:tc>
          <w:tcPr>
            <w:tcW w:w="840" w:type="dxa"/>
            <w:vAlign w:val="bottom"/>
          </w:tcPr>
          <w:p>
            <w:pPr>
              <w:spacing w:after="0"/>
              <w:rPr>
                <w:sz w:val="22"/>
                <w:szCs w:val="22"/>
                <w:color w:val="auto"/>
              </w:rPr>
            </w:pPr>
          </w:p>
        </w:tc>
        <w:tc>
          <w:tcPr>
            <w:tcW w:w="4980" w:type="dxa"/>
            <w:vAlign w:val="bottom"/>
          </w:tcPr>
          <w:p>
            <w:pPr>
              <w:ind w:left="20"/>
              <w:spacing w:after="0"/>
              <w:rPr>
                <w:sz w:val="20"/>
                <w:szCs w:val="20"/>
                <w:color w:val="auto"/>
              </w:rPr>
            </w:pPr>
            <w:r>
              <w:rPr>
                <w:rFonts w:ascii="Arial" w:cs="Arial" w:eastAsia="Arial" w:hAnsi="Arial"/>
                <w:sz w:val="20"/>
                <w:szCs w:val="20"/>
                <w:color w:val="auto"/>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00"/>
          </w:cols>
          <w:pgMar w:left="260" w:top="1419"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0"/>
          <w:szCs w:val="20"/>
          <w:b w:val="1"/>
          <w:bCs w:val="1"/>
          <w:color w:val="auto"/>
        </w:rPr>
        <w:t>APPENDIX A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Performance Period</w:t>
      </w:r>
      <w:r>
        <w:rPr>
          <w:rFonts w:ascii="Arial" w:cs="Arial" w:eastAsia="Arial" w:hAnsi="Arial"/>
          <w:sz w:val="19"/>
          <w:szCs w:val="19"/>
          <w:color w:val="auto"/>
        </w:rPr>
        <w:t>. The three-year period beginning on {</w:t>
      </w:r>
      <w:r>
        <w:rPr>
          <w:rFonts w:ascii="Arial" w:cs="Arial" w:eastAsia="Arial" w:hAnsi="Arial"/>
          <w:sz w:val="19"/>
          <w:szCs w:val="19"/>
          <w:i w:val="1"/>
          <w:iCs w:val="1"/>
          <w:color w:val="auto"/>
        </w:rPr>
        <w:t>Grant Date</w:t>
      </w:r>
      <w:r>
        <w:rPr>
          <w:rFonts w:ascii="Arial" w:cs="Arial" w:eastAsia="Arial" w:hAnsi="Arial"/>
          <w:sz w:val="19"/>
          <w:szCs w:val="19"/>
          <w:color w:val="auto"/>
        </w:rPr>
        <w:t>} and ending on {</w:t>
      </w:r>
      <w:r>
        <w:rPr>
          <w:rFonts w:ascii="Arial" w:cs="Arial" w:eastAsia="Arial" w:hAnsi="Arial"/>
          <w:sz w:val="19"/>
          <w:szCs w:val="19"/>
          <w:i w:val="1"/>
          <w:iCs w:val="1"/>
          <w:color w:val="auto"/>
        </w:rPr>
        <w:t>Grant Custom 1</w:t>
      </w:r>
      <w:r>
        <w:rPr>
          <w:rFonts w:ascii="Arial" w:cs="Arial" w:eastAsia="Arial" w:hAnsi="Arial"/>
          <w:sz w:val="19"/>
          <w:szCs w:val="19"/>
          <w:color w:val="auto"/>
        </w:rPr>
        <w:t>} (the “Performance Period”).</w:t>
      </w:r>
    </w:p>
    <w:p>
      <w:pPr>
        <w:spacing w:after="0" w:line="173" w:lineRule="exact"/>
        <w:rPr>
          <w:rFonts w:ascii="Arial" w:cs="Arial" w:eastAsia="Arial" w:hAnsi="Arial"/>
          <w:sz w:val="19"/>
          <w:szCs w:val="19"/>
          <w:color w:val="auto"/>
        </w:rPr>
      </w:pPr>
    </w:p>
    <w:p>
      <w:pPr>
        <w:ind w:left="340" w:hanging="332"/>
        <w:spacing w:after="0"/>
        <w:tabs>
          <w:tab w:leader="none" w:pos="340"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Vesting Date</w:t>
      </w:r>
      <w:r>
        <w:rPr>
          <w:rFonts w:ascii="Arial" w:cs="Arial" w:eastAsia="Arial" w:hAnsi="Arial"/>
          <w:sz w:val="20"/>
          <w:szCs w:val="20"/>
          <w:color w:val="auto"/>
          <w:highlight w:val="white"/>
        </w:rPr>
        <w:t>. {</w:t>
      </w:r>
      <w:r>
        <w:rPr>
          <w:rFonts w:ascii="Arial" w:cs="Arial" w:eastAsia="Arial" w:hAnsi="Arial"/>
          <w:sz w:val="20"/>
          <w:szCs w:val="20"/>
          <w:i w:val="1"/>
          <w:iCs w:val="1"/>
          <w:color w:val="auto"/>
          <w:highlight w:val="white"/>
        </w:rPr>
        <w:t>Cliff Vesting Date</w:t>
      </w:r>
      <w:r>
        <w:rPr>
          <w:rFonts w:ascii="Arial" w:cs="Arial" w:eastAsia="Arial" w:hAnsi="Arial"/>
          <w:sz w:val="20"/>
          <w:szCs w:val="20"/>
          <w:color w:val="auto"/>
          <w:highlight w:val="white"/>
        </w:rPr>
        <w:t>}.</w:t>
      </w:r>
    </w:p>
    <w:p>
      <w:pPr>
        <w:spacing w:after="0" w:line="161"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Determination Date</w:t>
      </w:r>
      <w:r>
        <w:rPr>
          <w:rFonts w:ascii="Arial" w:cs="Arial" w:eastAsia="Arial" w:hAnsi="Arial"/>
          <w:sz w:val="20"/>
          <w:szCs w:val="20"/>
          <w:color w:val="auto"/>
        </w:rPr>
        <w:t>: The date the Compensation Committee of the Board determines the level of attainment of the Performance Parameters. The Determination Date shall be a date as soon as possible following the end of the Performance Period but prior to the Vesting Date.</w:t>
      </w:r>
    </w:p>
    <w:p>
      <w:pPr>
        <w:spacing w:after="0" w:line="132" w:lineRule="exact"/>
        <w:rPr>
          <w:rFonts w:ascii="Arial" w:cs="Arial" w:eastAsia="Arial" w:hAnsi="Arial"/>
          <w:sz w:val="20"/>
          <w:szCs w:val="20"/>
          <w:color w:val="auto"/>
        </w:rPr>
      </w:pPr>
    </w:p>
    <w:p>
      <w:pPr>
        <w:jc w:val="both"/>
        <w:ind w:left="340" w:hanging="332"/>
        <w:spacing w:after="0" w:line="263" w:lineRule="auto"/>
        <w:tabs>
          <w:tab w:leader="none" w:pos="340"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Performance-Based Vesting Terms</w:t>
      </w:r>
      <w:r>
        <w:rPr>
          <w:rFonts w:ascii="Arial" w:cs="Arial" w:eastAsia="Arial" w:hAnsi="Arial"/>
          <w:sz w:val="19"/>
          <w:szCs w:val="19"/>
          <w:color w:val="auto"/>
        </w:rPr>
        <w:t>. Subject to Section 2(a) through 2(d) of the Performance Restricted Stock Unit Agreement, the Participant shall vest on the Vesting Date in the number of Performance RSUs, if any, that the Compensation Committee of the Board shall determine to be vested based on the determination of the level of attainment of the Performance Parameters, provided the Participant continues to provide services to the Company or Employer or respective successor through the Vesting Date.</w:t>
      </w:r>
    </w:p>
    <w:p>
      <w:pPr>
        <w:spacing w:after="0" w:line="122" w:lineRule="exact"/>
        <w:rPr>
          <w:rFonts w:ascii="Arial" w:cs="Arial" w:eastAsia="Arial" w:hAnsi="Arial"/>
          <w:sz w:val="19"/>
          <w:szCs w:val="19"/>
          <w:color w:val="auto"/>
        </w:rPr>
      </w:pPr>
    </w:p>
    <w:p>
      <w:pPr>
        <w:jc w:val="both"/>
        <w:ind w:left="340" w:hanging="332"/>
        <w:spacing w:after="0" w:line="243" w:lineRule="auto"/>
        <w:tabs>
          <w:tab w:leader="none" w:pos="340"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Performance Parameters</w:t>
      </w:r>
      <w:r>
        <w:rPr>
          <w:rFonts w:ascii="Arial" w:cs="Arial" w:eastAsia="Arial" w:hAnsi="Arial"/>
          <w:sz w:val="20"/>
          <w:szCs w:val="20"/>
          <w:color w:val="auto"/>
        </w:rPr>
        <w:t>. The Performance Parameters are based on the comparison of the TSR (as defined below) of the Company relative to the median TSR of the Peer Group (as defined below) during the Performance Period and are equal to 100% plus or minus one and a half times the difference between the Company’s TSR and the median Peer Group TSR. The number of Performance RSUs that shall vest shall be equal to a number of Performance RSUs that is between 0% and 200% of the Initial Grant Number, up to a maximum of 100% of the Initial Grant Number if the Company’s TSR is negative. Attainment among Performance Parameters is subject to interpolation on a linear basis.</w:t>
      </w:r>
    </w:p>
    <w:p>
      <w:pPr>
        <w:spacing w:after="0" w:line="142" w:lineRule="exact"/>
        <w:rPr>
          <w:sz w:val="20"/>
          <w:szCs w:val="20"/>
          <w:color w:val="auto"/>
        </w:rPr>
      </w:pPr>
    </w:p>
    <w:p>
      <w:pPr>
        <w:jc w:val="both"/>
        <w:ind w:left="340"/>
        <w:spacing w:after="0" w:line="250" w:lineRule="auto"/>
        <w:rPr>
          <w:sz w:val="20"/>
          <w:szCs w:val="20"/>
          <w:color w:val="auto"/>
        </w:rPr>
      </w:pPr>
      <w:r>
        <w:rPr>
          <w:rFonts w:ascii="Arial" w:cs="Arial" w:eastAsia="Arial" w:hAnsi="Arial"/>
          <w:sz w:val="20"/>
          <w:szCs w:val="20"/>
          <w:color w:val="auto"/>
        </w:rPr>
        <w:t>“Peer Group” shall mean a peer group of companies established by the Compensation Committee of the Board at the time the Performance RSUs are granted to the Participant and the stock of which continues to be traded on a publicly traded stock exchange as of the last day of the Performance Period.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Total Shareholder Return (“TSR”) shall be computed according to the following formula:</w:t>
      </w:r>
    </w:p>
    <w:p>
      <w:pPr>
        <w:spacing w:after="0" w:line="162"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 xml:space="preserve">TSR = </w:t>
      </w:r>
      <w:r>
        <w:rPr>
          <w:rFonts w:ascii="Arial" w:cs="Arial" w:eastAsia="Arial" w:hAnsi="Arial"/>
          <w:sz w:val="20"/>
          <w:szCs w:val="20"/>
          <w:u w:val="single" w:color="auto"/>
          <w:color w:val="auto"/>
        </w:rPr>
        <w:t>(Ending Stock Price – Beginning Stock Price + Cumulative Cash Dividend Payments)</w:t>
      </w:r>
    </w:p>
    <w:p>
      <w:pPr>
        <w:spacing w:after="0" w:line="16"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(Beginning Stock Price)</w:t>
      </w:r>
    </w:p>
    <w:p>
      <w:pPr>
        <w:spacing w:after="0" w:line="146" w:lineRule="exact"/>
        <w:rPr>
          <w:sz w:val="20"/>
          <w:szCs w:val="20"/>
          <w:color w:val="auto"/>
        </w:rPr>
      </w:pPr>
    </w:p>
    <w:p>
      <w:pPr>
        <w:ind w:left="340" w:right="60"/>
        <w:spacing w:after="0" w:line="260" w:lineRule="auto"/>
        <w:rPr>
          <w:sz w:val="20"/>
          <w:szCs w:val="20"/>
          <w:color w:val="auto"/>
        </w:rPr>
      </w:pPr>
      <w:r>
        <w:rPr>
          <w:rFonts w:ascii="Arial" w:cs="Arial" w:eastAsia="Arial" w:hAnsi="Arial"/>
          <w:sz w:val="20"/>
          <w:szCs w:val="20"/>
          <w:color w:val="auto"/>
        </w:rPr>
        <w:t>“Beginning Stock Price” shall mean the average of the closing prices of the applicable stock for the 90 calendar days starting and including the first day of the Performance Period.</w:t>
      </w:r>
    </w:p>
    <w:p>
      <w:pPr>
        <w:spacing w:after="0" w:line="123"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“Ending Stock Price” shall mean the average of the closing price of the applicable stock for the 90 calendar days up to and including the last day of the Performance Period.</w:t>
      </w:r>
    </w:p>
    <w:p>
      <w:pPr>
        <w:spacing w:after="0" w:line="123"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“Cumulative Cash Dividend Payments” shall mean the sum of all cash dividends declared during the Performance Period, based on their ex-dividend date.</w:t>
      </w:r>
    </w:p>
    <w:p>
      <w:pPr>
        <w:spacing w:after="0" w:line="123"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The stock prices and cash dividend payments reflected in the calculation of TSR shall be adjusted to reflect stock splits during the Performance Period, and dividends shall not be reinvested in the calculation of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A-1</w:t>
      </w:r>
    </w:p>
    <w:p>
      <w:pPr>
        <w:sectPr>
          <w:pgSz w:w="11900" w:h="16838" w:orient="portrait"/>
          <w:cols w:equalWidth="0" w:num="1">
            <w:col w:w="11420"/>
          </w:cols>
          <w:pgMar w:left="240" w:top="116" w:right="239" w:bottom="1440" w:gutter="0" w:footer="0" w:header="0"/>
        </w:sectPr>
      </w:pPr>
    </w:p>
    <w:bookmarkStart w:id="189" w:name="page190"/>
    <w:bookmarkEnd w:id="189"/>
    <w:p>
      <w:pPr>
        <w:jc w:val="center"/>
        <w:ind w:right="20"/>
        <w:spacing w:after="0"/>
        <w:rPr>
          <w:sz w:val="20"/>
          <w:szCs w:val="20"/>
          <w:color w:val="auto"/>
        </w:rPr>
      </w:pPr>
      <w:r>
        <w:rPr>
          <w:rFonts w:ascii="Arial" w:cs="Arial" w:eastAsia="Arial" w:hAnsi="Arial"/>
          <w:sz w:val="20"/>
          <w:szCs w:val="20"/>
          <w:b w:val="1"/>
          <w:bCs w:val="1"/>
          <w:color w:val="auto"/>
        </w:rPr>
        <w:t>APPENDIX A TO</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2020 EQUITY INCENTIVE PLAN</w:t>
      </w:r>
    </w:p>
    <w:p>
      <w:pPr>
        <w:jc w:val="center"/>
        <w:ind w:right="20"/>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Three examples are set forth below:</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1180" w:type="dxa"/>
            <w:vAlign w:val="bottom"/>
            <w:tcBorders>
              <w:top w:val="single" w:sz="8" w:color="auto"/>
              <w:left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20"/>
                <w:szCs w:val="20"/>
                <w:color w:val="auto"/>
                <w:w w:val="89"/>
              </w:rPr>
              <w:t>Payout</w:t>
            </w:r>
          </w:p>
        </w:tc>
        <w:tc>
          <w:tcPr>
            <w:tcW w:w="298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20"/>
                <w:szCs w:val="20"/>
                <w:color w:val="auto"/>
                <w:w w:val="89"/>
              </w:rPr>
              <w:t>Number of Potential Shares Attained</w:t>
            </w:r>
          </w:p>
        </w:tc>
        <w:tc>
          <w:tcPr>
            <w:tcW w:w="7280" w:type="dxa"/>
            <w:vAlign w:val="bottom"/>
            <w:tcBorders>
              <w:top w:val="single" w:sz="8" w:color="auto"/>
              <w:right w:val="single" w:sz="8" w:color="auto"/>
            </w:tcBorders>
            <w:shd w:val="clear" w:color="auto" w:fill="C6D9F1"/>
          </w:tcPr>
          <w:p>
            <w:pPr>
              <w:ind w:left="2680"/>
              <w:spacing w:after="0"/>
              <w:rPr>
                <w:sz w:val="20"/>
                <w:szCs w:val="20"/>
                <w:color w:val="auto"/>
              </w:rPr>
            </w:pPr>
            <w:r>
              <w:rPr>
                <w:rFonts w:ascii="Arial" w:cs="Arial" w:eastAsia="Arial" w:hAnsi="Arial"/>
                <w:sz w:val="20"/>
                <w:szCs w:val="20"/>
                <w:color w:val="auto"/>
              </w:rPr>
              <w:t>Performance Parameters</w:t>
            </w:r>
          </w:p>
        </w:tc>
      </w:tr>
      <w:tr>
        <w:trPr>
          <w:trHeight w:val="255"/>
        </w:trPr>
        <w:tc>
          <w:tcPr>
            <w:tcW w:w="1180" w:type="dxa"/>
            <w:vAlign w:val="bottom"/>
            <w:tcBorders>
              <w:left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20"/>
                <w:szCs w:val="20"/>
                <w:color w:val="auto"/>
                <w:w w:val="84"/>
              </w:rPr>
              <w:t>Percent</w:t>
            </w:r>
          </w:p>
        </w:tc>
        <w:tc>
          <w:tcPr>
            <w:tcW w:w="2980" w:type="dxa"/>
            <w:vAlign w:val="bottom"/>
            <w:tcBorders>
              <w:bottom w:val="single" w:sz="8" w:color="auto"/>
              <w:right w:val="single" w:sz="8" w:color="auto"/>
            </w:tcBorders>
            <w:shd w:val="clear" w:color="auto" w:fill="C6D9F1"/>
          </w:tcPr>
          <w:p>
            <w:pPr>
              <w:spacing w:after="0"/>
              <w:rPr>
                <w:sz w:val="22"/>
                <w:szCs w:val="22"/>
                <w:color w:val="auto"/>
              </w:rPr>
            </w:pPr>
          </w:p>
        </w:tc>
        <w:tc>
          <w:tcPr>
            <w:tcW w:w="7280" w:type="dxa"/>
            <w:vAlign w:val="bottom"/>
            <w:tcBorders>
              <w:bottom w:val="single" w:sz="8" w:color="auto"/>
              <w:right w:val="single" w:sz="8" w:color="auto"/>
            </w:tcBorders>
            <w:shd w:val="clear" w:color="auto" w:fill="C6D9F1"/>
          </w:tcPr>
          <w:p>
            <w:pPr>
              <w:spacing w:after="0"/>
              <w:rPr>
                <w:sz w:val="22"/>
                <w:szCs w:val="22"/>
                <w:color w:val="auto"/>
              </w:rPr>
            </w:pPr>
          </w:p>
        </w:tc>
      </w:tr>
      <w:tr>
        <w:trPr>
          <w:trHeight w:val="259"/>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Company TSR minus Peer Group Median TSR is less than or equal to -66.67</w:t>
            </w:r>
          </w:p>
        </w:tc>
      </w:tr>
      <w:tr>
        <w:trPr>
          <w:trHeight w:val="23"/>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7280" w:type="dxa"/>
            <w:vAlign w:val="bottom"/>
            <w:tcBorders>
              <w:bottom w:val="single" w:sz="8" w:color="auto"/>
              <w:right w:val="single" w:sz="8" w:color="auto"/>
            </w:tcBorders>
          </w:tcPr>
          <w:p>
            <w:pPr>
              <w:spacing w:after="0"/>
              <w:rPr>
                <w:sz w:val="2"/>
                <w:szCs w:val="2"/>
                <w:color w:val="auto"/>
              </w:rPr>
            </w:pPr>
          </w:p>
        </w:tc>
      </w:tr>
      <w:tr>
        <w:trPr>
          <w:trHeight w:val="259"/>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i w:val="1"/>
                <w:iCs w:val="1"/>
                <w:color w:val="auto"/>
                <w:w w:val="92"/>
              </w:rPr>
              <w:t>Number of Awards Granted</w:t>
            </w:r>
            <w:r>
              <w:rPr>
                <w:rFonts w:ascii="Arial" w:cs="Arial" w:eastAsia="Arial" w:hAnsi="Arial"/>
                <w:sz w:val="20"/>
                <w:szCs w:val="20"/>
                <w:color w:val="auto"/>
                <w:w w:val="92"/>
              </w:rPr>
              <w:t>}</w:t>
            </w:r>
          </w:p>
        </w:tc>
        <w:tc>
          <w:tcPr>
            <w:tcW w:w="7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Company TSR minus Peer Group Median TSR equals 0</w:t>
            </w:r>
          </w:p>
        </w:tc>
      </w:tr>
      <w:tr>
        <w:trPr>
          <w:trHeight w:val="264"/>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i w:val="1"/>
                <w:iCs w:val="1"/>
                <w:color w:val="auto"/>
                <w:w w:val="94"/>
              </w:rPr>
              <w:t>Grant Custom 2</w:t>
            </w:r>
            <w:r>
              <w:rPr>
                <w:rFonts w:ascii="Arial" w:cs="Arial" w:eastAsia="Arial" w:hAnsi="Arial"/>
                <w:sz w:val="20"/>
                <w:szCs w:val="20"/>
                <w:color w:val="auto"/>
                <w:w w:val="94"/>
              </w:rPr>
              <w:t>}</w:t>
            </w:r>
          </w:p>
        </w:tc>
        <w:tc>
          <w:tcPr>
            <w:tcW w:w="7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w w:val="99"/>
              </w:rPr>
              <w:t>Company TSR minus Peer Group Median TSR is greater than or equal to +66.67</w:t>
            </w:r>
          </w:p>
        </w:tc>
      </w:tr>
    </w:tbl>
    <w:p>
      <w:pPr>
        <w:spacing w:after="0" w:line="200" w:lineRule="exact"/>
        <w:rPr>
          <w:sz w:val="20"/>
          <w:szCs w:val="20"/>
          <w:color w:val="auto"/>
        </w:rPr>
      </w:pPr>
    </w:p>
    <w:p>
      <w:pPr>
        <w:spacing w:after="0" w:line="35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Performance Parameters shall be subject to the adjustments approved by the Compensation Committee of the Board and set forth in writing at the time the Performance Parameters are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Appendix A-2</w:t>
      </w:r>
    </w:p>
    <w:p>
      <w:pPr>
        <w:sectPr>
          <w:pgSz w:w="11900" w:h="16838" w:orient="portrait"/>
          <w:cols w:equalWidth="0" w:num="1">
            <w:col w:w="11440"/>
          </w:cols>
          <w:pgMar w:left="240" w:top="118" w:right="219" w:bottom="1440" w:gutter="0" w:footer="0" w:header="0"/>
        </w:sectPr>
      </w:pPr>
    </w:p>
    <w:bookmarkStart w:id="190" w:name="page191"/>
    <w:bookmarkEnd w:id="190"/>
    <w:p>
      <w:pPr>
        <w:jc w:val="center"/>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38"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2019.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11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3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TERMS AND CONDITIONS APPLICABLE TO PARTICIPANTS OUTSIDE THE U.S.</w:t>
      </w:r>
    </w:p>
    <w:p>
      <w:pPr>
        <w:spacing w:after="0" w:line="16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i w:val="1"/>
          <w:iCs w:val="1"/>
          <w:u w:val="single" w:color="auto"/>
          <w:color w:val="auto"/>
        </w:rPr>
        <w:t>Data Privacy Information and Consent</w:t>
      </w:r>
      <w:r>
        <w:rPr>
          <w:rFonts w:ascii="Arial" w:cs="Arial" w:eastAsia="Arial" w:hAnsi="Arial"/>
          <w:sz w:val="20"/>
          <w:szCs w:val="20"/>
          <w:b w:val="1"/>
          <w:bCs w:val="1"/>
          <w:i w:val="1"/>
          <w:iCs w:val="1"/>
          <w:color w:val="auto"/>
        </w:rPr>
        <w:t>. The Company is located at One Technology Way, Norwood, Massachusetts, 02062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38" w:lineRule="exact"/>
        <w:rPr>
          <w:sz w:val="20"/>
          <w:szCs w:val="20"/>
          <w:color w:val="auto"/>
        </w:rPr>
      </w:pPr>
    </w:p>
    <w:p>
      <w:pPr>
        <w:jc w:val="both"/>
        <w:ind w:left="340" w:hanging="332"/>
        <w:spacing w:after="0" w:line="258" w:lineRule="auto"/>
        <w:tabs>
          <w:tab w:leader="none" w:pos="328"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Data Collection and Usage</w:t>
      </w:r>
      <w:r>
        <w:rPr>
          <w:rFonts w:ascii="Arial" w:cs="Arial" w:eastAsia="Arial" w:hAnsi="Arial"/>
          <w:sz w:val="19"/>
          <w:szCs w:val="19"/>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25" w:lineRule="exact"/>
        <w:rPr>
          <w:rFonts w:ascii="Arial" w:cs="Arial" w:eastAsia="Arial" w:hAnsi="Arial"/>
          <w:sz w:val="19"/>
          <w:szCs w:val="19"/>
          <w:b w:val="1"/>
          <w:bCs w:val="1"/>
          <w:color w:val="auto"/>
        </w:rPr>
      </w:pPr>
    </w:p>
    <w:p>
      <w:pPr>
        <w:jc w:val="both"/>
        <w:ind w:left="340" w:hanging="332"/>
        <w:spacing w:after="0" w:line="244" w:lineRule="auto"/>
        <w:tabs>
          <w:tab w:leader="none" w:pos="339" w:val="left"/>
        </w:tabs>
        <w:numPr>
          <w:ilvl w:val="0"/>
          <w:numId w:val="14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Stock Plan Administration Service Providers</w:t>
      </w:r>
      <w:r>
        <w:rPr>
          <w:rFonts w:ascii="Arial" w:cs="Arial" w:eastAsia="Arial" w:hAnsi="Arial"/>
          <w:sz w:val="20"/>
          <w:szCs w:val="20"/>
          <w:b w:val="1"/>
          <w:bCs w:val="1"/>
          <w:i w:val="1"/>
          <w:iCs w:val="1"/>
          <w:color w:val="auto"/>
        </w:rPr>
        <w:t>. The Company transfers participant data to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B-1</w:t>
      </w:r>
    </w:p>
    <w:p>
      <w:pPr>
        <w:sectPr>
          <w:pgSz w:w="11900" w:h="16838" w:orient="portrait"/>
          <w:cols w:equalWidth="0" w:num="1">
            <w:col w:w="11420"/>
          </w:cols>
          <w:pgMar w:left="240" w:top="116"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20"/>
          <w:szCs w:val="20"/>
          <w:b w:val="1"/>
          <w:bCs w:val="1"/>
          <w:color w:val="auto"/>
        </w:rPr>
        <w:t>APPENDIX B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EQUITY INCENTIVE PLAN</w:t>
      </w: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b w:val="1"/>
          <w:bCs w:val="1"/>
          <w:i w:val="1"/>
          <w:iCs w:val="1"/>
          <w:color w:val="auto"/>
        </w:rPr>
        <w:t>on separate terms and data processing practices with the service provider, which is a condition to the Participant’s ability to participate in the Plan.</w:t>
      </w:r>
    </w:p>
    <w:p>
      <w:pPr>
        <w:spacing w:after="0" w:line="123" w:lineRule="exact"/>
        <w:rPr>
          <w:sz w:val="20"/>
          <w:szCs w:val="20"/>
          <w:color w:val="auto"/>
        </w:rPr>
      </w:pPr>
    </w:p>
    <w:p>
      <w:pPr>
        <w:jc w:val="both"/>
        <w:ind w:left="340" w:hanging="332"/>
        <w:spacing w:after="0" w:line="269" w:lineRule="auto"/>
        <w:tabs>
          <w:tab w:leader="none" w:pos="33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The United States is subject to adequacy decisions by the European Commission and Swizterland acknowledging that the United States provides an adequate level of protection for personal data transferred to organizations in the United States that have self-certified under the EU/U.S. and Swiss/U.S. Privacy Shield Frameworks. In the absence of self-certification under the EU/U.S. and Swiss/U.S. Privacy Shield Frameworks, an appropriate level of protection for personal data transferred to the United States can be ensured by implementing appropriate safeguards such as the EU Standard Contractual Clauses. The Company is not self-certified under the EU/U.S. and Swiss/U.S. Privacy Shield Frameworks.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25" w:lineRule="exact"/>
        <w:rPr>
          <w:rFonts w:ascii="Arial" w:cs="Arial" w:eastAsia="Arial" w:hAnsi="Arial"/>
          <w:sz w:val="18"/>
          <w:szCs w:val="18"/>
          <w:b w:val="1"/>
          <w:bCs w:val="1"/>
          <w:color w:val="auto"/>
        </w:rPr>
      </w:pPr>
    </w:p>
    <w:p>
      <w:pPr>
        <w:jc w:val="both"/>
        <w:ind w:left="340" w:hanging="332"/>
        <w:spacing w:after="0" w:line="321" w:lineRule="auto"/>
        <w:tabs>
          <w:tab w:leader="none" w:pos="339"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needs the Participant’s personal data, which will generally be seven years after the Participant is granted Performance RSUs under the Plan, the Company will remove it from it from its systems. If the Company keeps data longer, it would be to satisfy legal or regulatory obligations and the Company’s legal basis would be relevant laws or regulations.</w:t>
      </w:r>
    </w:p>
    <w:p>
      <w:pPr>
        <w:spacing w:after="0" w:line="79" w:lineRule="exact"/>
        <w:rPr>
          <w:rFonts w:ascii="Arial" w:cs="Arial" w:eastAsia="Arial" w:hAnsi="Arial"/>
          <w:sz w:val="16"/>
          <w:szCs w:val="16"/>
          <w:b w:val="1"/>
          <w:bCs w:val="1"/>
          <w:color w:val="auto"/>
        </w:rPr>
      </w:pPr>
    </w:p>
    <w:p>
      <w:pPr>
        <w:jc w:val="both"/>
        <w:ind w:left="340" w:hanging="332"/>
        <w:spacing w:after="0" w:line="328" w:lineRule="auto"/>
        <w:tabs>
          <w:tab w:leader="none" w:pos="33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74" w:lineRule="exact"/>
        <w:rPr>
          <w:rFonts w:ascii="Arial" w:cs="Arial" w:eastAsia="Arial" w:hAnsi="Arial"/>
          <w:sz w:val="16"/>
          <w:szCs w:val="16"/>
          <w:b w:val="1"/>
          <w:bCs w:val="1"/>
          <w:color w:val="auto"/>
        </w:rPr>
      </w:pPr>
    </w:p>
    <w:p>
      <w:pPr>
        <w:jc w:val="both"/>
        <w:ind w:left="340" w:hanging="332"/>
        <w:spacing w:after="0" w:line="258" w:lineRule="auto"/>
        <w:tabs>
          <w:tab w:leader="none" w:pos="335" w:val="left"/>
        </w:tabs>
        <w:numPr>
          <w:ilvl w:val="0"/>
          <w:numId w:val="143"/>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to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Technology Way, Norwood, Massachusetts, 02062 U.S.A., Attention: Stock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B-2</w:t>
      </w:r>
    </w:p>
    <w:p>
      <w:pPr>
        <w:sectPr>
          <w:pgSz w:w="11900" w:h="16838" w:orient="portrait"/>
          <w:cols w:equalWidth="0" w:num="1">
            <w:col w:w="11420"/>
          </w:cols>
          <w:pgMar w:left="240" w:top="116" w:right="23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20"/>
          <w:szCs w:val="20"/>
          <w:b w:val="1"/>
          <w:bCs w:val="1"/>
          <w:color w:val="auto"/>
        </w:rPr>
        <w:t>APPENDIX B TO</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EQUITY INCENTIVE PLAN</w:t>
      </w:r>
    </w:p>
    <w:p>
      <w:pPr>
        <w:jc w:val="center"/>
        <w:ind w:right="-19"/>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00" w:lineRule="exact"/>
        <w:rPr>
          <w:sz w:val="20"/>
          <w:szCs w:val="20"/>
          <w:color w:val="auto"/>
        </w:rPr>
      </w:pP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 xml:space="preserve">If the Participant agrees with the data processing practices described in this notice, please declare the Participant’s consent by clicking “Accept </w:t>
      </w:r>
      <w:r>
        <w:rPr>
          <w:rFonts w:ascii="Arial" w:cs="Arial" w:eastAsia="Arial" w:hAnsi="Arial"/>
          <w:sz w:val="20"/>
          <w:szCs w:val="20"/>
          <w:b w:val="1"/>
          <w:bCs w:val="1"/>
          <w:i w:val="1"/>
          <w:iCs w:val="1"/>
          <w:color w:val="0563C1"/>
        </w:rPr>
        <w:t>Y</w:t>
      </w:r>
      <w:r>
        <w:rPr>
          <w:rFonts w:ascii="Arial" w:cs="Arial" w:eastAsia="Arial" w:hAnsi="Arial"/>
          <w:sz w:val="20"/>
          <w:szCs w:val="20"/>
          <w:b w:val="1"/>
          <w:bCs w:val="1"/>
          <w:i w:val="1"/>
          <w:iCs w:val="1"/>
          <w:color w:val="auto"/>
        </w:rPr>
        <w:t>our Grant” on the Accepting Your Grants page on Fidelity’s participant website.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Exclusion from Termination Indemnities and Other Benefits</w:t>
      </w:r>
      <w:r>
        <w:rPr>
          <w:rFonts w:ascii="Arial" w:cs="Arial" w:eastAsia="Arial" w:hAnsi="Arial"/>
          <w:sz w:val="20"/>
          <w:szCs w:val="20"/>
          <w:color w:val="auto"/>
        </w:rPr>
        <w:t>. This provision supplements Section 9(b) of the Agreement:</w:t>
      </w:r>
    </w:p>
    <w:p>
      <w:pPr>
        <w:spacing w:after="0" w:line="16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By accepting the Performance RSUs, the Participant acknowledges, understands, and agrees that the benefits received under the Plan will not be taken into account for any redundancy or unfair dismissal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Appendix B-3</w:t>
      </w:r>
    </w:p>
    <w:p>
      <w:pPr>
        <w:sectPr>
          <w:pgSz w:w="11900" w:h="16838" w:orient="portrait"/>
          <w:cols w:equalWidth="0" w:num="1">
            <w:col w:w="11420"/>
          </w:cols>
          <w:pgMar w:left="240" w:top="118"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t>Exhibit 31.1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100" w:hanging="320"/>
        <w:spacing w:after="0" w:line="264" w:lineRule="auto"/>
        <w:tabs>
          <w:tab w:leader="none" w:pos="1291"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28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291"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28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40" w:hanging="320"/>
        <w:spacing w:after="0" w:line="317" w:lineRule="auto"/>
        <w:tabs>
          <w:tab w:leader="none" w:pos="1291"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40" w:hanging="320"/>
        <w:spacing w:after="0" w:line="277" w:lineRule="auto"/>
        <w:tabs>
          <w:tab w:leader="none" w:pos="128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2931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22"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color w:val="auto"/>
        </w:rPr>
        <w:t>Exhibit 31.2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100" w:hanging="320"/>
        <w:spacing w:after="0" w:line="264" w:lineRule="auto"/>
        <w:tabs>
          <w:tab w:leader="none" w:pos="1291"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28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291" w:val="left"/>
        </w:tabs>
        <w:numPr>
          <w:ilvl w:val="1"/>
          <w:numId w:val="1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28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40" w:hanging="320"/>
        <w:spacing w:after="0" w:line="317" w:lineRule="auto"/>
        <w:tabs>
          <w:tab w:leader="none" w:pos="1291"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40" w:hanging="320"/>
        <w:spacing w:after="0" w:line="277" w:lineRule="auto"/>
        <w:tabs>
          <w:tab w:leader="none" w:pos="128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tabs>
          <w:tab w:leader="none" w:pos="626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2931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Finance</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22"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February 1, 2020 as filed with the Securities and Exchange Commission on the date hereof (the “Report”), the undersigned, Vincent Roche, Chief Executive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2931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22"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February 1, 2020 as filed with the Securities and Exchange Commission on the date hereof (the “Report”), the undersigned, Prashanth Mahendra-Rajah, Chief Financial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626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2931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1)"/>
      <w:numFmt w:val="decimal"/>
      <w:start w:val="1"/>
    </w:lvl>
  </w:abstractNum>
  <w:abstractNum w:abstractNumId="3">
    <w:nsid w:val="51D9C564"/>
    <w:multiLevelType w:val="hybridMultilevel"/>
    <w:lvl w:ilvl="0">
      <w:lvlJc w:val="left"/>
      <w:lvlText w:val="(%1)"/>
      <w:numFmt w:val="decimal"/>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1)"/>
      <w:numFmt w:val="decimal"/>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1)"/>
      <w:numFmt w:val="lowerLetter"/>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1)"/>
      <w:numFmt w:val="lowerLetter"/>
      <w:start w:val="1"/>
    </w:lvl>
  </w:abstractNum>
  <w:abstractNum w:abstractNumId="19">
    <w:nsid w:val="71EA1109"/>
    <w:multiLevelType w:val="hybridMultilevel"/>
    <w:lvl w:ilvl="0">
      <w:lvlJc w:val="left"/>
      <w:lvlText w:val="%1"/>
      <w:numFmt w:val="decimal"/>
      <w:start w:val="104"/>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1)"/>
      <w:numFmt w:val="lowerRoman"/>
      <w:start w:val="4"/>
    </w:lvl>
  </w:abstractNum>
  <w:abstractNum w:abstractNumId="25">
    <w:nsid w:val="885E1B"/>
    <w:multiLevelType w:val="hybridMultilevel"/>
    <w:lvl w:ilvl="0">
      <w:lvlJc w:val="left"/>
      <w:lvlText w:val="%1."/>
      <w:numFmt w:val="decimal"/>
      <w:start w:val="1"/>
    </w:lvl>
  </w:abstractNum>
  <w:abstractNum w:abstractNumId="26">
    <w:nsid w:val="76272110"/>
    <w:multiLevelType w:val="hybridMultilevel"/>
    <w:lvl w:ilvl="0">
      <w:lvlJc w:val="left"/>
      <w:lvlText w:val="%1."/>
      <w:numFmt w:val="decimal"/>
      <w:start w:val="2"/>
    </w:lvl>
    <w:lvl w:ilvl="1">
      <w:lvlJc w:val="left"/>
      <w:lvlText w:val="(%2)"/>
      <w:numFmt w:val="lowerLetter"/>
      <w:start w:val="1"/>
    </w:lvl>
  </w:abstractNum>
  <w:abstractNum w:abstractNumId="27">
    <w:nsid w:val="4C04A8AF"/>
    <w:multiLevelType w:val="hybridMultilevel"/>
    <w:lvl w:ilvl="0">
      <w:lvlJc w:val="left"/>
      <w:lvlText w:val="%1"/>
      <w:numFmt w:val="decimal"/>
      <w:start w:val="1"/>
    </w:lvl>
    <w:lvl w:ilvl="1">
      <w:lvlJc w:val="left"/>
      <w:lvlText w:val="(%2)"/>
      <w:numFmt w:val="lowerLetter"/>
      <w:start w:val="4"/>
    </w:lvl>
  </w:abstractNum>
  <w:abstractNum w:abstractNumId="28">
    <w:nsid w:val="1716703B"/>
    <w:multiLevelType w:val="hybridMultilevel"/>
    <w:lvl w:ilvl="0">
      <w:lvlJc w:val="left"/>
      <w:lvlText w:val="%1."/>
      <w:numFmt w:val="decimal"/>
      <w:start w:val="3"/>
    </w:lvl>
    <w:lvl w:ilvl="1">
      <w:lvlJc w:val="left"/>
      <w:lvlText w:val="(%2)"/>
      <w:numFmt w:val="lowerLetter"/>
      <w:start w:val="1"/>
    </w:lvl>
  </w:abstractNum>
  <w:abstractNum w:abstractNumId="29">
    <w:nsid w:val="14E17E3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
    <w:nsid w:val="3222E7CD"/>
    <w:multiLevelType w:val="hybridMultilevel"/>
    <w:lvl w:ilvl="0">
      <w:lvlJc w:val="left"/>
      <w:lvlText w:val="%1."/>
      <w:numFmt w:val="decimal"/>
      <w:start w:val="7"/>
    </w:lvl>
  </w:abstractNum>
  <w:abstractNum w:abstractNumId="31">
    <w:nsid w:val="74DE0EE3"/>
    <w:multiLevelType w:val="hybridMultilevel"/>
    <w:lvl w:ilvl="0">
      <w:lvlJc w:val="left"/>
      <w:lvlText w:val="%1."/>
      <w:numFmt w:val="decimal"/>
      <w:start w:val="9"/>
    </w:lvl>
    <w:lvl w:ilvl="1">
      <w:lvlJc w:val="left"/>
      <w:lvlText w:val="(%2)"/>
      <w:numFmt w:val="lowerLetter"/>
      <w:start w:val="1"/>
    </w:lvl>
  </w:abstractNum>
  <w:abstractNum w:abstractNumId="32">
    <w:nsid w:val="68EBC550"/>
    <w:multiLevelType w:val="hybridMultilevel"/>
    <w:lvl w:ilvl="0">
      <w:lvlJc w:val="left"/>
      <w:lvlText w:val="(%1)"/>
      <w:numFmt w:val="lowerLetter"/>
      <w:start w:val="5"/>
    </w:lvl>
  </w:abstractNum>
  <w:abstractNum w:abstractNumId="33">
    <w:nsid w:val="2DF6D648"/>
    <w:multiLevelType w:val="hybridMultilevel"/>
    <w:lvl w:ilvl="0">
      <w:lvlJc w:val="left"/>
      <w:lvlText w:val="(%1)"/>
      <w:numFmt w:val="lowerLetter"/>
      <w:start w:val="13"/>
    </w:lvl>
  </w:abstractNum>
  <w:abstractNum w:abstractNumId="34">
    <w:nsid w:val="46B7D447"/>
    <w:multiLevelType w:val="hybridMultilevel"/>
    <w:lvl w:ilvl="0">
      <w:lvlJc w:val="left"/>
      <w:lvlText w:val="(%1)"/>
      <w:numFmt w:val="lowerLetter"/>
      <w:start w:val="18"/>
    </w:lvl>
  </w:abstractNum>
  <w:abstractNum w:abstractNumId="35">
    <w:nsid w:val="4A2AC315"/>
    <w:multiLevelType w:val="hybridMultilevel"/>
    <w:lvl w:ilvl="0">
      <w:lvlJc w:val="left"/>
      <w:lvlText w:val="(%1)"/>
      <w:numFmt w:val="lowerLetter"/>
      <w:start w:val="23"/>
    </w:lvl>
  </w:abstractNum>
  <w:abstractNum w:abstractNumId="36">
    <w:nsid w:val="39EE015C"/>
    <w:multiLevelType w:val="hybridMultilevel"/>
    <w:lvl w:ilvl="0">
      <w:lvlJc w:val="left"/>
      <w:lvlText w:val="%1."/>
      <w:numFmt w:val="decimal"/>
      <w:start w:val="1"/>
    </w:lvl>
    <w:lvl w:ilvl="1">
      <w:lvlJc w:val="left"/>
      <w:lvlText w:val="(%2)"/>
      <w:numFmt w:val="lowerLetter"/>
      <w:start w:val="1"/>
    </w:lvl>
  </w:abstractNum>
  <w:abstractNum w:abstractNumId="37">
    <w:nsid w:val="57FC4FBB"/>
    <w:multiLevelType w:val="hybridMultilevel"/>
    <w:lvl w:ilvl="0">
      <w:lvlJc w:val="left"/>
      <w:lvlText w:val="(%1)"/>
      <w:numFmt w:val="lowerLetter"/>
      <w:start w:val="2"/>
    </w:lvl>
    <w:lvl w:ilvl="1">
      <w:lvlJc w:val="left"/>
      <w:lvlText w:val="(%2)"/>
      <w:numFmt w:val="lowerRoman"/>
      <w:start w:val="1"/>
    </w:lvl>
  </w:abstractNum>
  <w:abstractNum w:abstractNumId="38">
    <w:nsid w:val="CC1016F"/>
    <w:multiLevelType w:val="hybridMultilevel"/>
    <w:lvl w:ilvl="0">
      <w:lvlJc w:val="left"/>
      <w:lvlText w:val="(%1)"/>
      <w:numFmt w:val="lowerLetter"/>
      <w:start w:val="1"/>
    </w:lvl>
  </w:abstractNum>
  <w:abstractNum w:abstractNumId="39">
    <w:nsid w:val="43F18422"/>
    <w:multiLevelType w:val="hybridMultilevel"/>
    <w:lvl w:ilvl="0">
      <w:lvlJc w:val="left"/>
      <w:lvlText w:val="(%1)"/>
      <w:numFmt w:val="lowerLetter"/>
      <w:start w:val="2"/>
    </w:lvl>
  </w:abstractNum>
  <w:abstractNum w:abstractNumId="40">
    <w:nsid w:val="60EF0119"/>
    <w:multiLevelType w:val="hybridMultilevel"/>
    <w:lvl w:ilvl="0">
      <w:lvlJc w:val="left"/>
      <w:lvlText w:val="(%1)"/>
      <w:numFmt w:val="lowerLetter"/>
      <w:start w:val="6"/>
    </w:lvl>
  </w:abstractNum>
  <w:abstractNum w:abstractNumId="41">
    <w:nsid w:val="26F324BA"/>
    <w:multiLevelType w:val="hybridMultilevel"/>
    <w:lvl w:ilvl="0">
      <w:lvlJc w:val="left"/>
      <w:lvlText w:val="(%1)"/>
      <w:numFmt w:val="decimal"/>
      <w:start w:val="2"/>
    </w:lvl>
  </w:abstractNum>
  <w:abstractNum w:abstractNumId="42">
    <w:nsid w:val="7F01579B"/>
    <w:multiLevelType w:val="hybridMultilevel"/>
    <w:lvl w:ilvl="0">
      <w:lvlJc w:val="left"/>
      <w:lvlText w:val="%1."/>
      <w:numFmt w:val="lowerLetter"/>
      <w:start w:val="1"/>
    </w:lvl>
  </w:abstractNum>
  <w:abstractNum w:abstractNumId="43">
    <w:nsid w:val="49DA307D"/>
    <w:multiLevelType w:val="hybridMultilevel"/>
    <w:lvl w:ilvl="0">
      <w:lvlJc w:val="left"/>
      <w:lvlText w:val="%1."/>
      <w:numFmt w:val="decimal"/>
      <w:start w:val="7"/>
    </w:lvl>
  </w:abstractNum>
  <w:abstractNum w:abstractNumId="44">
    <w:nsid w:val="7055A5F5"/>
    <w:multiLevelType w:val="hybridMultilevel"/>
    <w:lvl w:ilvl="0">
      <w:lvlJc w:val="left"/>
      <w:lvlText w:val="%1."/>
      <w:numFmt w:val="decimal"/>
      <w:start w:val="9"/>
    </w:lvl>
  </w:abstractNum>
  <w:abstractNum w:abstractNumId="45">
    <w:nsid w:val="5FB8370B"/>
    <w:multiLevelType w:val="hybridMultilevel"/>
    <w:lvl w:ilvl="0">
      <w:lvlJc w:val="left"/>
      <w:lvlText w:val="(%1)"/>
      <w:numFmt w:val="lowerRoman"/>
      <w:start w:val="1"/>
    </w:lvl>
  </w:abstractNum>
  <w:abstractNum w:abstractNumId="46">
    <w:nsid w:val="50801EE1"/>
    <w:multiLevelType w:val="hybridMultilevel"/>
    <w:lvl w:ilvl="0">
      <w:lvlJc w:val="left"/>
      <w:lvlText w:val="(%1)"/>
      <w:numFmt w:val="lowerRoman"/>
      <w:start w:val="1"/>
    </w:lvl>
  </w:abstractNum>
  <w:abstractNum w:abstractNumId="47">
    <w:nsid w:val="488AC1A"/>
    <w:multiLevelType w:val="hybridMultilevel"/>
    <w:lvl w:ilvl="0">
      <w:lvlJc w:val="left"/>
      <w:lvlText w:val="%1."/>
      <w:numFmt w:val="decimal"/>
      <w:start w:val="1"/>
    </w:lvl>
  </w:abstractNum>
  <w:abstractNum w:abstractNumId="48">
    <w:nsid w:val="5FB8011C"/>
    <w:multiLevelType w:val="hybridMultilevel"/>
    <w:lvl w:ilvl="0">
      <w:lvlJc w:val="left"/>
      <w:lvlText w:val="%1."/>
      <w:numFmt w:val="decimal"/>
      <w:start w:val="6"/>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1."/>
      <w:numFmt w:val="upperLetter"/>
      <w:start w:val="2"/>
    </w:lvl>
  </w:abstractNum>
  <w:abstractNum w:abstractNumId="51">
    <w:nsid w:val="6FC75AF8"/>
    <w:multiLevelType w:val="hybridMultilevel"/>
    <w:lvl w:ilvl="0">
      <w:lvlJc w:val="left"/>
      <w:lvlText w:val="%1."/>
      <w:numFmt w:val="decimal"/>
      <w:start w:val="1"/>
    </w:lvl>
  </w:abstractNum>
  <w:abstractNum w:abstractNumId="52">
    <w:nsid w:val="6A5F702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
    <w:nsid w:val="7D5E18F8"/>
    <w:multiLevelType w:val="hybridMultilevel"/>
    <w:lvl w:ilvl="0">
      <w:lvlJc w:val="left"/>
      <w:lvlText w:val="%1."/>
      <w:numFmt w:val="decimal"/>
      <w:start w:val="3"/>
    </w:lvl>
  </w:abstractNum>
  <w:abstractNum w:abstractNumId="54">
    <w:nsid w:val="5F3534A4"/>
    <w:multiLevelType w:val="hybridMultilevel"/>
    <w:lvl w:ilvl="0">
      <w:lvlJc w:val="left"/>
      <w:lvlText w:val="(%1)"/>
      <w:numFmt w:val="lowerRoman"/>
      <w:start w:val="1"/>
    </w:lvl>
  </w:abstractNum>
  <w:abstractNum w:abstractNumId="55">
    <w:nsid w:val="73A1821B"/>
    <w:multiLevelType w:val="hybridMultilevel"/>
    <w:lvl w:ilvl="0">
      <w:lvlJc w:val="left"/>
      <w:lvlText w:val="%1."/>
      <w:numFmt w:val="decimal"/>
      <w:start w:val="4"/>
    </w:lvl>
  </w:abstractNum>
  <w:abstractNum w:abstractNumId="56">
    <w:nsid w:val="7DE67713"/>
    <w:multiLevelType w:val="hybridMultilevel"/>
    <w:lvl w:ilvl="0">
      <w:lvlJc w:val="left"/>
      <w:lvlText w:val="(%1)"/>
      <w:numFmt w:val="lowerRoman"/>
      <w:start w:val="1"/>
    </w:lvl>
  </w:abstractNum>
  <w:abstractNum w:abstractNumId="57">
    <w:nsid w:val="555C55B5"/>
    <w:multiLevelType w:val="hybridMultilevel"/>
    <w:lvl w:ilvl="0">
      <w:lvlJc w:val="left"/>
      <w:lvlText w:val="(%1)"/>
      <w:numFmt w:val="lowerRoman"/>
      <w:start w:val="4"/>
    </w:lvl>
  </w:abstractNum>
  <w:abstractNum w:abstractNumId="58">
    <w:nsid w:val="3FA62ACA"/>
    <w:multiLevelType w:val="hybridMultilevel"/>
    <w:lvl w:ilvl="0">
      <w:lvlJc w:val="left"/>
      <w:lvlText w:val="%1."/>
      <w:numFmt w:val="decimal"/>
      <w:start w:val="1"/>
    </w:lvl>
  </w:abstractNum>
  <w:abstractNum w:abstractNumId="59">
    <w:nsid w:val="14FCE74E"/>
    <w:multiLevelType w:val="hybridMultilevel"/>
    <w:lvl w:ilvl="0">
      <w:lvlJc w:val="left"/>
      <w:lvlText w:val="%1."/>
      <w:numFmt w:val="decimal"/>
      <w:start w:val="2"/>
    </w:lvl>
    <w:lvl w:ilvl="1">
      <w:lvlJc w:val="left"/>
      <w:lvlText w:val="(%2)"/>
      <w:numFmt w:val="lowerLetter"/>
      <w:start w:val="1"/>
    </w:lvl>
  </w:abstractNum>
  <w:abstractNum w:abstractNumId="60">
    <w:nsid w:val="6A3DD3E8"/>
    <w:multiLevelType w:val="hybridMultilevel"/>
    <w:lvl w:ilvl="0">
      <w:lvlJc w:val="left"/>
      <w:lvlText w:val="%1"/>
      <w:numFmt w:val="decimal"/>
      <w:start w:val="1"/>
    </w:lvl>
    <w:lvl w:ilvl="1">
      <w:lvlJc w:val="left"/>
      <w:lvlText w:val="(%2)"/>
      <w:numFmt w:val="lowerLetter"/>
      <w:start w:val="4"/>
    </w:lvl>
  </w:abstractNum>
  <w:abstractNum w:abstractNumId="61">
    <w:nsid w:val="71C91298"/>
    <w:multiLevelType w:val="hybridMultilevel"/>
    <w:lvl w:ilvl="0">
      <w:lvlJc w:val="left"/>
      <w:lvlText w:val="%1."/>
      <w:numFmt w:val="decimal"/>
      <w:start w:val="4"/>
    </w:lvl>
    <w:lvl w:ilvl="1">
      <w:lvlJc w:val="left"/>
      <w:lvlText w:val="(%2)"/>
      <w:numFmt w:val="lowerLetter"/>
      <w:start w:val="1"/>
    </w:lvl>
  </w:abstractNum>
  <w:abstractNum w:abstractNumId="62">
    <w:nsid w:val="9DAF632"/>
    <w:multiLevelType w:val="hybridMultilevel"/>
    <w:lvl w:ilvl="0">
      <w:lvlJc w:val="left"/>
      <w:lvlText w:val="%1."/>
      <w:numFmt w:val="decimal"/>
      <w:start w:val="5"/>
    </w:lvl>
  </w:abstractNum>
  <w:abstractNum w:abstractNumId="63">
    <w:nsid w:val="5329993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4">
    <w:nsid w:val="1FBFE8E0"/>
    <w:multiLevelType w:val="hybridMultilevel"/>
    <w:lvl w:ilvl="0">
      <w:lvlJc w:val="left"/>
      <w:lvlText w:val="%1"/>
      <w:numFmt w:val="decimal"/>
      <w:start w:val="1"/>
    </w:lvl>
    <w:lvl w:ilvl="1">
      <w:lvlJc w:val="left"/>
      <w:lvlText w:val="(%2)"/>
      <w:numFmt w:val="lowerRoman"/>
      <w:start w:val="4"/>
    </w:lvl>
  </w:abstractNum>
  <w:abstractNum w:abstractNumId="65">
    <w:nsid w:val="5092CA79"/>
    <w:multiLevelType w:val="hybridMultilevel"/>
    <w:lvl w:ilvl="0">
      <w:lvlJc w:val="left"/>
      <w:lvlText w:val="%1."/>
      <w:numFmt w:val="decimal"/>
      <w:start w:val="9"/>
    </w:lvl>
    <w:lvl w:ilvl="1">
      <w:lvlJc w:val="left"/>
      <w:lvlText w:val="%2"/>
      <w:numFmt w:val="lowerRoman"/>
      <w:start w:val="1"/>
    </w:lvl>
  </w:abstractNum>
  <w:abstractNum w:abstractNumId="66">
    <w:nsid w:val="1D545C4D"/>
    <w:multiLevelType w:val="hybridMultilevel"/>
    <w:lvl w:ilvl="0">
      <w:lvlJc w:val="left"/>
      <w:lvlText w:val="%1."/>
      <w:numFmt w:val="decimal"/>
      <w:start w:val="16"/>
    </w:lvl>
  </w:abstractNum>
  <w:abstractNum w:abstractNumId="67">
    <w:nsid w:val="59ADEA3D"/>
    <w:multiLevelType w:val="hybridMultilevel"/>
    <w:lvl w:ilvl="0">
      <w:lvlJc w:val="left"/>
      <w:lvlText w:val="%1."/>
      <w:numFmt w:val="decimal"/>
      <w:start w:val="24"/>
    </w:lvl>
  </w:abstractNum>
  <w:abstractNum w:abstractNumId="68">
    <w:nsid w:val="288F1A34"/>
    <w:multiLevelType w:val="hybridMultilevel"/>
    <w:lvl w:ilvl="0">
      <w:lvlJc w:val="left"/>
      <w:lvlText w:val="(%1)"/>
      <w:numFmt w:val="lowerLetter"/>
      <w:start w:val="1"/>
    </w:lvl>
  </w:abstractNum>
  <w:abstractNum w:abstractNumId="69">
    <w:nsid w:val="2A155DBC"/>
    <w:multiLevelType w:val="hybridMultilevel"/>
    <w:lvl w:ilvl="0">
      <w:lvlJc w:val="left"/>
      <w:lvlText w:val="(%1)"/>
      <w:numFmt w:val="lowerLetter"/>
      <w:start w:val="3"/>
    </w:lvl>
    <w:lvl w:ilvl="1">
      <w:lvlJc w:val="left"/>
      <w:lvlText w:val="(%2)"/>
      <w:numFmt w:val="lowerLetter"/>
      <w:start w:val="2"/>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1."/>
      <w:numFmt w:val="upperLetter"/>
      <w:start w:val="1"/>
    </w:lvl>
  </w:abstractNum>
  <w:abstractNum w:abstractNumId="72">
    <w:nsid w:val="51088277"/>
    <w:multiLevelType w:val="hybridMultilevel"/>
    <w:lvl w:ilvl="0">
      <w:lvlJc w:val="left"/>
      <w:lvlText w:val="%1."/>
      <w:numFmt w:val="decimal"/>
      <w:start w:val="1"/>
    </w:lvl>
  </w:abstractNum>
  <w:abstractNum w:abstractNumId="73">
    <w:nsid w:val="1CA0C5FA"/>
    <w:multiLevelType w:val="hybridMultilevel"/>
    <w:lvl w:ilvl="0">
      <w:lvlJc w:val="left"/>
      <w:lvlText w:val="(%1)"/>
      <w:numFmt w:val="lowerLetter"/>
      <w:start w:val="1"/>
    </w:lvl>
    <w:lvl w:ilvl="1">
      <w:lvlJc w:val="left"/>
      <w:lvlText w:val="(%2)"/>
      <w:numFmt w:val="lowerRoman"/>
      <w:start w:val="1"/>
    </w:lvl>
  </w:abstractNum>
  <w:abstractNum w:abstractNumId="74">
    <w:nsid w:val="53584BCB"/>
    <w:multiLevelType w:val="hybridMultilevel"/>
    <w:lvl w:ilvl="0">
      <w:lvlJc w:val="left"/>
      <w:lvlText w:val="%1."/>
      <w:numFmt w:val="decimal"/>
      <w:start w:val="2"/>
    </w:lvl>
  </w:abstractNum>
  <w:abstractNum w:abstractNumId="75">
    <w:nsid w:val="415E286C"/>
    <w:multiLevelType w:val="hybridMultilevel"/>
    <w:lvl w:ilvl="0">
      <w:lvlJc w:val="left"/>
      <w:lvlText w:val="(%1)"/>
      <w:numFmt w:val="lowerRoman"/>
      <w:start w:val="1"/>
    </w:lvl>
  </w:abstractNum>
  <w:abstractNum w:abstractNumId="76">
    <w:nsid w:val="7C58FD05"/>
    <w:multiLevelType w:val="hybridMultilevel"/>
    <w:lvl w:ilvl="0">
      <w:lvlJc w:val="left"/>
      <w:lvlText w:val="%1."/>
      <w:numFmt w:val="decimal"/>
      <w:start w:val="4"/>
    </w:lvl>
  </w:abstractNum>
  <w:abstractNum w:abstractNumId="77">
    <w:nsid w:val="23D86AAC"/>
    <w:multiLevelType w:val="hybridMultilevel"/>
    <w:lvl w:ilvl="0">
      <w:lvlJc w:val="left"/>
      <w:lvlText w:val="(%1)"/>
      <w:numFmt w:val="lowerRoman"/>
      <w:start w:val="1"/>
    </w:lvl>
  </w:abstractNum>
  <w:abstractNum w:abstractNumId="78">
    <w:nsid w:val="45E6D486"/>
    <w:multiLevelType w:val="hybridMultilevel"/>
    <w:lvl w:ilvl="0">
      <w:lvlJc w:val="left"/>
      <w:lvlText w:val="%1."/>
      <w:numFmt w:val="decimal"/>
      <w:start w:val="1"/>
    </w:lvl>
  </w:abstractNum>
  <w:abstractNum w:abstractNumId="79">
    <w:nsid w:val="5C10FE21"/>
    <w:multiLevelType w:val="hybridMultilevel"/>
    <w:lvl w:ilvl="0">
      <w:lvlJc w:val="left"/>
      <w:lvlText w:val="%1."/>
      <w:numFmt w:val="decimal"/>
      <w:start w:val="2"/>
    </w:lvl>
    <w:lvl w:ilvl="1">
      <w:lvlJc w:val="left"/>
      <w:lvlText w:val="(%2)"/>
      <w:numFmt w:val="lowerLetter"/>
      <w:start w:val="1"/>
    </w:lvl>
  </w:abstractNum>
  <w:abstractNum w:abstractNumId="80">
    <w:nsid w:val="E7FFA2B"/>
    <w:multiLevelType w:val="hybridMultilevel"/>
    <w:lvl w:ilvl="0">
      <w:lvlJc w:val="left"/>
      <w:lvlText w:val="%1."/>
      <w:numFmt w:val="decimal"/>
      <w:start w:val="3"/>
    </w:lvl>
    <w:lvl w:ilvl="1">
      <w:lvlJc w:val="left"/>
      <w:lvlText w:val="(%2)"/>
      <w:numFmt w:val="lowerLetter"/>
      <w:start w:val="1"/>
    </w:lvl>
  </w:abstractNum>
  <w:abstractNum w:abstractNumId="81">
    <w:nsid w:val="3C5991AA"/>
    <w:multiLevelType w:val="hybridMultilevel"/>
    <w:lvl w:ilvl="0">
      <w:lvlJc w:val="left"/>
      <w:lvlText w:val="%1"/>
      <w:numFmt w:val="decimal"/>
      <w:start w:val="1"/>
    </w:lvl>
    <w:lvl w:ilvl="1">
      <w:lvlJc w:val="left"/>
      <w:lvlText w:val="%2."/>
      <w:numFmt w:val="lowerRoman"/>
      <w:start w:val="1"/>
    </w:lvl>
  </w:abstractNum>
  <w:abstractNum w:abstractNumId="82">
    <w:nsid w:val="4BD8591A"/>
    <w:multiLevelType w:val="hybridMultilevel"/>
    <w:lvl w:ilvl="0">
      <w:lvlJc w:val="left"/>
      <w:lvlText w:val="%1."/>
      <w:numFmt w:val="decimal"/>
      <w:start w:val="7"/>
    </w:lvl>
    <w:lvl w:ilvl="1">
      <w:lvlJc w:val="left"/>
      <w:lvlText w:val="%2"/>
      <w:numFmt w:val="lowerRoman"/>
      <w:start w:val="1"/>
    </w:lvl>
  </w:abstractNum>
  <w:abstractNum w:abstractNumId="83">
    <w:nsid w:val="78DF6A55"/>
    <w:multiLevelType w:val="hybridMultilevel"/>
    <w:lvl w:ilvl="0">
      <w:lvlJc w:val="left"/>
      <w:lvlText w:val="%1."/>
      <w:numFmt w:val="decimal"/>
      <w:start w:val="8"/>
    </w:lvl>
    <w:lvl w:ilvl="1">
      <w:lvlJc w:val="left"/>
      <w:lvlText w:val="(%2)"/>
      <w:numFmt w:val="lowerLetter"/>
      <w:start w:val="1"/>
    </w:lvl>
  </w:abstractNum>
  <w:abstractNum w:abstractNumId="84">
    <w:nsid w:val="39B7AAA2"/>
    <w:multiLevelType w:val="hybridMultilevel"/>
    <w:lvl w:ilvl="0">
      <w:lvlJc w:val="left"/>
      <w:lvlText w:val="(%1)"/>
      <w:numFmt w:val="lowerLetter"/>
      <w:start w:val="5"/>
    </w:lvl>
  </w:abstractNum>
  <w:abstractNum w:abstractNumId="85">
    <w:nsid w:val="2B0D8DBE"/>
    <w:multiLevelType w:val="hybridMultilevel"/>
    <w:lvl w:ilvl="0">
      <w:lvlJc w:val="left"/>
      <w:lvlText w:val="(%1)"/>
      <w:numFmt w:val="lowerLetter"/>
      <w:start w:val="13"/>
    </w:lvl>
  </w:abstractNum>
  <w:abstractNum w:abstractNumId="86">
    <w:nsid w:val="6C80EC70"/>
    <w:multiLevelType w:val="hybridMultilevel"/>
    <w:lvl w:ilvl="0">
      <w:lvlJc w:val="left"/>
      <w:lvlText w:val="(%1)"/>
      <w:numFmt w:val="lowerLetter"/>
      <w:start w:val="19"/>
    </w:lvl>
  </w:abstractNum>
  <w:abstractNum w:abstractNumId="87">
    <w:nsid w:val="379E21B5"/>
    <w:multiLevelType w:val="hybridMultilevel"/>
    <w:lvl w:ilvl="0">
      <w:lvlJc w:val="left"/>
      <w:lvlText w:val="(%1)"/>
      <w:numFmt w:val="lowerLetter"/>
      <w:start w:val="25"/>
    </w:lvl>
  </w:abstractNum>
  <w:abstractNum w:abstractNumId="88">
    <w:nsid w:val="69E373"/>
    <w:multiLevelType w:val="hybridMultilevel"/>
    <w:lvl w:ilvl="0">
      <w:lvlJc w:val="left"/>
      <w:lvlText w:val="(%1)"/>
      <w:numFmt w:val="lowerLetter"/>
      <w:start w:val="1"/>
    </w:lvl>
  </w:abstractNum>
  <w:abstractNum w:abstractNumId="89">
    <w:nsid w:val="2C27173B"/>
    <w:multiLevelType w:val="hybridMultilevel"/>
    <w:lvl w:ilvl="0">
      <w:lvlJc w:val="left"/>
      <w:lvlText w:val="(%1)"/>
      <w:numFmt w:val="lowerLetter"/>
      <w:start w:val="3"/>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1)"/>
      <w:numFmt w:val="lowerLetter"/>
      <w:start w:val="1"/>
    </w:lvl>
  </w:abstractNum>
  <w:abstractNum w:abstractNumId="92">
    <w:nsid w:val="1DF029D3"/>
    <w:multiLevelType w:val="hybridMultilevel"/>
    <w:lvl w:ilvl="0">
      <w:lvlJc w:val="left"/>
      <w:lvlText w:val="(%1)"/>
      <w:numFmt w:val="lowerLetter"/>
      <w:start w:val="2"/>
    </w:lvl>
  </w:abstractNum>
  <w:abstractNum w:abstractNumId="93">
    <w:nsid w:val="5675FF36"/>
    <w:multiLevelType w:val="hybridMultilevel"/>
    <w:lvl w:ilvl="0">
      <w:lvlJc w:val="left"/>
      <w:lvlText w:val="(%1)"/>
      <w:numFmt w:val="lowerLetter"/>
      <w:start w:val="3"/>
    </w:lvl>
  </w:abstractNum>
  <w:abstractNum w:abstractNumId="94">
    <w:nsid w:val="3DD15094"/>
    <w:multiLevelType w:val="hybridMultilevel"/>
    <w:lvl w:ilvl="0">
      <w:lvlJc w:val="left"/>
      <w:lvlText w:val="(%1)"/>
      <w:numFmt w:val="lowerLetter"/>
      <w:start w:val="4"/>
    </w:lvl>
  </w:abstractNum>
  <w:abstractNum w:abstractNumId="95">
    <w:nsid w:val="3DB012B3"/>
    <w:multiLevelType w:val="hybridMultilevel"/>
    <w:lvl w:ilvl="0">
      <w:lvlJc w:val="left"/>
      <w:lvlText w:val="(%1)"/>
      <w:numFmt w:val="lowerLetter"/>
      <w:start w:val="5"/>
    </w:lvl>
  </w:abstractNum>
  <w:abstractNum w:abstractNumId="96">
    <w:nsid w:val="2708C9AF"/>
    <w:multiLevelType w:val="hybridMultilevel"/>
    <w:lvl w:ilvl="0">
      <w:lvlJc w:val="left"/>
      <w:lvlText w:val="(%1)"/>
      <w:numFmt w:val="lowerLetter"/>
      <w:start w:val="6"/>
    </w:lvl>
  </w:abstractNum>
  <w:abstractNum w:abstractNumId="97">
    <w:nsid w:val="5B25ACE2"/>
    <w:multiLevelType w:val="hybridMultilevel"/>
    <w:lvl w:ilvl="0">
      <w:lvlJc w:val="left"/>
      <w:lvlText w:val="%1."/>
      <w:numFmt w:val="decimal"/>
      <w:start w:val="9"/>
    </w:lvl>
  </w:abstractNum>
  <w:abstractNum w:abstractNumId="98">
    <w:nsid w:val="175DFCF0"/>
    <w:multiLevelType w:val="hybridMultilevel"/>
    <w:lvl w:ilvl="0">
      <w:lvlJc w:val="left"/>
      <w:lvlText w:val="(%1)"/>
      <w:numFmt w:val="lowerLetter"/>
      <w:start w:val="1"/>
    </w:lvl>
  </w:abstractNum>
  <w:abstractNum w:abstractNumId="99">
    <w:nsid w:val="4F97E3E4"/>
    <w:multiLevelType w:val="hybridMultilevel"/>
    <w:lvl w:ilvl="0">
      <w:lvlJc w:val="left"/>
      <w:lvlText w:val="%1."/>
      <w:numFmt w:val="lowerRoman"/>
      <w:start w:val="1"/>
    </w:lvl>
  </w:abstractNum>
  <w:abstractNum w:abstractNumId="100">
    <w:nsid w:val="53B0A9E"/>
    <w:multiLevelType w:val="hybridMultilevel"/>
    <w:lvl w:ilvl="0">
      <w:lvlJc w:val="left"/>
      <w:lvlText w:val="(%1)"/>
      <w:numFmt w:val="lowerLetter"/>
      <w:start w:val="2"/>
    </w:lvl>
  </w:abstractNum>
  <w:abstractNum w:abstractNumId="101">
    <w:nsid w:val="34FD6B4F"/>
    <w:multiLevelType w:val="hybridMultilevel"/>
    <w:lvl w:ilvl="0">
      <w:lvlJc w:val="left"/>
      <w:lvlText w:val="%1."/>
      <w:numFmt w:val="lowerRoman"/>
      <w:start w:val="1"/>
    </w:lvl>
  </w:abstractNum>
  <w:abstractNum w:abstractNumId="102">
    <w:nsid w:val="5915FF32"/>
    <w:multiLevelType w:val="hybridMultilevel"/>
    <w:lvl w:ilvl="0">
      <w:lvlJc w:val="left"/>
      <w:lvlText w:val="(%1)"/>
      <w:numFmt w:val="lowerLetter"/>
      <w:start w:val="3"/>
    </w:lvl>
  </w:abstractNum>
  <w:abstractNum w:abstractNumId="103">
    <w:nsid w:val="56438D15"/>
    <w:multiLevelType w:val="hybridMultilevel"/>
    <w:lvl w:ilvl="0">
      <w:lvlJc w:val="left"/>
      <w:lvlText w:val="(%1)"/>
      <w:numFmt w:val="lowerLetter"/>
      <w:start w:val="4"/>
    </w:lvl>
  </w:abstractNum>
  <w:abstractNum w:abstractNumId="104">
    <w:nsid w:val="519E3149"/>
    <w:multiLevelType w:val="hybridMultilevel"/>
    <w:lvl w:ilvl="0">
      <w:lvlJc w:val="left"/>
      <w:lvlText w:val="(%1)"/>
      <w:numFmt w:val="lowerLetter"/>
      <w:start w:val="5"/>
    </w:lvl>
  </w:abstractNum>
  <w:abstractNum w:abstractNumId="105">
    <w:nsid w:val="2C6E4AFD"/>
    <w:multiLevelType w:val="hybridMultilevel"/>
    <w:lvl w:ilvl="0">
      <w:lvlJc w:val="left"/>
      <w:lvlText w:val="(%1)"/>
      <w:numFmt w:val="lowerLetter"/>
      <w:start w:val="6"/>
    </w:lvl>
  </w:abstractNum>
  <w:abstractNum w:abstractNumId="106">
    <w:nsid w:val="17A1B582"/>
    <w:multiLevelType w:val="hybridMultilevel"/>
    <w:lvl w:ilvl="0">
      <w:lvlJc w:val="left"/>
      <w:lvlText w:val="(%1)"/>
      <w:numFmt w:val="lowerLetter"/>
      <w:start w:val="7"/>
    </w:lvl>
  </w:abstractNum>
  <w:abstractNum w:abstractNumId="107">
    <w:nsid w:val="4DF72E4E"/>
    <w:multiLevelType w:val="hybridMultilevel"/>
    <w:lvl w:ilvl="0">
      <w:lvlJc w:val="left"/>
      <w:lvlText w:val="(%1)"/>
      <w:numFmt w:val="lowerLetter"/>
      <w:start w:val="8"/>
    </w:lvl>
  </w:abstractNum>
  <w:abstractNum w:abstractNumId="108">
    <w:nsid w:val="5046B5A9"/>
    <w:multiLevelType w:val="hybridMultilevel"/>
    <w:lvl w:ilvl="0">
      <w:lvlJc w:val="left"/>
      <w:lvlText w:val="%1."/>
      <w:numFmt w:val="decimal"/>
      <w:start w:val="1"/>
    </w:lvl>
  </w:abstractNum>
  <w:abstractNum w:abstractNumId="109">
    <w:nsid w:val="5D888A08"/>
    <w:multiLevelType w:val="hybridMultilevel"/>
    <w:lvl w:ilvl="0">
      <w:lvlJc w:val="left"/>
      <w:lvlText w:val="%1."/>
      <w:numFmt w:val="decimal"/>
      <w:start w:val="7"/>
    </w:lvl>
  </w:abstractNum>
  <w:abstractNum w:abstractNumId="110">
    <w:nsid w:val="2A082C70"/>
    <w:multiLevelType w:val="hybridMultilevel"/>
    <w:lvl w:ilvl="0">
      <w:lvlJc w:val="left"/>
      <w:lvlText w:val="•"/>
      <w:numFmt w:val="bullet"/>
      <w:start w:val="1"/>
    </w:lvl>
  </w:abstractNum>
  <w:abstractNum w:abstractNumId="111">
    <w:nsid w:val="5EC6AFD4"/>
    <w:multiLevelType w:val="hybridMultilevel"/>
    <w:lvl w:ilvl="0">
      <w:lvlJc w:val="left"/>
      <w:lvlText w:val="%1."/>
      <w:numFmt w:val="upperLetter"/>
      <w:start w:val="1"/>
    </w:lvl>
  </w:abstractNum>
  <w:abstractNum w:abstractNumId="112">
    <w:nsid w:val="19E21BB2"/>
    <w:multiLevelType w:val="hybridMultilevel"/>
    <w:lvl w:ilvl="0">
      <w:lvlJc w:val="left"/>
      <w:lvlText w:val="%1."/>
      <w:numFmt w:val="decimal"/>
      <w:start w:val="1"/>
    </w:lvl>
  </w:abstractNum>
  <w:abstractNum w:abstractNumId="113">
    <w:nsid w:val="75E0858A"/>
    <w:multiLevelType w:val="hybridMultilevel"/>
    <w:lvl w:ilvl="0">
      <w:lvlJc w:val="left"/>
      <w:lvlText w:val="%1."/>
      <w:numFmt w:val="lowerLetter"/>
      <w:start w:val="1"/>
    </w:lvl>
    <w:lvl w:ilvl="1">
      <w:lvlJc w:val="left"/>
      <w:lvlText w:val="◦"/>
      <w:numFmt w:val="bullet"/>
      <w:start w:val="1"/>
    </w:lvl>
  </w:abstractNum>
  <w:abstractNum w:abstractNumId="114">
    <w:nsid w:val="57A61A29"/>
    <w:multiLevelType w:val="hybridMultilevel"/>
    <w:lvl w:ilvl="0">
      <w:lvlJc w:val="left"/>
      <w:lvlText w:val="%1."/>
      <w:numFmt w:val="lowerLetter"/>
      <w:start w:val="1"/>
    </w:lvl>
  </w:abstractNum>
  <w:abstractNum w:abstractNumId="115">
    <w:nsid w:val="5399C654"/>
    <w:multiLevelType w:val="hybridMultilevel"/>
    <w:lvl w:ilvl="0">
      <w:lvlJc w:val="left"/>
      <w:lvlText w:val="%1."/>
      <w:numFmt w:val="decimal"/>
      <w:start w:val="2"/>
    </w:lvl>
  </w:abstractNum>
  <w:abstractNum w:abstractNumId="116">
    <w:nsid w:val="20EE1348"/>
    <w:multiLevelType w:val="hybridMultilevel"/>
    <w:lvl w:ilvl="0">
      <w:lvlJc w:val="left"/>
      <w:lvlText w:val="%1"/>
      <w:numFmt w:val="lowerRoman"/>
      <w:start w:val="1"/>
    </w:lvl>
    <w:lvl w:ilvl="1">
      <w:lvlJc w:val="left"/>
      <w:lvlText w:val="%2."/>
      <w:numFmt w:val="lowerRoman"/>
      <w:start w:val="1"/>
    </w:lvl>
  </w:abstractNum>
  <w:abstractNum w:abstractNumId="117">
    <w:nsid w:val="4427069A"/>
    <w:multiLevelType w:val="hybridMultilevel"/>
    <w:lvl w:ilvl="0">
      <w:lvlJc w:val="left"/>
      <w:lvlText w:val="%1."/>
      <w:numFmt w:val="lowerRoman"/>
      <w:start w:val="4"/>
    </w:lvl>
    <w:lvl w:ilvl="1">
      <w:lvlJc w:val="left"/>
      <w:lvlText w:val="%2"/>
      <w:numFmt w:val="lowerRoman"/>
      <w:start w:val="1"/>
    </w:lvl>
  </w:abstractNum>
  <w:abstractNum w:abstractNumId="118">
    <w:nsid w:val="B37E80A"/>
    <w:multiLevelType w:val="hybridMultilevel"/>
    <w:lvl w:ilvl="0">
      <w:lvlJc w:val="left"/>
      <w:lvlText w:val="%1."/>
      <w:numFmt w:val="decimal"/>
      <w:start w:val="4"/>
    </w:lvl>
  </w:abstractNum>
  <w:abstractNum w:abstractNumId="119">
    <w:nsid w:val="2157F6BC"/>
    <w:multiLevelType w:val="hybridMultilevel"/>
    <w:lvl w:ilvl="0">
      <w:lvlJc w:val="left"/>
      <w:lvlText w:val="%1."/>
      <w:numFmt w:val="lowerRoman"/>
      <w:start w:val="1"/>
    </w:lvl>
  </w:abstractNum>
  <w:abstractNum w:abstractNumId="120">
    <w:nsid w:val="704E1DD5"/>
    <w:multiLevelType w:val="hybridMultilevel"/>
    <w:lvl w:ilvl="0">
      <w:lvlJc w:val="left"/>
      <w:lvlText w:val="%1."/>
      <w:numFmt w:val="lowerRoman"/>
      <w:start w:val="4"/>
    </w:lvl>
  </w:abstractNum>
  <w:abstractNum w:abstractNumId="121">
    <w:nsid w:val="57D2F10E"/>
    <w:multiLevelType w:val="hybridMultilevel"/>
    <w:lvl w:ilvl="0">
      <w:lvlJc w:val="left"/>
      <w:lvlText w:val="%1."/>
      <w:numFmt w:val="decimal"/>
      <w:start w:val="1"/>
    </w:lvl>
  </w:abstractNum>
  <w:abstractNum w:abstractNumId="122">
    <w:nsid w:val="BFFAE18"/>
    <w:multiLevelType w:val="hybridMultilevel"/>
    <w:lvl w:ilvl="0">
      <w:lvlJc w:val="left"/>
      <w:lvlText w:val="%1."/>
      <w:numFmt w:val="decimal"/>
      <w:start w:val="2"/>
    </w:lvl>
    <w:lvl w:ilvl="1">
      <w:lvlJc w:val="left"/>
      <w:lvlText w:val="(%2)"/>
      <w:numFmt w:val="lowerLetter"/>
      <w:start w:val="1"/>
    </w:lvl>
  </w:abstractNum>
  <w:abstractNum w:abstractNumId="123">
    <w:nsid w:val="E3E47A8"/>
    <w:multiLevelType w:val="hybridMultilevel"/>
    <w:lvl w:ilvl="0">
      <w:lvlJc w:val="left"/>
      <w:lvlText w:val="%1"/>
      <w:numFmt w:val="decimal"/>
      <w:start w:val="1"/>
    </w:lvl>
    <w:lvl w:ilvl="1">
      <w:lvlJc w:val="left"/>
      <w:lvlText w:val="(%2)"/>
      <w:numFmt w:val="lowerLetter"/>
      <w:start w:val="2"/>
    </w:lvl>
  </w:abstractNum>
  <w:abstractNum w:abstractNumId="124">
    <w:nsid w:val="2E48F044"/>
    <w:multiLevelType w:val="hybridMultilevel"/>
    <w:lvl w:ilvl="0">
      <w:lvlJc w:val="left"/>
      <w:lvlText w:val="%1."/>
      <w:numFmt w:val="decimal"/>
      <w:start w:val="3"/>
    </w:lvl>
    <w:lvl w:ilvl="1">
      <w:lvlJc w:val="left"/>
      <w:lvlText w:val="(%2)"/>
      <w:numFmt w:val="lowerLetter"/>
      <w:start w:val="1"/>
    </w:lvl>
  </w:abstractNum>
  <w:abstractNum w:abstractNumId="125">
    <w:nsid w:val="49D0FEA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6">
    <w:nsid w:val="4BEE5A5B"/>
    <w:multiLevelType w:val="hybridMultilevel"/>
    <w:lvl w:ilvl="0">
      <w:lvlJc w:val="left"/>
      <w:lvlText w:val="%1."/>
      <w:numFmt w:val="decimal"/>
      <w:start w:val="9"/>
    </w:lvl>
  </w:abstractNum>
  <w:abstractNum w:abstractNumId="127">
    <w:nsid w:val="5551B9F3"/>
    <w:multiLevelType w:val="hybridMultilevel"/>
    <w:lvl w:ilvl="0">
      <w:lvlJc w:val="left"/>
      <w:lvlText w:val="%1."/>
      <w:numFmt w:val="decimal"/>
      <w:start w:val="11"/>
    </w:lvl>
    <w:lvl w:ilvl="1">
      <w:lvlJc w:val="left"/>
      <w:lvlText w:val="(%2)"/>
      <w:numFmt w:val="lowerLetter"/>
      <w:start w:val="1"/>
    </w:lvl>
  </w:abstractNum>
  <w:abstractNum w:abstractNumId="128">
    <w:nsid w:val="24F6AB8E"/>
    <w:multiLevelType w:val="hybridMultilevel"/>
    <w:lvl w:ilvl="0">
      <w:lvlJc w:val="left"/>
      <w:lvlText w:val="(%1)"/>
      <w:numFmt w:val="lowerLetter"/>
      <w:start w:val="4"/>
    </w:lvl>
  </w:abstractNum>
  <w:abstractNum w:abstractNumId="129">
    <w:nsid w:val="634C574C"/>
    <w:multiLevelType w:val="hybridMultilevel"/>
    <w:lvl w:ilvl="0">
      <w:lvlJc w:val="left"/>
      <w:lvlText w:val="(%1)"/>
      <w:numFmt w:val="lowerLetter"/>
      <w:start w:val="15"/>
    </w:lvl>
  </w:abstractNum>
  <w:abstractNum w:abstractNumId="130">
    <w:nsid w:val="24E99DD7"/>
    <w:multiLevelType w:val="hybridMultilevel"/>
    <w:lvl w:ilvl="0">
      <w:lvlJc w:val="left"/>
      <w:lvlText w:val="%1."/>
      <w:numFmt w:val="decimal"/>
      <w:start w:val="1"/>
    </w:lvl>
  </w:abstractNum>
  <w:abstractNum w:abstractNumId="131">
    <w:nsid w:val="2A31B62D"/>
    <w:multiLevelType w:val="hybridMultilevel"/>
    <w:lvl w:ilvl="0">
      <w:lvlJc w:val="left"/>
      <w:lvlText w:val="%1."/>
      <w:numFmt w:val="decimal"/>
      <w:start w:val="2"/>
    </w:lvl>
    <w:lvl w:ilvl="1">
      <w:lvlJc w:val="left"/>
      <w:lvlText w:val="(%2)"/>
      <w:numFmt w:val="lowerLetter"/>
      <w:start w:val="1"/>
    </w:lvl>
  </w:abstractNum>
  <w:abstractNum w:abstractNumId="132">
    <w:nsid w:val="1849C29B"/>
    <w:multiLevelType w:val="hybridMultilevel"/>
    <w:lvl w:ilvl="0">
      <w:lvlJc w:val="left"/>
      <w:lvlText w:val="%1"/>
      <w:numFmt w:val="decimal"/>
      <w:start w:val="1"/>
    </w:lvl>
    <w:lvl w:ilvl="1">
      <w:lvlJc w:val="left"/>
      <w:lvlText w:val="(%2)"/>
      <w:numFmt w:val="lowerLetter"/>
      <w:start w:val="5"/>
    </w:lvl>
  </w:abstractNum>
  <w:abstractNum w:abstractNumId="133">
    <w:nsid w:val="7DFF9D09"/>
    <w:multiLevelType w:val="hybridMultilevel"/>
    <w:lvl w:ilvl="0">
      <w:lvlJc w:val="left"/>
      <w:lvlText w:val="%1."/>
      <w:numFmt w:val="decimal"/>
      <w:start w:val="3"/>
    </w:lvl>
    <w:lvl w:ilvl="1">
      <w:lvlJc w:val="left"/>
      <w:lvlText w:val="(%2)"/>
      <w:numFmt w:val="lowerLetter"/>
      <w:start w:val="1"/>
    </w:lvl>
  </w:abstractNum>
  <w:abstractNum w:abstractNumId="134">
    <w:nsid w:val="754342"/>
    <w:multiLevelType w:val="hybridMultilevel"/>
    <w:lvl w:ilvl="0">
      <w:lvlJc w:val="left"/>
      <w:lvlText w:val="(%1)"/>
      <w:numFmt w:val="lowerLetter"/>
      <w:start w:val="2"/>
    </w:lvl>
    <w:lvl w:ilvl="1">
      <w:lvlJc w:val="left"/>
      <w:lvlText w:val="%2."/>
      <w:numFmt w:val="lowerRoman"/>
      <w:start w:val="1"/>
    </w:lvl>
  </w:abstractNum>
  <w:abstractNum w:abstractNumId="135">
    <w:nsid w:val="69E7F3E5"/>
    <w:multiLevelType w:val="hybridMultilevel"/>
    <w:lvl w:ilvl="0">
      <w:lvlJc w:val="left"/>
      <w:lvlText w:val="%1."/>
      <w:numFmt w:val="decimal"/>
      <w:start w:val="7"/>
    </w:lvl>
    <w:lvl w:ilvl="1">
      <w:lvlJc w:val="left"/>
      <w:lvlText w:val="(%2)"/>
      <w:numFmt w:val="lowerLetter"/>
      <w:start w:val="1"/>
    </w:lvl>
  </w:abstractNum>
  <w:abstractNum w:abstractNumId="136">
    <w:nsid w:val="2A6DE806"/>
    <w:multiLevelType w:val="hybridMultilevel"/>
    <w:lvl w:ilvl="0">
      <w:lvlJc w:val="left"/>
      <w:lvlText w:val="(%1)"/>
      <w:numFmt w:val="lowerLetter"/>
      <w:start w:val="3"/>
    </w:lvl>
  </w:abstractNum>
  <w:abstractNum w:abstractNumId="137">
    <w:nsid w:val="1816F8C4"/>
    <w:multiLevelType w:val="hybridMultilevel"/>
    <w:lvl w:ilvl="0">
      <w:lvlJc w:val="left"/>
      <w:lvlText w:val="(%1)"/>
      <w:numFmt w:val="lowerLetter"/>
      <w:start w:val="9"/>
    </w:lvl>
  </w:abstractNum>
  <w:abstractNum w:abstractNumId="138">
    <w:nsid w:val="37DF2233"/>
    <w:multiLevelType w:val="hybridMultilevel"/>
    <w:lvl w:ilvl="0">
      <w:lvlJc w:val="left"/>
      <w:lvlText w:val="(%1)"/>
      <w:numFmt w:val="lowerLetter"/>
      <w:start w:val="16"/>
    </w:lvl>
  </w:abstractNum>
  <w:abstractNum w:abstractNumId="139">
    <w:nsid w:val="7AB49DAF"/>
    <w:multiLevelType w:val="hybridMultilevel"/>
    <w:lvl w:ilvl="0">
      <w:lvlJc w:val="left"/>
      <w:lvlText w:val="(%1)"/>
      <w:numFmt w:val="lowerLetter"/>
      <w:start w:val="23"/>
    </w:lvl>
  </w:abstractNum>
  <w:abstractNum w:abstractNumId="140">
    <w:nsid w:val="759F82CD"/>
    <w:multiLevelType w:val="hybridMultilevel"/>
    <w:lvl w:ilvl="0">
      <w:lvlJc w:val="left"/>
      <w:lvlText w:val="%1."/>
      <w:numFmt w:val="decimal"/>
      <w:start w:val="1"/>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lowerLetter"/>
      <w:start w:val="3"/>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2020-02-19T07:56:05Z</dcterms:created>
  <dcterms:modified xsi:type="dcterms:W3CDTF">2020-02-19T07:56:05Z</dcterms:modified>
</cp:coreProperties>
</file>