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6010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March 13,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U.S. MAIL AND FACSIMILE (781) 461-3491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Analog Devices, Inc.</w:t>
      </w:r>
    </w:p>
    <w:p>
      <w:pPr>
        <w:spacing w:after="0" w:line="237" w:lineRule="auto"/>
        <w:rPr>
          <w:sz w:val="20"/>
          <w:szCs w:val="20"/>
          <w:color w:val="auto"/>
        </w:rPr>
      </w:pPr>
      <w:r>
        <w:rPr>
          <w:rFonts w:ascii="Courier New" w:cs="Courier New" w:eastAsia="Courier New" w:hAnsi="Courier New"/>
          <w:sz w:val="18"/>
          <w:szCs w:val="18"/>
          <w:color w:val="auto"/>
        </w:rPr>
        <w:t>One Technology Way</w:t>
      </w:r>
    </w:p>
    <w:p>
      <w:pPr>
        <w:spacing w:after="0"/>
        <w:tabs>
          <w:tab w:leader="none" w:pos="136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Analog Devices, Inc.</w:t>
      </w:r>
    </w:p>
    <w:p>
      <w:pPr>
        <w:ind w:left="1700"/>
        <w:spacing w:after="0" w:line="238" w:lineRule="auto"/>
        <w:rPr>
          <w:sz w:val="20"/>
          <w:szCs w:val="20"/>
          <w:color w:val="auto"/>
        </w:rPr>
      </w:pPr>
      <w:r>
        <w:rPr>
          <w:rFonts w:ascii="Courier New" w:cs="Courier New" w:eastAsia="Courier New" w:hAnsi="Courier New"/>
          <w:sz w:val="18"/>
          <w:szCs w:val="18"/>
          <w:color w:val="auto"/>
        </w:rPr>
        <w:t>Form 10-K for the year ended October 29, 2005</w:t>
      </w:r>
    </w:p>
    <w:p>
      <w:pPr>
        <w:ind w:left="640"/>
        <w:spacing w:after="0"/>
        <w:rPr>
          <w:sz w:val="20"/>
          <w:szCs w:val="20"/>
          <w:color w:val="auto"/>
        </w:rPr>
      </w:pPr>
      <w:r>
        <w:rPr>
          <w:rFonts w:ascii="Courier New" w:cs="Courier New" w:eastAsia="Courier New" w:hAnsi="Courier New"/>
          <w:sz w:val="18"/>
          <w:szCs w:val="18"/>
          <w:color w:val="auto"/>
        </w:rPr>
        <w:t>Filed November 21, 2005</w:t>
      </w:r>
    </w:p>
    <w:p>
      <w:pPr>
        <w:ind w:left="1700"/>
        <w:spacing w:after="0" w:line="237" w:lineRule="auto"/>
        <w:rPr>
          <w:sz w:val="20"/>
          <w:szCs w:val="20"/>
          <w:color w:val="auto"/>
        </w:rPr>
      </w:pPr>
      <w:r>
        <w:rPr>
          <w:rFonts w:ascii="Courier New" w:cs="Courier New" w:eastAsia="Courier New" w:hAnsi="Courier New"/>
          <w:sz w:val="18"/>
          <w:szCs w:val="18"/>
          <w:color w:val="auto"/>
        </w:rPr>
        <w:t>File No. 001-07819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McDonough:</w:t>
      </w:r>
    </w:p>
    <w:p>
      <w:pPr>
        <w:spacing w:after="0" w:line="207" w:lineRule="exact"/>
        <w:rPr>
          <w:sz w:val="24"/>
          <w:szCs w:val="24"/>
          <w:color w:val="auto"/>
        </w:rPr>
      </w:pPr>
    </w:p>
    <w:p>
      <w:pPr>
        <w:ind w:right="3899" w:firstLine="632"/>
        <w:spacing w:after="0" w:line="235" w:lineRule="auto"/>
        <w:rPr>
          <w:sz w:val="20"/>
          <w:szCs w:val="20"/>
          <w:color w:val="auto"/>
        </w:rPr>
      </w:pPr>
      <w:r>
        <w:rPr>
          <w:rFonts w:ascii="Courier New" w:cs="Courier New" w:eastAsia="Courier New" w:hAnsi="Courier New"/>
          <w:sz w:val="18"/>
          <w:szCs w:val="18"/>
          <w:color w:val="auto"/>
        </w:rPr>
        <w:t>We have reviewed your response dated March 1, 2006 and related</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filings and have the following comments. Where indicated, we think</w:t>
      </w:r>
    </w:p>
    <w:p>
      <w:pPr>
        <w:spacing w:after="0" w:line="6"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you should revise your future filings in response to these comments.</w:t>
      </w:r>
    </w:p>
    <w:p>
      <w:pPr>
        <w:spacing w:after="0" w:line="6" w:lineRule="exact"/>
        <w:rPr>
          <w:sz w:val="24"/>
          <w:szCs w:val="24"/>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If you disagree, we will consider your explanation as to why our comment is inapplicable or a revision is unnecessary. Please be as</w:t>
      </w:r>
    </w:p>
    <w:p>
      <w:pPr>
        <w:spacing w:after="0" w:line="6"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detailed as necessary in your explanation. In some of our comments,</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may ask you to provide us with information so we may better understand your disclosure. After reviewing this information, we may</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raise additional comments.</w:t>
      </w:r>
    </w:p>
    <w:p>
      <w:pPr>
        <w:spacing w:after="0" w:line="201"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Fiscal Year Ended October 29,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Financial Statements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 2. Summary of Significant Accounting Policies, page 38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Stock-Based Compensation, page 47</w:t>
      </w:r>
    </w:p>
    <w:p>
      <w:pPr>
        <w:spacing w:after="0" w:line="200" w:lineRule="exact"/>
        <w:rPr>
          <w:sz w:val="24"/>
          <w:szCs w:val="24"/>
          <w:color w:val="auto"/>
        </w:rPr>
      </w:pPr>
    </w:p>
    <w:p>
      <w:pPr>
        <w:spacing w:after="0" w:line="209"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your response to our prior comment 3.  While Question 3</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SAB Topic 14.D.1 provides guidance regarding what you should consider</w:t>
      </w:r>
    </w:p>
    <w:p>
      <w:pPr>
        <w:spacing w:after="0" w:line="5" w:lineRule="exact"/>
        <w:rPr>
          <w:rFonts w:ascii="Courier New" w:cs="Courier New" w:eastAsia="Courier New" w:hAnsi="Courier New"/>
          <w:sz w:val="16"/>
          <w:szCs w:val="16"/>
          <w:color w:val="auto"/>
        </w:rPr>
      </w:pPr>
    </w:p>
    <w:p>
      <w:pPr>
        <w:ind w:right="33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when evaluating the extent of your reliance on implied volatility versus historical volatility, Question 4 of SAB Topic 14.D.1 provides</w:t>
      </w:r>
    </w:p>
    <w:p>
      <w:pPr>
        <w:spacing w:after="0" w:line="6" w:lineRule="exact"/>
        <w:rPr>
          <w:rFonts w:ascii="Courier New" w:cs="Courier New" w:eastAsia="Courier New" w:hAnsi="Courier New"/>
          <w:sz w:val="16"/>
          <w:szCs w:val="16"/>
          <w:color w:val="auto"/>
        </w:rPr>
      </w:pPr>
    </w:p>
    <w:p>
      <w:pPr>
        <w:ind w:right="36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list of five factors that should be present for a company to place</w:t>
      </w:r>
    </w:p>
    <w:p>
      <w:pPr>
        <w:spacing w:after="0" w:line="5" w:lineRule="exact"/>
        <w:rPr>
          <w:rFonts w:ascii="Courier New" w:cs="Courier New" w:eastAsia="Courier New" w:hAnsi="Courier New"/>
          <w:sz w:val="16"/>
          <w:szCs w:val="16"/>
          <w:color w:val="auto"/>
        </w:rPr>
      </w:pP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exclusive reliance on implied volatility. Please respond to the following comments:</w:t>
      </w:r>
    </w:p>
    <w:p>
      <w:pPr>
        <w:spacing w:after="0" w:line="208" w:lineRule="exact"/>
        <w:rPr>
          <w:sz w:val="24"/>
          <w:szCs w:val="24"/>
          <w:color w:val="auto"/>
        </w:rPr>
      </w:pPr>
    </w:p>
    <w:p>
      <w:pPr>
        <w:ind w:right="34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Similarity of Exercise Prices - You use all traded options to calculate your implied volatility including exercise prices that are</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near-the-money and out-of-the-money, but you give the near-the-money</w:t>
      </w:r>
    </w:p>
    <w:p>
      <w:pPr>
        <w:spacing w:after="0" w:line="5" w:lineRule="exact"/>
        <w:rPr>
          <w:rFonts w:ascii="Courier New" w:cs="Courier New" w:eastAsia="Courier New" w:hAnsi="Courier New"/>
          <w:sz w:val="18"/>
          <w:szCs w:val="18"/>
          <w:color w:val="auto"/>
        </w:rPr>
      </w:pPr>
    </w:p>
    <w:p>
      <w:pPr>
        <w:ind w:right="3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options more weight because they are more actively traded. Please discuss how you considered that one of the factors listed in</w:t>
      </w:r>
    </w:p>
    <w:p>
      <w:pPr>
        <w:sectPr>
          <w:pgSz w:w="11900" w:h="16892" w:orient="portrait"/>
          <w:cols w:equalWidth="0" w:num="1">
            <w:col w:w="10219"/>
          </w:cols>
          <w:pgMar w:left="240" w:top="1055"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Question</w:t>
      </w:r>
    </w:p>
    <w:p>
      <w:pPr>
        <w:spacing w:after="0" w:line="4"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4 of SAB Topic 14.D.1 states that to exclusively rely on implied volatility the traded options must have exercise prices that are both</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near-the-money and (b) close to the exercise price of the employee share options. When near-the-money options are not available, you should use a weighted-average approach. See footnotes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 and 48.</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Similarity of Length of Terms - We note that you use some traded options with terms of less than one year. Please discuss how you considered that one of the factors listed in Question 4 of SAB Topic</w:t>
      </w:r>
    </w:p>
    <w:p>
      <w:pPr>
        <w:spacing w:after="0" w:line="4" w:lineRule="exact"/>
        <w:rPr>
          <w:rFonts w:ascii="Courier New" w:cs="Courier New" w:eastAsia="Courier New" w:hAnsi="Courier New"/>
          <w:sz w:val="18"/>
          <w:szCs w:val="18"/>
          <w:color w:val="auto"/>
        </w:rPr>
      </w:pPr>
    </w:p>
    <w:p>
      <w:pPr>
        <w:jc w:val="both"/>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14.D.1 states that to exclusively rely on implied volatility the remaining maturities of the traded options on which you base the estimate should be at least one year.</w:t>
      </w:r>
    </w:p>
    <w:p>
      <w:pPr>
        <w:spacing w:after="0" w:line="209"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As appropriate, please respond to these comments within 10 business days or tell us when you will provide us with a response. Please furnish a cover letter with your response that keys your responses to our comments and provides any requested information. Detailed cover letters greatly facilitate our review. Please understand that we may have additional comments after reviewing your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responses to our comments.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8"/>
          <w:szCs w:val="18"/>
          <w:color w:val="auto"/>
        </w:rPr>
        <w:t>You may contact Kristin Lochhead at (202) 551-3664 or me at</w:t>
      </w:r>
    </w:p>
    <w:p>
      <w:pPr>
        <w:ind w:left="640" w:hanging="632"/>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551-3604 if you have questions.  In this regard, please do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hesitate to contact Brian Cascio, Accounting Branch Chief, at</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5"/>
        </w:numPr>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551-3676 with any other questions.</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Kate Tillan</w:t>
      </w:r>
    </w:p>
    <w:p>
      <w:pPr>
        <w:ind w:left="640"/>
        <w:spacing w:after="0" w:line="238" w:lineRule="auto"/>
        <w:rPr>
          <w:sz w:val="20"/>
          <w:szCs w:val="20"/>
          <w:color w:val="auto"/>
        </w:rPr>
      </w:pPr>
      <w:r>
        <w:rPr>
          <w:rFonts w:ascii="Courier New" w:cs="Courier New" w:eastAsia="Courier New" w:hAnsi="Courier New"/>
          <w:sz w:val="18"/>
          <w:szCs w:val="18"/>
          <w:color w:val="auto"/>
        </w:rPr>
        <w:t>Assistant Chief Accountant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March 13, 2006</w:t>
      </w:r>
    </w:p>
    <w:p>
      <w:pPr>
        <w:spacing w:after="0" w:line="237" w:lineRule="auto"/>
        <w:rPr>
          <w:sz w:val="20"/>
          <w:szCs w:val="20"/>
          <w:color w:val="auto"/>
        </w:rPr>
      </w:pPr>
      <w:r>
        <w:rPr>
          <w:rFonts w:ascii="Courier New" w:cs="Courier New" w:eastAsia="Courier New" w:hAnsi="Courier New"/>
          <w:sz w:val="18"/>
          <w:szCs w:val="18"/>
          <w:color w:val="auto"/>
        </w:rPr>
        <w:t>Page 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202"/>
    </w:lvl>
  </w:abstractNum>
  <w:abstractNum w:abstractNumId="4">
    <w:nsid w:val="46E87CCD"/>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2019-12-19T18:19:52Z</dcterms:created>
  <dcterms:modified xsi:type="dcterms:W3CDTF">2019-12-19T18:19:52Z</dcterms:modified>
</cp:coreProperties>
</file>