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Registration No. 333-281670</w:t>
            </w:r>
          </w:p>
        </w:tc>
        <w:tc>
          <w:tcPr>
            <w:tcW w:w="0" w:type="dxa"/>
            <w:vAlign w:val="bottom"/>
          </w:tcPr>
          <w:p>
            <w:pPr>
              <w:spacing w:after="0"/>
              <w:rPr>
                <w:sz w:val="1"/>
                <w:szCs w:val="1"/>
                <w:color w:val="auto"/>
              </w:rPr>
            </w:pPr>
          </w:p>
        </w:tc>
      </w:tr>
      <w:tr>
        <w:trPr>
          <w:trHeight w:val="513"/>
        </w:trPr>
        <w:tc>
          <w:tcPr>
            <w:tcW w:w="300" w:type="dxa"/>
            <w:vAlign w:val="bottom"/>
            <w:vMerge w:val="restart"/>
            <w:textDirection w:val="btLr"/>
          </w:tcPr>
          <w:p>
            <w:pPr>
              <w:ind w:left="116"/>
              <w:spacing w:after="0"/>
              <w:rPr>
                <w:sz w:val="20"/>
                <w:szCs w:val="20"/>
                <w:color w:val="auto"/>
              </w:rPr>
            </w:pPr>
            <w:r>
              <w:rPr>
                <w:rFonts w:ascii="Times New Roman" w:cs="Times New Roman" w:eastAsia="Times New Roman" w:hAnsi="Times New Roman"/>
                <w:sz w:val="16"/>
                <w:szCs w:val="16"/>
                <w:b w:val="1"/>
                <w:bCs w:val="1"/>
                <w:color w:val="FF4338"/>
                <w:w w:val="74"/>
              </w:rPr>
              <w:t>isnotcomplete</w:t>
            </w:r>
          </w:p>
        </w:tc>
        <w:tc>
          <w:tcPr>
            <w:tcW w:w="680" w:type="dxa"/>
            <w:vAlign w:val="bottom"/>
            <w:vMerge w:val="restart"/>
            <w:textDirection w:val="btLr"/>
          </w:tcPr>
          <w:p>
            <w:pPr>
              <w:ind w:left="122"/>
              <w:spacing w:after="0"/>
              <w:rPr>
                <w:sz w:val="20"/>
                <w:szCs w:val="20"/>
                <w:color w:val="auto"/>
              </w:rPr>
            </w:pPr>
            <w:r>
              <w:rPr>
                <w:rFonts w:ascii="Times New Roman" w:cs="Times New Roman" w:eastAsia="Times New Roman" w:hAnsi="Times New Roman"/>
                <w:sz w:val="11"/>
                <w:szCs w:val="11"/>
                <w:b w:val="1"/>
                <w:bCs w:val="1"/>
                <w:color w:val="FF4338"/>
                <w:w w:val="71"/>
              </w:rPr>
              <w:t>andwearenot</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17"/>
          </w:tcPr>
          <w:p>
            <w:pPr>
              <w:jc w:val="center"/>
              <w:ind w:left="197"/>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JUNE 12, 2025</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38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PRELIMINARY PROSPECTUS SUPPLEMENT</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b w:val="1"/>
                <w:bCs w:val="1"/>
                <w:color w:val="auto"/>
              </w:rPr>
              <w:t xml:space="preserve">$ </w:t>
            </w:r>
          </w:p>
        </w:tc>
        <w:tc>
          <w:tcPr>
            <w:tcW w:w="880" w:type="dxa"/>
            <w:vAlign w:val="bottom"/>
            <w:gridSpan w:val="4"/>
          </w:tcPr>
          <w:p>
            <w:pPr>
              <w:jc w:val="right"/>
              <w:ind w:right="80"/>
              <w:spacing w:after="0" w:line="269" w:lineRule="exact"/>
              <w:rPr>
                <w:sz w:val="20"/>
                <w:szCs w:val="20"/>
                <w:color w:val="auto"/>
              </w:rPr>
            </w:pPr>
            <w:r>
              <w:rPr>
                <w:rFonts w:ascii="Times New Roman" w:cs="Times New Roman" w:eastAsia="Times New Roman" w:hAnsi="Times New Roman"/>
                <w:sz w:val="31"/>
                <w:szCs w:val="31"/>
                <w:b w:val="1"/>
                <w:bCs w:val="1"/>
                <w:color w:val="auto"/>
              </w:rPr>
              <w:t xml:space="preserve">       </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84"/>
              </w:rPr>
              <w:t>ThispreliminaryprospectussupplementrelatestoaneffectiveregistrationstatementundertheSecuritiesActof1933,asamended,but</w:t>
            </w:r>
          </w:p>
        </w:tc>
        <w:tc>
          <w:tcPr>
            <w:tcW w:w="680" w:type="dxa"/>
            <w:vAlign w:val="bottom"/>
            <w:vMerge w:val="restart"/>
            <w:textDirection w:val="btLr"/>
          </w:tcPr>
          <w:p>
            <w:pPr>
              <w:ind w:left="453"/>
              <w:spacing w:after="0"/>
              <w:rPr>
                <w:sz w:val="20"/>
                <w:szCs w:val="20"/>
                <w:color w:val="auto"/>
              </w:rPr>
            </w:pPr>
            <w:r>
              <w:rPr>
                <w:rFonts w:ascii="Times New Roman" w:cs="Times New Roman" w:eastAsia="Times New Roman" w:hAnsi="Times New Roman"/>
                <w:sz w:val="1"/>
                <w:szCs w:val="1"/>
                <w:b w:val="1"/>
                <w:bCs w:val="1"/>
                <w:color w:val="FF4338"/>
              </w:rPr>
              <w:t>andmaybechanged.Thispreliminaryprospectussupplementandtheaccompanyingprospectusarenotanoffertosellthesesecuritiessolicitinganoffertobuythesesecuritiesinanyjurisdictionwheretheofferorsaleisnotpermitted.</w:t>
            </w:r>
          </w:p>
        </w:tc>
        <w:tc>
          <w:tcPr>
            <w:tcW w:w="38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(TO PROSPECTUS DATED AUGUST 21, 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0"/>
        </w:trPr>
        <w:tc>
          <w:tcPr>
            <w:tcW w:w="3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16"/>
            <w:vMerge w:val="restart"/>
          </w:tcPr>
          <w:p>
            <w:pPr>
              <w:jc w:val="center"/>
              <w:ind w:left="457"/>
              <w:spacing w:after="0"/>
              <w:rPr>
                <w:sz w:val="20"/>
                <w:szCs w:val="20"/>
                <w:color w:val="auto"/>
              </w:rPr>
            </w:pPr>
            <w:r>
              <w:rPr>
                <w:rFonts w:ascii="Times New Roman" w:cs="Times New Roman" w:eastAsia="Times New Roman" w:hAnsi="Times New Roman"/>
                <w:sz w:val="43"/>
                <w:szCs w:val="43"/>
                <w:b w:val="1"/>
                <w:bCs w:val="1"/>
                <w:color w:val="auto"/>
              </w:rPr>
              <w:t>Analog Devices, Inc.</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720" w:type="dxa"/>
            <w:vAlign w:val="bottom"/>
            <w:gridSpan w:val="16"/>
            <w:vMerge w:val="continue"/>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25"/>
                <w:szCs w:val="25"/>
                <w:b w:val="1"/>
                <w:bCs w:val="1"/>
                <w:color w:val="auto"/>
              </w:rPr>
              <w:t> </w:t>
            </w:r>
          </w:p>
        </w:tc>
        <w:tc>
          <w:tcPr>
            <w:tcW w:w="2880" w:type="dxa"/>
            <w:vAlign w:val="bottom"/>
            <w:gridSpan w:val="11"/>
          </w:tcPr>
          <w:p>
            <w:pPr>
              <w:jc w:val="right"/>
              <w:ind w:right="268"/>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25"/>
                <w:szCs w:val="25"/>
                <w:b w:val="1"/>
                <w:bCs w:val="1"/>
                <w:color w:val="auto"/>
              </w:rPr>
              <w:t> </w:t>
            </w:r>
          </w:p>
        </w:tc>
        <w:tc>
          <w:tcPr>
            <w:tcW w:w="2880" w:type="dxa"/>
            <w:vAlign w:val="bottom"/>
            <w:gridSpan w:val="11"/>
          </w:tcPr>
          <w:p>
            <w:pPr>
              <w:jc w:val="right"/>
              <w:ind w:right="268"/>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spacing w:after="0"/>
              <w:rPr>
                <w:sz w:val="24"/>
                <w:szCs w:val="24"/>
                <w:color w:val="auto"/>
              </w:rPr>
            </w:pPr>
          </w:p>
        </w:tc>
        <w:tc>
          <w:tcPr>
            <w:tcW w:w="64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We are offering $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t>
            </w:r>
          </w:p>
        </w:tc>
        <w:tc>
          <w:tcPr>
            <w:tcW w:w="26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w w:val="94"/>
              </w:rPr>
              <w:t>aggregate principal amount of our  </w:t>
            </w:r>
          </w:p>
        </w:tc>
        <w:tc>
          <w:tcPr>
            <w:tcW w:w="21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 senior notes due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1"/>
              </w:rPr>
              <w:t>, 20 </w:t>
            </w:r>
          </w:p>
        </w:tc>
        <w:tc>
          <w:tcPr>
            <w:tcW w:w="28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 which we refer to as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the “20   Notes” and $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0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w w:val="97"/>
              </w:rPr>
              <w:t>      aggregate principal amount of our </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2"/>
              </w:rPr>
              <w:t> </w:t>
            </w: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3"/>
              </w:rPr>
              <w:t>% senior notes due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 20          </w:t>
            </w: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which we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4"/>
              </w:rPr>
              <w:t>refer to as the “20   Notes.” We refer to the 20 </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w w:val="98"/>
              </w:rPr>
              <w:t>Notes and the 20 </w:t>
            </w:r>
          </w:p>
        </w:tc>
        <w:tc>
          <w:tcPr>
            <w:tcW w:w="286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Notes, collectively, as the “notes.”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8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We will pay interest on each series of notes semi-annually in arrears each  </w:t>
            </w:r>
          </w:p>
        </w:tc>
        <w:tc>
          <w:tcPr>
            <w:tcW w:w="200" w:type="dxa"/>
            <w:vAlign w:val="bottom"/>
            <w:gridSpan w:val="2"/>
          </w:tcPr>
          <w:p>
            <w:pPr>
              <w:jc w:val="center"/>
              <w:ind w:righ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and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18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color w:val="auto"/>
              </w:rPr>
              <w:t>. The first interest payment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5"/>
              </w:rPr>
              <w:t>for each series of notes will be made on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20   .</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applicable redemption prices described under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caption “Description of the Notes — Optional Redemption.” If a Change of Control Triggering Event (as defined under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caption “Description of the Notes — Change of Control Offer”) occurs, we may be required to offer to purchase each series 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notes from holders in cash at a repurchase price equal to 101% of the principal amount thereof, plus accrued and unpaid interest,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if any, to the date of repurchase. There are no sinking funds for the notes.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notes will be our senior unsecured obligations. Each series of notes will rank without preference or priority between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themselves and equally in right of payment with all of our other existing and future senior unsecured and unsubordinated debt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and rank senior in right of payment to all of our future subordinated debt.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 intend to apply for the listing of the notes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on any securities exchange or for inclusion of the notes on any automated dealer quotation system.</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8"/>
          </w:tcPr>
          <w:p>
            <w:pPr>
              <w:spacing w:after="0"/>
              <w:rPr>
                <w:sz w:val="24"/>
                <w:szCs w:val="24"/>
                <w:color w:val="auto"/>
              </w:rPr>
            </w:pPr>
          </w:p>
        </w:tc>
        <w:tc>
          <w:tcPr>
            <w:tcW w:w="640" w:type="dxa"/>
            <w:vAlign w:val="bottom"/>
            <w:tcBorders>
              <w:bottom w:val="single" w:sz="8" w:color="auto"/>
            </w:tcBorders>
            <w:gridSpan w:val="3"/>
          </w:tcPr>
          <w:p>
            <w:pPr>
              <w:spacing w:after="0"/>
              <w:rPr>
                <w:sz w:val="24"/>
                <w:szCs w:val="24"/>
                <w:color w:val="auto"/>
              </w:rPr>
            </w:pPr>
          </w:p>
        </w:tc>
        <w:tc>
          <w:tcPr>
            <w:tcW w:w="760" w:type="dxa"/>
            <w:vAlign w:val="bottom"/>
            <w:tcBorders>
              <w:bottom w:val="single" w:sz="8" w:color="auto"/>
            </w:tcBorders>
            <w:gridSpan w:val="3"/>
          </w:tcPr>
          <w:p>
            <w:pPr>
              <w:spacing w:after="0"/>
              <w:rPr>
                <w:sz w:val="24"/>
                <w:szCs w:val="24"/>
                <w:color w:val="auto"/>
              </w:rPr>
            </w:pPr>
          </w:p>
        </w:tc>
        <w:tc>
          <w:tcPr>
            <w:tcW w:w="520" w:type="dxa"/>
            <w:vAlign w:val="bottom"/>
            <w:tcBorders>
              <w:bottom w:val="single" w:sz="8" w:color="auto"/>
            </w:tcBorders>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2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auto"/>
                <w:w w:val="98"/>
              </w:rPr>
              <w:t>Investing in the notes involves risks. See “</w:t>
            </w:r>
            <w:r>
              <w:rPr>
                <w:rFonts w:ascii="Times New Roman" w:cs="Times New Roman" w:eastAsia="Times New Roman" w:hAnsi="Times New Roman"/>
                <w:sz w:val="22"/>
                <w:szCs w:val="22"/>
                <w:b w:val="1"/>
                <w:bCs w:val="1"/>
                <w:color w:val="0000EE"/>
                <w:w w:val="98"/>
              </w:rPr>
              <w:t>Risk Factors</w:t>
            </w:r>
            <w:r>
              <w:rPr>
                <w:rFonts w:ascii="Times New Roman" w:cs="Times New Roman" w:eastAsia="Times New Roman" w:hAnsi="Times New Roman"/>
                <w:sz w:val="22"/>
                <w:szCs w:val="22"/>
                <w:b w:val="1"/>
                <w:bCs w:val="1"/>
                <w:color w:val="auto"/>
                <w:w w:val="98"/>
              </w:rPr>
              <w:t>” beginning on page S-7.</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760" w:type="dxa"/>
            <w:vAlign w:val="bottom"/>
          </w:tcPr>
          <w:p>
            <w:pPr>
              <w:spacing w:after="0"/>
              <w:rPr>
                <w:sz w:val="24"/>
                <w:szCs w:val="24"/>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Proceeds, before expenses,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0"/>
                <w:szCs w:val="10"/>
                <w:b w:val="1"/>
                <w:bCs w:val="1"/>
                <w:color w:val="auto"/>
              </w:rPr>
              <w:t>(1)</w:t>
            </w:r>
          </w:p>
        </w:tc>
        <w:tc>
          <w:tcPr>
            <w:tcW w:w="2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discounts</w:t>
            </w:r>
          </w:p>
        </w:tc>
        <w:tc>
          <w:tcPr>
            <w:tcW w:w="7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us</w:t>
            </w:r>
            <w:r>
              <w:rPr>
                <w:rFonts w:ascii="Times New Roman" w:cs="Times New Roman" w:eastAsia="Times New Roman" w:hAnsi="Times New Roman"/>
                <w:sz w:val="10"/>
                <w:szCs w:val="10"/>
                <w:b w:val="1"/>
                <w:bCs w:val="1"/>
                <w:color w:val="auto"/>
              </w:rPr>
              <w:t>(1)</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Note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20 </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Notes Total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Note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20 </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Notes Total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bottom w:val="single" w:sz="8" w:color="auto"/>
            </w:tcBorders>
            <w:gridSpan w:val="3"/>
          </w:tcPr>
          <w:p>
            <w:pPr>
              <w:spacing w:after="0"/>
              <w:rPr>
                <w:sz w:val="12"/>
                <w:szCs w:val="12"/>
                <w:color w:val="auto"/>
              </w:rPr>
            </w:pPr>
          </w:p>
        </w:tc>
        <w:tc>
          <w:tcPr>
            <w:tcW w:w="1960" w:type="dxa"/>
            <w:vAlign w:val="bottom"/>
            <w:gridSpan w:val="5"/>
          </w:tcPr>
          <w:p>
            <w:pPr>
              <w:spacing w:after="0"/>
              <w:rPr>
                <w:sz w:val="12"/>
                <w:szCs w:val="12"/>
                <w:color w:val="auto"/>
              </w:rPr>
            </w:pPr>
          </w:p>
        </w:tc>
        <w:tc>
          <w:tcPr>
            <w:tcW w:w="180" w:type="dxa"/>
            <w:vAlign w:val="bottom"/>
          </w:tcPr>
          <w:p>
            <w:pPr>
              <w:spacing w:after="0"/>
              <w:rPr>
                <w:sz w:val="12"/>
                <w:szCs w:val="12"/>
                <w:color w:val="auto"/>
              </w:rPr>
            </w:pPr>
          </w:p>
        </w:tc>
        <w:tc>
          <w:tcPr>
            <w:tcW w:w="3560" w:type="dxa"/>
            <w:vAlign w:val="bottom"/>
            <w:gridSpan w:val="14"/>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Plus accrued interest, if any, from  </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4"/>
              </w:rPr>
              <w:t> </w:t>
            </w:r>
          </w:p>
        </w:tc>
        <w:tc>
          <w:tcPr>
            <w:tcW w:w="3560" w:type="dxa"/>
            <w:vAlign w:val="bottom"/>
            <w:gridSpan w:val="14"/>
          </w:tcPr>
          <w:p>
            <w:pPr>
              <w:jc w:val="right"/>
              <w:ind w:right="228"/>
              <w:spacing w:after="0"/>
              <w:rPr>
                <w:sz w:val="20"/>
                <w:szCs w:val="20"/>
                <w:color w:val="auto"/>
              </w:rPr>
            </w:pPr>
            <w:r>
              <w:rPr>
                <w:rFonts w:ascii="Times New Roman" w:cs="Times New Roman" w:eastAsia="Times New Roman" w:hAnsi="Times New Roman"/>
                <w:sz w:val="18"/>
                <w:szCs w:val="18"/>
                <w:color w:val="auto"/>
                <w:w w:val="97"/>
              </w:rPr>
              <w:t>   , 2025, if settlement occurs after that date.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We expect that delivery of the notes in book-entry form will be made to investors through the facilities of The Depository Trust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40" w:type="dxa"/>
            <w:vAlign w:val="bottom"/>
            <w:gridSpan w:val="28"/>
          </w:tcPr>
          <w:p>
            <w:pPr>
              <w:spacing w:after="0"/>
              <w:rPr>
                <w:sz w:val="20"/>
                <w:szCs w:val="20"/>
                <w:color w:val="auto"/>
              </w:rPr>
            </w:pPr>
            <w:r>
              <w:rPr>
                <w:rFonts w:ascii="Times New Roman" w:cs="Times New Roman" w:eastAsia="Times New Roman" w:hAnsi="Times New Roman"/>
                <w:sz w:val="18"/>
                <w:szCs w:val="18"/>
                <w:color w:val="auto"/>
                <w:w w:val="98"/>
              </w:rPr>
              <w:t>Company and its direct participants, including Clearstream Banking S.A. and Euroclear Bank SA/NV, on or about  </w:t>
            </w: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      , 2025.</w:t>
            </w: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disapproved of these securities or passed upon the adequacy or accuracy of this prospectus supplement or the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accompanying prospectus. Any representation to the contrary is a criminal offense.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12"/>
          </w:tcPr>
          <w:p>
            <w:pPr>
              <w:jc w:val="center"/>
              <w:ind w:right="75"/>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920" w:type="dxa"/>
            <w:vAlign w:val="bottom"/>
            <w:tcBorders>
              <w:bottom w:val="single" w:sz="8" w:color="auto"/>
            </w:tcBorders>
            <w:gridSpan w:val="4"/>
          </w:tcPr>
          <w:p>
            <w:pPr>
              <w:spacing w:after="0"/>
              <w:rPr>
                <w:sz w:val="24"/>
                <w:szCs w:val="24"/>
                <w:color w:val="auto"/>
              </w:rPr>
            </w:pPr>
          </w:p>
        </w:tc>
        <w:tc>
          <w:tcPr>
            <w:tcW w:w="1000" w:type="dxa"/>
            <w:vAlign w:val="bottom"/>
            <w:tcBorders>
              <w:bottom w:val="single" w:sz="8" w:color="auto"/>
            </w:tcBorders>
            <w:gridSpan w:val="5"/>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2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44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Barclays</w:t>
            </w:r>
          </w:p>
        </w:tc>
        <w:tc>
          <w:tcPr>
            <w:tcW w:w="1640" w:type="dxa"/>
            <w:vAlign w:val="bottom"/>
            <w:gridSpan w:val="7"/>
          </w:tcPr>
          <w:p>
            <w:pPr>
              <w:jc w:val="right"/>
              <w:ind w:right="148"/>
              <w:spacing w:after="0"/>
              <w:rPr>
                <w:sz w:val="20"/>
                <w:szCs w:val="20"/>
                <w:color w:val="auto"/>
              </w:rPr>
            </w:pPr>
            <w:r>
              <w:rPr>
                <w:rFonts w:ascii="Times New Roman" w:cs="Times New Roman" w:eastAsia="Times New Roman" w:hAnsi="Times New Roman"/>
                <w:sz w:val="20"/>
                <w:szCs w:val="20"/>
                <w:b w:val="1"/>
                <w:bCs w:val="1"/>
                <w:color w:val="auto"/>
              </w:rPr>
              <w:t>BNP PARIBAS</w:t>
            </w:r>
          </w:p>
        </w:tc>
        <w:tc>
          <w:tcPr>
            <w:tcW w:w="1060" w:type="dxa"/>
            <w:vAlign w:val="bottom"/>
            <w:gridSpan w:val="6"/>
          </w:tcPr>
          <w:p>
            <w:pPr>
              <w:ind w:left="220"/>
              <w:spacing w:after="0"/>
              <w:rPr>
                <w:sz w:val="20"/>
                <w:szCs w:val="20"/>
                <w:color w:val="auto"/>
              </w:rPr>
            </w:pPr>
            <w:r>
              <w:rPr>
                <w:rFonts w:ascii="Times New Roman" w:cs="Times New Roman" w:eastAsia="Times New Roman" w:hAnsi="Times New Roman"/>
                <w:sz w:val="20"/>
                <w:szCs w:val="20"/>
                <w:b w:val="1"/>
                <w:bCs w:val="1"/>
                <w:color w:val="auto"/>
                <w:w w:val="98"/>
              </w:rPr>
              <w:t>Citigroup</w:t>
            </w:r>
          </w:p>
        </w:tc>
        <w:tc>
          <w:tcPr>
            <w:tcW w:w="28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J.P. Morgan</w:t>
            </w:r>
          </w:p>
        </w:tc>
        <w:tc>
          <w:tcPr>
            <w:tcW w:w="2840" w:type="dxa"/>
            <w:vAlign w:val="bottom"/>
            <w:gridSpan w:val="5"/>
          </w:tcPr>
          <w:p>
            <w:pPr>
              <w:jc w:val="right"/>
              <w:ind w:right="1260"/>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(Global Coordinator)</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140"/>
          </w:cols>
          <w:pgMar w:left="320" w:top="216" w:right="439" w:bottom="978" w:gutter="0" w:footer="0" w:header="0"/>
        </w:sectPr>
      </w:pP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2025.</w:t>
      </w:r>
    </w:p>
    <w:p>
      <w:pPr>
        <w:sectPr>
          <w:pgSz w:w="11900" w:h="16838" w:orient="portrait"/>
          <w:cols w:equalWidth="0" w:num="1">
            <w:col w:w="11140"/>
          </w:cols>
          <w:pgMar w:left="320" w:top="216" w:right="439" w:bottom="97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19"/>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4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2"/>
          </w:tcPr>
          <w:p>
            <w:pPr>
              <w:spacing w:after="0"/>
              <w:rPr>
                <w:sz w:val="17"/>
                <w:szCs w:val="17"/>
                <w:color w:val="auto"/>
              </w:rPr>
            </w:pPr>
          </w:p>
        </w:tc>
        <w:tc>
          <w:tcPr>
            <w:tcW w:w="76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196"/>
        </w:trPr>
        <w:tc>
          <w:tcPr>
            <w:tcW w:w="57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8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67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461"/>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67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94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only for the information contained in or incorporated by reference into this prospectus supplement and the accompanying prospectus or information contained in a free writing prospectus that we authorize to be delivered to you. This prospectus supplement and the accompanying prospectus may be used only for the purpose for which they have been prepared. No one is authorized to give information other than that contained in or incorporated by reference into this prospectus supplement, the accompanying prospectus or any free writing prospectus that we authorize to be delivered to you. We have not, and the underwriters have not, authorized any other person to provide you with different information. Neither we nor any of the underwriters or their affiliates take any responsibility for, nor can we or any of the underwriters or their affiliates provide any assurance as to the reliability of, any information that others may give you.</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herein or therein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notes and may not be used for or in connection with an offer or solicitation by anyone, in any jurisdiction in which such an offer or solicitation is not authorized or to any person to whom it is unlawful to make such an offer or solicitation.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This document consists of two parts. The first part is the prospectus supplement, which describes the specific terms of this offering and the notes offered. The second part is the accompanying prospectus, which describes more general information about debt securities we may offer from time to time, some of which may not apply to this offering of the notes. If the information set forth in this prospectus supplement differs in any way from the information set forth in the accompanying prospectus, you should rely on the information set forth in this prospectus supplement. You should read this prospectus supplement, the accompanying prospectus and any related free writing prospectus together with additional information described under the caption “Where You Can Find More Information” on page S-35.</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“the Company,” “we,” “our,” “ours,” and “us” refer to Analog Devices, Inc. and its subsidiaries on a consolidated basis, unless the context otherwise requires.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Currency amounts in this prospectus supplement are stated in U.S. dollars.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none of the trustee, registrar or paying agent (or any other agent under the indenture) makes any representation with respect to the accuracy or completeness of the information contained herein and shall have no liability whatsoever on its accuracy or completeness.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and the accompanying prospectus contain forward-looking statements regarding future events and our future results that are subject to the safe harbor created under the Private Securities Litigation Reform Act of 1995 and other safe harbors under the Securities Act of 1933, as amended (the “Securities Act”) and the Securities Exchange Act of 1934, as amended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Our actual results could differ materially from those anticipated in these forward-looking statements as a result of various factors.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including increased uncertainty and volatility with respect to tariffs, export controls and other trade restrictions, actions taken or which may be taken by the presidential administration, executive offices of the U.S. government, or U.S. Congress, monetary policy, political, geopolitical, trade, or other issues in the United States or internationally, and the ongoing conflicts between Russia and Ukraine, and in Israel and the Middle East; changes in demand for semiconductor products; manufacturing delays, product and raw materials availability and supply chain disruptions; diversion of products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and factors impacting our ability to repurchase shares.</w:t>
      </w:r>
    </w:p>
    <w:p>
      <w:pPr>
        <w:spacing w:after="0" w:line="190" w:lineRule="exact"/>
        <w:rPr>
          <w:sz w:val="20"/>
          <w:szCs w:val="20"/>
          <w:color w:val="auto"/>
        </w:rPr>
      </w:pPr>
    </w:p>
    <w:p>
      <w:pPr>
        <w:ind w:left="120" w:right="340"/>
        <w:spacing w:after="0" w:line="255" w:lineRule="auto"/>
        <w:rPr>
          <w:sz w:val="20"/>
          <w:szCs w:val="20"/>
          <w:color w:val="auto"/>
        </w:rPr>
      </w:pPr>
      <w:r>
        <w:rPr>
          <w:rFonts w:ascii="Times New Roman" w:cs="Times New Roman" w:eastAsia="Times New Roman" w:hAnsi="Times New Roman"/>
          <w:sz w:val="18"/>
          <w:szCs w:val="18"/>
          <w:color w:val="auto"/>
        </w:rPr>
        <w:t>You should pay particular attention to the important risk factors and cautionary statements referenced in the section of this prospectus supplement entitled “Risk Factors” beginning on page S-7. You should also carefully review the risk factors and cautionary statements described in the other documents we file from time to time with the SEC, including our Annual Report on Form 10-K for the fiscal year ended November 2, 2024 and our Quarterly Reports on Form 10-Q for the fiscal quarters ended February 1, 2025 and May 3, 2025, and our Current Reports on Form 8-K. Forward-looking statements represent management’s current expectations and are inherently uncertain. We undertake no obligation to revise or update any forward-looking statements, including to reflect events or circumstances occurring after the date of this prospectus supplement, except to the extent required by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supplement and the accompanying prospectus. As a result, it may not contain all of the information that may be important to you or that you should consider before investing in the notes. You should read this entire prospectus supplement, the accompanying prospectus and any related free writing prospectus, including the “Risk Factors” section and the documents incorporated by reference, which are described under “Where You Can Find More Information” on page S-35.</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Analog Devices, Inc.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18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 935-5565.</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Some of the terms and conditions described below are subject to important limitations and exceptions. See “Description of the Notes” in this prospectus supplement and “Description of Debt Securities” in the accompanying prospectus for a more detailed description of the terms and conditions of the notes. Unless the context requires otherwise, references to “we” and “our” in this subsection refer to Analog Devices, Inc. and not to any of its subsidiaries.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270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w w:val="98"/>
              </w:rPr>
              <w:t>Analog Devices, Inc.</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6"/>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4"/>
              </w:rPr>
              <w:t>initial aggregate principal amount of  </w:t>
            </w:r>
          </w:p>
        </w:tc>
        <w:tc>
          <w:tcPr>
            <w:tcW w:w="1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notes due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20   .</w:t>
            </w:r>
          </w:p>
        </w:tc>
      </w:tr>
      <w:tr>
        <w:trPr>
          <w:trHeight w:val="234"/>
        </w:trPr>
        <w:tc>
          <w:tcPr>
            <w:tcW w:w="286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76"/>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4"/>
              </w:rPr>
              <w:t>initial aggregate principal amount of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 notes due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w:t>
            </w:r>
          </w:p>
        </w:tc>
      </w:tr>
      <w:tr>
        <w:trPr>
          <w:trHeight w:val="33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1440" w:type="dxa"/>
            <w:vAlign w:val="bottom"/>
          </w:tcPr>
          <w:p>
            <w:pPr>
              <w:ind w:left="1180"/>
              <w:spacing w:after="0"/>
              <w:rPr>
                <w:sz w:val="20"/>
                <w:szCs w:val="20"/>
                <w:color w:val="auto"/>
              </w:rPr>
            </w:pPr>
            <w:r>
              <w:rPr>
                <w:rFonts w:ascii="Times New Roman" w:cs="Times New Roman" w:eastAsia="Times New Roman" w:hAnsi="Times New Roman"/>
                <w:sz w:val="17"/>
                <w:szCs w:val="17"/>
                <w:color w:val="auto"/>
                <w:w w:val="70"/>
              </w:rPr>
              <w:t>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Notes: 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20 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270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 xml:space="preserve">20      Notes: 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20 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3"/>
              </w:rPr>
              <w:t>The 20  </w:t>
            </w: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Notes will bear interest at a rate of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per annum.</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9"/>
              </w:rPr>
              <w:t>The 20 </w:t>
            </w: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Notes will bear interest at a rate of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per annum.</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380" w:type="dxa"/>
            <w:vAlign w:val="bottom"/>
            <w:gridSpan w:val="11"/>
          </w:tcPr>
          <w:p>
            <w:pPr>
              <w:ind w:left="1180"/>
              <w:spacing w:after="0"/>
              <w:rPr>
                <w:sz w:val="20"/>
                <w:szCs w:val="20"/>
                <w:color w:val="auto"/>
              </w:rPr>
            </w:pPr>
            <w:r>
              <w:rPr>
                <w:rFonts w:ascii="Times New Roman" w:cs="Times New Roman" w:eastAsia="Times New Roman" w:hAnsi="Times New Roman"/>
                <w:sz w:val="18"/>
                <w:szCs w:val="18"/>
                <w:color w:val="auto"/>
                <w:w w:val="96"/>
              </w:rPr>
              <w:t>Interest on each series of notes will be paid semi-annually in arrears on  </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and</w:t>
            </w:r>
          </w:p>
        </w:tc>
      </w:tr>
      <w:tr>
        <w:trPr>
          <w:trHeight w:val="234"/>
        </w:trPr>
        <w:tc>
          <w:tcPr>
            <w:tcW w:w="286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of each year, commencing on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20   .</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The notes will be our senior unsecured obligations. Each series of notes will rank without</w:t>
            </w:r>
          </w:p>
        </w:tc>
      </w:tr>
      <w:tr>
        <w:trPr>
          <w:trHeight w:val="216"/>
        </w:trPr>
        <w:tc>
          <w:tcPr>
            <w:tcW w:w="2860" w:type="dxa"/>
            <w:vAlign w:val="bottom"/>
          </w:tcPr>
          <w:p>
            <w:pPr>
              <w:spacing w:after="0"/>
              <w:rPr>
                <w:sz w:val="18"/>
                <w:szCs w:val="18"/>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preference or priority between themselves and equally in right of payment with all of our</w:t>
            </w:r>
          </w:p>
        </w:tc>
      </w:tr>
      <w:tr>
        <w:trPr>
          <w:trHeight w:val="216"/>
        </w:trPr>
        <w:tc>
          <w:tcPr>
            <w:tcW w:w="2860" w:type="dxa"/>
            <w:vAlign w:val="bottom"/>
          </w:tcPr>
          <w:p>
            <w:pPr>
              <w:spacing w:after="0"/>
              <w:rPr>
                <w:sz w:val="18"/>
                <w:szCs w:val="18"/>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other existing and future unsecured and unsubordinated debt and rank senior in right of</w:t>
            </w:r>
          </w:p>
        </w:tc>
      </w:tr>
      <w:tr>
        <w:trPr>
          <w:trHeight w:val="216"/>
        </w:trPr>
        <w:tc>
          <w:tcPr>
            <w:tcW w:w="2860" w:type="dxa"/>
            <w:vAlign w:val="bottom"/>
          </w:tcPr>
          <w:p>
            <w:pPr>
              <w:spacing w:after="0"/>
              <w:rPr>
                <w:sz w:val="18"/>
                <w:szCs w:val="18"/>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payment to all of our future debt that is subordinated to the notes. Each series of notes will</w:t>
            </w:r>
          </w:p>
        </w:tc>
      </w:tr>
      <w:tr>
        <w:trPr>
          <w:trHeight w:val="216"/>
        </w:trPr>
        <w:tc>
          <w:tcPr>
            <w:tcW w:w="2860" w:type="dxa"/>
            <w:vAlign w:val="bottom"/>
          </w:tcPr>
          <w:p>
            <w:pPr>
              <w:spacing w:after="0"/>
              <w:rPr>
                <w:sz w:val="18"/>
                <w:szCs w:val="18"/>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be effectively subordinated to any of our future secured debt, to the extent of the assets</w:t>
            </w:r>
          </w:p>
        </w:tc>
      </w:tr>
      <w:tr>
        <w:trPr>
          <w:trHeight w:val="216"/>
        </w:trPr>
        <w:tc>
          <w:tcPr>
            <w:tcW w:w="2860" w:type="dxa"/>
            <w:vAlign w:val="bottom"/>
          </w:tcPr>
          <w:p>
            <w:pPr>
              <w:spacing w:after="0"/>
              <w:rPr>
                <w:sz w:val="18"/>
                <w:szCs w:val="18"/>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w w:val="99"/>
              </w:rPr>
              <w:t>securing that debt, and will be structurally subordinated to any existing and future debt and</w:t>
            </w:r>
          </w:p>
        </w:tc>
      </w:tr>
      <w:tr>
        <w:trPr>
          <w:trHeight w:val="234"/>
        </w:trPr>
        <w:tc>
          <w:tcPr>
            <w:tcW w:w="2860" w:type="dxa"/>
            <w:vAlign w:val="bottom"/>
          </w:tcPr>
          <w:p>
            <w:pPr>
              <w:spacing w:after="0"/>
              <w:rPr>
                <w:sz w:val="20"/>
                <w:szCs w:val="20"/>
                <w:color w:val="auto"/>
              </w:rPr>
            </w:pPr>
          </w:p>
        </w:tc>
        <w:tc>
          <w:tcPr>
            <w:tcW w:w="6160" w:type="dxa"/>
            <w:vAlign w:val="bottom"/>
            <w:gridSpan w:val="10"/>
          </w:tcPr>
          <w:p>
            <w:pPr>
              <w:ind w:left="1180"/>
              <w:spacing w:after="0"/>
              <w:rPr>
                <w:sz w:val="20"/>
                <w:szCs w:val="20"/>
                <w:color w:val="auto"/>
              </w:rPr>
            </w:pPr>
            <w:r>
              <w:rPr>
                <w:rFonts w:ascii="Times New Roman" w:cs="Times New Roman" w:eastAsia="Times New Roman" w:hAnsi="Times New Roman"/>
                <w:sz w:val="18"/>
                <w:szCs w:val="18"/>
                <w:color w:val="auto"/>
              </w:rPr>
              <w:t>other liabilities, including trade payables, of our subsidiaries.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9"/>
        </w:trPr>
        <w:tc>
          <w:tcPr>
            <w:tcW w:w="2860" w:type="dxa"/>
            <w:vAlign w:val="bottom"/>
          </w:tcPr>
          <w:p>
            <w:pPr>
              <w:spacing w:after="0"/>
              <w:rPr>
                <w:sz w:val="24"/>
                <w:szCs w:val="24"/>
                <w:color w:val="auto"/>
              </w:rPr>
            </w:pP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As of May 3, 2025, our total consolidated indebtedness was approximately $7.3 billion,</w:t>
            </w:r>
          </w:p>
        </w:tc>
      </w:tr>
      <w:tr>
        <w:trPr>
          <w:trHeight w:val="234"/>
        </w:trPr>
        <w:tc>
          <w:tcPr>
            <w:tcW w:w="2860" w:type="dxa"/>
            <w:vAlign w:val="bottom"/>
          </w:tcPr>
          <w:p>
            <w:pPr>
              <w:spacing w:after="0"/>
              <w:rPr>
                <w:sz w:val="20"/>
                <w:szCs w:val="20"/>
                <w:color w:val="auto"/>
              </w:rPr>
            </w:pPr>
          </w:p>
        </w:tc>
        <w:tc>
          <w:tcPr>
            <w:tcW w:w="474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w w:val="99"/>
              </w:rPr>
              <w:t>and we had no secured indebtedness outstanding.</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7720" w:type="dxa"/>
            <w:vAlign w:val="bottom"/>
            <w:gridSpan w:val="12"/>
          </w:tcPr>
          <w:p>
            <w:pPr>
              <w:ind w:left="1180"/>
              <w:spacing w:after="0"/>
              <w:rPr>
                <w:sz w:val="20"/>
                <w:szCs w:val="20"/>
                <w:color w:val="auto"/>
              </w:rPr>
            </w:pPr>
            <w:r>
              <w:rPr>
                <w:rFonts w:ascii="Times New Roman" w:cs="Times New Roman" w:eastAsia="Times New Roman" w:hAnsi="Times New Roman"/>
                <w:sz w:val="18"/>
                <w:szCs w:val="18"/>
                <w:color w:val="auto"/>
              </w:rPr>
              <w:t>The indenture governing the notes contains covenants that, among other things, limit our</w:t>
            </w:r>
          </w:p>
        </w:tc>
      </w:tr>
      <w:tr>
        <w:trPr>
          <w:trHeight w:val="234"/>
        </w:trPr>
        <w:tc>
          <w:tcPr>
            <w:tcW w:w="2860" w:type="dxa"/>
            <w:vAlign w:val="bottom"/>
          </w:tcPr>
          <w:p>
            <w:pPr>
              <w:spacing w:after="0"/>
              <w:rPr>
                <w:sz w:val="20"/>
                <w:szCs w:val="20"/>
                <w:color w:val="auto"/>
              </w:rPr>
            </w:pP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ability to:</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03" w:lineRule="exact"/>
        <w:rPr>
          <w:sz w:val="20"/>
          <w:szCs w:val="20"/>
          <w:color w:val="auto"/>
        </w:rPr>
      </w:pPr>
    </w:p>
    <w:p>
      <w:pPr>
        <w:ind w:left="4840" w:right="200" w:hanging="289"/>
        <w:spacing w:after="0" w:line="266" w:lineRule="auto"/>
        <w:tabs>
          <w:tab w:leader="none" w:pos="4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guarantee any debt for borrowed money secured by a lien upon any Principal Property (as defined under the caption “Description of the Notes”) or shares of any subsidiary that owns a Principal Property;</w:t>
      </w:r>
    </w:p>
    <w:p>
      <w:pPr>
        <w:spacing w:after="0" w:line="81" w:lineRule="exact"/>
        <w:rPr>
          <w:rFonts w:ascii="Times New Roman" w:cs="Times New Roman" w:eastAsia="Times New Roman" w:hAnsi="Times New Roman"/>
          <w:sz w:val="18"/>
          <w:szCs w:val="18"/>
          <w:color w:val="auto"/>
        </w:rPr>
      </w:pPr>
    </w:p>
    <w:p>
      <w:pPr>
        <w:ind w:left="4840" w:right="440" w:hanging="289"/>
        <w:spacing w:after="0" w:line="282" w:lineRule="auto"/>
        <w:tabs>
          <w:tab w:leader="none" w:pos="4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 back transactions with respect to any Principal Property; and</w:t>
      </w:r>
    </w:p>
    <w:p>
      <w:pPr>
        <w:spacing w:after="0" w:line="67" w:lineRule="exact"/>
        <w:rPr>
          <w:rFonts w:ascii="Times New Roman" w:cs="Times New Roman" w:eastAsia="Times New Roman" w:hAnsi="Times New Roman"/>
          <w:sz w:val="18"/>
          <w:szCs w:val="18"/>
          <w:color w:val="auto"/>
        </w:rPr>
      </w:pPr>
    </w:p>
    <w:p>
      <w:pPr>
        <w:ind w:left="4840" w:right="380" w:hanging="289"/>
        <w:spacing w:after="0" w:line="282" w:lineRule="auto"/>
        <w:tabs>
          <w:tab w:leader="none" w:pos="4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into, or transfer or lease all or substantially all of our assets to, any other party.</w:t>
      </w:r>
    </w:p>
    <w:p>
      <w:pPr>
        <w:spacing w:after="0" w:line="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As of May 3, 2025, we had one Principal Property.</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60"/>
        <w:spacing w:after="0" w:line="261" w:lineRule="auto"/>
        <w:rPr>
          <w:sz w:val="20"/>
          <w:szCs w:val="20"/>
          <w:color w:val="auto"/>
        </w:rPr>
      </w:pPr>
      <w:r>
        <w:rPr>
          <w:rFonts w:ascii="Times New Roman" w:cs="Times New Roman" w:eastAsia="Times New Roman" w:hAnsi="Times New Roman"/>
          <w:sz w:val="18"/>
          <w:szCs w:val="18"/>
          <w:color w:val="auto"/>
        </w:rPr>
        <w:t>These covenants are subject to important exceptions and qualifications that are described under the caption “Description of the Notes—Limitation on Liens,” “—Limitation on Sale and Lease Back Transactions,” and “—Limitation on Mergers and Other Transactions” in this prospectus supplement.</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Repurchase Offer Upon a Change of Control TriggeringIf we experience a Change of Control Triggering Event (as defined under the caption</w:t>
      </w:r>
    </w:p>
    <w:p>
      <w:pPr>
        <w:spacing w:after="0" w:line="27" w:lineRule="exact"/>
        <w:rPr>
          <w:sz w:val="20"/>
          <w:szCs w:val="20"/>
          <w:color w:val="auto"/>
        </w:rPr>
      </w:pPr>
    </w:p>
    <w:p>
      <w:pPr>
        <w:ind w:left="4340" w:hanging="3959"/>
        <w:spacing w:after="0" w:line="271" w:lineRule="auto"/>
        <w:tabs>
          <w:tab w:leader="none" w:pos="4320" w:val="left"/>
        </w:tabs>
        <w:rPr>
          <w:sz w:val="20"/>
          <w:szCs w:val="20"/>
          <w:color w:val="auto"/>
        </w:rPr>
      </w:pPr>
      <w:r>
        <w:rPr>
          <w:rFonts w:ascii="Times New Roman" w:cs="Times New Roman" w:eastAsia="Times New Roman" w:hAnsi="Times New Roman"/>
          <w:sz w:val="17"/>
          <w:szCs w:val="17"/>
          <w:color w:val="auto"/>
        </w:rPr>
        <w:t>Event</w:t>
      </w:r>
      <w:r>
        <w:rPr>
          <w:sz w:val="20"/>
          <w:szCs w:val="20"/>
          <w:color w:val="auto"/>
        </w:rPr>
        <w:tab/>
      </w:r>
      <w:r>
        <w:rPr>
          <w:rFonts w:ascii="Times New Roman" w:cs="Times New Roman" w:eastAsia="Times New Roman" w:hAnsi="Times New Roman"/>
          <w:sz w:val="17"/>
          <w:szCs w:val="17"/>
          <w:color w:val="auto"/>
        </w:rPr>
        <w:t>“Description of the Notes—Change of Control Offer”) with respect to a series of notes, we will be required, unless we have exercised our option to redeem the notes of such series or have defeased or satisfied and discharged the notes of such series, to offer to purchase the notes of such series from their holders in cash at a repurchase price equal to 101% of the principal amount thereof, plus accrued and unpaid interest, if any, to the date of repurchase.</w:t>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9"/>
              </w:rPr>
              <w:t>At any time prior to the applicable Par Call Date (as defined under the caption “Description</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of the Notes”), we will have the right, at our option, to redeem each series of notes, in</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whole or in part, at any time and from time to time, at a redemption price (expressed as a</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percentage of principal amount and rounded to three decimal places) equal to the greater</w:t>
            </w:r>
          </w:p>
        </w:tc>
      </w:tr>
      <w:tr>
        <w:trPr>
          <w:trHeight w:val="234"/>
        </w:trPr>
        <w:tc>
          <w:tcPr>
            <w:tcW w:w="2800" w:type="dxa"/>
            <w:vAlign w:val="bottom"/>
          </w:tcPr>
          <w:p>
            <w:pPr>
              <w:spacing w:after="0"/>
              <w:rPr>
                <w:sz w:val="20"/>
                <w:szCs w:val="20"/>
                <w:color w:val="auto"/>
              </w:rPr>
            </w:pPr>
          </w:p>
        </w:tc>
        <w:tc>
          <w:tcPr>
            <w:tcW w:w="62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w:t>
            </w:r>
          </w:p>
        </w:tc>
        <w:tc>
          <w:tcPr>
            <w:tcW w:w="1560" w:type="dxa"/>
            <w:vAlign w:val="bottom"/>
          </w:tcPr>
          <w:p>
            <w:pPr>
              <w:spacing w:after="0"/>
              <w:rPr>
                <w:sz w:val="20"/>
                <w:szCs w:val="20"/>
                <w:color w:val="auto"/>
              </w:rPr>
            </w:pPr>
          </w:p>
        </w:tc>
      </w:tr>
      <w:tr>
        <w:trPr>
          <w:trHeight w:val="319"/>
        </w:trPr>
        <w:tc>
          <w:tcPr>
            <w:tcW w:w="2800" w:type="dxa"/>
            <w:vAlign w:val="bottom"/>
          </w:tcPr>
          <w:p>
            <w:pPr>
              <w:spacing w:after="0"/>
              <w:rPr>
                <w:sz w:val="24"/>
                <w:szCs w:val="24"/>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interest thereon discounted to the redemption date (assuming the notes of such series</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matured on the applicable Par Call Date) on a semi-annual basis (assuming a 360-day year</w:t>
            </w:r>
          </w:p>
        </w:tc>
      </w:tr>
      <w:tr>
        <w:trPr>
          <w:trHeight w:val="216"/>
        </w:trPr>
        <w:tc>
          <w:tcPr>
            <w:tcW w:w="2800" w:type="dxa"/>
            <w:vAlign w:val="bottom"/>
          </w:tcPr>
          <w:p>
            <w:pPr>
              <w:spacing w:after="0"/>
              <w:rPr>
                <w:sz w:val="18"/>
                <w:szCs w:val="18"/>
                <w:color w:val="auto"/>
              </w:rPr>
            </w:pPr>
          </w:p>
        </w:tc>
        <w:tc>
          <w:tcPr>
            <w:tcW w:w="62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xml:space="preserve">consisting of twelve 30-day months) at the Treasury Rate plus        </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basis points (in the</w:t>
            </w:r>
          </w:p>
        </w:tc>
      </w:tr>
      <w:tr>
        <w:trPr>
          <w:trHeight w:val="216"/>
        </w:trPr>
        <w:tc>
          <w:tcPr>
            <w:tcW w:w="2800" w:type="dxa"/>
            <w:vAlign w:val="bottom"/>
          </w:tcPr>
          <w:p>
            <w:pPr>
              <w:spacing w:after="0"/>
              <w:rPr>
                <w:sz w:val="18"/>
                <w:szCs w:val="18"/>
                <w:color w:val="auto"/>
              </w:rPr>
            </w:pPr>
          </w:p>
        </w:tc>
        <w:tc>
          <w:tcPr>
            <w:tcW w:w="62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case of the 20   Notes) or          basis points (in the case of the 20 </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Notes), in each case</w:t>
            </w:r>
          </w:p>
        </w:tc>
      </w:tr>
      <w:tr>
        <w:trPr>
          <w:trHeight w:val="234"/>
        </w:trPr>
        <w:tc>
          <w:tcPr>
            <w:tcW w:w="2800" w:type="dxa"/>
            <w:vAlign w:val="bottom"/>
          </w:tcPr>
          <w:p>
            <w:pPr>
              <w:spacing w:after="0"/>
              <w:rPr>
                <w:sz w:val="20"/>
                <w:szCs w:val="20"/>
                <w:color w:val="auto"/>
              </w:rPr>
            </w:pPr>
          </w:p>
        </w:tc>
        <w:tc>
          <w:tcPr>
            <w:tcW w:w="62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less (b) interest accrued to the date of redemption, and</w:t>
            </w:r>
          </w:p>
        </w:tc>
        <w:tc>
          <w:tcPr>
            <w:tcW w:w="1560" w:type="dxa"/>
            <w:vAlign w:val="bottom"/>
          </w:tcPr>
          <w:p>
            <w:pPr>
              <w:spacing w:after="0"/>
              <w:rPr>
                <w:sz w:val="20"/>
                <w:szCs w:val="20"/>
                <w:color w:val="auto"/>
              </w:rPr>
            </w:pPr>
          </w:p>
        </w:tc>
      </w:tr>
      <w:tr>
        <w:trPr>
          <w:trHeight w:val="338"/>
        </w:trPr>
        <w:tc>
          <w:tcPr>
            <w:tcW w:w="2800" w:type="dxa"/>
            <w:vAlign w:val="bottom"/>
          </w:tcPr>
          <w:p>
            <w:pPr>
              <w:spacing w:after="0"/>
              <w:rPr>
                <w:sz w:val="24"/>
                <w:szCs w:val="24"/>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 100% of the principal amount of the notes of such series being redeemed,</w:t>
            </w:r>
          </w:p>
        </w:tc>
      </w:tr>
      <w:tr>
        <w:trPr>
          <w:trHeight w:val="338"/>
        </w:trPr>
        <w:tc>
          <w:tcPr>
            <w:tcW w:w="2800" w:type="dxa"/>
            <w:vAlign w:val="bottom"/>
          </w:tcPr>
          <w:p>
            <w:pPr>
              <w:spacing w:after="0"/>
              <w:rPr>
                <w:sz w:val="24"/>
                <w:szCs w:val="24"/>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2800" w:type="dxa"/>
            <w:vAlign w:val="bottom"/>
          </w:tcPr>
          <w:p>
            <w:pPr>
              <w:spacing w:after="0"/>
              <w:rPr>
                <w:sz w:val="24"/>
                <w:szCs w:val="24"/>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On or after the applicable Par Call Date, we will have the right, at our option, to redeem</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each series of notes, in whole or in part, at any time and from time to time, at a redemption</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price equal to 100% of the principal amount of the notes of such series being redeemed</w:t>
            </w:r>
          </w:p>
        </w:tc>
      </w:tr>
      <w:tr>
        <w:trPr>
          <w:trHeight w:val="216"/>
        </w:trPr>
        <w:tc>
          <w:tcPr>
            <w:tcW w:w="2800" w:type="dxa"/>
            <w:vAlign w:val="bottom"/>
          </w:tcPr>
          <w:p>
            <w:pPr>
              <w:spacing w:after="0"/>
              <w:rPr>
                <w:sz w:val="18"/>
                <w:szCs w:val="18"/>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 See “Description of the</w:t>
            </w:r>
          </w:p>
        </w:tc>
      </w:tr>
      <w:tr>
        <w:trPr>
          <w:trHeight w:val="234"/>
        </w:trPr>
        <w:tc>
          <w:tcPr>
            <w:tcW w:w="2800" w:type="dxa"/>
            <w:vAlign w:val="bottom"/>
          </w:tcPr>
          <w:p>
            <w:pPr>
              <w:spacing w:after="0"/>
              <w:rPr>
                <w:sz w:val="20"/>
                <w:szCs w:val="20"/>
                <w:color w:val="auto"/>
              </w:rPr>
            </w:pPr>
          </w:p>
        </w:tc>
        <w:tc>
          <w:tcPr>
            <w:tcW w:w="62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Notes—Optional Redemption.”</w:t>
            </w:r>
          </w:p>
        </w:tc>
        <w:tc>
          <w:tcPr>
            <w:tcW w:w="1560" w:type="dxa"/>
            <w:vAlign w:val="bottom"/>
          </w:tcPr>
          <w:p>
            <w:pPr>
              <w:spacing w:after="0"/>
              <w:rPr>
                <w:sz w:val="20"/>
                <w:szCs w:val="20"/>
                <w:color w:val="auto"/>
              </w:rPr>
            </w:pPr>
          </w:p>
        </w:tc>
      </w:tr>
      <w:tr>
        <w:trPr>
          <w:trHeight w:val="31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tc>
      </w:tr>
      <w:tr>
        <w:trPr>
          <w:trHeight w:val="234"/>
        </w:trPr>
        <w:tc>
          <w:tcPr>
            <w:tcW w:w="2800" w:type="dxa"/>
            <w:vAlign w:val="bottom"/>
          </w:tcPr>
          <w:p>
            <w:pPr>
              <w:spacing w:after="0"/>
              <w:rPr>
                <w:sz w:val="20"/>
                <w:szCs w:val="20"/>
                <w:color w:val="auto"/>
              </w:rPr>
            </w:pPr>
          </w:p>
        </w:tc>
        <w:tc>
          <w:tcPr>
            <w:tcW w:w="7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 after deducting estimated expenses and underwriting discounts.</w:t>
            </w:r>
          </w:p>
        </w:tc>
      </w:tr>
    </w:tbl>
    <w:p>
      <w:pPr>
        <w:spacing w:after="0" w:line="103" w:lineRule="exact"/>
        <w:rPr>
          <w:sz w:val="20"/>
          <w:szCs w:val="20"/>
          <w:color w:val="auto"/>
        </w:rPr>
      </w:pPr>
    </w:p>
    <w:p>
      <w:pPr>
        <w:ind w:left="4340" w:right="48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for general corporate purposes, which may include capital expenditures, repurchases of our common stock under our stock repurchase program, repayment or refinancing of existing indebtedness, dividend payments and acquisitions. See “Use of Proceeds.”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1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 and Form</w:t>
            </w:r>
          </w:p>
        </w:tc>
        <w:tc>
          <w:tcPr>
            <w:tcW w:w="6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notes registered in the name of the nominee of The Depository Trust Company (“DTC”).</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will be issued in minimum denominations of $2,000 and in integral multiples of</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 in excess thereof.</w:t>
            </w:r>
          </w:p>
        </w:tc>
      </w:tr>
      <w:tr>
        <w:trPr>
          <w:trHeight w:val="319"/>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 Absence of a Public Market for the Notes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intend to apply for the listing of either series of notes on any securities exchange or for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quotation of either series of notes in any dealer quotation system. Certain of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underwriters have advised us that they may make a market in the notes after completion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offering, but they will not be obligated to do so and may in their sole discretion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discontinue any market-making activities at any time without notice. No assurance can be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given as to the liquidity of any trading market for either series of notes or that active</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markets for the notes will develop.</w:t>
            </w:r>
          </w:p>
        </w:tc>
      </w:tr>
      <w:tr>
        <w:trPr>
          <w:trHeight w:val="319"/>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investment in the notes involves risks. You should carefully consider the information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set forth in the section of this prospectus supplement entitled “Risk Factors” beginning 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S-7, as well as other information included or incorporated by reference in this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prospectus supplement and the accompanying prospectus before deciding whether to invest</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the notes.</w:t>
            </w:r>
          </w:p>
        </w:tc>
      </w:tr>
      <w:tr>
        <w:trPr>
          <w:trHeight w:val="338"/>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351"/>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indenture and the notes will be governed by the laws of the State of New York.</w:t>
            </w:r>
          </w:p>
        </w:tc>
      </w:tr>
      <w:tr>
        <w:trPr>
          <w:trHeight w:val="333"/>
        </w:trPr>
        <w:tc>
          <w:tcPr>
            <w:tcW w:w="4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2025,</w:t>
            </w:r>
          </w:p>
        </w:tc>
      </w:tr>
      <w:tr>
        <w:trPr>
          <w:trHeight w:val="234"/>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will be the second business day following the date of this prospectus supplement.</w:t>
            </w:r>
          </w:p>
        </w:tc>
      </w:tr>
      <w:tr>
        <w:trPr>
          <w:trHeight w:val="172"/>
        </w:trPr>
        <w:tc>
          <w:tcPr>
            <w:tcW w:w="4120" w:type="dxa"/>
            <w:vAlign w:val="bottom"/>
            <w:tcBorders>
              <w:left w:val="single" w:sz="8" w:color="auto"/>
              <w:bottom w:val="single" w:sz="8" w:color="auto"/>
            </w:tcBorders>
          </w:tcPr>
          <w:p>
            <w:pPr>
              <w:spacing w:after="0"/>
              <w:rPr>
                <w:sz w:val="14"/>
                <w:szCs w:val="14"/>
                <w:color w:val="auto"/>
              </w:rPr>
            </w:pPr>
          </w:p>
        </w:tc>
        <w:tc>
          <w:tcPr>
            <w:tcW w:w="6900" w:type="dxa"/>
            <w:vAlign w:val="bottom"/>
            <w:tcBorders>
              <w:bottom w:val="single" w:sz="8" w:color="auto"/>
              <w:right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color w:val="auto"/>
        </w:rPr>
        <w:t>Before you decide to invest in the notes, you should carefully consider the factors set forth below, as well as the risk factors discussed in our Annual Report on Form 10-K for the fiscal year ended November 2, 2024, which is incorporated by reference in this prospectus supplement and the accompanying prospectus. See “Where You Can Find More Information” in this prospectus supplement. The information contained or incorporated by reference in this prospectus supplement and the accompanying prospectus includes forward-looking statements that involve risks and uncertainties. We refer you to “Forward-Looking Statements” in this prospectus supplement.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of our future secured debt.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will not be secured by any of our assets. As a result, the notes will be effectively subordinated to any secured debt we may incur in the future, to the extent of the value of the assets securing that debt. In any liquidation, dissolution, bankruptcy or other similar proceeding involving us, the holders of any of our secured debt may assert rights against our secured assets in order to receive full payment of their debt before such assets may be used to pay the holders of the notes. The terms of the indenture governing the notes limit our ability to create, incur, assume or permit to exist liens on any Principal Property to secure any of our debt. However, these limitations are subject to numerous exceptions. See “Description of the Notes — Limitation on Liens.” As of May 3, 2025, we did not have any secured debt outstanding. See “Description of the Notes — Ranking.”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and the indenture governing the notes does not restrict our ability to incur additional indebtedness.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 of May 3, 2025, we had approximately $7.3 billion of indebtedness outstanding. As of May 3, 2025, after giving effect to this offering including the expected use of proceeds therefrom, we would have had approximately $       billion of indebtedness outstanding. In addition, we may incur substantial additional indebtedness in the future. In particular, the indenture pursuant to which the notes will be issued will not place any limitation on the amount of indebtedness that we or our subsidiaries may incur. Our incurrence of additional indebtedness may have important consequences for you as a holder of the notes, including:</w:t>
      </w:r>
    </w:p>
    <w:p>
      <w:pPr>
        <w:spacing w:after="0" w:line="8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limited;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flow, we may not be able to service our debt obligations, including making payments on the notes.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8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financing in the debt or equity markets;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or restructure all or a portion of our indebtedness, including our $6.7 billion in aggregate principal amount of senior notes previously issued and outstanding as of May 3, 2025 (the “Existing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Notes”), borrowings under our $3.0 billion revolving credit facility, issuances under our $2.5 billion commercial paper program (which had approximately $549 million of borrowings outstanding as of May 3, 2025) and the notes offered hereby;</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under the revolving credit facility or issue notes under our commercial paper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funds that would otherwise be invested in growing our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repatriate earnings as dividends from foreign locations with potential for negative tax consequences;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selected assets.</w:t>
      </w:r>
    </w:p>
    <w:p>
      <w:pPr>
        <w:spacing w:after="0" w:line="225"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including the notes,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existing and future liabilities of our subsidiaries.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equity interest in our subsidiaries is structurally subordinated to any debt and other liabilities of our subsidiaries, whether or not secured. The notes will not be guaranteed by our subsidiaries and we may not have direct access to the assets of our subsidiaries unless such assets are transferred by dividend or otherwise to us. As a result, the notes will be structurally subordinated to all debt and other liabilities of our existing and future subsidiaries, including trade payables and lease obligations. As of May 3, 2025, our subsidiaries had approximately $1.6 billion of total liabilities, excluding intercompany payables, outstanding. The ability of our subsidiaries to pay dividends or otherwise transfer assets to us is subject to various restrictions under applicable law. Our right to receive assets of any of our subsidiaries upon their bankruptcy, liquidation or reorganization, and therefore the right of the holders of the notes to realize any value in respect of those assets, will be structurally subordinated to the claims of any such subsidiary’s creditors. In addition, even if we are a creditor of any of our subsidiaries, our rights as a creditor would be effectively subordinated to any security interest in the assets of our subsidiaries and subordinated in right of payment to any debt of our subsidiaries that is senior to any debt held by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may not reflect all risks of your investment in the notes.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Any credit ratings assigned to the notes will be limited in scope and will not address all material risks relating to an investment in the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review for a downgrade, could affect the market value of the notes and increase our corporate borrowing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Triggering Event, which would result in a default under the notes.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be required to offer to repurchase the notes and the Existing Notes upon the occurrence of a Change of Control Triggering Event as provided in the indentures governing the notes and the Existing Notes, respectively. However, we may not have sufficient funds to repurchase the notes and the Existing Notes at such time. In addition, our ability to repurchase the notes may be limited by law or the terms of other agreements relating to our indebtedness outstanding at the time. The failure to make such repurchases would result in a default under each series of notes and the Existing Notes. See “Description of the Notes — Change of Control Offer.”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will have only limited covenants and these covenants may not protect your investment.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will not:</w:t>
      </w:r>
    </w:p>
    <w:p>
      <w:pPr>
        <w:spacing w:after="0" w:line="131" w:lineRule="exact"/>
        <w:rPr>
          <w:sz w:val="20"/>
          <w:szCs w:val="20"/>
          <w:color w:val="auto"/>
        </w:rPr>
      </w:pPr>
    </w:p>
    <w:p>
      <w:pPr>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subsidiaries’ ability to incur indebtedness that would effectively rank senior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common stock;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pay dividends, or make other payments in respect of our common stock or other securities ranking junior to the notes.</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Furthermore, the indenture governing the notes will contain only limited protections in the event of a Change of Control Triggering Event as described in this prospectus supplement. The indenture governing the notes also will permit us and our subsidiaries to incur additional indebtedness, including secured indebtedness, that would effectively rank senior to the notes, and to engage in Sale and Lease Back Transactions (as defined in “Description of the Notes”), subject to certain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provisions of the notes will not necessarily protect you in the event of a highly leveraged transaction.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terms of the notes will not necessarily afford you protection in the event of a highly leveraged transaction that may adversely affect you, including a reorganization, recapitalization, restructuring, merger or other similar transaction involving us.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should occur, the value of your notes may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the notes may not develop.</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Each series of notes constitutes a new issue of securities for which there is no existing market. We do not intend to apply for listing of either series of notes on any securities exchange or for quotation of either series of notes in any automated dealer quotation system. Certain of the underwriters have advised us that they may make a market in the notes after completion of the offering, but they will not be obligated to do so and may in their sole discretion discontinue any market-making activities at any time without notice. We cannot provide you with any assurance regarding whether a trading market for either series of notes will develop, the ability of holders of notes of such series to sell their notes or the price at which holders may be able to sell their notes. In addition, the liquidity of the trading markets in the notes and the market prices quoted for both series of notes may be adversely affected by changes in the overall market for securities, changes in our financial performance or prospects, or changes in the financial performance or prospects of companies in our industry. If no active trading markets develop, you may be unable to resell the notes at a particular time, at any price, or at their fair market value.</w:t>
      </w:r>
    </w:p>
    <w:p>
      <w:pPr>
        <w:spacing w:after="0" w:line="29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ratings, our financial condition, our financial performance, or our future prospects, or the debt markets could adversely affect the market prices of the notes.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prices for each series of notes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significantly in the past and are likely to fluctuate in the future. Such fluctuations could have an adverse effect on the prices of the notes.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their ratings for the companies that they follow, including us. A negative change in our rating could have an adverse effect on the prices of the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      , after deducting estimated expenses and underwriting discounts. We intend to use the net proceeds for general corporate purposes, which may include capital expenditures, repurchases of our common stock under our stock repurchase program, repayment or refinancing of existing indebtedness, dividend payments and acquisitions.</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May 3, 2025 on (1) an actual basis and (2) an as-adjusted basis, giving effect to the issuance and sale of the notes offered hereby, after deducting estimated expenses and underwriting discounts.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should read this in conjunction with our consolidated financial statements and the notes thereto in our Annual Report on Form 10-K for the fiscal year ended November 2, 2024 and the Quarterly Reports on Form 10-Q for the fiscal quarters ended February 1, 2025 and May 3, 2025, which are incorporated herein by reference.</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May 3, 2025</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2,376,235</w:t>
            </w:r>
          </w:p>
        </w:tc>
        <w:tc>
          <w:tcPr>
            <w:tcW w:w="150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2"/>
              </w:rPr>
              <w:t>% notes due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9"/>
              </w:rPr>
              <w:t>, 20 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offered hereby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2"/>
              </w:rPr>
              <w:t>% notes due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9"/>
              </w:rPr>
              <w:t>, 20 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offered hereby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 notes</w:t>
            </w:r>
          </w:p>
        </w:tc>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548,720</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548,720</w:t>
            </w:r>
          </w:p>
        </w:tc>
        <w:tc>
          <w:tcPr>
            <w:tcW w:w="0" w:type="dxa"/>
            <w:vAlign w:val="bottom"/>
          </w:tcPr>
          <w:p>
            <w:pPr>
              <w:spacing w:after="0"/>
              <w:rPr>
                <w:sz w:val="1"/>
                <w:szCs w:val="1"/>
                <w:color w:val="auto"/>
              </w:rPr>
            </w:pPr>
          </w:p>
        </w:tc>
      </w:tr>
      <w:tr>
        <w:trPr>
          <w:trHeight w:val="216"/>
        </w:trPr>
        <w:tc>
          <w:tcPr>
            <w:tcW w:w="26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3.500% notes due Dec. 5, 2026</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900,000</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16"/>
        </w:trPr>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3.450% notes due Jun. 15, 2027</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440,212</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440,212</w:t>
            </w:r>
          </w:p>
        </w:tc>
        <w:tc>
          <w:tcPr>
            <w:tcW w:w="0" w:type="dxa"/>
            <w:vAlign w:val="bottom"/>
          </w:tcPr>
          <w:p>
            <w:pPr>
              <w:spacing w:after="0"/>
              <w:rPr>
                <w:sz w:val="1"/>
                <w:szCs w:val="1"/>
                <w:color w:val="auto"/>
              </w:rPr>
            </w:pPr>
          </w:p>
        </w:tc>
      </w:tr>
      <w:tr>
        <w:trPr>
          <w:trHeight w:val="216"/>
        </w:trPr>
        <w:tc>
          <w:tcPr>
            <w:tcW w:w="57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1.700% sustainability-linked notes due Oct. 1, 2028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2.100% notes due Oct. 1, 2031</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6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4.250% notes due Oct. 1, 2032</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5.050% notes due Apr. 1, 2034</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16"/>
        </w:trPr>
        <w:tc>
          <w:tcPr>
            <w:tcW w:w="26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4.500% notes due Dec. 5, 2036</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144,278</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144,278</w:t>
            </w:r>
          </w:p>
        </w:tc>
        <w:tc>
          <w:tcPr>
            <w:tcW w:w="0" w:type="dxa"/>
            <w:vAlign w:val="bottom"/>
          </w:tcPr>
          <w:p>
            <w:pPr>
              <w:spacing w:after="0"/>
              <w:rPr>
                <w:sz w:val="1"/>
                <w:szCs w:val="1"/>
                <w:color w:val="auto"/>
              </w:rPr>
            </w:pPr>
          </w:p>
        </w:tc>
      </w:tr>
      <w:tr>
        <w:trPr>
          <w:trHeight w:val="216"/>
        </w:trPr>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2.800% notes due Oct. 1, 2041</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576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5.300% notes due Dec. 15, 2045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332,587</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332,587</w:t>
            </w:r>
          </w:p>
        </w:tc>
        <w:tc>
          <w:tcPr>
            <w:tcW w:w="0" w:type="dxa"/>
            <w:vAlign w:val="bottom"/>
          </w:tcPr>
          <w:p>
            <w:pPr>
              <w:spacing w:after="0"/>
              <w:rPr>
                <w:sz w:val="1"/>
                <w:szCs w:val="1"/>
                <w:color w:val="auto"/>
              </w:rPr>
            </w:pPr>
          </w:p>
        </w:tc>
      </w:tr>
      <w:tr>
        <w:trPr>
          <w:trHeight w:val="216"/>
        </w:trPr>
        <w:tc>
          <w:tcPr>
            <w:tcW w:w="2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2.950% notes due Oct. 1, 2051</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6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5.300% notes due Apr. 1, 2054</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3"/>
        </w:trPr>
        <w:tc>
          <w:tcPr>
            <w:tcW w:w="17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7,265,797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35,010,620</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35,010,620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42,276,417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illustrative purposes, the net proceeds of this offering are reflected as cash and cash equivalents in the “As Adjusted” column pending their ultimate use, see “Use of Proceeds.”</w:t>
      </w: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figures reflect the principal amounts outstanding.</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of the terms of the notes supplements the description of the general terms and provisions of the debt securities contained in the accompanying prospectus and identifies any general terms and provisions described in the accompanying prospectus that will not apply to the notes. Certain terms used but not defined in this “Description of the Notes” have the meanings specified in the accompanying prospectus. In this prospectus supplement, we refer to the notes offered hereby as the “notes.” Although, for convenience, the 20  Notes and the 20    Notes are referred to as “notes,” each will be issued as a separate series and will not together have any class voting rights. Accordingly, for purposes of this “Description of the Notes,” references to “notes” shall be deemed to refer to each series of notes separately, and not to the 20    Notes and the 20    Notes on any combined basis. To the extent this summary differs from the summary in the accompanying prospectus, you should rely on the description of the notes in this prospectus supplement.</w:t>
      </w:r>
    </w:p>
    <w:p>
      <w:pPr>
        <w:spacing w:after="0" w:line="185"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When we refer to “we,” “our,” “us,” and the “Company” in this section, we mean Analog Devices, Inc., the issuer of the notes, excluding, unless the context otherwise requires or as otherwise expressly stated, our Subsidiaries.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20  Notes will be issued in an initial aggregate principal amount of $        and the 20  Notes will be issued in an initial aggregate principal amount of $        . We will issue the notes under the indenture dated as of June 3, 2013 between The Bank of New York Mellon Trust Company, N.A., as trustee, and us (the “base indenture”), as supplemented by a supplemental indenture to be entered into between us and the trustee (together with the base indenture, the “indenture”).</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may, without the consent of the holders of the applicable series of notes, increase the principal amount of notes of such series in the future, on the same terms and conditions as the notes of such series being offered hereby (except for the issue date, issue price and, in some cases, the first interest payment date and the initial interest accrual date). If any such additional notes of the applicable series are not fungible for United States federal income tax purposes with the notes of the applicable series previously issued, such additional notes will not have the same CUSIP number (or other securities identification number) as the notes of the applicable series previously issued.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accompanying prospectus for a general discussion of the terms and provisions of the indenture.</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20  Notes will mature on         , 20  and the 20  Notes will mature on         , 20  . The notes will not be listed on any securities exchange or quoted on any automated quotation system.</w:t>
      </w:r>
    </w:p>
    <w:p>
      <w:pPr>
        <w:spacing w:after="0" w:line="16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notes will be issued only in registered form without coupons, in denominations of $2,000 and integral multiples of $1,000 in excess thereof. The notes will be available in book-entry form only. No service charge will be made for any registration of transfer or any exchange of notes, but we may require payment of a sum sufficient to cover any transfer tax or similar governmental charge payable in connection therewith.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series of notes will be our senior unsecured obligations and will rank without preference or priority between themselves and equally with all of our other existing and future senior unsecured indebtedness. Each series of notes will be effectively subordinated to all of our future secured indebtedness, to the extent of the assets securing that indebtedness. In addition, each series of notes will be structurally subordinated to all existing and future indebtedness and other liabilities of our Subsidiaries, which are distinct legal entities having no obligation to pay any amounts in respect of the notes or to make funds available for such purpose.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us or one or more of our other Subsidiaries or a combination thereof.</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20  Notes will bear interest at a rate of     % per annum from         , 2025 or from the most recent interest payment date on which we paid or provided for interest on the 20  Notes. The 20  Notes will bear interest at a rate of           % per annum from         , 2025 or from the most recent interest payment date on which we paid or provided for interest on the 20  Notes. The interest payment dates for each series of notes will be each        and         , beginning on         , 20    , and interest will be payable to the holders of record on the        and        (whether or not a business day) immediately preceding the related interest payment date.</w:t>
      </w:r>
    </w:p>
    <w:p>
      <w:pPr>
        <w:spacing w:after="0" w:line="183"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Interest on each series of the notes will be computed on the basis of a 360-day year comprised of twelve 30-day months. If any interest payment date, redemption date or the maturity date of the notes is not a business day, then payment of interest and/or principal on the notes will be made on the next succeeding business day, and no additional interest will accrue on the amount so payable in respect of the notes for that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At any time prior to the applicable Par Call Date, we will have the right, at our option, to redeem each series of notes, in whole or in part, at any time and from time to time, at a redemption price (expressed as a percentage of principal amount and rounded to three decimal places) equal to the greater of:</w:t>
      </w:r>
    </w:p>
    <w:p>
      <w:pPr>
        <w:spacing w:after="0" w:line="140" w:lineRule="exact"/>
        <w:rPr>
          <w:sz w:val="20"/>
          <w:szCs w:val="20"/>
          <w:color w:val="auto"/>
        </w:rPr>
      </w:pPr>
    </w:p>
    <w:p>
      <w:pPr>
        <w:jc w:val="both"/>
        <w:ind w:left="120" w:right="40" w:hanging="4"/>
        <w:spacing w:after="0" w:line="276" w:lineRule="auto"/>
        <w:tabs>
          <w:tab w:leader="none" w:pos="3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at the Treasury Rate plus        basis points (in the case of the 20    Notes) or         basis points (in the case of the 20    Notes), in each case less (b) interest accrued to the date of redemption, and</w:t>
      </w:r>
    </w:p>
    <w:p>
      <w:pPr>
        <w:spacing w:after="0" w:line="181" w:lineRule="exact"/>
        <w:rPr>
          <w:sz w:val="20"/>
          <w:szCs w:val="20"/>
          <w:color w:val="auto"/>
        </w:rPr>
      </w:pPr>
    </w:p>
    <w:p>
      <w:pPr>
        <w:ind w:left="120" w:right="5300" w:hanging="4"/>
        <w:spacing w:after="0" w:line="530" w:lineRule="auto"/>
        <w:tabs>
          <w:tab w:leader="none" w:pos="3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of such series being redeemed, plus, in either case, accrued and unpaid interest thereon to the redemption date.</w:t>
      </w:r>
    </w:p>
    <w:p>
      <w:pPr>
        <w:spacing w:after="0" w:line="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we will have the right, at our option, to redeem each series of notes, in whole or in part, at any time and from time to time, at a redemption price equal to 100% of the principal amount of the notes of such series being redeemed plus accrued and unpaid interest thereon to the redemption date.</w:t>
      </w:r>
    </w:p>
    <w:p>
      <w:pPr>
        <w:spacing w:after="0" w:line="174" w:lineRule="exact"/>
        <w:rPr>
          <w:sz w:val="20"/>
          <w:szCs w:val="20"/>
          <w:color w:val="auto"/>
        </w:rPr>
      </w:pPr>
    </w:p>
    <w:p>
      <w:pPr>
        <w:ind w:left="120"/>
        <w:spacing w:after="0"/>
        <w:tabs>
          <w:tab w:leader="none" w:pos="4800" w:val="left"/>
          <w:tab w:leader="none" w:pos="6920" w:val="left"/>
          <w:tab w:leader="none" w:pos="85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 20   in the case of the 20 </w:t>
        <w:tab/>
        <w:t>Notes and               , 20 </w:t>
        <w:tab/>
        <w:t>in the case of the 20 </w:t>
        <w:tab/>
        <w:t>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22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will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required to make any mandatory redemption with respect to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(as defined below) occurs with respect to a series of notes, unless we have exercised our option to redeem such series of notes in full as described above under “— Optional Redemption” or have defeased such series of notes or satisfied and discharged such series of notes, we shall be required to make an offer (a “Change of Control Offer”) to each holder of such series of notes to repurchase all or any part (equal to $2,000 and in integral multiples of $1,000 in excess thereof; provided that the unrepurchased portion of a note must be in a minimum principal amount of $2,000) of that holder’s notes of such series pursuant to the offer described below. In a Change of Control Offer, we will be required to offer payment in cash equal to 101% of the aggregate principal amount of the notes repurchased, plus accrued and unpaid interest, if any, on the notes repurchased to the date of repurchase (a “Change of Control Payment”). Within 30 days following any Change of Control Triggering Event with respect to a series of notes or, at our option, prior to any Change of Control, but after public announcement of the transaction that constitutes or may constitute the Change of Control, a notice shall be mailed, or if the notes to be repurchased are represented by one or more Global Notes, transmitted in accordance with DTC’s standard procedures therefor,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“Change of Control Payment Date”).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225" w:lineRule="exact"/>
        <w:rPr>
          <w:sz w:val="20"/>
          <w:szCs w:val="20"/>
          <w:color w:val="auto"/>
        </w:rPr>
      </w:pPr>
    </w:p>
    <w:p>
      <w:pPr>
        <w:ind w:left="380" w:hanging="264"/>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of the applicable series or portions of such notes properly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such notes properly tendered; and</w:t>
      </w:r>
    </w:p>
    <w:p>
      <w:pPr>
        <w:spacing w:after="0" w:line="161" w:lineRule="exact"/>
        <w:rPr>
          <w:rFonts w:ascii="Times New Roman" w:cs="Times New Roman" w:eastAsia="Times New Roman" w:hAnsi="Times New Roman"/>
          <w:sz w:val="18"/>
          <w:szCs w:val="18"/>
          <w:color w:val="auto"/>
        </w:rPr>
      </w:pPr>
    </w:p>
    <w:p>
      <w:pPr>
        <w:ind w:left="120" w:right="380" w:hanging="4"/>
        <w:spacing w:after="0" w:line="282"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of the applicable series properly accepted together with an officers’ certificate stating the aggregate principal amount of notes or portions of such notes being repurchased.</w:t>
      </w:r>
    </w:p>
    <w:p>
      <w:pPr>
        <w:spacing w:after="0" w:line="162"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purchases all notes of the applicable series properly tendered and not withdrawn under its offer.</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Change of Control Offer provisions of the notes, we will comply with those securities laws and regulations and shall not be deemed to have breached our obligations under the Change of Control Offer provisions of the notes by virtue of any such conflict.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are applicable:</w:t>
      </w:r>
    </w:p>
    <w:p>
      <w:pPr>
        <w:spacing w:after="0" w:line="115"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means, with respect to a series of notes, the applicable series of notes is downgraded below Investment Grade by at least two of the three Rating Agencies on any date during the period (the “Trigger Period”) commencing 60 days prior to the first public announcement by us of any Change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Control (or pending Change of Control) and ending 60 days following the consummation of such Change of Control (which Trigger Period will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w:t>
      </w:r>
    </w:p>
    <w:p>
      <w:pPr>
        <w:spacing w:after="0" w:line="1" w:lineRule="exact"/>
        <w:rPr>
          <w:sz w:val="20"/>
          <w:szCs w:val="20"/>
          <w:color w:val="auto"/>
        </w:rPr>
      </w:pPr>
    </w:p>
    <w:p>
      <w:pPr>
        <w:ind w:left="120" w:right="300" w:hanging="4"/>
        <w:spacing w:after="0" w:line="255"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such series of notes below Investment Grade or (y) publicly announces that it is no longer considering such series of notes for possible downgrade, provided that no such extension will occur if on such 60th day such series of notes is rated Investment Grade by at least two of the three Rating Agencies and are not subject to review for possible downgrade by any Rating Agency).</w:t>
      </w:r>
    </w:p>
    <w:p>
      <w:pPr>
        <w:spacing w:after="0" w:line="18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direct or indirect sale, transfer, conveyance or other disposition (other than by way of merger or consolidation), in one or more series of related transactions, of all or substantially all of our assets and the assets of our Subsidiaries, taken as a whole, to any person, other than to us or one of our direct or indirect Subsidiaries; (2) the consummation of any transaction (including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(4) the adoption of a plan providing for our liquidation or dissolution. Notwithstanding the foregoing, a transaction will not be deemed to involve a Change of Control if (1) we become a direct or indirect wholly owned subsidiary of a holding company (which shall include a parent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5"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There is no precise established definition of the phrase “substantially all” under applicable law. Accordingly, the ability of a holder of notes to require us to repurchase the notes as a result of a sale, transfer, conveyance or other disposition of less than all of our properties or assets and those of our Subsidiaries taken as a whole to another person may be uncertain. In such case, the holders of the notes may not be able to resolve this uncertainty without resorting to legal action.</w:t>
      </w:r>
    </w:p>
    <w:p>
      <w:pPr>
        <w:spacing w:after="0" w:line="181"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both a Change of Control and a Below Investment Grade Rating Event with respect to such series of notes.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left="120"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each of Fitch, Moody’s and S&amp;P; provided, that if any of Fitch, Moody’s and S&amp;P ceases to provide rating services to issuers or investors, we may appoint a replacement for such Rating Agency that is a “nationally recognized statistical rating organization” within the meaning of Section 3(a)(62) of the Exchange Act.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will not, nor will we permit any Subsidiary to, issue, incur, create, assume or guarantee (collectively, “incur”) any debt for borrowed money, including all obligations evidenced by bonds, debentures, notes or similar instruments (collectively, a “debt”), secured by a mortgage, deed of trust, security interest, pledge, lien, charge or other encumbrance (collectively, a “lien”)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we shall so determine, any other indebtedness of or guarantee by us or such Subsidiary ranking equally with the notes) shall be secured equally and ratably with (or, at our option, prior to) such secured debt. The foregoing restriction, however, will not apply to each of the following:</w:t>
      </w:r>
    </w:p>
    <w:p>
      <w:pPr>
        <w:spacing w:after="0" w:line="81" w:lineRule="exact"/>
        <w:rPr>
          <w:sz w:val="20"/>
          <w:szCs w:val="20"/>
          <w:color w:val="auto"/>
        </w:rPr>
      </w:pPr>
    </w:p>
    <w:p>
      <w:pPr>
        <w:jc w:val="both"/>
        <w:ind w:left="120" w:right="160" w:hanging="4"/>
        <w:spacing w:after="0" w:line="261"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shares of stock or other assets of any person existing at the time such person becomes a Subsidiary or existing at the time of acquisition thereof by us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179" w:lineRule="exact"/>
        <w:rPr>
          <w:rFonts w:ascii="Times New Roman" w:cs="Times New Roman" w:eastAsia="Times New Roman" w:hAnsi="Times New Roman"/>
          <w:sz w:val="18"/>
          <w:szCs w:val="18"/>
          <w:color w:val="auto"/>
        </w:rPr>
      </w:pPr>
    </w:p>
    <w:p>
      <w:pPr>
        <w:jc w:val="both"/>
        <w:ind w:left="120" w:right="160" w:hanging="4"/>
        <w:spacing w:after="0" w:line="261"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into or consolidated with us or a Subsidiary or at the time of a sale, lease or other disposition of the properties of such person (or a division thereof) as an entirety or substantially as an entirety to us or a Subsidiary, provided that such liens are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179" w:lineRule="exact"/>
        <w:rPr>
          <w:rFonts w:ascii="Times New Roman" w:cs="Times New Roman" w:eastAsia="Times New Roman" w:hAnsi="Times New Roman"/>
          <w:sz w:val="18"/>
          <w:szCs w:val="18"/>
          <w:color w:val="auto"/>
        </w:rPr>
      </w:pPr>
    </w:p>
    <w:p>
      <w:pPr>
        <w:ind w:left="120" w:right="40" w:hanging="4"/>
        <w:spacing w:after="0" w:line="258"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which secure debt owing to, us or any of our Subsidiaries;</w:t>
      </w:r>
    </w:p>
    <w:p>
      <w:pPr>
        <w:spacing w:after="0" w:line="225"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at the date of the issuance of the notes;</w:t>
      </w:r>
    </w:p>
    <w:p>
      <w:pPr>
        <w:spacing w:after="0" w:line="225" w:lineRule="exact"/>
        <w:rPr>
          <w:rFonts w:ascii="Times New Roman" w:cs="Times New Roman" w:eastAsia="Times New Roman" w:hAnsi="Times New Roman"/>
          <w:sz w:val="18"/>
          <w:szCs w:val="18"/>
          <w:color w:val="auto"/>
        </w:rPr>
      </w:pPr>
    </w:p>
    <w:p>
      <w:pPr>
        <w:ind w:left="120" w:right="260" w:hanging="4"/>
        <w:spacing w:after="0" w:line="266"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other payments pursuant to any contract or statute or to secure any indebtedness incurred for the purpose of financing all or any part of the purchase price or the cost of constructing or improving the property subject to such liens;</w:t>
      </w:r>
    </w:p>
    <w:p>
      <w:pPr>
        <w:spacing w:after="0" w:line="162" w:lineRule="exact"/>
        <w:rPr>
          <w:sz w:val="20"/>
          <w:szCs w:val="20"/>
          <w:color w:val="auto"/>
        </w:rPr>
      </w:pPr>
    </w:p>
    <w:p>
      <w:pPr>
        <w:ind w:left="120" w:right="640" w:hanging="4"/>
        <w:spacing w:after="0" w:line="282"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161"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Notwithstanding the restrictions in the preceding paragraphs, we or any Subsidiary of ours may incur debt secured by a lien which would otherwise be prohibited by such restrictions, without equally and ratably securing the notes, provided that, after giving effect thereto, the then aggregate outstanding amount of all such debt so secured by such liens (not including liens permitted under clauses (a) through (h) above) plus the aggregate amount of Attributable Debt in respect of Sale and Lease Back Transactions of Principal Properties entered into after the date of issuance of the notes and permitted solely pursuant to clause (c) of the covenant described below under the caption “— Limitation on Sale and Lease Back Transactions” and still in existence does not exceed the greater of 5% of our Consolidated Tangible Assets at the time of such incurrence and $750 million.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Sale and Lease Back Transactions</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We will not, nor will we permit any Subsidiary to, enter into any Sale and Lease Back Transaction with respect to any Principal Property, other than any such Sale and Lease Back Transaction involving a lease for a term of not more than three years or any such Sale and Lease Back Transaction between us and one of our Subsidiaries, or between Subsidiaries, unless:</w:t>
      </w:r>
    </w:p>
    <w:p>
      <w:pPr>
        <w:spacing w:after="0" w:line="68" w:lineRule="exact"/>
        <w:rPr>
          <w:sz w:val="20"/>
          <w:szCs w:val="20"/>
          <w:color w:val="auto"/>
        </w:rPr>
      </w:pPr>
    </w:p>
    <w:p>
      <w:pPr>
        <w:jc w:val="both"/>
        <w:ind w:left="120" w:right="160" w:hanging="4"/>
        <w:spacing w:after="0" w:line="266" w:lineRule="auto"/>
        <w:tabs>
          <w:tab w:leader="none" w:pos="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clauses (a) through (h) of the covenant described above under the caption “—Limitation on Liens”;</w:t>
      </w:r>
    </w:p>
    <w:p>
      <w:pPr>
        <w:spacing w:after="0" w:line="175" w:lineRule="exact"/>
        <w:rPr>
          <w:rFonts w:ascii="Times New Roman" w:cs="Times New Roman" w:eastAsia="Times New Roman" w:hAnsi="Times New Roman"/>
          <w:sz w:val="18"/>
          <w:szCs w:val="18"/>
          <w:color w:val="auto"/>
        </w:rPr>
      </w:pPr>
    </w:p>
    <w:p>
      <w:pPr>
        <w:jc w:val="both"/>
        <w:ind w:left="120" w:right="40" w:hanging="4"/>
        <w:spacing w:after="0" w:line="261"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the Net Available Proceeds of such Sale and Lease Back Transaction within 180 days of such Sale and Lease Back Transaction to either (or a combination of) (i) the prepayment or retirement of debt of ours or a Subsidiary of ours (other than debt that is, in the case of our debt, subordinated to the notes or debt owed to us or a Subsidiary) that by its terms matures more than 12 months after its creation or (ii) the purchase, construction, development, expansion or improvement of comparable properties or facilities; or</w:t>
      </w:r>
    </w:p>
    <w:p>
      <w:pPr>
        <w:spacing w:after="0" w:line="179" w:lineRule="exact"/>
        <w:rPr>
          <w:rFonts w:ascii="Times New Roman" w:cs="Times New Roman" w:eastAsia="Times New Roman" w:hAnsi="Times New Roman"/>
          <w:sz w:val="18"/>
          <w:szCs w:val="18"/>
          <w:color w:val="auto"/>
        </w:rPr>
      </w:pPr>
    </w:p>
    <w:p>
      <w:pPr>
        <w:ind w:left="120" w:right="140" w:hanging="4"/>
        <w:spacing w:after="0" w:line="258" w:lineRule="auto"/>
        <w:tabs>
          <w:tab w:leader="none" w:pos="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notes permitted solely pursuant to this clause (c) and still in existence, plus the aggregate amount of all debt secured by liens permitted solely pursuant to the last paragraph of the covenant described above under the caption “—Limitation on Liens” and still outstanding, does not exceed the greater of 5% of our Consolidated Tangible Assets at the time of such Sale and Lease Back Transaction and $750 million.</w:t>
      </w:r>
    </w:p>
    <w:p>
      <w:pPr>
        <w:spacing w:after="0" w:line="181"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with regard to a Sale and Lease Back Transaction with respect to any Principal Property means, at the time of determination, the lesser of:</w:t>
      </w:r>
    </w:p>
    <w:p>
      <w:pPr>
        <w:spacing w:after="0" w:line="66"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Principal Property subject to the transaction; or</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6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as of any date on which we effect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our most recent consolidated balance sheet and computed in accordance with GAAP.</w:t>
      </w:r>
    </w:p>
    <w:p>
      <w:pPr>
        <w:spacing w:after="0" w:line="18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as of any date on which we effect a transaction requiring such Consolidated Tangible Assets to be measured hereunder, the aggregate amount of assets (less applicable reserves) set forth on our most recent consolidated balance sheet and computed in accordance with GAAP.</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Available Proceeds</w:t>
      </w:r>
      <w:r>
        <w:rPr>
          <w:rFonts w:ascii="Times New Roman" w:cs="Times New Roman" w:eastAsia="Times New Roman" w:hAnsi="Times New Roman"/>
          <w:sz w:val="18"/>
          <w:szCs w:val="18"/>
          <w:color w:val="auto"/>
        </w:rPr>
        <w:t>” from any Sale and Lease Back Transaction by us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us or our Subsidiary, net of (i) all legal, title and recording tax expenses, commissions and other fees and expenses incurred and all Federal, state, provincial, foreign and local taxes required to be accrued as a liability as a consequence of such Sale and Lease Back Transaction; (ii) all payments made by us or our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our minority interest holders in Subsidiaries or joint ventures as a result of such Sale and Lease Back Transaction.</w:t>
      </w:r>
    </w:p>
    <w:p>
      <w:pPr>
        <w:spacing w:after="0" w:line="18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single parcel of real property or any permanent improvement thereon (i) owned by us or any of our Subsidiaries located in the United States, including our principal corporate office, any manufacturing facility or plant or any portion thereof and (ii) having a book value, as of the date of determination, in excess of 3% of our most recently calculated Consolidated Net Tangible Assets. Principal Property does not include any property that our board of directors has determined not to be of material importance to the business conducted by our Subsidiaries and us, taken as a whole.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May 3, 2025, we had one Principal Property.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Subsidiary</w:t>
      </w:r>
      <w:r>
        <w:rPr>
          <w:rFonts w:ascii="Times New Roman" w:cs="Times New Roman" w:eastAsia="Times New Roman" w:hAnsi="Times New Roman"/>
          <w:sz w:val="18"/>
          <w:szCs w:val="18"/>
          <w:color w:val="auto"/>
        </w:rPr>
        <w:t>” means any Subsidiary which owns any Principal Property.</w:t>
      </w:r>
    </w:p>
    <w:p>
      <w:pPr>
        <w:spacing w:after="0" w:line="22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of by us or our Subsidiary to such lender or investor or to any person to whom funds have been or are to be advanced by such lender on the security of such Principal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Mergers and Other Transactions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89" w:lineRule="exact"/>
        <w:rPr>
          <w:sz w:val="20"/>
          <w:szCs w:val="20"/>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notes and under the indenture;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will deliver to the trustee prior to the consummation of the proposed transaction an officers’ certificate to the foregoing effect and an opinion of counsel stating that the proposed transaction complies with the indenture.</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 Neither an officers’ certificate nor an opinion of counsel shall be required to be delivered in connection therewith.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following constitutes an Event of Default with respect to each series of notes:</w:t>
      </w:r>
    </w:p>
    <w:p>
      <w:pPr>
        <w:spacing w:after="0" w:line="131"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such series of notes when it becomes due and payable, and continuance of that default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such series of notes when due and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base indenture or a separate supplemental indenture solely for the benefit of a series of debt securities other than the notes of the applicable series), which default continues uncured for a period of 90 days after we receive written notice from the trustee or we and the trustee receive written notice from the holders of not less than 25% in principal amount of the outstanding notes of the applicable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failure or the failure of any of our Subsidiaries to pay indebtedness for money we borrowed or any of our Subsidiaries borrowed in an aggregate principal amount of at least $300 million,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(2) acceleration of the maturity of indebtedness for money we borrowed or any of our Subsidiaries borrowed in an aggregate principal amount of at least $300 million,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the applicable series; provided, however, that, if the default under the instrument is cured by us, or waived by the holders of the indebtedness, in each case, as permitted by the governing instrument, then, unless the maturity of such series of notes has been accelerated in accordance with the indenture, the Event of Default under the indenture governing such notes caused by such default will be deemed likewise to be cured or waived;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series of notes is also subject to defeasance and discharge as described under the caption “Defeasance of Debt Securities and Certain Covenants in Certain Circumstances” and “Satisfaction and Discharge Prior to Maturity”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Delivery and Form</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series of notes will be represented by one or more permanent global certificates (each a “Global Note” and collectively, the “Global Notes”) deposited with, or on behalf of, the trustee as custodian for DTC and registered in the name of Cede &amp; Co. (DTC’s partnership nominee), for credit to an account of a direct or indirect participant in DTC (including Euroclear Bank AS/NV or Clearstream Banking, S.A.). Unless and until certificated notes are issued under the limited circumstances described in the accompanying prospectus, no beneficial owner of a note shall be entitled to receive a definitive certificate representing notes. So long as DTC or any successor depositary (collectively, the “Depositary”) or its nominee is the registered owner of the Global Notes, the Depositary, or such nominee, as the case may be, will be considered to be the sole owner or holder of the notes for all purposes of the indenture. Beneficial interests in the Global Notes will be represented through book-entry accounts of financial institutions acting on behalf of beneficial owners as direct and indirect participants in DTC. Investors may elect to hold interests in the Global Notes through DTC either directly if they are participants in DTC or indirectly through organizations that are participants in DTC (including Euroclear Bank AS/NV or Clearstream Banking, S.A.).</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Clearance and Settlement Procedures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related to the purchase, ownership and disposition of the notes. This summary is based upon provisions of the U.S. Internal Revenue Code of 1986, as amended (the “Code”), applicable regulations, administrative rulings and judicial decisions, all as in effect as of the date of this prospectus supplement, any of which may subsequently be changed, possibly retroactively, or interpreted differently by the U.S. Internal Revenue Service (the “IRS”), so as to result in U.S. federal income tax consequences different from those discussed below. This summary deals only with notes held as capital assets within the meaning of Section 1221 of the Code (generally for investment purposes) by a beneficial owner who purchases notes for cash on original issuance at the initial offering price at which a substantial amount of the notes are sold for cash to persons other than bond houses, brokers, or similar persons or organizations acting in the capacity of underwriters, placement agents or wholesalers, which we refer to as the “issue price.” This summary does not address all aspects of U.S. federal income tax related to the purchase, ownership and disposition of the notes and does not address all tax consequences that may be relevant to holders in light of their personal circumstances or particular situations, such as:</w:t>
      </w:r>
    </w:p>
    <w:p>
      <w:pPr>
        <w:spacing w:after="0" w:line="100" w:lineRule="exact"/>
        <w:rPr>
          <w:sz w:val="20"/>
          <w:szCs w:val="20"/>
          <w:color w:val="auto"/>
        </w:rPr>
      </w:pPr>
    </w:p>
    <w:p>
      <w:pPr>
        <w:ind w:left="1080" w:right="1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holders who may be subject to special tax treatment, including dealers in securities or currencies, banks and other financial institutions, regulated investment companies, real estate investment trusts, tax-exempt entities, insurance companies and traders in securities that elect to use a mark-to-market method of accounting for their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holding notes as a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U.S. holders (as defined below) of notes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required for U.S. federal income tax purposes to conform the timing of income accruals with respect to the notes to their financial statements under Section 451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partnerships or other pass-through entities and their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certain former citizens or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alternative minimum tax consequences,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application of the Medicare tax on net investment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local or foreign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estate or gift tax consequences, if any.</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notes, the tax treatment of a partner will generally depend upon the status of the partner and the activities of the partnership. A beneficial owner that is a partnership and partners in such a partnership should consult their tax advisors.</w:t>
      </w:r>
    </w:p>
    <w:p>
      <w:pPr>
        <w:spacing w:after="0" w:line="28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b w:val="1"/>
          <w:bCs w:val="1"/>
          <w:color w:val="auto"/>
        </w:rPr>
        <w:t>THIS SUMMARY OF MATERIAL UNITED STATES FEDERAL INCOME TAX CONSIDERATIONS IS FOR GENERAL INFORMATION ONLY AND IS NOT TAX ADVICE FOR ANY PARTICULAR INVESTOR. THIS SUMMARY DOES NOT ADDRESS ALL U.S. FEDERAL TAX CONSIDERATIONS OR THE TAX CONSIDERATIONS ARISING UNDER THE LAWS OF ANY FOREIGN, STATE OR LOCAL JURISDICTION. IF YOU ARE CONSIDERING THE PURCHASE OF NOTES, YOU SHOULD CONSULT YOUR TAX ADVISORS CONCERNING THE U.S. FEDERAL INCOME AND OTHER TAX CONSEQUENCES TO YOU IN LIGHT OF YOUR OWN SPECIFIC SITUATION, AS WELL AS CONSEQUENCES ARISING UNDER THE LAWS OF ANY OTHER TAXING JURISDICTION.</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discussion, we use the term “U.S. holder” to refer to a beneficial owner of notes that is,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or arrangement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76"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use the term “non-U.S. holder” to describe a beneficial owner (other than a partnership or other entity or arrangement treated as a partnership for U.S. federal income tax purposes) of notes that is not a U.S. holder. Non-U.S. holders should consult their tax advisors to determine the U.S. federal, state, local and other tax consequences that may be relevant to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Payments</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certain circumstances, we may be obligated to pay certain additional amounts on the notes. For example, if we are required to repurchase notes in connection with a Change of Control Triggering Event as described in “Description of the Notes — Change of Control Offer,” we must pay a 1% premium. The possibility of such payments may implicate special rules under U.S. Treasury Regulations governing “contingent payment debt instruments.” According to those regulations, the possibility that additional payments will be made will not cause the notes to be contingent payment debt instruments if, as of the date the notes are issued, there is only a remote chance that such payments will be made or certain other exceptions apply. We have determined and intend to take the position (and this discussion assumes) that the possibility of such events occurring will not subject the notes to the contingent payment debt instrument rules.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determination that the notes are not contingent payment debt instruments is binding on holders for U.S. federal income tax purposes unless they disclose their contrary positions to the IRS in the manner required by applicable U.S. Treasury Regulations. Our determination that the notes are not contingent payment debt instruments is not, however, binding on the IRS. If the IRS were to successfully challenge our determination and the notes were treated as contingent payment debt instruments, U.S. holders would be required, among other things, to (i) accrue interest income based on a projected payment schedule and comparable yield, which may be a higher rate than the stated interest rate on the notes, regardless of their method of tax accounting and (ii) possibly treat as ordinary income, rather than capital gain, some or all of any gain recognized on a sale, exchange or redemption of a note. In the event that any of the above contingencies were to occur, it would affect the amount and timing of the income recognized by a U.S. holder.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19" w:lineRule="exact"/>
        <w:rPr>
          <w:sz w:val="20"/>
          <w:szCs w:val="20"/>
          <w:color w:val="auto"/>
        </w:rPr>
      </w:pPr>
    </w:p>
    <w:p>
      <w:pPr>
        <w:ind w:left="120" w:right="280"/>
        <w:spacing w:after="0" w:line="267" w:lineRule="auto"/>
        <w:rPr>
          <w:sz w:val="20"/>
          <w:szCs w:val="20"/>
          <w:color w:val="auto"/>
        </w:rPr>
      </w:pPr>
      <w:r>
        <w:rPr>
          <w:rFonts w:ascii="Times New Roman" w:cs="Times New Roman" w:eastAsia="Times New Roman" w:hAnsi="Times New Roman"/>
          <w:sz w:val="18"/>
          <w:szCs w:val="18"/>
          <w:color w:val="auto"/>
        </w:rPr>
        <w:t xml:space="preserve">It is anticipated, and this discussion assumes, that the notes will be issued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OID for U.S. federal income tax purposes, in which case interest on a note generally will be taxable to a U.S. holder as ordinary income at the time it is received or accrued in accordance with the U.S. holder’s usual method of accounting for tax purposes.</w:t>
      </w:r>
    </w:p>
    <w:p>
      <w:pPr>
        <w:spacing w:after="0" w:line="17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If, however, the issue price of the applicable series of notes is less than their stated principal amount and the difference is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set forth in the applicable U.S. Treasury Regulations), a U.S. holder of such series of notes generally will be required to include the difference in income as OID as it accrues on a constant yield-to-maturity basis (as set forth in the applicable U.S. Treasury Regulations) whether or not it receives cash payments and regardless of its method of tax accounting.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or Other Taxable Disposition of Notes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upon the sale, redemption or other taxable disposition of a note equal to the difference between the amount realized and such U.S. holder’s adjusted tax basis in the note. The amount realized will equal the amount of the cash and the fair market value of any property received in exchange for the note (other than amounts attributable to accrued but unpaid interest, which amounts will be treated as ordinary interest income for U.S. federal income tax purposes to the extent not previously included in income). A U.S. holder’s tax basis in a note will generally be equal to the amount that such U.S. holder paid for the note. In general, any gain or loss recognized on a taxable disposition of the note will be capital gain or loss. If, at the time of the sale, redemption or other taxable disposition of the note, a U.S. holder is treated as holding the note for more than one year, such capital gain or loss will be a long-term capital gain or loss. Otherwise, such capital gain or loss will be a short-term capital gain or loss. In the case of certain non-corporate U.S. holders (including individuals), long-term capital gain generally is subject to U.S. federal income tax at a lower rate than short-term capital gain, which is taxed at ordinary income rates. A U.S. holder’s ability to deduct capital losses is subject to significant limitations under the Code.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interest on the notes and to the proceeds of a sale of a note paid to a U.S. holder unless the U.S. holder is an exempt recipient. Backup withholding at the applicable rate will apply to those payments if the U.S. holder fails to provide its correct taxpayer identification number or certification of its exempt status (generally by providing an IRS Form W-9 or an approved substitute), or if the U.S. holder is notified by the IRS that the U.S. holder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general, payments of interest on the notes to a non-U.S. holder will be considered “portfolio interest” and, subject to the discussions below of income effectively connected with a U.S. trade or business, backup withholding, and the Foreign Account Tax Compliance Act, will not be subject to U.S. federal income or withholding tax, provided that:</w:t>
      </w:r>
    </w:p>
    <w:p>
      <w:pPr>
        <w:spacing w:after="0" w:line="81" w:lineRule="exact"/>
        <w:rPr>
          <w:sz w:val="20"/>
          <w:szCs w:val="20"/>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directly or indirectly, actually or constructively, own 10% or more of the total combined voting power of all classes of our stock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for U.S. federal income tax purposes, a controlled foreign corporation that is related (actually or constructively) to us through stock ownership;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whose receipt of interest on a note is described in Section 881(c)(3)(A) of the Code;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76"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 non-U.S. holder provides its name, address and taxpayer identification number, if any, and certifies, under penalties of perjury, that it is not a U.S. person (which certification may be made on an IRS Form W-8BEN, W-8BEN-E or other applicable form) or</w:t>
      </w:r>
    </w:p>
    <w:p>
      <w:pPr>
        <w:ind w:left="108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non-U.S. holder holds the notes through certain foreign intermediaries or certain foreign partnerships, and the non-U.S. holder and the foreign intermediary or foreign partnership satisfy the certification requirements of applicable U.S. Treasury Regulations. Special certification rules apply to non-U.S. holders that are pass-through entities.</w:t>
      </w:r>
    </w:p>
    <w:p>
      <w:pPr>
        <w:spacing w:after="0" w:line="18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generally will be subject to a 30% U.S. federal withholding tax, unless the non-U.S. holder provides us with a properly executed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hanging="4"/>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W-8BEN-E (or other applicable form) claiming an exemption from or reduction in withholding under the benefit of an applicable income tax treaty or (ii) IRS Form W-8ECI (or other applicable form) stating that interest paid on the notes is not subject to withholding tax because it is effectively connected with the non-U.S. holder’s conduct of a trade or business within the United States and includable in the non-U.S. holder’s gross income.</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within the United States and interest on the notes is effectively connected with the conduct of that trade or business and, if required by an applicable income tax treaty, is attributable to a U.S. permanent establishment or fixed base, then, although the non-U.S. holder will be exempt from the 30% withholding tax (provided the certification requirements discussed above are satisfied), the non-U.S. holder generally will be subject to U.S. federal income tax on that interest on a net income basis at regular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or Other Taxable Disposition of Notes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the Foreign Account Tax Compliance Act, gain realized by a non-U.S. holder on the sale, redemption or other taxable disposition of a note will not be subject to U.S. federal income tax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gain is effectively connected with the non-U.S. holder’s conduct of a trade or business within the United States (and, if required by an applicable income tax treaty, is attributable to a U.S. permanent establishment or fixed base);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w:t>
      </w:r>
    </w:p>
    <w:p>
      <w:pPr>
        <w:spacing w:after="0" w:line="162"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If a non-U.S. holder is described in the first bullet point above, it generally will be subject to tax on the net gain derived from the sale, redemption or other taxable disposition of the notes at regular U.S. federal income tax rates and generally in the same manner as if the non-U.S. holder were a U.S. holder. In addition, if a non-U.S. holder is a foreign corporation, it may be subject to branch profits tax equal to 30% (or lesser rate under an applicable income tax treaty) of its effectively connected earnings and profits for the taxable year, subject to certain adjustments. If a non-U.S. holder is an individual described in the second bullet point above, such holder will be subject to a flat 30% tax (unless an applicable income tax treaty provides otherwise) on the gain derived from the sale, redemption or other taxable disposition, which may be offset by certain U.S. source capital losses.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and to non-U.S. holders the amount of interest paid to non-U.S. holders on the notes and the amount of tax, if any, withheld with respect to those payments. Copies of the information returns reporting such interest payments and withholding may also be made available to the tax authorities in the country in which a non-U.S. holder resides under the provisions of an applicable income tax treaty.</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general, a non-U.S. holder will not be subject to backup withholding with respect to payments of interest that we make on the notes, provided the certification described above in the last bullet point under “Consequences to Non-U.S. Holders – Payments of Interest” has been received and we do not have actual knowledge or reason to know that the holder is a U.S. person, as defined under the Code, who is not an exempt recipient. However, a non-U.S. holder will be subject to information reporting and, depending on the circumstances, backup withholding at the applicable rate with respect to payments of the proceeds of the sale of a note within the United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States or conducted through certain U.S.-related financial intermediaries, unless the certification described above has been received, and the payor does not have actual knowledge or reason to know that a holder is a U.S. person, as defined under the Code, who is not an exempt recipient, or the non-U.S. holder otherwise establishes an exemption.</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non-U.S. holder’s U.S. federal income tax liability, provided the required information is timely furnished to the IRS. The backup withholding and information reporting rules are complex, and non-U.S. holders are urged to consult their tax advisors regarding application of these rules to their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payments of interest on the notes if paid to a foreign entity (including, in some cases, when such foreign entity is acting as an intermediary) unless (i) if the foreign entity is a “foreign financial institution,” the foreign entity undertakes certain due diligence, reporting, withholding, and certification obligations, (ii) if the foreign entity is a “non-financial foreign entity,” the foreign entity identifies certain of its U.S. investors or provides certification that it does not have any such investors, or (iii) the foreign entity is otherwise exempt from FATCA.</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While withholding under FATCA may also apply to gross proceeds from the sale or other disposition of the notes (including settlement of the notes at maturity), under proposed U.S. Treasury regulations, withholding on payments of gross proceeds is not required. Although such regulations are not final, applicable withholding agents may rely on the proposed regulations until final regulations are issued.</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An intergovernmental agreement between the United States and an applicable foreign country may modify those requirements. If withholding under FATCA is required on any payment related to the notes, investors not otherwise subject to withholding (or that otherwise would be entitled to a reduced rate of withholding) on such payment may be required to seek a refund or credit from the IRS to obtain the benefit of such exemption (or reduction). Prospective investors are encouraged to consult their own tax advisors regarding the possible implications of FATCA on their investment in the notes.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40"/>
          </w:cols>
          <w:pgMar w:left="320" w:top="455"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BofA Securities, Inc., as representative for the underwriters for this offering of notes, have entered into an underwriting agreement,</w:t>
      </w:r>
    </w:p>
    <w:p>
      <w:pPr>
        <w:spacing w:after="0" w:line="27" w:lineRule="exact"/>
        <w:rPr>
          <w:sz w:val="20"/>
          <w:szCs w:val="20"/>
          <w:color w:val="auto"/>
        </w:rPr>
      </w:pPr>
    </w:p>
    <w:p>
      <w:pPr>
        <w:jc w:val="both"/>
        <w:ind w:left="120" w:right="80"/>
        <w:spacing w:after="0" w:line="253" w:lineRule="auto"/>
        <w:rPr>
          <w:sz w:val="20"/>
          <w:szCs w:val="20"/>
          <w:color w:val="auto"/>
        </w:rPr>
      </w:pPr>
      <w:r>
        <w:rPr>
          <w:rFonts w:ascii="Times New Roman" w:cs="Times New Roman" w:eastAsia="Times New Roman" w:hAnsi="Times New Roman"/>
          <w:sz w:val="18"/>
          <w:szCs w:val="18"/>
          <w:color w:val="auto"/>
        </w:rPr>
        <w:t>dated        , 2025, with respect to the notes. Under the terms and subject to the conditions contained in the underwriting agreement, we have agreed to sell to the underwriters named below, and each underwriter has severally agreed to purchase, at the initial public offering price less the underwriting discounts set forth on the cover page of this prospectus supplement, the aggregate principal amounts of the notes listed next to its name in the following table.</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4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50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5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46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540" w:type="dxa"/>
            <w:vAlign w:val="bottom"/>
          </w:tcPr>
          <w:p>
            <w:pPr>
              <w:spacing w:after="0"/>
              <w:rPr>
                <w:sz w:val="15"/>
                <w:szCs w:val="15"/>
                <w:color w:val="auto"/>
              </w:rPr>
            </w:pPr>
          </w:p>
        </w:tc>
        <w:tc>
          <w:tcPr>
            <w:tcW w:w="2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w w:val="71"/>
              </w:rPr>
              <w:t>20 </w:t>
            </w:r>
          </w:p>
        </w:tc>
        <w:tc>
          <w:tcPr>
            <w:tcW w:w="5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of the notes if they purchase any of the notes. The underwriting agreement also provides that if an underwriter defaults, the purchase commitments of non-defaulting underwriters may be increased or the offering of the notes may be terminated.</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public offering price set forth on the cover of this prospectus supplement. Any notes sold by the underwriters to securities dealers may be sold at a discount from the public offering price of up to       % of the principal amount of the 20    Notes and up to      % of the principal amount of the 20     Notes. Any such securities dealers may resell the notes purchased from the underwriters to certain other brokers or dealers at a discount from the public offering price of up to       % of the principal amount of the 20    Notes and up to       % of the principal amount of the 20     Notes. After the initial public offering of the notes, the underwriters may change the public offering price and concession and discount to brokers or dealers. The offering of the notes by the underwriters is subject to receipt and acceptance and is subject to the underwriters’ right to reject any order in whole or in part.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our out-of-pocket expenses for this offering, excluding the underwriting discounts, will be approximately $         .</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Certain of the underwriters have advised us that they may make a market in the notes after completion of the offering, but they will not be obligated to do so and may in their sole discretion discontinue any market-making activities at any time without notice. We cannot assure you that a liquid trading market will develop for either series of notes, that you will be able to sell your notes at a particular time or that the prices you receive when you sell your notes will be favorable.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liabilities under the Securities Act or contribute to payments which the underwriters may be required to make in that respect.</w:t>
      </w:r>
    </w:p>
    <w:p>
      <w:pPr>
        <w:spacing w:after="0" w:line="162" w:lineRule="exact"/>
        <w:rPr>
          <w:sz w:val="20"/>
          <w:szCs w:val="20"/>
          <w:color w:val="auto"/>
        </w:rPr>
      </w:pPr>
    </w:p>
    <w:p>
      <w:pPr>
        <w:jc w:val="both"/>
        <w:ind w:left="120" w:right="200"/>
        <w:spacing w:after="0" w:line="289" w:lineRule="auto"/>
        <w:rPr>
          <w:sz w:val="20"/>
          <w:szCs w:val="20"/>
          <w:color w:val="auto"/>
        </w:rPr>
      </w:pPr>
      <w:r>
        <w:rPr>
          <w:rFonts w:ascii="Times New Roman" w:cs="Times New Roman" w:eastAsia="Times New Roman" w:hAnsi="Times New Roman"/>
          <w:sz w:val="17"/>
          <w:szCs w:val="17"/>
          <w:color w:val="auto"/>
        </w:rPr>
        <w:t>We expect that delivery of the notes will be made to investors on or about       , 2025, which will be the second business day following the date of this prospectus supplement (this settlement cycle being referred to as “T+2”). Under Rule 15c6-1 of the Exchange Act, trades in the secondary market are generally required to settle in one business day unless the parties to any such trade expressly agree otherwise. Accordingly, purchasers who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wish to trade the notes prior to one business day before delivery of the notes will be required, by virtue of the fact that the notes initially will settle in T+2, to specify alternative settlement arrangements to prevent a failed settlement, and should consult their advisors.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respective affiliates have, from time to time, performed, and may in the future perform, various financial advisory, commercial banking and investment banking services in the ordinary course of business for us and our affiliates, for which they received or will receive customary fees and expense reimbursement. Each of these parties has received or will receive customary fees in connection therewith.</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are likely to hedge or otherwise reduce,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9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notes in excess of the principal amount of the notes the underwriters are obligated to purchase, which creates a syndicate short position.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notes originally sold by the syndicate member are purchased in a stabilizing or syndicate covering transaction to cover syndicate short positions.</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by the underwriters in their sole discretion at any time and without notice.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ERISA Investors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2" w:lineRule="exact"/>
        <w:rPr>
          <w:sz w:val="20"/>
          <w:szCs w:val="20"/>
          <w:color w:val="auto"/>
        </w:rPr>
      </w:pPr>
    </w:p>
    <w:p>
      <w:pPr>
        <w:jc w:val="both"/>
        <w:ind w:left="120" w:right="300" w:hanging="4"/>
        <w:spacing w:after="0" w:line="266" w:lineRule="auto"/>
        <w:tabs>
          <w:tab w:leader="none" w:pos="3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w:t>
      </w:r>
    </w:p>
    <w:p>
      <w:pPr>
        <w:spacing w:after="0" w:line="175" w:lineRule="exact"/>
        <w:rPr>
          <w:rFonts w:ascii="Times New Roman" w:cs="Times New Roman" w:eastAsia="Times New Roman" w:hAnsi="Times New Roman"/>
          <w:sz w:val="18"/>
          <w:szCs w:val="18"/>
          <w:color w:val="auto"/>
        </w:rPr>
      </w:pPr>
    </w:p>
    <w:p>
      <w:pPr>
        <w:ind w:left="120" w:right="900" w:hanging="4"/>
        <w:spacing w:after="0" w:line="282"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 (for purposes of 29 CFR Section 2510.3-21(c)(1)) of Analog Devices, each underwriter and their respective affiliates (the “Transaction Parties”);</w:t>
      </w:r>
    </w:p>
    <w:p>
      <w:pPr>
        <w:spacing w:after="0" w:line="161" w:lineRule="exact"/>
        <w:rPr>
          <w:rFonts w:ascii="Times New Roman" w:cs="Times New Roman" w:eastAsia="Times New Roman" w:hAnsi="Times New Roman"/>
          <w:sz w:val="18"/>
          <w:szCs w:val="18"/>
          <w:color w:val="auto"/>
        </w:rPr>
      </w:pPr>
    </w:p>
    <w:p>
      <w:pPr>
        <w:ind w:left="120" w:right="680" w:hanging="4"/>
        <w:spacing w:after="0" w:line="282" w:lineRule="auto"/>
        <w:tabs>
          <w:tab w:leader="none" w:pos="3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161" w:lineRule="exact"/>
        <w:rPr>
          <w:rFonts w:ascii="Times New Roman" w:cs="Times New Roman" w:eastAsia="Times New Roman" w:hAnsi="Times New Roman"/>
          <w:sz w:val="18"/>
          <w:szCs w:val="18"/>
          <w:color w:val="auto"/>
        </w:rPr>
      </w:pPr>
    </w:p>
    <w:p>
      <w:pPr>
        <w:ind w:left="120" w:right="200" w:hanging="4"/>
        <w:spacing w:after="0" w:line="282"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161" w:lineRule="exact"/>
        <w:rPr>
          <w:rFonts w:ascii="Times New Roman" w:cs="Times New Roman" w:eastAsia="Times New Roman" w:hAnsi="Times New Roman"/>
          <w:sz w:val="18"/>
          <w:szCs w:val="18"/>
          <w:color w:val="auto"/>
        </w:rPr>
      </w:pPr>
    </w:p>
    <w:p>
      <w:pPr>
        <w:ind w:left="120" w:right="260" w:hanging="4"/>
        <w:spacing w:after="0" w:line="282" w:lineRule="auto"/>
        <w:tabs>
          <w:tab w:leader="none" w:pos="3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161" w:lineRule="exact"/>
        <w:rPr>
          <w:rFonts w:ascii="Times New Roman" w:cs="Times New Roman" w:eastAsia="Times New Roman" w:hAnsi="Times New Roman"/>
          <w:sz w:val="18"/>
          <w:szCs w:val="18"/>
          <w:color w:val="auto"/>
        </w:rPr>
      </w:pPr>
    </w:p>
    <w:p>
      <w:pPr>
        <w:ind w:left="120" w:right="140" w:hanging="4"/>
        <w:spacing w:after="0" w:line="256" w:lineRule="auto"/>
        <w:tabs>
          <w:tab w:leader="none" w:pos="3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and acknowledges the existence and nature of the underwriting discount,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in Canada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amendments to the foregoing)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w:t>
      </w:r>
    </w:p>
    <w:p>
      <w:pPr>
        <w:spacing w:after="0" w:line="67"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EEA selling restriction is in addition to any other selling restrictions set out in this prospectus supplement and the accompanying prospectus.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these purposes, a “retail investor” means a person who is one (or more) of:</w:t>
      </w:r>
    </w:p>
    <w:p>
      <w:pPr>
        <w:spacing w:after="0" w:line="67" w:lineRule="exact"/>
        <w:rPr>
          <w:sz w:val="20"/>
          <w:szCs w:val="20"/>
          <w:color w:val="auto"/>
        </w:rPr>
      </w:pPr>
    </w:p>
    <w:p>
      <w:pPr>
        <w:ind w:left="1080" w:right="2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UK law by virtue of the European Union (Withdrawal) Act 2018 (“EUWA”);</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UK law by virtue of the EUWA; or</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it forms part of UK law by virtue of the EUWA (the “UK Prospectus Regulation”).</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 This prospectus supplement and the accompanying prospectus have been prepared on the basis that any offer of the notes in the United Kingdom will be made pursuant to an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exemption under the FSMA and the UK Prospectus Regulation from the requirement to publish a prospectus for offers of the notes. Neither this prospectus supplement nor the accompanying prospectus is a prospectus for purposes of the FSMA and the UK Prospectus Regulation.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United Kingdom, this prospectus supplement and the accompanying prospectus are for distribution only to, and are directed only at, persons who</w:t>
      </w:r>
    </w:p>
    <w:p>
      <w:pPr>
        <w:spacing w:after="0" w:line="27" w:lineRule="exact"/>
        <w:rPr>
          <w:sz w:val="20"/>
          <w:szCs w:val="20"/>
          <w:color w:val="auto"/>
        </w:rPr>
      </w:pPr>
    </w:p>
    <w:p>
      <w:pPr>
        <w:ind w:left="120" w:right="40" w:hanging="4"/>
        <w:spacing w:after="0" w:line="25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professional experience in matters relating to investments falling within the meaning of Article 19(5) of the Financial Services and Markets Act 2000 (Financial Promotion) Order 2005 (as amended, the “Financial Promotion Order”), or (ii) are high net worth companies (or other persons to whom it may lawfully be communicated), falling within Article 49(2)(a) to (d) of the Financial Promotion Order, (all such persons together being referred to as “relevant persons”). This prospectus supplement and the accompanying prospectus are directed only at relevant persons and must not be acted on or relied on by persons who are not relevant persons. In the United Kingdom, the notes, or any investment or investment activity to which this prospectus supplement relates, are only available to, and any invitation, offer or agreement to subscribe, purchase or otherwise acquire the notes will be engaged in only with, relevant persons. Any person in the United Kingdom that is not a relevant person should not act or rely on this prospectus supplement or the accompanying prospectus or any of their contents.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UK selling restriction is in addition to any other selling restrictions set out in this prospectus supplement and the accompanying prospectus.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0" w:hanging="4"/>
        <w:spacing w:after="0" w:line="270" w:lineRule="auto"/>
        <w:tabs>
          <w:tab w:leader="none" w:pos="3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w:t>
      </w:r>
    </w:p>
    <w:p>
      <w:pPr>
        <w:spacing w:after="0" w:line="2" w:lineRule="exact"/>
        <w:rPr>
          <w:rFonts w:ascii="Times New Roman" w:cs="Times New Roman" w:eastAsia="Times New Roman" w:hAnsi="Times New Roman"/>
          <w:sz w:val="17"/>
          <w:szCs w:val="17"/>
          <w:color w:val="auto"/>
        </w:rPr>
      </w:pPr>
    </w:p>
    <w:p>
      <w:pPr>
        <w:ind w:left="120" w:right="20" w:hanging="4"/>
        <w:spacing w:after="0" w:line="253" w:lineRule="auto"/>
        <w:tabs>
          <w:tab w:leader="none" w:pos="3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Hong Kong or elsewhere, any advertisement, invitation or document relating to the notes, has been issued or is in the possession of any person for the purposes of issue, and will not be issues or come into the possession of any person for the purposes of issue,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reviewed or approved by any regulatory authorities in Hong Kong, including the SFO and the Companies Registry of Hong Kong and neither has it been registered with the Registrar of Companies in Hong Kong. Accordingly, this prospectus supplement may not be issued, circulated or distributed (in whole or in part) in Hong Kong or be used for any purpose in Hong Kong, and the notes may not be offered for subscription to members of the public in Hong Kong. Each person acquiring the notes will be required, and is deemed by the acquisition of the notes, to confirm that such person is aware of the restriction on offers of the notes described in this prospectus supplement and the relevant offering documents and that such person is not acquiring, and has not been offered any notes in circumstances that contravene any such restrictions. You are advised to exercise caution in relation to the offer. If you are in any doubt about any of the contents of this prospectus supplement, you should obtain independent professional advice.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“FIEA”) and, accordingly, will not be offered or sold, directly or indirectly, in Japan or to, or for the benefit of, any Japanese Person or to others for re-offering or resale, directly or indirectly, in Japan or to, or for the benefit of, any Japanese Person, except pursuant to an exemption from the registration requirements of, and otherwise in compliance with, the FIEA and any other applicable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regulations and governmental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 (1)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0"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i w:val="1"/>
          <w:iCs w:val="1"/>
          <w:color w:val="auto"/>
        </w:rPr>
        <w:t>Singapore SFA Product Classification</w:t>
      </w:r>
      <w:r>
        <w:rPr>
          <w:rFonts w:ascii="Times New Roman" w:cs="Times New Roman" w:eastAsia="Times New Roman" w:hAnsi="Times New Roman"/>
          <w:sz w:val="17"/>
          <w:szCs w:val="17"/>
          <w:color w:val="auto"/>
        </w:rPr>
        <w:t>: solely for the purposes of its obligations pursuant to sections 309B(1)(a) and 309B(1)(c) of the SFA,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and hereby notified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in Switzerland. The notes may not be publicly offered, directly or indirectly, in Switzerland within the meaning of the Swiss Financial Services Act (“FinSA”), and no application has or will be made to admit the notes to trading on any trading venue (exchange or multilateral trading facility)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Korea</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notes will be passed upon for us by DLA Piper LLP (US). The underwriters have been represented by Cravath, Swaine &amp; Moore LLP.</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November 2, 2024 and the effectiveness of Analog Devices, Inc.’s internal control over financial reporting as of November 2,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http://www.analog.com</w:t>
      </w:r>
      <w:r>
        <w:rPr>
          <w:rFonts w:ascii="Times New Roman" w:cs="Times New Roman" w:eastAsia="Times New Roman" w:hAnsi="Times New Roman"/>
          <w:sz w:val="18"/>
          <w:szCs w:val="18"/>
          <w:color w:val="auto"/>
        </w:rPr>
        <w:t>. The information contained on, or that can be accessed through, our website is not a part of this prospectus supplement.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our website address in this prospectus supplement solely as an inactive textual reference.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and the accompanying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the SEC filings that we incorporate by reference to determine if any of the statements in this prospectus or in any document previously incorporated by reference have been modified or superseded. This prospectus supplement incorporates by reference the documents listed below (File No. 001-07819) and any future filings that we make with the SEC under Sections 13(a), 13(c), 14 or 15(d) of the Exchange Act, until the offering of the notes is terminated or completed:</w:t>
      </w:r>
    </w:p>
    <w:p>
      <w:pPr>
        <w:spacing w:after="0" w:line="97" w:lineRule="exact"/>
        <w:rPr>
          <w:sz w:val="20"/>
          <w:szCs w:val="20"/>
          <w:color w:val="auto"/>
        </w:rPr>
      </w:pPr>
    </w:p>
    <w:p>
      <w:pPr>
        <w:jc w:val="both"/>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November 2, 2024, as filed with the SEC on November 26, 2024, including the </w:t>
      </w:r>
      <w:hyperlink r:id="rId50">
        <w:r>
          <w:rPr>
            <w:rFonts w:ascii="Times New Roman" w:cs="Times New Roman" w:eastAsia="Times New Roman" w:hAnsi="Times New Roman"/>
            <w:sz w:val="18"/>
            <w:szCs w:val="18"/>
            <w:color w:val="auto"/>
          </w:rPr>
          <w:t xml:space="preserve">information specifically incorporated by reference into the Annual Report on Form 10-K from our Definitive Proxy Statement on </w:t>
        </w:r>
        <w:r>
          <w:rPr>
            <w:rFonts w:ascii="Times New Roman" w:cs="Times New Roman" w:eastAsia="Times New Roman" w:hAnsi="Times New Roman"/>
            <w:sz w:val="18"/>
            <w:szCs w:val="18"/>
            <w:u w:val="single" w:color="auto"/>
            <w:color w:val="0000EE"/>
          </w:rPr>
          <w:t>Schedule</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our 2025 Annual Meeting of Stockholders, as filed with the SEC on January 27, 2025;</w:t>
        </w:r>
      </w:hyperlink>
    </w:p>
    <w:p>
      <w:pPr>
        <w:spacing w:after="0" w:line="81" w:lineRule="exact"/>
        <w:rPr>
          <w:rFonts w:ascii="Times New Roman" w:cs="Times New Roman" w:eastAsia="Times New Roman" w:hAnsi="Times New Roman"/>
          <w:sz w:val="18"/>
          <w:szCs w:val="18"/>
          <w:color w:val="0000EE"/>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 ended </w:t>
      </w:r>
      <w:hyperlink r:id="rId51">
        <w:r>
          <w:rPr>
            <w:rFonts w:ascii="Times New Roman" w:cs="Times New Roman" w:eastAsia="Times New Roman" w:hAnsi="Times New Roman"/>
            <w:sz w:val="18"/>
            <w:szCs w:val="18"/>
            <w:u w:val="single" w:color="auto"/>
            <w:color w:val="0000EE"/>
          </w:rPr>
          <w:t>February 1, 2025</w:t>
        </w:r>
      </w:hyperlink>
      <w:r>
        <w:rPr>
          <w:rFonts w:ascii="Times New Roman" w:cs="Times New Roman" w:eastAsia="Times New Roman" w:hAnsi="Times New Roman"/>
          <w:sz w:val="18"/>
          <w:szCs w:val="18"/>
          <w:color w:val="auto"/>
        </w:rPr>
        <w:t xml:space="preserve">, as filed with the SEC on February 19, 2025, and for the fiscal quarter ended </w:t>
      </w:r>
      <w:hyperlink r:id="rId52">
        <w:r>
          <w:rPr>
            <w:rFonts w:ascii="Times New Roman" w:cs="Times New Roman" w:eastAsia="Times New Roman" w:hAnsi="Times New Roman"/>
            <w:sz w:val="18"/>
            <w:szCs w:val="18"/>
            <w:u w:val="single" w:color="auto"/>
            <w:color w:val="0000EE"/>
          </w:rPr>
          <w:t>May 3, 2025</w:t>
        </w:r>
      </w:hyperlink>
      <w:r>
        <w:rPr>
          <w:rFonts w:ascii="Times New Roman" w:cs="Times New Roman" w:eastAsia="Times New Roman" w:hAnsi="Times New Roman"/>
          <w:sz w:val="18"/>
          <w:szCs w:val="18"/>
          <w:color w:val="auto"/>
        </w:rPr>
        <w:t>, as filed with the SEC on May 22, 2025;</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53">
        <w:r>
          <w:rPr>
            <w:rFonts w:ascii="Times New Roman" w:cs="Times New Roman" w:eastAsia="Times New Roman" w:hAnsi="Times New Roman"/>
            <w:sz w:val="18"/>
            <w:szCs w:val="18"/>
            <w:u w:val="single" w:color="auto"/>
            <w:color w:val="0000EE"/>
          </w:rPr>
          <w:t>November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w:t>
      </w:r>
      <w:hyperlink r:id="rId54">
        <w:r>
          <w:rPr>
            <w:rFonts w:ascii="Times New Roman" w:cs="Times New Roman" w:eastAsia="Times New Roman" w:hAnsi="Times New Roman"/>
            <w:sz w:val="18"/>
            <w:szCs w:val="18"/>
            <w:u w:val="single" w:color="auto"/>
            <w:color w:val="0000EE"/>
          </w:rPr>
          <w:t>January 13, 2025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February 19, 2025</w:t>
        </w:r>
      </w:hyperlink>
      <w:r>
        <w:rPr>
          <w:rFonts w:ascii="Times New Roman" w:cs="Times New Roman" w:eastAsia="Times New Roman" w:hAnsi="Times New Roman"/>
          <w:sz w:val="18"/>
          <w:szCs w:val="18"/>
          <w:color w:val="auto"/>
        </w:rPr>
        <w:t xml:space="preserve"> (Item 8.01 and Exhibit 99.2 of Item 9.01 only), </w:t>
      </w:r>
      <w:hyperlink r:id="rId56">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April 11, 2025</w:t>
        </w:r>
      </w:hyperlink>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EE"/>
          </w:rPr>
          <w:t>May 27,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173990</wp:posOffset>
            </wp:positionV>
            <wp:extent cx="2451735"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45173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3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0"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781-935-5565.</w:t>
      </w:r>
    </w:p>
    <w:p>
      <w:pPr>
        <w:spacing w:after="0" w:line="212" w:lineRule="exact"/>
        <w:rPr>
          <w:sz w:val="20"/>
          <w:szCs w:val="20"/>
          <w:color w:val="auto"/>
        </w:rPr>
      </w:pPr>
    </w:p>
    <w:p>
      <w:pPr>
        <w:ind w:left="120" w:right="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debt securities involves certain risks. See the information included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debt securities.</w:t>
      </w:r>
    </w:p>
    <w:p>
      <w:pPr>
        <w:spacing w:after="0" w:line="18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21, 2024.</w:t>
      </w:r>
    </w:p>
    <w:p>
      <w:pPr>
        <w:sectPr>
          <w:pgSz w:w="11900" w:h="16838" w:orient="portrait"/>
          <w:cols w:equalWidth="0" w:num="1">
            <w:col w:w="11100"/>
          </w:cols>
          <w:pgMar w:left="320" w:top="455" w:right="4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1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60" w:type="dxa"/>
            <w:vAlign w:val="bottom"/>
            <w:gridSpan w:val="3"/>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2900" w:type="dxa"/>
            <w:vAlign w:val="bottom"/>
            <w:gridSpan w:val="10"/>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600" w:type="dxa"/>
            <w:vAlign w:val="bottom"/>
            <w:gridSpan w:val="8"/>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160" w:type="dxa"/>
            <w:vAlign w:val="bottom"/>
            <w:gridSpan w:val="2"/>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2140" w:type="dxa"/>
            <w:vAlign w:val="bottom"/>
            <w:gridSpan w:val="6"/>
          </w:tcPr>
          <w:p>
            <w:pPr>
              <w:spacing w:after="0"/>
              <w:rPr>
                <w:sz w:val="17"/>
                <w:szCs w:val="17"/>
                <w:color w:val="auto"/>
              </w:rPr>
            </w:pP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4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76"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this prospectus or such accompanying prospectus supplement or an offer to sell or the solicitation of an offer to buy such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terms “the Company,” “Analog Devices,” “we,” “our,” “ours” and “us” refer to Analog Devices, Inc. and its subsidiaries on a consolidated basis, unless the context otherwise requires.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https://www.analog.com</w:t>
      </w:r>
      <w:r>
        <w:rPr>
          <w:rFonts w:ascii="Times New Roman" w:cs="Times New Roman" w:eastAsia="Times New Roman" w:hAnsi="Times New Roman"/>
          <w:sz w:val="18"/>
          <w:szCs w:val="18"/>
          <w:color w:val="auto"/>
        </w:rPr>
        <w:t>. The information contained on, or that can be accessed through, our website is not a part of this prospectus and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We have included our website address in this prospectus solely as an inactive textual reference.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October 28, 2023, as filed with the SEC on November 21, 2023, including the information specifically incorporated by reference into the Annual Report on Form 10-K from our </w:t>
      </w:r>
      <w:hyperlink r:id="rId6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2024 Annual Meeting of Stockholders, as filed with the SEC on January 19, 2024;</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February 3, 2024, as filed with the SEC on February 21,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May 4, 2024, as filed with the SEC on May 22,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August 3, 2024, as filed with the SEC on August 21, 2024;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as filed with the SEC on </w:t>
      </w:r>
      <w:hyperlink r:id="rId70">
        <w:r>
          <w:rPr>
            <w:rFonts w:ascii="Times New Roman" w:cs="Times New Roman" w:eastAsia="Times New Roman" w:hAnsi="Times New Roman"/>
            <w:sz w:val="18"/>
            <w:szCs w:val="18"/>
            <w:u w:val="single" w:color="auto"/>
            <w:color w:val="0000EE"/>
          </w:rPr>
          <w:t>December 7, 2023</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January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w:t>
      </w:r>
      <w:hyperlink r:id="rId73">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and April 3, 2024</w:t>
        </w:r>
      </w:hyperlink>
      <w:r>
        <w:rPr>
          <w:rFonts w:ascii="Times New Roman" w:cs="Times New Roman" w:eastAsia="Times New Roman" w:hAnsi="Times New Roman"/>
          <w:sz w:val="18"/>
          <w:szCs w:val="18"/>
          <w:color w:val="000000"/>
        </w:rPr>
        <w:t>.</w:t>
      </w:r>
    </w:p>
    <w:p>
      <w:pPr>
        <w:spacing w:after="0" w:line="162" w:lineRule="exact"/>
        <w:rPr>
          <w:rFonts w:ascii="Times New Roman" w:cs="Times New Roman" w:eastAsia="Times New Roman" w:hAnsi="Times New Roman"/>
          <w:sz w:val="18"/>
          <w:szCs w:val="18"/>
          <w:color w:val="0000EE"/>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or the Securities Act, and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(each as described in our Annual Report on Form 10-K for the fiscal year ended October 28, 2023 and our Quarterly Report on Form 10-Q for the quarter ended February 3, 2024); and other characterizations of future events or circumstances are forward-looking statements. Our actual results could differ materially from those anticipated in these forward-looking statements as a result of various factors.</w:t>
      </w:r>
    </w:p>
    <w:p>
      <w:pPr>
        <w:spacing w:after="0" w:line="19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and unanticipated difficulties or expenditures relating to integrating Maxim Integrated Products, Inc.</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 on Form 10-Q for the quarter ended August 3, 2024 and our Current Reports on Form 8-K.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debt securities involves risk. You should carefully consider the risks and uncertainties described in the accompanying prospectus supplement, as well as all of the risk factors contained in our filings with the SEC that are incorporated by reference in this prospectus, including the risk factors in our Annual Report on Form 10-K for the fiscal year ended October 28, 2023, before making an investment decision pursuant to this prospectus and any accompanying prospectus supplement relating to a specific offering.</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 We serve approximately 125,000 customers worldwide with more than 75,000 products in the industrial, automotive, communications, and consumer markets.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Our headquarters is near Boston, in Wilmington, Massachusetts. In addition, we have manufacturing facilities primarily in the United States, Ireland and Southeast Asia. Our common stock is listed on The Nasdaq Global Select Market under the symbol ADI and is included in the Standard &amp; Poor’s 500 Index.</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principal executive offices are located at One Analog Way, Wilmington, Massachusetts 01887, and our telephone number is (781) 935-5565.</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and/or refinancing of debt, working capital, capital expenditures, repurchases of our common stock under our stock repurchase program and dividend payments.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refer to “the Company,” “we,” “our” and “us” in this section, we mean Analog Devices, Inc. excluding, unless the context otherwise requires or as otherwise expressly stated, its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pay the principal on the debt securities;</w:t>
      </w:r>
    </w:p>
    <w:p>
      <w:pPr>
        <w:spacing w:after="0" w:line="225" w:lineRule="exact"/>
        <w:rPr>
          <w:rFonts w:ascii="Times New Roman" w:cs="Times New Roman" w:eastAsia="Times New Roman" w:hAnsi="Times New Roman"/>
          <w:sz w:val="18"/>
          <w:szCs w:val="18"/>
          <w:color w:val="auto"/>
        </w:rPr>
      </w:pPr>
    </w:p>
    <w:p>
      <w:pPr>
        <w:jc w:val="both"/>
        <w:ind w:left="120" w:right="160" w:firstLine="436"/>
        <w:spacing w:after="0" w:line="261"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premium and any interest on the debt securities will be payable;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82"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120" w:right="520" w:firstLine="436"/>
        <w:spacing w:after="0" w:line="282"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any interest on the debt securities will be made;</w:t>
      </w:r>
    </w:p>
    <w:p>
      <w:pPr>
        <w:spacing w:after="0" w:line="161" w:lineRule="exact"/>
        <w:rPr>
          <w:rFonts w:ascii="Times New Roman" w:cs="Times New Roman" w:eastAsia="Times New Roman" w:hAnsi="Times New Roman"/>
          <w:sz w:val="18"/>
          <w:szCs w:val="18"/>
          <w:color w:val="auto"/>
        </w:rPr>
      </w:pPr>
    </w:p>
    <w:p>
      <w:pPr>
        <w:ind w:left="120" w:right="20" w:firstLine="436"/>
        <w:spacing w:after="0" w:line="312" w:lineRule="auto"/>
        <w:tabs>
          <w:tab w:leader="none" w:pos="90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any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39" w:lineRule="exact"/>
        <w:rPr>
          <w:rFonts w:ascii="Times New Roman" w:cs="Times New Roman" w:eastAsia="Times New Roman" w:hAnsi="Times New Roman"/>
          <w:sz w:val="17"/>
          <w:szCs w:val="17"/>
          <w:color w:val="auto"/>
        </w:rPr>
      </w:pPr>
    </w:p>
    <w:p>
      <w:pPr>
        <w:ind w:left="120" w:right="200" w:firstLine="436"/>
        <w:spacing w:after="0" w:line="266"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any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on a securities exchange;</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if any is established for such debt securities;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and</w:t>
      </w:r>
    </w:p>
    <w:p>
      <w:pPr>
        <w:spacing w:after="0" w:line="225"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if other than those appointed in the indenture.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“Forms of Securities” in this prospectus for a description of transfer and exchange.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120" w:right="60" w:firstLine="436"/>
        <w:spacing w:after="0" w:line="266"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75" w:lineRule="exact"/>
        <w:rPr>
          <w:rFonts w:ascii="Times New Roman" w:cs="Times New Roman" w:eastAsia="Times New Roman" w:hAnsi="Times New Roman"/>
          <w:sz w:val="18"/>
          <w:szCs w:val="18"/>
          <w:color w:val="auto"/>
        </w:rPr>
      </w:pPr>
    </w:p>
    <w:p>
      <w:pPr>
        <w:ind w:left="120" w:right="56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9"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any series of debt securities, any of the following unless otherwise provided in the resolutions, officers’ certificate or supplemental indenture establishing such series:</w:t>
      </w:r>
    </w:p>
    <w:p>
      <w:pPr>
        <w:spacing w:after="0" w:line="160" w:lineRule="exact"/>
        <w:rPr>
          <w:sz w:val="20"/>
          <w:szCs w:val="20"/>
          <w:color w:val="auto"/>
        </w:rPr>
      </w:pPr>
    </w:p>
    <w:p>
      <w:pPr>
        <w:ind w:left="120" w:right="200" w:firstLine="436"/>
        <w:spacing w:after="0" w:line="282"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that default for a period of 30 days;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that series when due and payable;</w:t>
      </w:r>
    </w:p>
    <w:p>
      <w:pPr>
        <w:spacing w:after="0" w:line="225"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and</w:t>
      </w:r>
    </w:p>
    <w:p>
      <w:pPr>
        <w:spacing w:after="0" w:line="225"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accompanying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unless the trustee receives security or indemnity satisfactory to it against any cost,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820" w:hanging="264"/>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series) with respect to debt securities of that series if it in good faith determines that withholding notice is in the interest of the holders of those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of one or more series without the consent of the holders of the outstanding debt securities under the indenture:</w:t>
      </w:r>
    </w:p>
    <w:p>
      <w:pPr>
        <w:spacing w:after="0" w:line="162" w:lineRule="exact"/>
        <w:rPr>
          <w:sz w:val="20"/>
          <w:szCs w:val="20"/>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contemplated by Article V of the indenture;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 under the indenture;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under the indenture as permitted thereunder;</w:t>
      </w:r>
    </w:p>
    <w:p>
      <w:pPr>
        <w:spacing w:after="0" w:line="225" w:lineRule="exact"/>
        <w:rPr>
          <w:rFonts w:ascii="Times New Roman" w:cs="Times New Roman" w:eastAsia="Times New Roman" w:hAnsi="Times New Roman"/>
          <w:sz w:val="18"/>
          <w:szCs w:val="18"/>
          <w:color w:val="auto"/>
        </w:rPr>
      </w:pPr>
    </w:p>
    <w:p>
      <w:pPr>
        <w:ind w:left="120" w:right="200" w:firstLine="436"/>
        <w:spacing w:after="0" w:line="266"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 addition, we and the trustee may enter into a supplemental indenture as to all other matters with the written consent of the holders of at least a majority in principal amount of the outstanding debt securities of each series affected by such supplemental indenture, provided however that we may not make any modification or amendment without the consent of the holders of each affected debt security then outstanding if that amendment will:</w:t>
      </w:r>
    </w:p>
    <w:p>
      <w:pPr>
        <w:spacing w:after="0" w:line="158" w:lineRule="exact"/>
        <w:rPr>
          <w:sz w:val="20"/>
          <w:szCs w:val="20"/>
          <w:color w:val="auto"/>
        </w:rPr>
      </w:pPr>
    </w:p>
    <w:p>
      <w:pPr>
        <w:ind w:left="820" w:hanging="26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any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 or</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66"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120" w:firstLine="43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ind w:left="120" w:right="40" w:firstLine="436"/>
        <w:spacing w:after="0" w:line="266"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6" w:lineRule="exact"/>
        <w:rPr>
          <w:sz w:val="20"/>
          <w:szCs w:val="20"/>
          <w:color w:val="auto"/>
        </w:rPr>
      </w:pPr>
    </w:p>
    <w:p>
      <w:pPr>
        <w:ind w:left="120" w:right="100" w:firstLine="436"/>
        <w:spacing w:after="0" w:line="261"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7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Covenant Defeasance and Events of Default</w:t>
      </w:r>
      <w:r>
        <w:rPr>
          <w:rFonts w:ascii="Times New Roman" w:cs="Times New Roman" w:eastAsia="Times New Roman" w:hAnsi="Times New Roman"/>
          <w:sz w:val="18"/>
          <w:szCs w:val="18"/>
          <w:color w:val="auto"/>
        </w:rPr>
        <w:t>. In the event we exercise our option to effect covenant defeasance with respect to any series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debt securities of any series that are denominated in a currency other than U.S. Dollars:</w:t>
      </w:r>
    </w:p>
    <w:p>
      <w:pPr>
        <w:spacing w:after="0" w:line="227" w:lineRule="exact"/>
        <w:rPr>
          <w:sz w:val="20"/>
          <w:szCs w:val="20"/>
          <w:color w:val="auto"/>
        </w:rPr>
      </w:pPr>
    </w:p>
    <w:p>
      <w:pPr>
        <w:ind w:left="120" w:right="32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61"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7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Prior to Maturity</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has the right at any time to satisfy and discharge its obligations, other than certain specified obligations, under all debt securities issued pursuant to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Each debt security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or other relevant agent of ours or theirs. It is expected that the depositary’s instructions will be based on directions received by the depositary from participants with respect to ownership of beneficial interests in the global security that had been held by the depositary.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debt securities:</w:t>
      </w:r>
    </w:p>
    <w:p>
      <w:pPr>
        <w:spacing w:after="0" w:line="225" w:lineRule="exact"/>
        <w:rPr>
          <w:sz w:val="20"/>
          <w:szCs w:val="20"/>
          <w:color w:val="auto"/>
        </w:rPr>
      </w:pPr>
    </w:p>
    <w:p>
      <w:pPr>
        <w:ind w:left="820" w:hanging="26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This prospectus may be used in connection with any offering of our debt securities through any of these methods or other methods described in the applicable prospectus supplement.</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820" w:hanging="2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debt securities of a particular series will describe the terms of the offering of the debt securities, including the following:</w:t>
      </w:r>
    </w:p>
    <w:p>
      <w:pPr>
        <w:spacing w:after="0" w:line="162" w:lineRule="exact"/>
        <w:rPr>
          <w:sz w:val="20"/>
          <w:szCs w:val="20"/>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debt securities;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debt securities will be listed.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3" w:lineRule="exact"/>
        <w:rPr>
          <w:sz w:val="20"/>
          <w:szCs w:val="20"/>
          <w:color w:val="auto"/>
        </w:rPr>
      </w:pPr>
    </w:p>
    <w:p>
      <w:pPr>
        <w:ind w:left="120" w:firstLine="436"/>
        <w:spacing w:after="0" w:line="282"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8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October 28, 2023, and the effectiveness of Analog Devices, Inc.’s internal control over financial reporting as of October 28,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1586865</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344170</wp:posOffset>
            </wp:positionV>
            <wp:extent cx="2486025" cy="702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48602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62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w w:val="71"/>
              </w:rPr>
              <w:t xml:space="preserve">  </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71"/>
              </w:rPr>
              <w:t> </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70"/>
              </w:rPr>
              <w:t xml:space="preserve">  </w:t>
            </w: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r>
      <w:tr>
        <w:trPr>
          <w:trHeight w:val="343"/>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14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Barclays</w:t>
            </w:r>
          </w:p>
        </w:tc>
        <w:tc>
          <w:tcPr>
            <w:tcW w:w="198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BNP PARIBAS</w:t>
            </w:r>
          </w:p>
        </w:tc>
        <w:tc>
          <w:tcPr>
            <w:tcW w:w="15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Citigroup</w:t>
            </w:r>
          </w:p>
        </w:tc>
        <w:tc>
          <w:tcPr>
            <w:tcW w:w="17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J.P. Morgan</w:t>
            </w:r>
          </w:p>
        </w:tc>
        <w:tc>
          <w:tcPr>
            <w:tcW w:w="212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Morgan Stanley</w:t>
            </w:r>
          </w:p>
        </w:tc>
      </w:tr>
      <w:tr>
        <w:trPr>
          <w:trHeight w:val="262"/>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(Global Coordinator)</w:t>
            </w:r>
          </w:p>
        </w:tc>
        <w:tc>
          <w:tcPr>
            <w:tcW w:w="14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777"/>
        </w:trPr>
        <w:tc>
          <w:tcPr>
            <w:tcW w:w="2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95"/>
        </w:trPr>
        <w:tc>
          <w:tcPr>
            <w:tcW w:w="2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2"/>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lowerRoman"/>
      <w:start w:val="10"/>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7"/>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Roman"/>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Roman"/>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Roman"/>
      <w:start w:val="1"/>
    </w:lvl>
  </w:abstractNum>
  <w:abstractNum w:abstractNumId="30">
    <w:nsid w:val="153EA438"/>
    <w:multiLevelType w:val="hybridMultilevel"/>
    <w:lvl w:ilvl="0">
      <w:lvlJc w:val="left"/>
      <w:lvlText w:val="(%1)"/>
      <w:numFmt w:val="lowerRoman"/>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9"/>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7"/>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jpeg"/><Relationship Id="rId49" Type="http://schemas.openxmlformats.org/officeDocument/2006/relationships/hyperlink" Target="http://www.sec.gov/ix?doc=/Archives/edgar/data/0000006281/000000628124000204/adi-20241102.htm" TargetMode="External"/><Relationship Id="rId50" Type="http://schemas.openxmlformats.org/officeDocument/2006/relationships/hyperlink" Target="http://www.sec.gov/ix?doc=/Archives/edgar/data/0000006281/000000628125000016/adi-20250123.htm" TargetMode="External"/><Relationship Id="rId51" Type="http://schemas.openxmlformats.org/officeDocument/2006/relationships/hyperlink" Target="http://www.sec.gov/ix?doc=/Archives/edgar/data/0000006281/000000628125000023/adi-20250201.htm" TargetMode="External"/><Relationship Id="rId52" Type="http://schemas.openxmlformats.org/officeDocument/2006/relationships/hyperlink" Target="http://www.sec.gov/ix?doc=/Archives/edgar/data/0000006281/000000628125000125/adi-20250503.htm" TargetMode="External"/><Relationship Id="rId53" Type="http://schemas.openxmlformats.org/officeDocument/2006/relationships/hyperlink" Target="http://www.sec.gov/ix?doc=/Archives/edgar/data/0000006281/000119312524262529/d803633d8k.htm" TargetMode="External"/><Relationship Id="rId54" Type="http://schemas.openxmlformats.org/officeDocument/2006/relationships/hyperlink" Target="http://www.sec.gov/ix?doc=/Archives/edgar/data/0000006281/000119312525005302/d909821d8k.htm" TargetMode="External"/><Relationship Id="rId55" Type="http://schemas.openxmlformats.org/officeDocument/2006/relationships/hyperlink" Target="http://www.sec.gov/ix?doc=/Archives/edgar/data/0000006281/000000628125000022/adi-20250218.htm" TargetMode="External"/><Relationship Id="rId56" Type="http://schemas.openxmlformats.org/officeDocument/2006/relationships/hyperlink" Target="http://www.sec.gov/ix?doc=/Archives/edgar/data/0000006281/000000628125000050/adi-20250312.htm" TargetMode="External"/><Relationship Id="rId57" Type="http://schemas.openxmlformats.org/officeDocument/2006/relationships/hyperlink" Target="http://www.sec.gov/ix?doc=/Archives/edgar/data/0000006281/000119312525079081/d920343d8k.htm" TargetMode="External"/><Relationship Id="rId58" Type="http://schemas.openxmlformats.org/officeDocument/2006/relationships/hyperlink" Target="http://www.sec.gov/ix?doc=/Archives/edgar/data/0000006281/000119312525127564/d33944d8k.htm" TargetMode="External"/><Relationship Id="rId65" Type="http://schemas.openxmlformats.org/officeDocument/2006/relationships/hyperlink" Target="http://www.sec.gov/ix?doc=/Archives/edgar/data/0000006281/000000628123000203/adi-20231028.htm" TargetMode="External"/><Relationship Id="rId66" Type="http://schemas.openxmlformats.org/officeDocument/2006/relationships/hyperlink" Target="http://www.sec.gov/ix?doc=/Archives/edgar/data/0000006281/000000628124000014/adi-20240118.htm" TargetMode="External"/><Relationship Id="rId67" Type="http://schemas.openxmlformats.org/officeDocument/2006/relationships/hyperlink" Target="http://www.sec.gov/ix?doc=/Archives/edgar/data/0000006281/000000628124000034/adi-20240203.htm" TargetMode="External"/><Relationship Id="rId68" Type="http://schemas.openxmlformats.org/officeDocument/2006/relationships/hyperlink" Target="http://www.sec.gov/ix?doc=/Archives/edgar/data/6281/000000628124000132/adi-20240504.htm" TargetMode="External"/><Relationship Id="rId69" Type="http://schemas.openxmlformats.org/officeDocument/2006/relationships/hyperlink" Target="http://www.sec.gov/ix?doc=/Archives/edgar/data/6281/000000628124000159/adi-20240803.htm" TargetMode="External"/><Relationship Id="rId70" Type="http://schemas.openxmlformats.org/officeDocument/2006/relationships/hyperlink" Target="http://www.sec.gov/ix?doc=/Archives/edgar/data/0000006281/000000628123000209/adi-20231205.htm" TargetMode="External"/><Relationship Id="rId71" Type="http://schemas.openxmlformats.org/officeDocument/2006/relationships/hyperlink" Target="http://www.sec.gov/ix?doc=/Archives/edgar/data/0000006281/000000628124000012/adi-20240116.htm" TargetMode="External"/><Relationship Id="rId72" Type="http://schemas.openxmlformats.org/officeDocument/2006/relationships/hyperlink" Target="http://www.sec.gov/ix?doc=/Archives/edgar/data/0000006281/000000628124000019/adi-20240124.htm" TargetMode="External"/><Relationship Id="rId73" Type="http://schemas.openxmlformats.org/officeDocument/2006/relationships/hyperlink" Target="http://www.sec.gov/ix?doc=/Archives/edgar/data/0000006281/000000628124000032/adi-20240220.htm" TargetMode="External"/><Relationship Id="rId74" Type="http://schemas.openxmlformats.org/officeDocument/2006/relationships/hyperlink" Target="http://www.sec.gov/ix?doc=/Archives/edgar/data/0000006281/000000628124000071/adi-20240313.htm" TargetMode="External"/><Relationship Id="rId75" Type="http://schemas.openxmlformats.org/officeDocument/2006/relationships/hyperlink" Target="http://www.sec.gov/ix?doc=/Archives/edgar/data/0000006281/000119312524085997/d78655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2025-06-12T08:17:23Z</dcterms:created>
  <dcterms:modified xsi:type="dcterms:W3CDTF">2025-06-12T08:17:23Z</dcterms:modified>
</cp:coreProperties>
</file>