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32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19" w:lineRule="exact"/>
        <w:rPr>
          <w:sz w:val="24"/>
          <w:szCs w:val="24"/>
          <w:color w:val="auto"/>
        </w:rPr>
      </w:pPr>
    </w:p>
    <w:p>
      <w:pPr>
        <w:ind w:left="2124"/>
        <w:spacing w:after="0"/>
        <w:rPr>
          <w:sz w:val="20"/>
          <w:szCs w:val="20"/>
          <w:color w:val="auto"/>
        </w:rPr>
      </w:pPr>
      <w:r>
        <w:rPr>
          <w:rFonts w:ascii="Arial" w:cs="Arial" w:eastAsia="Arial" w:hAnsi="Arial"/>
          <w:sz w:val="16"/>
          <w:szCs w:val="16"/>
          <w:b w:val="1"/>
          <w:bCs w:val="1"/>
          <w:color w:val="auto"/>
        </w:rPr>
        <w:t>One Analog Way</w:t>
      </w:r>
    </w:p>
    <w:p>
      <w:pPr>
        <w:spacing w:after="0" w:line="50" w:lineRule="exact"/>
        <w:rPr>
          <w:sz w:val="24"/>
          <w:szCs w:val="24"/>
          <w:color w:val="auto"/>
        </w:rPr>
      </w:pPr>
    </w:p>
    <w:p>
      <w:pPr>
        <w:ind w:left="2124"/>
        <w:spacing w:after="0"/>
        <w:rPr>
          <w:sz w:val="20"/>
          <w:szCs w:val="20"/>
          <w:color w:val="auto"/>
        </w:rPr>
      </w:pPr>
      <w:r>
        <w:rPr>
          <w:rFonts w:ascii="Arial" w:cs="Arial" w:eastAsia="Arial" w:hAnsi="Arial"/>
          <w:sz w:val="17"/>
          <w:szCs w:val="17"/>
          <w:b w:val="1"/>
          <w:bCs w:val="1"/>
          <w:color w:val="auto"/>
        </w:rPr>
        <w:t>Wilmington, MA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01887</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On June 23, 2021, Analog Devices, Inc. (the “Company”) entered into a Third Amended and Restated Credit Agreement (“Revolving Credit Agreement”) among the Company, certain subsidiaries of the Company from time to time party thereto as Designated Borrowers, Bank of America, N.A. as Administrative Agent, Swing Line Lender and L/C Issuer, the several banks and other financial institutions from time to time parties thereto as lenders, BofA Securities, Inc., as sustainability structuring agent, JPMorgan Chase Bank, N.A., as syndication agent, Citibank, N.A., and Morgan Stanley Senior Funding, Inc., as co-documentation agents, and BofA Securities, Inc., JPMorgan Chase Bank, N.A., Citibank, N.A., and Morgan Stanley Senior Funding, Inc., as joint lead arrangers and joint bookrunners. The Revolving Credit Agreement provides for (a) a 5-year revolving credit facility in an aggregate principal amount not to exceed (i) $1.25 billion or (ii) upon the completion of the acquisition by the Company of Maxim Integrated Products, Inc. (“</w:t>
      </w:r>
      <w:r>
        <w:rPr>
          <w:rFonts w:ascii="Arial" w:cs="Arial" w:eastAsia="Arial" w:hAnsi="Arial"/>
          <w:sz w:val="16"/>
          <w:szCs w:val="16"/>
          <w:u w:val="single" w:color="auto"/>
          <w:color w:val="auto"/>
        </w:rPr>
        <w:t>Maxim</w:t>
      </w:r>
      <w:r>
        <w:rPr>
          <w:rFonts w:ascii="Arial" w:cs="Arial" w:eastAsia="Arial" w:hAnsi="Arial"/>
          <w:sz w:val="16"/>
          <w:szCs w:val="16"/>
          <w:color w:val="auto"/>
        </w:rPr>
        <w:t>”) on or before January 12, 2022 (subject to certain terms and conditions specified in that certain Agreement and Plan of Merger, dated as of July 12, 2020, by and among the Company, Maxim and Magneto Corp., a wholly-owned subsidiary of the Company (as the same may be amended, waived, supplemented or otherwise modified from time to time)), $2.5 billion and (b) amends and restates the Company’s existing second amended and restated revolving credit agreement dated as of June 28, 2019. Terms used in this Item 1.01 and not defined herein shall have the meanings ascribed to them in the Revolving Credit Agreement, which is attached to this Form 8-K as Exhibit 10.1.</w:t>
      </w:r>
    </w:p>
    <w:p>
      <w:pPr>
        <w:spacing w:after="0" w:line="168"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The new amended and restated revolving credit facility expires on June 23, 2026 and is currently undrawn. The Revolving Credit Agreement is subject to two one-year extension options at the request of the Company and with the consent of the lenders. Borrowings under the Revolving Credit Agreement are prepayable at the Company’s option in whole or in part without premium or penalty. Amounts borrowed under the Revolving Credit Agreement may be repaid and reborrowed from time to time prior to the maturity date.</w:t>
      </w:r>
    </w:p>
    <w:p>
      <w:pPr>
        <w:spacing w:after="0" w:line="187"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Loans under the Revolving Credit Agreement can be Eurocurrency Rate Loans or Base Rate Loans at the Company’s option. Each Eurocurrency Rate Loan will bear interest at a rate per annum equal to the applicable Eurocurrency Rate plus a margin based on the Company’s Debt Ratings from time to time of between 0.690% and 1.175%. Each Base Rate Loan will bear interest at a rate per annum equal to the Base Rate plus a margin based on the Company’s Debt Ratings from time to time of between 0.00% and 0.175%. In addition, the Company has agreed to pay a facility fee based on the Company’s Debt Ratings from time to time of between 0.060% and 0.250% times the actual daily amount of the Commitments in effect. The Revolving Credit Agreement also contains a sustainability-linked pricing component which provides for interest rate and facility fee reductions or increases by meeting or missing targets related to environmental sustainability, specifically greenhouse gas emissions and renewable energy usage. The Revolving Credit Agreement includes a multicurrency borrowing feature for certain specified foreign currencies. The Company will guarantee the obligations of each subsidiary that is named a Designated Borrower under the Revolving Credit Agreement.</w:t>
      </w:r>
    </w:p>
    <w:p>
      <w:pPr>
        <w:spacing w:after="0" w:line="166"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Revolving Credit Agreement contains customary representations and warranties, and affirmative and negative covenants and events of default applicable to the Company and its subsidiaries. The events of default include, among others, nonpayment of principal, interest, fees or other amounts, failure to perform certain covenants, cross-defaults to certain other</w:t>
      </w:r>
    </w:p>
    <w:p>
      <w:pPr>
        <w:sectPr>
          <w:pgSz w:w="11900" w:h="16838" w:orient="portrait"/>
          <w:cols w:equalWidth="0" w:num="1">
            <w:col w:w="11000"/>
          </w:cols>
          <w:pgMar w:left="440" w:top="297" w:right="459" w:bottom="1440" w:gutter="0" w:footer="0" w:header="0"/>
        </w:sectPr>
      </w:pPr>
    </w:p>
    <w:bookmarkStart w:id="2" w:name="page3"/>
    <w:bookmarkEnd w:id="2"/>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indebtedness, insolvency or bankruptcy, customary ERISA defaults or the occurrence of a change of control. The negative covenants include limitations on liens, indebtedness of non-guarantor subsidiaries and mergers and other fundamental changes, among others. The Revolving Credit Agreement also requires that, commencing with the first fiscal quarter ending after the Closing Date, the Company maintain a ratio of funded debt to EBITDA of no greater than 3.50 to 1.00 for any fiscal quarter ending thereafter; provided that the Company may elect, up to two times during the term of the Revolving Credit Agreement, to increase such maximum permitted ratio to 4.00 to 1.00 at the end of any fiscal quarter in which the Company consummates an acquisition in which total consideration exceeds $500 million and at the end of each of the three consecutive fiscal quarters thereafter.</w:t>
      </w:r>
    </w:p>
    <w:p>
      <w:pPr>
        <w:spacing w:after="0" w:line="164"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In the ordinary course of their respective businesses, certain of the lenders and the other parties to the Revolving Credit Agreement and their respective affiliates have engaged, and may in the future engage, in commercial banking, investment banking, financial advisory or other services with the Company and its affiliates for which they have in the past received, and/or may in the future receive, customary compensation and expense reimbursement.</w:t>
      </w:r>
    </w:p>
    <w:p>
      <w:pPr>
        <w:spacing w:after="0" w:line="18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foregoing description of the Revolving Credit Agreement does not purport to be complete and is qualified in its entirety by reference to the full text of the Revolving Credit Agreement, which is filed as Exhibit 10.1, and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included in Item 1.01 of this Current Report on Form 8-K is incorporated by reference into this Item 2.03.</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On June 23, 2021, the Company issued a press release announcing the closing of the Revolving Credit Agreement. A copy of the press release is attached as Exhibit 99.1 to this Current Report on Form 8-K and is incorporated herein by reference.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700" w:type="dxa"/>
            <w:vAlign w:val="bottom"/>
            <w:gridSpan w:val="5"/>
          </w:tcPr>
          <w:p>
            <w:pPr>
              <w:jc w:val="center"/>
              <w:ind w:right="8380"/>
              <w:spacing w:after="0"/>
              <w:rPr>
                <w:sz w:val="20"/>
                <w:szCs w:val="20"/>
                <w:color w:val="auto"/>
              </w:rPr>
            </w:pPr>
            <w:r>
              <w:rPr>
                <w:rFonts w:ascii="Arial" w:cs="Arial" w:eastAsia="Arial" w:hAnsi="Arial"/>
                <w:sz w:val="18"/>
                <w:szCs w:val="18"/>
                <w:b w:val="1"/>
                <w:bCs w:val="1"/>
                <w:color w:val="auto"/>
                <w:w w:val="91"/>
              </w:rPr>
              <w:t>Exhibits</w:t>
            </w:r>
          </w:p>
        </w:tc>
      </w:tr>
      <w:tr>
        <w:trPr>
          <w:trHeight w:val="338"/>
        </w:trPr>
        <w:tc>
          <w:tcPr>
            <w:tcW w:w="860" w:type="dxa"/>
            <w:vAlign w:val="bottom"/>
            <w:gridSpan w:val="2"/>
          </w:tcPr>
          <w:p>
            <w:pPr>
              <w:ind w:left="420"/>
              <w:spacing w:after="0"/>
              <w:rPr>
                <w:sz w:val="20"/>
                <w:szCs w:val="20"/>
                <w:color w:val="auto"/>
              </w:rPr>
            </w:pPr>
            <w:r>
              <w:rPr>
                <w:rFonts w:ascii="Arial" w:cs="Arial" w:eastAsia="Arial" w:hAnsi="Arial"/>
                <w:sz w:val="18"/>
                <w:szCs w:val="18"/>
                <w:color w:val="auto"/>
              </w:rPr>
              <w:t>(d)</w:t>
            </w:r>
          </w:p>
        </w:tc>
        <w:tc>
          <w:tcPr>
            <w:tcW w:w="9700" w:type="dxa"/>
            <w:vAlign w:val="bottom"/>
            <w:gridSpan w:val="5"/>
          </w:tcPr>
          <w:p>
            <w:pPr>
              <w:jc w:val="center"/>
              <w:ind w:right="8380"/>
              <w:spacing w:after="0"/>
              <w:rPr>
                <w:sz w:val="20"/>
                <w:szCs w:val="20"/>
                <w:color w:val="auto"/>
              </w:rPr>
            </w:pPr>
            <w:r>
              <w:rPr>
                <w:rFonts w:ascii="Arial" w:cs="Arial" w:eastAsia="Arial" w:hAnsi="Arial"/>
                <w:sz w:val="18"/>
                <w:szCs w:val="18"/>
                <w:color w:val="auto"/>
                <w:w w:val="96"/>
              </w:rPr>
              <w:t>List of Exhibits</w:t>
            </w:r>
          </w:p>
        </w:tc>
      </w:tr>
      <w:tr>
        <w:trPr>
          <w:trHeight w:val="391"/>
        </w:trPr>
        <w:tc>
          <w:tcPr>
            <w:tcW w:w="680" w:type="dxa"/>
            <w:vAlign w:val="bottom"/>
          </w:tcPr>
          <w:p>
            <w:pPr>
              <w:spacing w:after="0"/>
              <w:rPr>
                <w:sz w:val="20"/>
                <w:szCs w:val="20"/>
                <w:color w:val="auto"/>
              </w:rPr>
            </w:pPr>
            <w:r>
              <w:rPr>
                <w:rFonts w:ascii="Arial" w:cs="Arial" w:eastAsia="Arial" w:hAnsi="Arial"/>
                <w:sz w:val="14"/>
                <w:szCs w:val="14"/>
                <w:color w:val="auto"/>
                <w:w w:val="97"/>
              </w:rPr>
              <w:t>Exhibit No.</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140" w:type="dxa"/>
            <w:vAlign w:val="bottom"/>
            <w:gridSpan w:val="4"/>
          </w:tcPr>
          <w:p>
            <w:pPr>
              <w:spacing w:after="0"/>
              <w:rPr>
                <w:sz w:val="20"/>
                <w:szCs w:val="20"/>
                <w:color w:val="auto"/>
              </w:rPr>
            </w:pPr>
            <w:r>
              <w:rPr>
                <w:rFonts w:ascii="Arial" w:cs="Arial" w:eastAsia="Arial" w:hAnsi="Arial"/>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1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Third Amended and Restated Credit Agreement, dated as of June 23, 2021, among Analog Devices, Inc., as Borrower, Bank of</w:t>
              </w:r>
            </w:hyperlink>
          </w:p>
        </w:tc>
      </w:tr>
      <w:tr>
        <w:trPr>
          <w:trHeight w:val="196"/>
        </w:trPr>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40" w:type="dxa"/>
            <w:vAlign w:val="bottom"/>
            <w:gridSpan w:val="4"/>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America, N.A. as Administrative Agent, Swing Line Lender and L/C Issuer, and each lender from time to time party thereto.</w:t>
              </w:r>
            </w:hyperlink>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960" w:type="dxa"/>
            <w:vAlign w:val="bottom"/>
            <w:tcBorders>
              <w:top w:val="single" w:sz="8" w:color="0000EE"/>
            </w:tcBorders>
            <w:gridSpan w:val="3"/>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Press Release, dated June 23, 2021</w:t>
              </w:r>
            </w:hyperlink>
          </w:p>
        </w:tc>
        <w:tc>
          <w:tcPr>
            <w:tcW w:w="18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r>
      <w:tr>
        <w:trPr>
          <w:trHeight w:val="345"/>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 the Inline XBRL document).</w:t>
            </w:r>
          </w:p>
        </w:tc>
      </w:tr>
    </w:tbl>
    <w:p>
      <w:pPr>
        <w:sectPr>
          <w:pgSz w:w="11900" w:h="16838" w:orient="portrait"/>
          <w:cols w:equalWidth="0" w:num="1">
            <w:col w:w="10980"/>
          </w:cols>
          <w:pgMar w:left="440" w:top="301" w:right="47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spacing w:after="0"/>
        <w:tabs>
          <w:tab w:leader="none" w:pos="6220" w:val="left"/>
        </w:tabs>
        <w:rPr>
          <w:sz w:val="20"/>
          <w:szCs w:val="20"/>
          <w:color w:val="auto"/>
        </w:rPr>
      </w:pPr>
      <w:r>
        <w:rPr>
          <w:rFonts w:ascii="Arial" w:cs="Arial" w:eastAsia="Arial" w:hAnsi="Arial"/>
          <w:sz w:val="18"/>
          <w:szCs w:val="18"/>
          <w:color w:val="auto"/>
        </w:rPr>
        <w:t>Date: June 23, 2021</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Prashanth Mahendra-Rajah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Title: Senior Vice President, Finance and Chief Financial Officer</w:t>
      </w:r>
    </w:p>
    <w:p>
      <w:pPr>
        <w:sectPr>
          <w:pgSz w:w="11900" w:h="16838" w:orient="portrait"/>
          <w:cols w:equalWidth="0" w:num="1">
            <w:col w:w="10720"/>
          </w:cols>
          <w:pgMar w:left="440" w:top="301"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203200</wp:posOffset>
            </wp:positionV>
            <wp:extent cx="699516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THIRD AMENDED AND RESTATED</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CREDIT AGREEMENT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June 23, 2021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the Company and as a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CERTAIN SUBSIDIARIES OF THE COMPANY,</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Designated Borrowers,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 Swing Line Lender</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 L/C Issuer,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203200</wp:posOffset>
            </wp:positionV>
            <wp:extent cx="699516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Sustainability Structuring Agent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MORGAN STANLEY SENIOR FUNDING, INC.</w:t>
      </w:r>
    </w:p>
    <w:p>
      <w:pPr>
        <w:spacing w:after="0" w:line="2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Co-Documentation Agents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MORGAN STANLEY SENIOR FUNDING, INC.</w:t>
      </w:r>
    </w:p>
    <w:p>
      <w:pPr>
        <w:spacing w:after="0" w:line="21"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as Joint Lead Arrangers and Joint Bookrunners</w:t>
      </w:r>
    </w:p>
    <w:p>
      <w:pPr>
        <w:sectPr>
          <w:pgSz w:w="11900" w:h="16838" w:orient="portrait"/>
          <w:cols w:equalWidth="0" w:num="1">
            <w:col w:w="10020"/>
          </w:cols>
          <w:pgMar w:left="1440" w:top="125"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92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068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ACCOUNTING TERMS</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24"/>
        </w:trPr>
        <w:tc>
          <w:tcPr>
            <w:tcW w:w="1068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992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9920" w:type="dxa"/>
            <w:vAlign w:val="bottom"/>
          </w:tcPr>
          <w:p>
            <w:pPr>
              <w:ind w:left="100"/>
              <w:spacing w:after="0"/>
              <w:rPr>
                <w:sz w:val="20"/>
                <w:szCs w:val="20"/>
                <w:color w:val="auto"/>
              </w:rPr>
            </w:pPr>
            <w:r>
              <w:rPr>
                <w:rFonts w:ascii="Arial" w:cs="Arial" w:eastAsia="Arial" w:hAnsi="Arial"/>
                <w:sz w:val="18"/>
                <w:szCs w:val="18"/>
                <w:color w:val="auto"/>
              </w:rPr>
              <w:t>Other Interpretive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9920" w:type="dxa"/>
            <w:vAlign w:val="bottom"/>
          </w:tcPr>
          <w:p>
            <w:pPr>
              <w:ind w:left="100"/>
              <w:spacing w:after="0"/>
              <w:rPr>
                <w:sz w:val="20"/>
                <w:szCs w:val="20"/>
                <w:color w:val="auto"/>
              </w:rPr>
            </w:pPr>
            <w:r>
              <w:rPr>
                <w:rFonts w:ascii="Arial" w:cs="Arial" w:eastAsia="Arial" w:hAnsi="Arial"/>
                <w:sz w:val="18"/>
                <w:szCs w:val="18"/>
                <w:color w:val="auto"/>
              </w:rPr>
              <w:t>Accounting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9920" w:type="dxa"/>
            <w:vAlign w:val="bottom"/>
          </w:tcPr>
          <w:p>
            <w:pPr>
              <w:ind w:left="100"/>
              <w:spacing w:after="0"/>
              <w:rPr>
                <w:sz w:val="20"/>
                <w:szCs w:val="20"/>
                <w:color w:val="auto"/>
              </w:rPr>
            </w:pPr>
            <w:r>
              <w:rPr>
                <w:rFonts w:ascii="Arial" w:cs="Arial" w:eastAsia="Arial" w:hAnsi="Arial"/>
                <w:sz w:val="18"/>
                <w:szCs w:val="18"/>
                <w:color w:val="auto"/>
              </w:rPr>
              <w:t>Rounding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9920" w:type="dxa"/>
            <w:vAlign w:val="bottom"/>
          </w:tcPr>
          <w:p>
            <w:pPr>
              <w:ind w:left="100"/>
              <w:spacing w:after="0"/>
              <w:rPr>
                <w:sz w:val="20"/>
                <w:szCs w:val="20"/>
                <w:color w:val="auto"/>
              </w:rPr>
            </w:pPr>
            <w:r>
              <w:rPr>
                <w:rFonts w:ascii="Arial" w:cs="Arial" w:eastAsia="Arial" w:hAnsi="Arial"/>
                <w:sz w:val="18"/>
                <w:szCs w:val="18"/>
                <w:color w:val="auto"/>
              </w:rPr>
              <w:t>Times of Day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9920" w:type="dxa"/>
            <w:vAlign w:val="bottom"/>
          </w:tcPr>
          <w:p>
            <w:pPr>
              <w:ind w:left="100"/>
              <w:spacing w:after="0"/>
              <w:rPr>
                <w:sz w:val="20"/>
                <w:szCs w:val="20"/>
                <w:color w:val="auto"/>
              </w:rPr>
            </w:pPr>
            <w:r>
              <w:rPr>
                <w:rFonts w:ascii="Arial" w:cs="Arial" w:eastAsia="Arial" w:hAnsi="Arial"/>
                <w:sz w:val="18"/>
                <w:szCs w:val="18"/>
                <w:color w:val="auto"/>
              </w:rPr>
              <w:t>Letter of Credit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1.07</w:t>
            </w:r>
          </w:p>
        </w:tc>
        <w:tc>
          <w:tcPr>
            <w:tcW w:w="9920" w:type="dxa"/>
            <w:vAlign w:val="bottom"/>
          </w:tcPr>
          <w:p>
            <w:pPr>
              <w:ind w:left="100"/>
              <w:spacing w:after="0"/>
              <w:rPr>
                <w:sz w:val="20"/>
                <w:szCs w:val="20"/>
                <w:color w:val="auto"/>
              </w:rPr>
            </w:pPr>
            <w:r>
              <w:rPr>
                <w:rFonts w:ascii="Arial" w:cs="Arial" w:eastAsia="Arial" w:hAnsi="Arial"/>
                <w:sz w:val="18"/>
                <w:szCs w:val="18"/>
                <w:color w:val="auto"/>
              </w:rPr>
              <w:t>Exchange Rates; Currency Equivalents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9920" w:type="dxa"/>
            <w:vAlign w:val="bottom"/>
          </w:tcPr>
          <w:p>
            <w:pPr>
              <w:ind w:left="100"/>
              <w:spacing w:after="0"/>
              <w:rPr>
                <w:sz w:val="20"/>
                <w:szCs w:val="20"/>
                <w:color w:val="auto"/>
              </w:rPr>
            </w:pPr>
            <w:r>
              <w:rPr>
                <w:rFonts w:ascii="Arial" w:cs="Arial" w:eastAsia="Arial" w:hAnsi="Arial"/>
                <w:sz w:val="18"/>
                <w:szCs w:val="18"/>
                <w:color w:val="auto"/>
              </w:rPr>
              <w:t>Additional Alternate Currencies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760" w:type="dxa"/>
            <w:vAlign w:val="bottom"/>
          </w:tcPr>
          <w:p>
            <w:pPr>
              <w:jc w:val="right"/>
              <w:spacing w:after="0"/>
              <w:rPr>
                <w:sz w:val="20"/>
                <w:szCs w:val="20"/>
                <w:color w:val="auto"/>
              </w:rPr>
            </w:pPr>
            <w:r>
              <w:rPr>
                <w:rFonts w:ascii="Arial" w:cs="Arial" w:eastAsia="Arial" w:hAnsi="Arial"/>
                <w:sz w:val="18"/>
                <w:szCs w:val="18"/>
                <w:color w:val="auto"/>
              </w:rPr>
              <w:t>1.09</w:t>
            </w:r>
          </w:p>
        </w:tc>
        <w:tc>
          <w:tcPr>
            <w:tcW w:w="9920" w:type="dxa"/>
            <w:vAlign w:val="bottom"/>
          </w:tcPr>
          <w:p>
            <w:pPr>
              <w:ind w:left="100"/>
              <w:spacing w:after="0"/>
              <w:rPr>
                <w:sz w:val="20"/>
                <w:szCs w:val="20"/>
                <w:color w:val="auto"/>
              </w:rPr>
            </w:pPr>
            <w:r>
              <w:rPr>
                <w:rFonts w:ascii="Arial" w:cs="Arial" w:eastAsia="Arial" w:hAnsi="Arial"/>
                <w:sz w:val="18"/>
                <w:szCs w:val="18"/>
                <w:color w:val="auto"/>
              </w:rPr>
              <w:t>Change of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THE COMMITMENTS AND CREDIT EXTENSIONS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0"/>
        </w:trPr>
        <w:tc>
          <w:tcPr>
            <w:tcW w:w="760" w:type="dxa"/>
            <w:vAlign w:val="bottom"/>
          </w:tcPr>
          <w:p>
            <w:pPr>
              <w:jc w:val="right"/>
              <w:spacing w:after="0"/>
              <w:rPr>
                <w:sz w:val="20"/>
                <w:szCs w:val="20"/>
                <w:color w:val="auto"/>
              </w:rPr>
            </w:pPr>
            <w:r>
              <w:rPr>
                <w:rFonts w:ascii="Arial" w:cs="Arial" w:eastAsia="Arial" w:hAnsi="Arial"/>
                <w:sz w:val="18"/>
                <w:szCs w:val="18"/>
                <w:color w:val="auto"/>
              </w:rPr>
              <w:t>2.01</w:t>
            </w:r>
          </w:p>
        </w:tc>
        <w:tc>
          <w:tcPr>
            <w:tcW w:w="9920" w:type="dxa"/>
            <w:vAlign w:val="bottom"/>
          </w:tcPr>
          <w:p>
            <w:pPr>
              <w:ind w:left="100"/>
              <w:spacing w:after="0"/>
              <w:rPr>
                <w:sz w:val="20"/>
                <w:szCs w:val="20"/>
                <w:color w:val="auto"/>
              </w:rPr>
            </w:pPr>
            <w:r>
              <w:rPr>
                <w:rFonts w:ascii="Arial" w:cs="Arial" w:eastAsia="Arial" w:hAnsi="Arial"/>
                <w:sz w:val="18"/>
                <w:szCs w:val="18"/>
                <w:color w:val="auto"/>
              </w:rPr>
              <w:t>Committed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2.02</w:t>
            </w:r>
          </w:p>
        </w:tc>
        <w:tc>
          <w:tcPr>
            <w:tcW w:w="9920" w:type="dxa"/>
            <w:vAlign w:val="bottom"/>
          </w:tcPr>
          <w:p>
            <w:pPr>
              <w:ind w:left="100"/>
              <w:spacing w:after="0"/>
              <w:rPr>
                <w:sz w:val="20"/>
                <w:szCs w:val="20"/>
                <w:color w:val="auto"/>
              </w:rPr>
            </w:pPr>
            <w:r>
              <w:rPr>
                <w:rFonts w:ascii="Arial" w:cs="Arial" w:eastAsia="Arial" w:hAnsi="Arial"/>
                <w:sz w:val="18"/>
                <w:szCs w:val="18"/>
                <w:color w:val="auto"/>
              </w:rPr>
              <w:t>Borrowings, Conversions and Continuations of Committed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2.03</w:t>
            </w:r>
          </w:p>
        </w:tc>
        <w:tc>
          <w:tcPr>
            <w:tcW w:w="9920" w:type="dxa"/>
            <w:vAlign w:val="bottom"/>
          </w:tcPr>
          <w:p>
            <w:pPr>
              <w:ind w:left="100"/>
              <w:spacing w:after="0"/>
              <w:rPr>
                <w:sz w:val="20"/>
                <w:szCs w:val="20"/>
                <w:color w:val="auto"/>
              </w:rPr>
            </w:pPr>
            <w:r>
              <w:rPr>
                <w:rFonts w:ascii="Arial" w:cs="Arial" w:eastAsia="Arial" w:hAnsi="Arial"/>
                <w:sz w:val="18"/>
                <w:szCs w:val="18"/>
                <w:color w:val="auto"/>
              </w:rPr>
              <w:t>Letters of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2.04</w:t>
            </w:r>
          </w:p>
        </w:tc>
        <w:tc>
          <w:tcPr>
            <w:tcW w:w="9920" w:type="dxa"/>
            <w:vAlign w:val="bottom"/>
          </w:tcPr>
          <w:p>
            <w:pPr>
              <w:ind w:left="100"/>
              <w:spacing w:after="0"/>
              <w:rPr>
                <w:sz w:val="20"/>
                <w:szCs w:val="20"/>
                <w:color w:val="auto"/>
              </w:rPr>
            </w:pPr>
            <w:r>
              <w:rPr>
                <w:rFonts w:ascii="Arial" w:cs="Arial" w:eastAsia="Arial" w:hAnsi="Arial"/>
                <w:sz w:val="18"/>
                <w:szCs w:val="18"/>
                <w:color w:val="auto"/>
              </w:rPr>
              <w:t>Swing Line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9920" w:type="dxa"/>
            <w:vAlign w:val="bottom"/>
          </w:tcPr>
          <w:p>
            <w:pPr>
              <w:ind w:left="100"/>
              <w:spacing w:after="0"/>
              <w:rPr>
                <w:sz w:val="20"/>
                <w:szCs w:val="20"/>
                <w:color w:val="auto"/>
              </w:rPr>
            </w:pPr>
            <w:r>
              <w:rPr>
                <w:rFonts w:ascii="Arial" w:cs="Arial" w:eastAsia="Arial" w:hAnsi="Arial"/>
                <w:sz w:val="18"/>
                <w:szCs w:val="18"/>
                <w:color w:val="auto"/>
              </w:rPr>
              <w:t>Prepayments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2.06</w:t>
            </w:r>
          </w:p>
        </w:tc>
        <w:tc>
          <w:tcPr>
            <w:tcW w:w="9920" w:type="dxa"/>
            <w:vAlign w:val="bottom"/>
          </w:tcPr>
          <w:p>
            <w:pPr>
              <w:ind w:left="100"/>
              <w:spacing w:after="0"/>
              <w:rPr>
                <w:sz w:val="20"/>
                <w:szCs w:val="20"/>
                <w:color w:val="auto"/>
              </w:rPr>
            </w:pPr>
            <w:r>
              <w:rPr>
                <w:rFonts w:ascii="Arial" w:cs="Arial" w:eastAsia="Arial" w:hAnsi="Arial"/>
                <w:sz w:val="18"/>
                <w:szCs w:val="18"/>
                <w:color w:val="auto"/>
              </w:rPr>
              <w:t>Termination or Reduction of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2.07</w:t>
            </w:r>
          </w:p>
        </w:tc>
        <w:tc>
          <w:tcPr>
            <w:tcW w:w="9920" w:type="dxa"/>
            <w:vAlign w:val="bottom"/>
          </w:tcPr>
          <w:p>
            <w:pPr>
              <w:ind w:left="100"/>
              <w:spacing w:after="0"/>
              <w:rPr>
                <w:sz w:val="20"/>
                <w:szCs w:val="20"/>
                <w:color w:val="auto"/>
              </w:rPr>
            </w:pPr>
            <w:r>
              <w:rPr>
                <w:rFonts w:ascii="Arial" w:cs="Arial" w:eastAsia="Arial" w:hAnsi="Arial"/>
                <w:sz w:val="18"/>
                <w:szCs w:val="18"/>
                <w:color w:val="auto"/>
              </w:rPr>
              <w:t>Repayment of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2.08</w:t>
            </w:r>
          </w:p>
        </w:tc>
        <w:tc>
          <w:tcPr>
            <w:tcW w:w="9920" w:type="dxa"/>
            <w:vAlign w:val="bottom"/>
          </w:tcPr>
          <w:p>
            <w:pPr>
              <w:ind w:left="100"/>
              <w:spacing w:after="0"/>
              <w:rPr>
                <w:sz w:val="20"/>
                <w:szCs w:val="20"/>
                <w:color w:val="auto"/>
              </w:rPr>
            </w:pPr>
            <w:r>
              <w:rPr>
                <w:rFonts w:ascii="Arial" w:cs="Arial" w:eastAsia="Arial" w:hAnsi="Arial"/>
                <w:sz w:val="18"/>
                <w:szCs w:val="18"/>
                <w:color w:val="auto"/>
              </w:rPr>
              <w:t>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2.09</w:t>
            </w:r>
          </w:p>
        </w:tc>
        <w:tc>
          <w:tcPr>
            <w:tcW w:w="9920" w:type="dxa"/>
            <w:vAlign w:val="bottom"/>
          </w:tcPr>
          <w:p>
            <w:pPr>
              <w:ind w:left="100"/>
              <w:spacing w:after="0"/>
              <w:rPr>
                <w:sz w:val="20"/>
                <w:szCs w:val="20"/>
                <w:color w:val="auto"/>
              </w:rPr>
            </w:pPr>
            <w:r>
              <w:rPr>
                <w:rFonts w:ascii="Arial" w:cs="Arial" w:eastAsia="Arial" w:hAnsi="Arial"/>
                <w:sz w:val="18"/>
                <w:szCs w:val="18"/>
                <w:color w:val="auto"/>
              </w:rPr>
              <w:t>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2.10</w:t>
            </w:r>
          </w:p>
        </w:tc>
        <w:tc>
          <w:tcPr>
            <w:tcW w:w="9920" w:type="dxa"/>
            <w:vAlign w:val="bottom"/>
          </w:tcPr>
          <w:p>
            <w:pPr>
              <w:ind w:left="100"/>
              <w:spacing w:after="0"/>
              <w:rPr>
                <w:sz w:val="20"/>
                <w:szCs w:val="20"/>
                <w:color w:val="auto"/>
              </w:rPr>
            </w:pPr>
            <w:r>
              <w:rPr>
                <w:rFonts w:ascii="Arial" w:cs="Arial" w:eastAsia="Arial" w:hAnsi="Arial"/>
                <w:sz w:val="18"/>
                <w:szCs w:val="18"/>
                <w:color w:val="auto"/>
              </w:rPr>
              <w:t>Computation of Interest and 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9920" w:type="dxa"/>
            <w:vAlign w:val="bottom"/>
          </w:tcPr>
          <w:p>
            <w:pPr>
              <w:ind w:left="100"/>
              <w:spacing w:after="0"/>
              <w:rPr>
                <w:sz w:val="20"/>
                <w:szCs w:val="20"/>
                <w:color w:val="auto"/>
              </w:rPr>
            </w:pPr>
            <w:r>
              <w:rPr>
                <w:rFonts w:ascii="Arial" w:cs="Arial" w:eastAsia="Arial" w:hAnsi="Arial"/>
                <w:sz w:val="18"/>
                <w:szCs w:val="18"/>
                <w:color w:val="auto"/>
              </w:rPr>
              <w:t>Evidence of Debt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2.12</w:t>
            </w:r>
          </w:p>
        </w:tc>
        <w:tc>
          <w:tcPr>
            <w:tcW w:w="9920" w:type="dxa"/>
            <w:vAlign w:val="bottom"/>
          </w:tcPr>
          <w:p>
            <w:pPr>
              <w:ind w:left="100"/>
              <w:spacing w:after="0"/>
              <w:rPr>
                <w:sz w:val="20"/>
                <w:szCs w:val="20"/>
                <w:color w:val="auto"/>
              </w:rPr>
            </w:pPr>
            <w:r>
              <w:rPr>
                <w:rFonts w:ascii="Arial" w:cs="Arial" w:eastAsia="Arial" w:hAnsi="Arial"/>
                <w:sz w:val="18"/>
                <w:szCs w:val="18"/>
                <w:color w:val="auto"/>
              </w:rPr>
              <w:t>Payments Generally; Administrative Agent’s Clawback</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2.13</w:t>
            </w:r>
          </w:p>
        </w:tc>
        <w:tc>
          <w:tcPr>
            <w:tcW w:w="9920" w:type="dxa"/>
            <w:vAlign w:val="bottom"/>
          </w:tcPr>
          <w:p>
            <w:pPr>
              <w:ind w:left="100"/>
              <w:spacing w:after="0"/>
              <w:rPr>
                <w:sz w:val="20"/>
                <w:szCs w:val="20"/>
                <w:color w:val="auto"/>
              </w:rPr>
            </w:pPr>
            <w:r>
              <w:rPr>
                <w:rFonts w:ascii="Arial" w:cs="Arial" w:eastAsia="Arial" w:hAnsi="Arial"/>
                <w:sz w:val="18"/>
                <w:szCs w:val="18"/>
                <w:color w:val="auto"/>
              </w:rPr>
              <w:t>Sharing of Payments by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2.14</w:t>
            </w:r>
          </w:p>
        </w:tc>
        <w:tc>
          <w:tcPr>
            <w:tcW w:w="9920" w:type="dxa"/>
            <w:vAlign w:val="bottom"/>
          </w:tcPr>
          <w:p>
            <w:pPr>
              <w:ind w:left="100"/>
              <w:spacing w:after="0"/>
              <w:rPr>
                <w:sz w:val="20"/>
                <w:szCs w:val="20"/>
                <w:color w:val="auto"/>
              </w:rPr>
            </w:pPr>
            <w:r>
              <w:rPr>
                <w:rFonts w:ascii="Arial" w:cs="Arial" w:eastAsia="Arial" w:hAnsi="Arial"/>
                <w:sz w:val="18"/>
                <w:szCs w:val="18"/>
                <w:color w:val="auto"/>
              </w:rPr>
              <w:t>Extension of Maturity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2.15</w:t>
            </w:r>
          </w:p>
        </w:tc>
        <w:tc>
          <w:tcPr>
            <w:tcW w:w="9920" w:type="dxa"/>
            <w:vAlign w:val="bottom"/>
          </w:tcPr>
          <w:p>
            <w:pPr>
              <w:ind w:left="100"/>
              <w:spacing w:after="0"/>
              <w:rPr>
                <w:sz w:val="20"/>
                <w:szCs w:val="20"/>
                <w:color w:val="auto"/>
              </w:rPr>
            </w:pPr>
            <w:r>
              <w:rPr>
                <w:rFonts w:ascii="Arial" w:cs="Arial" w:eastAsia="Arial" w:hAnsi="Arial"/>
                <w:sz w:val="18"/>
                <w:szCs w:val="18"/>
                <w:color w:val="auto"/>
              </w:rPr>
              <w:t>Increase in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2.16</w:t>
            </w:r>
          </w:p>
        </w:tc>
        <w:tc>
          <w:tcPr>
            <w:tcW w:w="9920" w:type="dxa"/>
            <w:vAlign w:val="bottom"/>
          </w:tcPr>
          <w:p>
            <w:pPr>
              <w:ind w:left="100"/>
              <w:spacing w:after="0"/>
              <w:rPr>
                <w:sz w:val="20"/>
                <w:szCs w:val="20"/>
                <w:color w:val="auto"/>
              </w:rPr>
            </w:pPr>
            <w:r>
              <w:rPr>
                <w:rFonts w:ascii="Arial" w:cs="Arial" w:eastAsia="Arial" w:hAnsi="Arial"/>
                <w:sz w:val="18"/>
                <w:szCs w:val="18"/>
                <w:color w:val="auto"/>
              </w:rPr>
              <w:t>Cash Collateral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2.17</w:t>
            </w:r>
          </w:p>
        </w:tc>
        <w:tc>
          <w:tcPr>
            <w:tcW w:w="9920" w:type="dxa"/>
            <w:vAlign w:val="bottom"/>
          </w:tcPr>
          <w:p>
            <w:pPr>
              <w:ind w:left="100"/>
              <w:spacing w:after="0"/>
              <w:rPr>
                <w:sz w:val="20"/>
                <w:szCs w:val="20"/>
                <w:color w:val="auto"/>
              </w:rPr>
            </w:pPr>
            <w:r>
              <w:rPr>
                <w:rFonts w:ascii="Arial" w:cs="Arial" w:eastAsia="Arial" w:hAnsi="Arial"/>
                <w:sz w:val="18"/>
                <w:szCs w:val="18"/>
                <w:color w:val="auto"/>
              </w:rPr>
              <w:t>Defaulting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2.18</w:t>
            </w:r>
          </w:p>
        </w:tc>
        <w:tc>
          <w:tcPr>
            <w:tcW w:w="9920" w:type="dxa"/>
            <w:vAlign w:val="bottom"/>
          </w:tcPr>
          <w:p>
            <w:pPr>
              <w:ind w:left="100"/>
              <w:spacing w:after="0"/>
              <w:rPr>
                <w:sz w:val="20"/>
                <w:szCs w:val="20"/>
                <w:color w:val="auto"/>
              </w:rPr>
            </w:pPr>
            <w:r>
              <w:rPr>
                <w:rFonts w:ascii="Arial" w:cs="Arial" w:eastAsia="Arial" w:hAnsi="Arial"/>
                <w:sz w:val="18"/>
                <w:szCs w:val="18"/>
                <w:color w:val="auto"/>
              </w:rPr>
              <w:t>Designated Borrowers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760" w:type="dxa"/>
            <w:vAlign w:val="bottom"/>
          </w:tcPr>
          <w:p>
            <w:pPr>
              <w:jc w:val="right"/>
              <w:spacing w:after="0"/>
              <w:rPr>
                <w:sz w:val="20"/>
                <w:szCs w:val="20"/>
                <w:color w:val="auto"/>
              </w:rPr>
            </w:pPr>
            <w:r>
              <w:rPr>
                <w:rFonts w:ascii="Arial" w:cs="Arial" w:eastAsia="Arial" w:hAnsi="Arial"/>
                <w:sz w:val="18"/>
                <w:szCs w:val="18"/>
                <w:color w:val="auto"/>
              </w:rPr>
              <w:t>2.19</w:t>
            </w:r>
          </w:p>
        </w:tc>
        <w:tc>
          <w:tcPr>
            <w:tcW w:w="9920" w:type="dxa"/>
            <w:vAlign w:val="bottom"/>
          </w:tcPr>
          <w:p>
            <w:pPr>
              <w:ind w:left="100"/>
              <w:spacing w:after="0"/>
              <w:rPr>
                <w:sz w:val="20"/>
                <w:szCs w:val="20"/>
                <w:color w:val="auto"/>
              </w:rPr>
            </w:pPr>
            <w:r>
              <w:rPr>
                <w:rFonts w:ascii="Arial" w:cs="Arial" w:eastAsia="Arial" w:hAnsi="Arial"/>
                <w:sz w:val="18"/>
                <w:szCs w:val="18"/>
                <w:color w:val="auto"/>
              </w:rPr>
              <w:t>Sustainability Adjustments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TAXES, YIELD PROTECTION AND ILLEGALITY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0"/>
        </w:trPr>
        <w:tc>
          <w:tcPr>
            <w:tcW w:w="760" w:type="dxa"/>
            <w:vAlign w:val="bottom"/>
          </w:tcPr>
          <w:p>
            <w:pPr>
              <w:jc w:val="right"/>
              <w:spacing w:after="0"/>
              <w:rPr>
                <w:sz w:val="20"/>
                <w:szCs w:val="20"/>
                <w:color w:val="auto"/>
              </w:rPr>
            </w:pPr>
            <w:r>
              <w:rPr>
                <w:rFonts w:ascii="Arial" w:cs="Arial" w:eastAsia="Arial" w:hAnsi="Arial"/>
                <w:sz w:val="18"/>
                <w:szCs w:val="18"/>
                <w:color w:val="auto"/>
              </w:rPr>
              <w:t>3.01</w:t>
            </w:r>
          </w:p>
        </w:tc>
        <w:tc>
          <w:tcPr>
            <w:tcW w:w="9920" w:type="dxa"/>
            <w:vAlign w:val="bottom"/>
          </w:tcPr>
          <w:p>
            <w:pPr>
              <w:ind w:left="100"/>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3.02</w:t>
            </w:r>
          </w:p>
        </w:tc>
        <w:tc>
          <w:tcPr>
            <w:tcW w:w="9920" w:type="dxa"/>
            <w:vAlign w:val="bottom"/>
          </w:tcPr>
          <w:p>
            <w:pPr>
              <w:ind w:left="100"/>
              <w:spacing w:after="0"/>
              <w:rPr>
                <w:sz w:val="20"/>
                <w:szCs w:val="20"/>
                <w:color w:val="auto"/>
              </w:rPr>
            </w:pPr>
            <w:r>
              <w:rPr>
                <w:rFonts w:ascii="Arial" w:cs="Arial" w:eastAsia="Arial" w:hAnsi="Arial"/>
                <w:sz w:val="18"/>
                <w:szCs w:val="18"/>
                <w:color w:val="auto"/>
              </w:rPr>
              <w:t>Illegality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3.03</w:t>
            </w:r>
          </w:p>
        </w:tc>
        <w:tc>
          <w:tcPr>
            <w:tcW w:w="9920" w:type="dxa"/>
            <w:vAlign w:val="bottom"/>
          </w:tcPr>
          <w:p>
            <w:pPr>
              <w:ind w:left="100"/>
              <w:spacing w:after="0"/>
              <w:rPr>
                <w:sz w:val="20"/>
                <w:szCs w:val="20"/>
                <w:color w:val="auto"/>
              </w:rPr>
            </w:pPr>
            <w:r>
              <w:rPr>
                <w:rFonts w:ascii="Arial" w:cs="Arial" w:eastAsia="Arial" w:hAnsi="Arial"/>
                <w:sz w:val="18"/>
                <w:szCs w:val="18"/>
                <w:color w:val="auto"/>
              </w:rPr>
              <w:t>Inability to Determine Rates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3.04</w:t>
            </w:r>
          </w:p>
        </w:tc>
        <w:tc>
          <w:tcPr>
            <w:tcW w:w="9920" w:type="dxa"/>
            <w:vAlign w:val="bottom"/>
          </w:tcPr>
          <w:p>
            <w:pPr>
              <w:ind w:left="100"/>
              <w:spacing w:after="0"/>
              <w:rPr>
                <w:sz w:val="20"/>
                <w:szCs w:val="20"/>
                <w:color w:val="auto"/>
              </w:rPr>
            </w:pPr>
            <w:r>
              <w:rPr>
                <w:rFonts w:ascii="Arial" w:cs="Arial" w:eastAsia="Arial" w:hAnsi="Arial"/>
                <w:sz w:val="18"/>
                <w:szCs w:val="18"/>
                <w:color w:val="auto"/>
              </w:rPr>
              <w:t>Increased Costs; Reserves on Eurocurrency Rate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3.05</w:t>
            </w:r>
          </w:p>
        </w:tc>
        <w:tc>
          <w:tcPr>
            <w:tcW w:w="9920" w:type="dxa"/>
            <w:vAlign w:val="bottom"/>
          </w:tcPr>
          <w:p>
            <w:pPr>
              <w:ind w:left="100"/>
              <w:spacing w:after="0"/>
              <w:rPr>
                <w:sz w:val="20"/>
                <w:szCs w:val="20"/>
                <w:color w:val="auto"/>
              </w:rPr>
            </w:pPr>
            <w:r>
              <w:rPr>
                <w:rFonts w:ascii="Arial" w:cs="Arial" w:eastAsia="Arial" w:hAnsi="Arial"/>
                <w:sz w:val="18"/>
                <w:szCs w:val="18"/>
                <w:color w:val="auto"/>
              </w:rPr>
              <w:t>Compensation for Losses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3.06</w:t>
            </w:r>
          </w:p>
        </w:tc>
        <w:tc>
          <w:tcPr>
            <w:tcW w:w="9920" w:type="dxa"/>
            <w:vAlign w:val="bottom"/>
          </w:tcPr>
          <w:p>
            <w:pPr>
              <w:ind w:left="100"/>
              <w:spacing w:after="0"/>
              <w:rPr>
                <w:sz w:val="20"/>
                <w:szCs w:val="20"/>
                <w:color w:val="auto"/>
              </w:rPr>
            </w:pPr>
            <w:r>
              <w:rPr>
                <w:rFonts w:ascii="Arial" w:cs="Arial" w:eastAsia="Arial" w:hAnsi="Arial"/>
                <w:sz w:val="18"/>
                <w:szCs w:val="18"/>
                <w:color w:val="auto"/>
              </w:rPr>
              <w:t>Mitigation Obligations; Replacement of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760" w:type="dxa"/>
            <w:vAlign w:val="bottom"/>
          </w:tcPr>
          <w:p>
            <w:pPr>
              <w:jc w:val="right"/>
              <w:spacing w:after="0"/>
              <w:rPr>
                <w:sz w:val="20"/>
                <w:szCs w:val="20"/>
                <w:color w:val="auto"/>
              </w:rPr>
            </w:pPr>
            <w:r>
              <w:rPr>
                <w:rFonts w:ascii="Arial" w:cs="Arial" w:eastAsia="Arial" w:hAnsi="Arial"/>
                <w:sz w:val="18"/>
                <w:szCs w:val="18"/>
                <w:color w:val="auto"/>
              </w:rPr>
              <w:t>3.07</w:t>
            </w:r>
          </w:p>
        </w:tc>
        <w:tc>
          <w:tcPr>
            <w:tcW w:w="9920" w:type="dxa"/>
            <w:vAlign w:val="bottom"/>
          </w:tcPr>
          <w:p>
            <w:pPr>
              <w:ind w:left="100"/>
              <w:spacing w:after="0"/>
              <w:rPr>
                <w:sz w:val="20"/>
                <w:szCs w:val="20"/>
                <w:color w:val="auto"/>
              </w:rPr>
            </w:pPr>
            <w:r>
              <w:rPr>
                <w:rFonts w:ascii="Arial" w:cs="Arial" w:eastAsia="Arial" w:hAnsi="Arial"/>
                <w:sz w:val="18"/>
                <w:szCs w:val="18"/>
                <w:color w:val="auto"/>
              </w:rPr>
              <w:t>Survival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CONDITIONS PRECEDENT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24"/>
        </w:trPr>
        <w:tc>
          <w:tcPr>
            <w:tcW w:w="760" w:type="dxa"/>
            <w:vAlign w:val="bottom"/>
          </w:tcPr>
          <w:p>
            <w:pPr>
              <w:jc w:val="right"/>
              <w:spacing w:after="0"/>
              <w:rPr>
                <w:sz w:val="20"/>
                <w:szCs w:val="20"/>
                <w:color w:val="auto"/>
              </w:rPr>
            </w:pPr>
            <w:r>
              <w:rPr>
                <w:rFonts w:ascii="Arial" w:cs="Arial" w:eastAsia="Arial" w:hAnsi="Arial"/>
                <w:sz w:val="18"/>
                <w:szCs w:val="18"/>
                <w:color w:val="auto"/>
              </w:rPr>
              <w:t>4.01</w:t>
            </w:r>
          </w:p>
        </w:tc>
        <w:tc>
          <w:tcPr>
            <w:tcW w:w="9920" w:type="dxa"/>
            <w:vAlign w:val="bottom"/>
          </w:tcPr>
          <w:p>
            <w:pPr>
              <w:ind w:left="100"/>
              <w:spacing w:after="0"/>
              <w:rPr>
                <w:sz w:val="20"/>
                <w:szCs w:val="20"/>
                <w:color w:val="auto"/>
              </w:rPr>
            </w:pPr>
            <w:r>
              <w:rPr>
                <w:rFonts w:ascii="Arial" w:cs="Arial" w:eastAsia="Arial" w:hAnsi="Arial"/>
                <w:sz w:val="18"/>
                <w:szCs w:val="18"/>
                <w:color w:val="auto"/>
              </w:rPr>
              <w:t>Conditions to Effectiveness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9920" w:type="dxa"/>
            <w:vAlign w:val="bottom"/>
          </w:tcPr>
          <w:p>
            <w:pPr>
              <w:ind w:left="472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4.02</w:t>
            </w:r>
          </w:p>
        </w:tc>
        <w:tc>
          <w:tcPr>
            <w:tcW w:w="6860" w:type="dxa"/>
            <w:vAlign w:val="bottom"/>
          </w:tcPr>
          <w:p>
            <w:pPr>
              <w:ind w:left="100"/>
              <w:spacing w:after="0"/>
              <w:rPr>
                <w:sz w:val="20"/>
                <w:szCs w:val="20"/>
                <w:color w:val="auto"/>
              </w:rPr>
            </w:pPr>
            <w:r>
              <w:rPr>
                <w:rFonts w:ascii="Arial" w:cs="Arial" w:eastAsia="Arial" w:hAnsi="Arial"/>
                <w:sz w:val="18"/>
                <w:szCs w:val="18"/>
                <w:color w:val="auto"/>
              </w:rPr>
              <w:t>Conditions to all Credit Extensions</w:t>
            </w:r>
          </w:p>
        </w:tc>
        <w:tc>
          <w:tcPr>
            <w:tcW w:w="33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760" w:type="dxa"/>
            <w:vAlign w:val="bottom"/>
          </w:tcPr>
          <w:p>
            <w:pPr>
              <w:jc w:val="right"/>
              <w:spacing w:after="0"/>
              <w:rPr>
                <w:sz w:val="20"/>
                <w:szCs w:val="20"/>
                <w:color w:val="auto"/>
              </w:rPr>
            </w:pPr>
            <w:r>
              <w:rPr>
                <w:rFonts w:ascii="Arial" w:cs="Arial" w:eastAsia="Arial" w:hAnsi="Arial"/>
                <w:sz w:val="18"/>
                <w:szCs w:val="18"/>
                <w:color w:val="auto"/>
              </w:rPr>
              <w:t>4.03</w:t>
            </w:r>
          </w:p>
        </w:tc>
        <w:tc>
          <w:tcPr>
            <w:tcW w:w="6860" w:type="dxa"/>
            <w:vAlign w:val="bottom"/>
          </w:tcPr>
          <w:p>
            <w:pPr>
              <w:ind w:left="100"/>
              <w:spacing w:after="0"/>
              <w:rPr>
                <w:sz w:val="20"/>
                <w:szCs w:val="20"/>
                <w:color w:val="auto"/>
              </w:rPr>
            </w:pPr>
            <w:r>
              <w:rPr>
                <w:rFonts w:ascii="Arial" w:cs="Arial" w:eastAsia="Arial" w:hAnsi="Arial"/>
                <w:sz w:val="18"/>
                <w:szCs w:val="18"/>
                <w:color w:val="auto"/>
              </w:rPr>
              <w:t>Conditions Precedent to Full Availability</w:t>
            </w:r>
          </w:p>
        </w:tc>
        <w:tc>
          <w:tcPr>
            <w:tcW w:w="3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762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3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0"/>
        </w:trPr>
        <w:tc>
          <w:tcPr>
            <w:tcW w:w="760" w:type="dxa"/>
            <w:vAlign w:val="bottom"/>
          </w:tcPr>
          <w:p>
            <w:pPr>
              <w:jc w:val="right"/>
              <w:spacing w:after="0"/>
              <w:rPr>
                <w:sz w:val="20"/>
                <w:szCs w:val="20"/>
                <w:color w:val="auto"/>
              </w:rPr>
            </w:pPr>
            <w:r>
              <w:rPr>
                <w:rFonts w:ascii="Arial" w:cs="Arial" w:eastAsia="Arial" w:hAnsi="Arial"/>
                <w:sz w:val="18"/>
                <w:szCs w:val="18"/>
                <w:color w:val="auto"/>
              </w:rPr>
              <w:t>5.01</w:t>
            </w:r>
          </w:p>
        </w:tc>
        <w:tc>
          <w:tcPr>
            <w:tcW w:w="6860" w:type="dxa"/>
            <w:vAlign w:val="bottom"/>
          </w:tcPr>
          <w:p>
            <w:pPr>
              <w:ind w:left="100"/>
              <w:spacing w:after="0"/>
              <w:rPr>
                <w:sz w:val="20"/>
                <w:szCs w:val="20"/>
                <w:color w:val="auto"/>
              </w:rPr>
            </w:pPr>
            <w:r>
              <w:rPr>
                <w:rFonts w:ascii="Arial" w:cs="Arial" w:eastAsia="Arial" w:hAnsi="Arial"/>
                <w:sz w:val="18"/>
                <w:szCs w:val="18"/>
                <w:color w:val="auto"/>
              </w:rPr>
              <w:t>Existence, Qualification and Power</w:t>
            </w:r>
          </w:p>
        </w:tc>
        <w:tc>
          <w:tcPr>
            <w:tcW w:w="3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5.02</w:t>
            </w:r>
          </w:p>
        </w:tc>
        <w:tc>
          <w:tcPr>
            <w:tcW w:w="6860" w:type="dxa"/>
            <w:vAlign w:val="bottom"/>
          </w:tcPr>
          <w:p>
            <w:pPr>
              <w:ind w:left="100"/>
              <w:spacing w:after="0"/>
              <w:rPr>
                <w:sz w:val="20"/>
                <w:szCs w:val="20"/>
                <w:color w:val="auto"/>
              </w:rPr>
            </w:pPr>
            <w:r>
              <w:rPr>
                <w:rFonts w:ascii="Arial" w:cs="Arial" w:eastAsia="Arial" w:hAnsi="Arial"/>
                <w:sz w:val="18"/>
                <w:szCs w:val="18"/>
                <w:color w:val="auto"/>
              </w:rPr>
              <w:t>Authorization; No Contravention</w:t>
            </w:r>
          </w:p>
        </w:tc>
        <w:tc>
          <w:tcPr>
            <w:tcW w:w="3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5.03</w:t>
            </w:r>
          </w:p>
        </w:tc>
        <w:tc>
          <w:tcPr>
            <w:tcW w:w="6860" w:type="dxa"/>
            <w:vAlign w:val="bottom"/>
          </w:tcPr>
          <w:p>
            <w:pPr>
              <w:ind w:left="100"/>
              <w:spacing w:after="0"/>
              <w:rPr>
                <w:sz w:val="20"/>
                <w:szCs w:val="20"/>
                <w:color w:val="auto"/>
              </w:rPr>
            </w:pPr>
            <w:r>
              <w:rPr>
                <w:rFonts w:ascii="Arial" w:cs="Arial" w:eastAsia="Arial" w:hAnsi="Arial"/>
                <w:sz w:val="18"/>
                <w:szCs w:val="18"/>
                <w:color w:val="auto"/>
              </w:rPr>
              <w:t>Governmental Authorization; Other Consents</w:t>
            </w:r>
          </w:p>
        </w:tc>
        <w:tc>
          <w:tcPr>
            <w:tcW w:w="3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5.04</w:t>
            </w:r>
          </w:p>
        </w:tc>
        <w:tc>
          <w:tcPr>
            <w:tcW w:w="6860" w:type="dxa"/>
            <w:vAlign w:val="bottom"/>
          </w:tcPr>
          <w:p>
            <w:pPr>
              <w:ind w:left="100"/>
              <w:spacing w:after="0"/>
              <w:rPr>
                <w:sz w:val="20"/>
                <w:szCs w:val="20"/>
                <w:color w:val="auto"/>
              </w:rPr>
            </w:pPr>
            <w:r>
              <w:rPr>
                <w:rFonts w:ascii="Arial" w:cs="Arial" w:eastAsia="Arial" w:hAnsi="Arial"/>
                <w:sz w:val="18"/>
                <w:szCs w:val="18"/>
                <w:color w:val="auto"/>
              </w:rPr>
              <w:t>Binding Effect</w:t>
            </w:r>
          </w:p>
        </w:tc>
        <w:tc>
          <w:tcPr>
            <w:tcW w:w="3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5.05</w:t>
            </w:r>
          </w:p>
        </w:tc>
        <w:tc>
          <w:tcPr>
            <w:tcW w:w="6860" w:type="dxa"/>
            <w:vAlign w:val="bottom"/>
          </w:tcPr>
          <w:p>
            <w:pPr>
              <w:ind w:left="100"/>
              <w:spacing w:after="0"/>
              <w:rPr>
                <w:sz w:val="20"/>
                <w:szCs w:val="20"/>
                <w:color w:val="auto"/>
              </w:rPr>
            </w:pPr>
            <w:r>
              <w:rPr>
                <w:rFonts w:ascii="Arial" w:cs="Arial" w:eastAsia="Arial" w:hAnsi="Arial"/>
                <w:sz w:val="18"/>
                <w:szCs w:val="18"/>
                <w:color w:val="auto"/>
              </w:rPr>
              <w:t>Financial Statements; No Material Adverse Effect</w:t>
            </w:r>
          </w:p>
        </w:tc>
        <w:tc>
          <w:tcPr>
            <w:tcW w:w="3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5.06</w:t>
            </w:r>
          </w:p>
        </w:tc>
        <w:tc>
          <w:tcPr>
            <w:tcW w:w="686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3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5.07</w:t>
            </w:r>
          </w:p>
        </w:tc>
        <w:tc>
          <w:tcPr>
            <w:tcW w:w="6860" w:type="dxa"/>
            <w:vAlign w:val="bottom"/>
          </w:tcPr>
          <w:p>
            <w:pPr>
              <w:ind w:left="100"/>
              <w:spacing w:after="0"/>
              <w:rPr>
                <w:sz w:val="20"/>
                <w:szCs w:val="20"/>
                <w:color w:val="auto"/>
              </w:rPr>
            </w:pPr>
            <w:r>
              <w:rPr>
                <w:rFonts w:ascii="Arial" w:cs="Arial" w:eastAsia="Arial" w:hAnsi="Arial"/>
                <w:sz w:val="18"/>
                <w:szCs w:val="18"/>
                <w:color w:val="auto"/>
              </w:rPr>
              <w:t>No Default</w:t>
            </w:r>
          </w:p>
        </w:tc>
        <w:tc>
          <w:tcPr>
            <w:tcW w:w="3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5.08</w:t>
            </w:r>
          </w:p>
        </w:tc>
        <w:tc>
          <w:tcPr>
            <w:tcW w:w="6860" w:type="dxa"/>
            <w:vAlign w:val="bottom"/>
          </w:tcPr>
          <w:p>
            <w:pPr>
              <w:ind w:left="100"/>
              <w:spacing w:after="0"/>
              <w:rPr>
                <w:sz w:val="20"/>
                <w:szCs w:val="20"/>
                <w:color w:val="auto"/>
              </w:rPr>
            </w:pPr>
            <w:r>
              <w:rPr>
                <w:rFonts w:ascii="Arial" w:cs="Arial" w:eastAsia="Arial" w:hAnsi="Arial"/>
                <w:sz w:val="18"/>
                <w:szCs w:val="18"/>
                <w:color w:val="auto"/>
              </w:rPr>
              <w:t>Ownership of Property; Liens</w:t>
            </w:r>
          </w:p>
        </w:tc>
        <w:tc>
          <w:tcPr>
            <w:tcW w:w="33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5.09</w:t>
            </w:r>
          </w:p>
        </w:tc>
        <w:tc>
          <w:tcPr>
            <w:tcW w:w="68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33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5.10</w:t>
            </w:r>
          </w:p>
        </w:tc>
        <w:tc>
          <w:tcPr>
            <w:tcW w:w="686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33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6860" w:type="dxa"/>
            <w:vAlign w:val="bottom"/>
          </w:tcPr>
          <w:p>
            <w:pPr>
              <w:ind w:left="100"/>
              <w:spacing w:after="0"/>
              <w:rPr>
                <w:sz w:val="20"/>
                <w:szCs w:val="20"/>
                <w:color w:val="auto"/>
              </w:rPr>
            </w:pPr>
            <w:r>
              <w:rPr>
                <w:rFonts w:ascii="Arial" w:cs="Arial" w:eastAsia="Arial" w:hAnsi="Arial"/>
                <w:sz w:val="18"/>
                <w:szCs w:val="18"/>
                <w:color w:val="auto"/>
              </w:rPr>
              <w:t>Taxes</w:t>
            </w:r>
          </w:p>
        </w:tc>
        <w:tc>
          <w:tcPr>
            <w:tcW w:w="33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5.12</w:t>
            </w:r>
          </w:p>
        </w:tc>
        <w:tc>
          <w:tcPr>
            <w:tcW w:w="6860" w:type="dxa"/>
            <w:vAlign w:val="bottom"/>
          </w:tcPr>
          <w:p>
            <w:pPr>
              <w:ind w:left="100"/>
              <w:spacing w:after="0"/>
              <w:rPr>
                <w:sz w:val="20"/>
                <w:szCs w:val="20"/>
                <w:color w:val="auto"/>
              </w:rPr>
            </w:pPr>
            <w:r>
              <w:rPr>
                <w:rFonts w:ascii="Arial" w:cs="Arial" w:eastAsia="Arial" w:hAnsi="Arial"/>
                <w:sz w:val="18"/>
                <w:szCs w:val="18"/>
                <w:color w:val="auto"/>
              </w:rPr>
              <w:t>ERISA Compliance</w:t>
            </w:r>
          </w:p>
        </w:tc>
        <w:tc>
          <w:tcPr>
            <w:tcW w:w="33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5.13</w:t>
            </w:r>
          </w:p>
        </w:tc>
        <w:tc>
          <w:tcPr>
            <w:tcW w:w="68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33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5.14</w:t>
            </w:r>
          </w:p>
        </w:tc>
        <w:tc>
          <w:tcPr>
            <w:tcW w:w="6860" w:type="dxa"/>
            <w:vAlign w:val="bottom"/>
          </w:tcPr>
          <w:p>
            <w:pPr>
              <w:ind w:left="100"/>
              <w:spacing w:after="0"/>
              <w:rPr>
                <w:sz w:val="20"/>
                <w:szCs w:val="20"/>
                <w:color w:val="auto"/>
              </w:rPr>
            </w:pPr>
            <w:r>
              <w:rPr>
                <w:rFonts w:ascii="Arial" w:cs="Arial" w:eastAsia="Arial" w:hAnsi="Arial"/>
                <w:sz w:val="18"/>
                <w:szCs w:val="18"/>
                <w:color w:val="auto"/>
              </w:rPr>
              <w:t>Margin Regulations; Investment Company Act</w:t>
            </w:r>
          </w:p>
        </w:tc>
        <w:tc>
          <w:tcPr>
            <w:tcW w:w="33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5.15</w:t>
            </w:r>
          </w:p>
        </w:tc>
        <w:tc>
          <w:tcPr>
            <w:tcW w:w="6860" w:type="dxa"/>
            <w:vAlign w:val="bottom"/>
          </w:tcPr>
          <w:p>
            <w:pPr>
              <w:ind w:left="100"/>
              <w:spacing w:after="0"/>
              <w:rPr>
                <w:sz w:val="20"/>
                <w:szCs w:val="20"/>
                <w:color w:val="auto"/>
              </w:rPr>
            </w:pPr>
            <w:r>
              <w:rPr>
                <w:rFonts w:ascii="Arial" w:cs="Arial" w:eastAsia="Arial" w:hAnsi="Arial"/>
                <w:sz w:val="18"/>
                <w:szCs w:val="18"/>
                <w:color w:val="auto"/>
              </w:rPr>
              <w:t>Disclosure</w:t>
            </w:r>
          </w:p>
        </w:tc>
        <w:tc>
          <w:tcPr>
            <w:tcW w:w="33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5.16</w:t>
            </w:r>
          </w:p>
        </w:tc>
        <w:tc>
          <w:tcPr>
            <w:tcW w:w="6860" w:type="dxa"/>
            <w:vAlign w:val="bottom"/>
          </w:tcPr>
          <w:p>
            <w:pPr>
              <w:ind w:left="100"/>
              <w:spacing w:after="0"/>
              <w:rPr>
                <w:sz w:val="20"/>
                <w:szCs w:val="20"/>
                <w:color w:val="auto"/>
              </w:rPr>
            </w:pPr>
            <w:r>
              <w:rPr>
                <w:rFonts w:ascii="Arial" w:cs="Arial" w:eastAsia="Arial" w:hAnsi="Arial"/>
                <w:sz w:val="18"/>
                <w:szCs w:val="18"/>
                <w:color w:val="auto"/>
              </w:rPr>
              <w:t>Compliance with Laws</w:t>
            </w:r>
          </w:p>
        </w:tc>
        <w:tc>
          <w:tcPr>
            <w:tcW w:w="33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5.17</w:t>
            </w:r>
          </w:p>
        </w:tc>
        <w:tc>
          <w:tcPr>
            <w:tcW w:w="6860" w:type="dxa"/>
            <w:vAlign w:val="bottom"/>
          </w:tcPr>
          <w:p>
            <w:pPr>
              <w:ind w:left="100"/>
              <w:spacing w:after="0"/>
              <w:rPr>
                <w:sz w:val="20"/>
                <w:szCs w:val="20"/>
                <w:color w:val="auto"/>
              </w:rPr>
            </w:pPr>
            <w:r>
              <w:rPr>
                <w:rFonts w:ascii="Arial" w:cs="Arial" w:eastAsia="Arial" w:hAnsi="Arial"/>
                <w:sz w:val="18"/>
                <w:szCs w:val="18"/>
                <w:color w:val="auto"/>
              </w:rPr>
              <w:t>Taxpayer Identification Number</w:t>
            </w:r>
          </w:p>
        </w:tc>
        <w:tc>
          <w:tcPr>
            <w:tcW w:w="33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5.18</w:t>
            </w:r>
          </w:p>
        </w:tc>
        <w:tc>
          <w:tcPr>
            <w:tcW w:w="68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33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5.19</w:t>
            </w:r>
          </w:p>
        </w:tc>
        <w:tc>
          <w:tcPr>
            <w:tcW w:w="6860" w:type="dxa"/>
            <w:vAlign w:val="bottom"/>
          </w:tcPr>
          <w:p>
            <w:pPr>
              <w:ind w:left="100"/>
              <w:spacing w:after="0"/>
              <w:rPr>
                <w:sz w:val="20"/>
                <w:szCs w:val="20"/>
                <w:color w:val="auto"/>
              </w:rPr>
            </w:pPr>
            <w:r>
              <w:rPr>
                <w:rFonts w:ascii="Arial" w:cs="Arial" w:eastAsia="Arial" w:hAnsi="Arial"/>
                <w:sz w:val="18"/>
                <w:szCs w:val="18"/>
                <w:color w:val="auto"/>
              </w:rPr>
              <w:t>Sanctions</w:t>
            </w:r>
          </w:p>
        </w:tc>
        <w:tc>
          <w:tcPr>
            <w:tcW w:w="33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5.20</w:t>
            </w:r>
          </w:p>
        </w:tc>
        <w:tc>
          <w:tcPr>
            <w:tcW w:w="6860" w:type="dxa"/>
            <w:vAlign w:val="bottom"/>
          </w:tcPr>
          <w:p>
            <w:pPr>
              <w:ind w:left="100"/>
              <w:spacing w:after="0"/>
              <w:rPr>
                <w:sz w:val="20"/>
                <w:szCs w:val="20"/>
                <w:color w:val="auto"/>
              </w:rPr>
            </w:pPr>
            <w:r>
              <w:rPr>
                <w:rFonts w:ascii="Arial" w:cs="Arial" w:eastAsia="Arial" w:hAnsi="Arial"/>
                <w:sz w:val="18"/>
                <w:szCs w:val="18"/>
                <w:color w:val="auto"/>
              </w:rPr>
              <w:t>Anti-Corruption Laws</w:t>
            </w:r>
          </w:p>
        </w:tc>
        <w:tc>
          <w:tcPr>
            <w:tcW w:w="33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760" w:type="dxa"/>
            <w:vAlign w:val="bottom"/>
          </w:tcPr>
          <w:p>
            <w:pPr>
              <w:jc w:val="right"/>
              <w:spacing w:after="0"/>
              <w:rPr>
                <w:sz w:val="20"/>
                <w:szCs w:val="20"/>
                <w:color w:val="auto"/>
              </w:rPr>
            </w:pPr>
            <w:r>
              <w:rPr>
                <w:rFonts w:ascii="Arial" w:cs="Arial" w:eastAsia="Arial" w:hAnsi="Arial"/>
                <w:sz w:val="18"/>
                <w:szCs w:val="18"/>
                <w:color w:val="auto"/>
              </w:rPr>
              <w:t>5.21</w:t>
            </w:r>
          </w:p>
        </w:tc>
        <w:tc>
          <w:tcPr>
            <w:tcW w:w="6860" w:type="dxa"/>
            <w:vAlign w:val="bottom"/>
          </w:tcPr>
          <w:p>
            <w:pPr>
              <w:ind w:left="100"/>
              <w:spacing w:after="0"/>
              <w:rPr>
                <w:sz w:val="20"/>
                <w:szCs w:val="20"/>
                <w:color w:val="auto"/>
              </w:rPr>
            </w:pPr>
            <w:r>
              <w:rPr>
                <w:rFonts w:ascii="Arial" w:cs="Arial" w:eastAsia="Arial" w:hAnsi="Arial"/>
                <w:sz w:val="18"/>
                <w:szCs w:val="18"/>
                <w:color w:val="auto"/>
              </w:rPr>
              <w:t>Affected Financial Institutions</w:t>
            </w:r>
          </w:p>
        </w:tc>
        <w:tc>
          <w:tcPr>
            <w:tcW w:w="33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7620" w:type="dxa"/>
            <w:vAlign w:val="bottom"/>
            <w:gridSpan w:val="2"/>
          </w:tcPr>
          <w:p>
            <w:pPr>
              <w:spacing w:after="0"/>
              <w:rPr>
                <w:sz w:val="20"/>
                <w:szCs w:val="20"/>
                <w:color w:val="auto"/>
              </w:rPr>
            </w:pPr>
            <w:r>
              <w:rPr>
                <w:rFonts w:ascii="Arial" w:cs="Arial" w:eastAsia="Arial" w:hAnsi="Arial"/>
                <w:sz w:val="18"/>
                <w:szCs w:val="18"/>
                <w:color w:val="auto"/>
              </w:rPr>
              <w:t>ARTICLE VI AFFIRMATIVE COVENANTS</w:t>
            </w:r>
          </w:p>
        </w:tc>
        <w:tc>
          <w:tcPr>
            <w:tcW w:w="33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10"/>
        </w:trPr>
        <w:tc>
          <w:tcPr>
            <w:tcW w:w="760" w:type="dxa"/>
            <w:vAlign w:val="bottom"/>
          </w:tcPr>
          <w:p>
            <w:pPr>
              <w:jc w:val="right"/>
              <w:spacing w:after="0"/>
              <w:rPr>
                <w:sz w:val="20"/>
                <w:szCs w:val="20"/>
                <w:color w:val="auto"/>
              </w:rPr>
            </w:pPr>
            <w:r>
              <w:rPr>
                <w:rFonts w:ascii="Arial" w:cs="Arial" w:eastAsia="Arial" w:hAnsi="Arial"/>
                <w:sz w:val="18"/>
                <w:szCs w:val="18"/>
                <w:color w:val="auto"/>
              </w:rPr>
              <w:t>6.01</w:t>
            </w:r>
          </w:p>
        </w:tc>
        <w:tc>
          <w:tcPr>
            <w:tcW w:w="686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33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6.02</w:t>
            </w:r>
          </w:p>
        </w:tc>
        <w:tc>
          <w:tcPr>
            <w:tcW w:w="6860" w:type="dxa"/>
            <w:vAlign w:val="bottom"/>
          </w:tcPr>
          <w:p>
            <w:pPr>
              <w:ind w:left="100"/>
              <w:spacing w:after="0"/>
              <w:rPr>
                <w:sz w:val="20"/>
                <w:szCs w:val="20"/>
                <w:color w:val="auto"/>
              </w:rPr>
            </w:pPr>
            <w:r>
              <w:rPr>
                <w:rFonts w:ascii="Arial" w:cs="Arial" w:eastAsia="Arial" w:hAnsi="Arial"/>
                <w:sz w:val="18"/>
                <w:szCs w:val="18"/>
                <w:color w:val="auto"/>
              </w:rPr>
              <w:t>Certificates; Other Information</w:t>
            </w:r>
          </w:p>
        </w:tc>
        <w:tc>
          <w:tcPr>
            <w:tcW w:w="33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6.03</w:t>
            </w:r>
          </w:p>
        </w:tc>
        <w:tc>
          <w:tcPr>
            <w:tcW w:w="6860" w:type="dxa"/>
            <w:vAlign w:val="bottom"/>
          </w:tcPr>
          <w:p>
            <w:pPr>
              <w:ind w:left="100"/>
              <w:spacing w:after="0"/>
              <w:rPr>
                <w:sz w:val="20"/>
                <w:szCs w:val="20"/>
                <w:color w:val="auto"/>
              </w:rPr>
            </w:pPr>
            <w:r>
              <w:rPr>
                <w:rFonts w:ascii="Arial" w:cs="Arial" w:eastAsia="Arial" w:hAnsi="Arial"/>
                <w:sz w:val="18"/>
                <w:szCs w:val="18"/>
                <w:color w:val="auto"/>
              </w:rPr>
              <w:t>Notices</w:t>
            </w:r>
          </w:p>
        </w:tc>
        <w:tc>
          <w:tcPr>
            <w:tcW w:w="33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6.04</w:t>
            </w:r>
          </w:p>
        </w:tc>
        <w:tc>
          <w:tcPr>
            <w:tcW w:w="6860" w:type="dxa"/>
            <w:vAlign w:val="bottom"/>
          </w:tcPr>
          <w:p>
            <w:pPr>
              <w:ind w:left="100"/>
              <w:spacing w:after="0"/>
              <w:rPr>
                <w:sz w:val="20"/>
                <w:szCs w:val="20"/>
                <w:color w:val="auto"/>
              </w:rPr>
            </w:pPr>
            <w:r>
              <w:rPr>
                <w:rFonts w:ascii="Arial" w:cs="Arial" w:eastAsia="Arial" w:hAnsi="Arial"/>
                <w:sz w:val="18"/>
                <w:szCs w:val="18"/>
                <w:color w:val="auto"/>
              </w:rPr>
              <w:t>Payment of Obligations</w:t>
            </w:r>
          </w:p>
        </w:tc>
        <w:tc>
          <w:tcPr>
            <w:tcW w:w="33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6.05</w:t>
            </w:r>
          </w:p>
        </w:tc>
        <w:tc>
          <w:tcPr>
            <w:tcW w:w="6860" w:type="dxa"/>
            <w:vAlign w:val="bottom"/>
          </w:tcPr>
          <w:p>
            <w:pPr>
              <w:ind w:left="100"/>
              <w:spacing w:after="0"/>
              <w:rPr>
                <w:sz w:val="20"/>
                <w:szCs w:val="20"/>
                <w:color w:val="auto"/>
              </w:rPr>
            </w:pPr>
            <w:r>
              <w:rPr>
                <w:rFonts w:ascii="Arial" w:cs="Arial" w:eastAsia="Arial" w:hAnsi="Arial"/>
                <w:sz w:val="18"/>
                <w:szCs w:val="18"/>
                <w:color w:val="auto"/>
              </w:rPr>
              <w:t>Preservation of Existence, Etc</w:t>
            </w:r>
          </w:p>
        </w:tc>
        <w:tc>
          <w:tcPr>
            <w:tcW w:w="3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6.06</w:t>
            </w:r>
          </w:p>
        </w:tc>
        <w:tc>
          <w:tcPr>
            <w:tcW w:w="68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3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6.07</w:t>
            </w:r>
          </w:p>
        </w:tc>
        <w:tc>
          <w:tcPr>
            <w:tcW w:w="68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3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6.08</w:t>
            </w:r>
          </w:p>
        </w:tc>
        <w:tc>
          <w:tcPr>
            <w:tcW w:w="6860" w:type="dxa"/>
            <w:vAlign w:val="bottom"/>
          </w:tcPr>
          <w:p>
            <w:pPr>
              <w:ind w:left="100"/>
              <w:spacing w:after="0"/>
              <w:rPr>
                <w:sz w:val="20"/>
                <w:szCs w:val="20"/>
                <w:color w:val="auto"/>
              </w:rPr>
            </w:pPr>
            <w:r>
              <w:rPr>
                <w:rFonts w:ascii="Arial" w:cs="Arial" w:eastAsia="Arial" w:hAnsi="Arial"/>
                <w:sz w:val="18"/>
                <w:szCs w:val="18"/>
                <w:color w:val="auto"/>
              </w:rPr>
              <w:t>Compliance with Laws</w:t>
            </w:r>
          </w:p>
        </w:tc>
        <w:tc>
          <w:tcPr>
            <w:tcW w:w="3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6.09</w:t>
            </w:r>
          </w:p>
        </w:tc>
        <w:tc>
          <w:tcPr>
            <w:tcW w:w="6860" w:type="dxa"/>
            <w:vAlign w:val="bottom"/>
          </w:tcPr>
          <w:p>
            <w:pPr>
              <w:ind w:left="100"/>
              <w:spacing w:after="0"/>
              <w:rPr>
                <w:sz w:val="20"/>
                <w:szCs w:val="20"/>
                <w:color w:val="auto"/>
              </w:rPr>
            </w:pPr>
            <w:r>
              <w:rPr>
                <w:rFonts w:ascii="Arial" w:cs="Arial" w:eastAsia="Arial" w:hAnsi="Arial"/>
                <w:sz w:val="18"/>
                <w:szCs w:val="18"/>
                <w:color w:val="auto"/>
              </w:rPr>
              <w:t>Books and Records</w:t>
            </w:r>
          </w:p>
        </w:tc>
        <w:tc>
          <w:tcPr>
            <w:tcW w:w="3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6.10</w:t>
            </w:r>
          </w:p>
        </w:tc>
        <w:tc>
          <w:tcPr>
            <w:tcW w:w="6860" w:type="dxa"/>
            <w:vAlign w:val="bottom"/>
          </w:tcPr>
          <w:p>
            <w:pPr>
              <w:ind w:left="100"/>
              <w:spacing w:after="0"/>
              <w:rPr>
                <w:sz w:val="20"/>
                <w:szCs w:val="20"/>
                <w:color w:val="auto"/>
              </w:rPr>
            </w:pPr>
            <w:r>
              <w:rPr>
                <w:rFonts w:ascii="Arial" w:cs="Arial" w:eastAsia="Arial" w:hAnsi="Arial"/>
                <w:sz w:val="18"/>
                <w:szCs w:val="18"/>
                <w:color w:val="auto"/>
              </w:rPr>
              <w:t>Inspection Rights</w:t>
            </w:r>
          </w:p>
        </w:tc>
        <w:tc>
          <w:tcPr>
            <w:tcW w:w="3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686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3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760" w:type="dxa"/>
            <w:vAlign w:val="bottom"/>
          </w:tcPr>
          <w:p>
            <w:pPr>
              <w:jc w:val="right"/>
              <w:spacing w:after="0"/>
              <w:rPr>
                <w:sz w:val="20"/>
                <w:szCs w:val="20"/>
                <w:color w:val="auto"/>
              </w:rPr>
            </w:pPr>
            <w:r>
              <w:rPr>
                <w:rFonts w:ascii="Arial" w:cs="Arial" w:eastAsia="Arial" w:hAnsi="Arial"/>
                <w:sz w:val="18"/>
                <w:szCs w:val="18"/>
                <w:color w:val="auto"/>
              </w:rPr>
              <w:t>6.12</w:t>
            </w:r>
          </w:p>
        </w:tc>
        <w:tc>
          <w:tcPr>
            <w:tcW w:w="6860" w:type="dxa"/>
            <w:vAlign w:val="bottom"/>
          </w:tcPr>
          <w:p>
            <w:pPr>
              <w:ind w:left="100"/>
              <w:spacing w:after="0"/>
              <w:rPr>
                <w:sz w:val="20"/>
                <w:szCs w:val="20"/>
                <w:color w:val="auto"/>
              </w:rPr>
            </w:pPr>
            <w:r>
              <w:rPr>
                <w:rFonts w:ascii="Arial" w:cs="Arial" w:eastAsia="Arial" w:hAnsi="Arial"/>
                <w:sz w:val="18"/>
                <w:szCs w:val="18"/>
                <w:color w:val="auto"/>
              </w:rPr>
              <w:t>Anti-Corruption Laws</w:t>
            </w:r>
          </w:p>
        </w:tc>
        <w:tc>
          <w:tcPr>
            <w:tcW w:w="33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7620" w:type="dxa"/>
            <w:vAlign w:val="bottom"/>
            <w:gridSpan w:val="2"/>
          </w:tcPr>
          <w:p>
            <w:pPr>
              <w:spacing w:after="0"/>
              <w:rPr>
                <w:sz w:val="20"/>
                <w:szCs w:val="20"/>
                <w:color w:val="auto"/>
              </w:rPr>
            </w:pPr>
            <w:r>
              <w:rPr>
                <w:rFonts w:ascii="Arial" w:cs="Arial" w:eastAsia="Arial" w:hAnsi="Arial"/>
                <w:sz w:val="18"/>
                <w:szCs w:val="18"/>
                <w:color w:val="auto"/>
              </w:rPr>
              <w:t>ARTICLE VII NEGATIVE COVENANTS</w:t>
            </w:r>
          </w:p>
        </w:tc>
        <w:tc>
          <w:tcPr>
            <w:tcW w:w="33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10"/>
        </w:trPr>
        <w:tc>
          <w:tcPr>
            <w:tcW w:w="760" w:type="dxa"/>
            <w:vAlign w:val="bottom"/>
          </w:tcPr>
          <w:p>
            <w:pPr>
              <w:jc w:val="right"/>
              <w:spacing w:after="0"/>
              <w:rPr>
                <w:sz w:val="20"/>
                <w:szCs w:val="20"/>
                <w:color w:val="auto"/>
              </w:rPr>
            </w:pPr>
            <w:r>
              <w:rPr>
                <w:rFonts w:ascii="Arial" w:cs="Arial" w:eastAsia="Arial" w:hAnsi="Arial"/>
                <w:sz w:val="18"/>
                <w:szCs w:val="18"/>
                <w:color w:val="auto"/>
              </w:rPr>
              <w:t>7.01</w:t>
            </w:r>
          </w:p>
        </w:tc>
        <w:tc>
          <w:tcPr>
            <w:tcW w:w="6860" w:type="dxa"/>
            <w:vAlign w:val="bottom"/>
          </w:tcPr>
          <w:p>
            <w:pPr>
              <w:ind w:left="100"/>
              <w:spacing w:after="0"/>
              <w:rPr>
                <w:sz w:val="20"/>
                <w:szCs w:val="20"/>
                <w:color w:val="auto"/>
              </w:rPr>
            </w:pPr>
            <w:r>
              <w:rPr>
                <w:rFonts w:ascii="Arial" w:cs="Arial" w:eastAsia="Arial" w:hAnsi="Arial"/>
                <w:sz w:val="18"/>
                <w:szCs w:val="18"/>
                <w:color w:val="auto"/>
              </w:rPr>
              <w:t>Liens</w:t>
            </w:r>
          </w:p>
        </w:tc>
        <w:tc>
          <w:tcPr>
            <w:tcW w:w="33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7.02</w:t>
            </w:r>
          </w:p>
        </w:tc>
        <w:tc>
          <w:tcPr>
            <w:tcW w:w="6860" w:type="dxa"/>
            <w:vAlign w:val="bottom"/>
          </w:tcPr>
          <w:p>
            <w:pPr>
              <w:ind w:left="100"/>
              <w:spacing w:after="0"/>
              <w:rPr>
                <w:sz w:val="20"/>
                <w:szCs w:val="20"/>
                <w:color w:val="auto"/>
              </w:rPr>
            </w:pPr>
            <w:r>
              <w:rPr>
                <w:rFonts w:ascii="Arial" w:cs="Arial" w:eastAsia="Arial" w:hAnsi="Arial"/>
                <w:sz w:val="18"/>
                <w:szCs w:val="18"/>
                <w:color w:val="auto"/>
              </w:rPr>
              <w:t>Indebtedness</w:t>
            </w:r>
          </w:p>
        </w:tc>
        <w:tc>
          <w:tcPr>
            <w:tcW w:w="33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7.03</w:t>
            </w:r>
          </w:p>
        </w:tc>
        <w:tc>
          <w:tcPr>
            <w:tcW w:w="6860" w:type="dxa"/>
            <w:vAlign w:val="bottom"/>
          </w:tcPr>
          <w:p>
            <w:pPr>
              <w:ind w:left="100"/>
              <w:spacing w:after="0"/>
              <w:rPr>
                <w:sz w:val="20"/>
                <w:szCs w:val="20"/>
                <w:color w:val="auto"/>
              </w:rPr>
            </w:pPr>
            <w:r>
              <w:rPr>
                <w:rFonts w:ascii="Arial" w:cs="Arial" w:eastAsia="Arial" w:hAnsi="Arial"/>
                <w:sz w:val="18"/>
                <w:szCs w:val="18"/>
                <w:color w:val="auto"/>
              </w:rPr>
              <w:t>Fundamental Changes</w:t>
            </w:r>
          </w:p>
        </w:tc>
        <w:tc>
          <w:tcPr>
            <w:tcW w:w="33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7.04</w:t>
            </w:r>
          </w:p>
        </w:tc>
        <w:tc>
          <w:tcPr>
            <w:tcW w:w="68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33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7.05</w:t>
            </w:r>
          </w:p>
        </w:tc>
        <w:tc>
          <w:tcPr>
            <w:tcW w:w="686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33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7.06</w:t>
            </w:r>
          </w:p>
        </w:tc>
        <w:tc>
          <w:tcPr>
            <w:tcW w:w="6860" w:type="dxa"/>
            <w:vAlign w:val="bottom"/>
          </w:tcPr>
          <w:p>
            <w:pPr>
              <w:ind w:left="100"/>
              <w:spacing w:after="0"/>
              <w:rPr>
                <w:sz w:val="20"/>
                <w:szCs w:val="20"/>
                <w:color w:val="auto"/>
              </w:rPr>
            </w:pPr>
            <w:r>
              <w:rPr>
                <w:rFonts w:ascii="Arial" w:cs="Arial" w:eastAsia="Arial" w:hAnsi="Arial"/>
                <w:sz w:val="18"/>
                <w:szCs w:val="18"/>
                <w:color w:val="auto"/>
              </w:rPr>
              <w:t>Fiscal Year</w:t>
            </w:r>
          </w:p>
        </w:tc>
        <w:tc>
          <w:tcPr>
            <w:tcW w:w="33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760" w:type="dxa"/>
            <w:vAlign w:val="bottom"/>
          </w:tcPr>
          <w:p>
            <w:pPr>
              <w:jc w:val="right"/>
              <w:spacing w:after="0"/>
              <w:rPr>
                <w:sz w:val="20"/>
                <w:szCs w:val="20"/>
                <w:color w:val="auto"/>
              </w:rPr>
            </w:pPr>
            <w:r>
              <w:rPr>
                <w:rFonts w:ascii="Arial" w:cs="Arial" w:eastAsia="Arial" w:hAnsi="Arial"/>
                <w:sz w:val="18"/>
                <w:szCs w:val="18"/>
                <w:color w:val="auto"/>
              </w:rPr>
              <w:t>7.07</w:t>
            </w:r>
          </w:p>
        </w:tc>
        <w:tc>
          <w:tcPr>
            <w:tcW w:w="6860" w:type="dxa"/>
            <w:vAlign w:val="bottom"/>
          </w:tcPr>
          <w:p>
            <w:pPr>
              <w:ind w:left="100"/>
              <w:spacing w:after="0"/>
              <w:rPr>
                <w:sz w:val="20"/>
                <w:szCs w:val="20"/>
                <w:color w:val="auto"/>
              </w:rPr>
            </w:pPr>
            <w:r>
              <w:rPr>
                <w:rFonts w:ascii="Arial" w:cs="Arial" w:eastAsia="Arial" w:hAnsi="Arial"/>
                <w:sz w:val="18"/>
                <w:szCs w:val="18"/>
                <w:color w:val="auto"/>
              </w:rPr>
              <w:t>Financial Covenant</w:t>
            </w:r>
          </w:p>
        </w:tc>
        <w:tc>
          <w:tcPr>
            <w:tcW w:w="334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7.08</w:t>
            </w:r>
          </w:p>
        </w:tc>
        <w:tc>
          <w:tcPr>
            <w:tcW w:w="7700" w:type="dxa"/>
            <w:vAlign w:val="bottom"/>
          </w:tcPr>
          <w:p>
            <w:pPr>
              <w:ind w:left="40"/>
              <w:spacing w:after="0"/>
              <w:rPr>
                <w:sz w:val="20"/>
                <w:szCs w:val="20"/>
                <w:color w:val="auto"/>
              </w:rPr>
            </w:pPr>
            <w:r>
              <w:rPr>
                <w:rFonts w:ascii="Arial" w:cs="Arial" w:eastAsia="Arial" w:hAnsi="Arial"/>
                <w:sz w:val="18"/>
                <w:szCs w:val="18"/>
                <w:color w:val="auto"/>
              </w:rPr>
              <w:t>Sanctions</w:t>
            </w:r>
          </w:p>
        </w:tc>
        <w:tc>
          <w:tcPr>
            <w:tcW w:w="24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7.09</w:t>
            </w:r>
          </w:p>
        </w:tc>
        <w:tc>
          <w:tcPr>
            <w:tcW w:w="7700" w:type="dxa"/>
            <w:vAlign w:val="bottom"/>
          </w:tcPr>
          <w:p>
            <w:pPr>
              <w:ind w:left="40"/>
              <w:spacing w:after="0"/>
              <w:rPr>
                <w:sz w:val="20"/>
                <w:szCs w:val="20"/>
                <w:color w:val="auto"/>
              </w:rPr>
            </w:pPr>
            <w:r>
              <w:rPr>
                <w:rFonts w:ascii="Arial" w:cs="Arial" w:eastAsia="Arial" w:hAnsi="Arial"/>
                <w:sz w:val="18"/>
                <w:szCs w:val="18"/>
                <w:color w:val="auto"/>
              </w:rPr>
              <w:t>Anti-Corruption Laws</w:t>
            </w:r>
          </w:p>
        </w:tc>
        <w:tc>
          <w:tcPr>
            <w:tcW w:w="24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VIII EVENTS OF DEFAULT AND REMEDIES</w:t>
            </w:r>
          </w:p>
        </w:tc>
        <w:tc>
          <w:tcPr>
            <w:tcW w:w="24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8.01</w:t>
            </w:r>
          </w:p>
        </w:tc>
        <w:tc>
          <w:tcPr>
            <w:tcW w:w="770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24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8.02</w:t>
            </w:r>
          </w:p>
        </w:tc>
        <w:tc>
          <w:tcPr>
            <w:tcW w:w="7700" w:type="dxa"/>
            <w:vAlign w:val="bottom"/>
          </w:tcPr>
          <w:p>
            <w:pPr>
              <w:ind w:left="40"/>
              <w:spacing w:after="0"/>
              <w:rPr>
                <w:sz w:val="20"/>
                <w:szCs w:val="20"/>
                <w:color w:val="auto"/>
              </w:rPr>
            </w:pPr>
            <w:r>
              <w:rPr>
                <w:rFonts w:ascii="Arial" w:cs="Arial" w:eastAsia="Arial" w:hAnsi="Arial"/>
                <w:sz w:val="18"/>
                <w:szCs w:val="18"/>
                <w:color w:val="auto"/>
              </w:rPr>
              <w:t>Remedies Upon Event of Default</w:t>
            </w:r>
          </w:p>
        </w:tc>
        <w:tc>
          <w:tcPr>
            <w:tcW w:w="24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8.03</w:t>
            </w:r>
          </w:p>
        </w:tc>
        <w:tc>
          <w:tcPr>
            <w:tcW w:w="7700" w:type="dxa"/>
            <w:vAlign w:val="bottom"/>
          </w:tcPr>
          <w:p>
            <w:pPr>
              <w:ind w:left="40"/>
              <w:spacing w:after="0"/>
              <w:rPr>
                <w:sz w:val="20"/>
                <w:szCs w:val="20"/>
                <w:color w:val="auto"/>
              </w:rPr>
            </w:pPr>
            <w:r>
              <w:rPr>
                <w:rFonts w:ascii="Arial" w:cs="Arial" w:eastAsia="Arial" w:hAnsi="Arial"/>
                <w:sz w:val="18"/>
                <w:szCs w:val="18"/>
                <w:color w:val="auto"/>
              </w:rPr>
              <w:t>Application of Funds</w:t>
            </w:r>
          </w:p>
        </w:tc>
        <w:tc>
          <w:tcPr>
            <w:tcW w:w="24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IX ADMINISTRATIVE AGENT</w:t>
            </w:r>
          </w:p>
        </w:tc>
        <w:tc>
          <w:tcPr>
            <w:tcW w:w="24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9.01</w:t>
            </w:r>
          </w:p>
        </w:tc>
        <w:tc>
          <w:tcPr>
            <w:tcW w:w="7700" w:type="dxa"/>
            <w:vAlign w:val="bottom"/>
          </w:tcPr>
          <w:p>
            <w:pPr>
              <w:ind w:left="40"/>
              <w:spacing w:after="0"/>
              <w:rPr>
                <w:sz w:val="20"/>
                <w:szCs w:val="20"/>
                <w:color w:val="auto"/>
              </w:rPr>
            </w:pPr>
            <w:r>
              <w:rPr>
                <w:rFonts w:ascii="Arial" w:cs="Arial" w:eastAsia="Arial" w:hAnsi="Arial"/>
                <w:sz w:val="18"/>
                <w:szCs w:val="18"/>
                <w:color w:val="auto"/>
              </w:rPr>
              <w:t>Appointment and Authority</w:t>
            </w:r>
          </w:p>
        </w:tc>
        <w:tc>
          <w:tcPr>
            <w:tcW w:w="24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9.02</w:t>
            </w:r>
          </w:p>
        </w:tc>
        <w:tc>
          <w:tcPr>
            <w:tcW w:w="7700" w:type="dxa"/>
            <w:vAlign w:val="bottom"/>
          </w:tcPr>
          <w:p>
            <w:pPr>
              <w:ind w:left="40"/>
              <w:spacing w:after="0"/>
              <w:rPr>
                <w:sz w:val="20"/>
                <w:szCs w:val="20"/>
                <w:color w:val="auto"/>
              </w:rPr>
            </w:pPr>
            <w:r>
              <w:rPr>
                <w:rFonts w:ascii="Arial" w:cs="Arial" w:eastAsia="Arial" w:hAnsi="Arial"/>
                <w:sz w:val="18"/>
                <w:szCs w:val="18"/>
                <w:color w:val="auto"/>
              </w:rPr>
              <w:t>Rights as a Lender</w:t>
            </w:r>
          </w:p>
        </w:tc>
        <w:tc>
          <w:tcPr>
            <w:tcW w:w="24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9.03</w:t>
            </w:r>
          </w:p>
        </w:tc>
        <w:tc>
          <w:tcPr>
            <w:tcW w:w="7700" w:type="dxa"/>
            <w:vAlign w:val="bottom"/>
          </w:tcPr>
          <w:p>
            <w:pPr>
              <w:ind w:left="40"/>
              <w:spacing w:after="0"/>
              <w:rPr>
                <w:sz w:val="20"/>
                <w:szCs w:val="20"/>
                <w:color w:val="auto"/>
              </w:rPr>
            </w:pPr>
            <w:r>
              <w:rPr>
                <w:rFonts w:ascii="Arial" w:cs="Arial" w:eastAsia="Arial" w:hAnsi="Arial"/>
                <w:sz w:val="18"/>
                <w:szCs w:val="18"/>
                <w:color w:val="auto"/>
              </w:rPr>
              <w:t>Exculpatory Provisions</w:t>
            </w:r>
          </w:p>
        </w:tc>
        <w:tc>
          <w:tcPr>
            <w:tcW w:w="24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9.04</w:t>
            </w:r>
          </w:p>
        </w:tc>
        <w:tc>
          <w:tcPr>
            <w:tcW w:w="7700" w:type="dxa"/>
            <w:vAlign w:val="bottom"/>
          </w:tcPr>
          <w:p>
            <w:pPr>
              <w:ind w:left="40"/>
              <w:spacing w:after="0"/>
              <w:rPr>
                <w:sz w:val="20"/>
                <w:szCs w:val="20"/>
                <w:color w:val="auto"/>
              </w:rPr>
            </w:pPr>
            <w:r>
              <w:rPr>
                <w:rFonts w:ascii="Arial" w:cs="Arial" w:eastAsia="Arial" w:hAnsi="Arial"/>
                <w:sz w:val="18"/>
                <w:szCs w:val="18"/>
                <w:color w:val="auto"/>
              </w:rPr>
              <w:t>Reliance by Administrative Agent</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9.05</w:t>
            </w:r>
          </w:p>
        </w:tc>
        <w:tc>
          <w:tcPr>
            <w:tcW w:w="7700" w:type="dxa"/>
            <w:vAlign w:val="bottom"/>
          </w:tcPr>
          <w:p>
            <w:pPr>
              <w:ind w:left="40"/>
              <w:spacing w:after="0"/>
              <w:rPr>
                <w:sz w:val="20"/>
                <w:szCs w:val="20"/>
                <w:color w:val="auto"/>
              </w:rPr>
            </w:pPr>
            <w:r>
              <w:rPr>
                <w:rFonts w:ascii="Arial" w:cs="Arial" w:eastAsia="Arial" w:hAnsi="Arial"/>
                <w:sz w:val="18"/>
                <w:szCs w:val="18"/>
                <w:color w:val="auto"/>
              </w:rPr>
              <w:t>Delegation of Duties</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9.06</w:t>
            </w:r>
          </w:p>
        </w:tc>
        <w:tc>
          <w:tcPr>
            <w:tcW w:w="7700" w:type="dxa"/>
            <w:vAlign w:val="bottom"/>
          </w:tcPr>
          <w:p>
            <w:pPr>
              <w:ind w:left="40"/>
              <w:spacing w:after="0"/>
              <w:rPr>
                <w:sz w:val="20"/>
                <w:szCs w:val="20"/>
                <w:color w:val="auto"/>
              </w:rPr>
            </w:pPr>
            <w:r>
              <w:rPr>
                <w:rFonts w:ascii="Arial" w:cs="Arial" w:eastAsia="Arial" w:hAnsi="Arial"/>
                <w:sz w:val="18"/>
                <w:szCs w:val="18"/>
                <w:color w:val="auto"/>
              </w:rPr>
              <w:t>Resignation of Administrative Agent</w:t>
            </w:r>
          </w:p>
        </w:tc>
        <w:tc>
          <w:tcPr>
            <w:tcW w:w="24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9.07</w:t>
            </w:r>
          </w:p>
        </w:tc>
        <w:tc>
          <w:tcPr>
            <w:tcW w:w="7700" w:type="dxa"/>
            <w:vAlign w:val="bottom"/>
          </w:tcPr>
          <w:p>
            <w:pPr>
              <w:ind w:left="40"/>
              <w:spacing w:after="0"/>
              <w:rPr>
                <w:sz w:val="20"/>
                <w:szCs w:val="20"/>
                <w:color w:val="auto"/>
              </w:rPr>
            </w:pPr>
            <w:r>
              <w:rPr>
                <w:rFonts w:ascii="Arial" w:cs="Arial" w:eastAsia="Arial" w:hAnsi="Arial"/>
                <w:sz w:val="18"/>
                <w:szCs w:val="18"/>
                <w:color w:val="auto"/>
              </w:rPr>
              <w:t>Non-Reliance on Administrative Agent and Other Lenders</w:t>
            </w:r>
          </w:p>
        </w:tc>
        <w:tc>
          <w:tcPr>
            <w:tcW w:w="24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9.08</w:t>
            </w:r>
          </w:p>
        </w:tc>
        <w:tc>
          <w:tcPr>
            <w:tcW w:w="7700" w:type="dxa"/>
            <w:vAlign w:val="bottom"/>
          </w:tcPr>
          <w:p>
            <w:pPr>
              <w:ind w:left="40"/>
              <w:spacing w:after="0"/>
              <w:rPr>
                <w:sz w:val="20"/>
                <w:szCs w:val="20"/>
                <w:color w:val="auto"/>
              </w:rPr>
            </w:pPr>
            <w:r>
              <w:rPr>
                <w:rFonts w:ascii="Arial" w:cs="Arial" w:eastAsia="Arial" w:hAnsi="Arial"/>
                <w:sz w:val="18"/>
                <w:szCs w:val="18"/>
                <w:color w:val="auto"/>
              </w:rPr>
              <w:t>No Other Duties, Etc</w:t>
            </w:r>
          </w:p>
        </w:tc>
        <w:tc>
          <w:tcPr>
            <w:tcW w:w="24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9.09</w:t>
            </w:r>
          </w:p>
        </w:tc>
        <w:tc>
          <w:tcPr>
            <w:tcW w:w="7700" w:type="dxa"/>
            <w:vAlign w:val="bottom"/>
          </w:tcPr>
          <w:p>
            <w:pPr>
              <w:ind w:left="40"/>
              <w:spacing w:after="0"/>
              <w:rPr>
                <w:sz w:val="20"/>
                <w:szCs w:val="20"/>
                <w:color w:val="auto"/>
              </w:rPr>
            </w:pPr>
            <w:r>
              <w:rPr>
                <w:rFonts w:ascii="Arial" w:cs="Arial" w:eastAsia="Arial" w:hAnsi="Arial"/>
                <w:sz w:val="18"/>
                <w:szCs w:val="18"/>
                <w:color w:val="auto"/>
              </w:rPr>
              <w:t>Administrative Agent May File Proofs of Claim</w:t>
            </w:r>
          </w:p>
        </w:tc>
        <w:tc>
          <w:tcPr>
            <w:tcW w:w="24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9.10</w:t>
            </w:r>
          </w:p>
        </w:tc>
        <w:tc>
          <w:tcPr>
            <w:tcW w:w="7700" w:type="dxa"/>
            <w:vAlign w:val="bottom"/>
          </w:tcPr>
          <w:p>
            <w:pPr>
              <w:ind w:left="40"/>
              <w:spacing w:after="0"/>
              <w:rPr>
                <w:sz w:val="20"/>
                <w:szCs w:val="20"/>
                <w:color w:val="auto"/>
              </w:rPr>
            </w:pPr>
            <w:r>
              <w:rPr>
                <w:rFonts w:ascii="Arial" w:cs="Arial" w:eastAsia="Arial" w:hAnsi="Arial"/>
                <w:sz w:val="18"/>
                <w:szCs w:val="18"/>
                <w:color w:val="auto"/>
              </w:rPr>
              <w:t>ERISA Matters</w:t>
            </w:r>
          </w:p>
        </w:tc>
        <w:tc>
          <w:tcPr>
            <w:tcW w:w="24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9.11</w:t>
            </w:r>
          </w:p>
        </w:tc>
        <w:tc>
          <w:tcPr>
            <w:tcW w:w="7700" w:type="dxa"/>
            <w:vAlign w:val="bottom"/>
          </w:tcPr>
          <w:p>
            <w:pPr>
              <w:ind w:left="40"/>
              <w:spacing w:after="0"/>
              <w:rPr>
                <w:sz w:val="20"/>
                <w:szCs w:val="20"/>
                <w:color w:val="auto"/>
              </w:rPr>
            </w:pPr>
            <w:r>
              <w:rPr>
                <w:rFonts w:ascii="Arial" w:cs="Arial" w:eastAsia="Arial" w:hAnsi="Arial"/>
                <w:sz w:val="18"/>
                <w:szCs w:val="18"/>
                <w:color w:val="auto"/>
              </w:rPr>
              <w:t>Recovery of Erroneous Payments</w:t>
            </w:r>
          </w:p>
        </w:tc>
        <w:tc>
          <w:tcPr>
            <w:tcW w:w="24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4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w w:val="97"/>
              </w:rPr>
              <w:t>10.01</w:t>
            </w:r>
          </w:p>
        </w:tc>
        <w:tc>
          <w:tcPr>
            <w:tcW w:w="7700" w:type="dxa"/>
            <w:vAlign w:val="bottom"/>
          </w:tcPr>
          <w:p>
            <w:pPr>
              <w:ind w:left="40"/>
              <w:spacing w:after="0"/>
              <w:rPr>
                <w:sz w:val="20"/>
                <w:szCs w:val="20"/>
                <w:color w:val="auto"/>
              </w:rPr>
            </w:pPr>
            <w:r>
              <w:rPr>
                <w:rFonts w:ascii="Arial" w:cs="Arial" w:eastAsia="Arial" w:hAnsi="Arial"/>
                <w:sz w:val="18"/>
                <w:szCs w:val="18"/>
                <w:color w:val="auto"/>
              </w:rPr>
              <w:t>Amendments, Etc</w:t>
            </w:r>
          </w:p>
        </w:tc>
        <w:tc>
          <w:tcPr>
            <w:tcW w:w="24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10.02</w:t>
            </w:r>
          </w:p>
        </w:tc>
        <w:tc>
          <w:tcPr>
            <w:tcW w:w="7700" w:type="dxa"/>
            <w:vAlign w:val="bottom"/>
          </w:tcPr>
          <w:p>
            <w:pPr>
              <w:ind w:left="40"/>
              <w:spacing w:after="0"/>
              <w:rPr>
                <w:sz w:val="20"/>
                <w:szCs w:val="20"/>
                <w:color w:val="auto"/>
              </w:rPr>
            </w:pPr>
            <w:r>
              <w:rPr>
                <w:rFonts w:ascii="Arial" w:cs="Arial" w:eastAsia="Arial" w:hAnsi="Arial"/>
                <w:sz w:val="18"/>
                <w:szCs w:val="18"/>
                <w:color w:val="auto"/>
              </w:rPr>
              <w:t>Notices; Effectiveness; Electronic Communication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10.03</w:t>
            </w:r>
          </w:p>
        </w:tc>
        <w:tc>
          <w:tcPr>
            <w:tcW w:w="7700" w:type="dxa"/>
            <w:vAlign w:val="bottom"/>
          </w:tcPr>
          <w:p>
            <w:pPr>
              <w:ind w:left="40"/>
              <w:spacing w:after="0"/>
              <w:rPr>
                <w:sz w:val="20"/>
                <w:szCs w:val="20"/>
                <w:color w:val="auto"/>
              </w:rPr>
            </w:pPr>
            <w:r>
              <w:rPr>
                <w:rFonts w:ascii="Arial" w:cs="Arial" w:eastAsia="Arial" w:hAnsi="Arial"/>
                <w:sz w:val="18"/>
                <w:szCs w:val="18"/>
                <w:color w:val="auto"/>
              </w:rPr>
              <w:t>No Waiver; Cumulative Remedies; Enforcement</w:t>
            </w:r>
          </w:p>
        </w:tc>
        <w:tc>
          <w:tcPr>
            <w:tcW w:w="24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10.04</w:t>
            </w:r>
          </w:p>
        </w:tc>
        <w:tc>
          <w:tcPr>
            <w:tcW w:w="7700" w:type="dxa"/>
            <w:vAlign w:val="bottom"/>
          </w:tcPr>
          <w:p>
            <w:pPr>
              <w:ind w:left="40"/>
              <w:spacing w:after="0"/>
              <w:rPr>
                <w:sz w:val="20"/>
                <w:szCs w:val="20"/>
                <w:color w:val="auto"/>
              </w:rPr>
            </w:pPr>
            <w:r>
              <w:rPr>
                <w:rFonts w:ascii="Arial" w:cs="Arial" w:eastAsia="Arial" w:hAnsi="Arial"/>
                <w:sz w:val="18"/>
                <w:szCs w:val="18"/>
                <w:color w:val="auto"/>
              </w:rPr>
              <w:t>Expenses; Indemnity; Damage Waiver</w:t>
            </w:r>
          </w:p>
        </w:tc>
        <w:tc>
          <w:tcPr>
            <w:tcW w:w="24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10.05</w:t>
            </w:r>
          </w:p>
        </w:tc>
        <w:tc>
          <w:tcPr>
            <w:tcW w:w="7700" w:type="dxa"/>
            <w:vAlign w:val="bottom"/>
          </w:tcPr>
          <w:p>
            <w:pPr>
              <w:ind w:left="40"/>
              <w:spacing w:after="0"/>
              <w:rPr>
                <w:sz w:val="20"/>
                <w:szCs w:val="20"/>
                <w:color w:val="auto"/>
              </w:rPr>
            </w:pPr>
            <w:r>
              <w:rPr>
                <w:rFonts w:ascii="Arial" w:cs="Arial" w:eastAsia="Arial" w:hAnsi="Arial"/>
                <w:sz w:val="18"/>
                <w:szCs w:val="18"/>
                <w:color w:val="auto"/>
              </w:rPr>
              <w:t>Payments Set Aside</w:t>
            </w:r>
          </w:p>
        </w:tc>
        <w:tc>
          <w:tcPr>
            <w:tcW w:w="24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10.06</w:t>
            </w:r>
          </w:p>
        </w:tc>
        <w:tc>
          <w:tcPr>
            <w:tcW w:w="7700" w:type="dxa"/>
            <w:vAlign w:val="bottom"/>
          </w:tcPr>
          <w:p>
            <w:pPr>
              <w:ind w:left="40"/>
              <w:spacing w:after="0"/>
              <w:rPr>
                <w:sz w:val="20"/>
                <w:szCs w:val="20"/>
                <w:color w:val="auto"/>
              </w:rPr>
            </w:pPr>
            <w:r>
              <w:rPr>
                <w:rFonts w:ascii="Arial" w:cs="Arial" w:eastAsia="Arial" w:hAnsi="Arial"/>
                <w:sz w:val="18"/>
                <w:szCs w:val="18"/>
                <w:color w:val="auto"/>
              </w:rPr>
              <w:t>Successors and Assigns</w:t>
            </w:r>
          </w:p>
        </w:tc>
        <w:tc>
          <w:tcPr>
            <w:tcW w:w="24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10.07</w:t>
            </w:r>
          </w:p>
        </w:tc>
        <w:tc>
          <w:tcPr>
            <w:tcW w:w="7700" w:type="dxa"/>
            <w:vAlign w:val="bottom"/>
          </w:tcPr>
          <w:p>
            <w:pPr>
              <w:ind w:left="40"/>
              <w:spacing w:after="0"/>
              <w:rPr>
                <w:sz w:val="20"/>
                <w:szCs w:val="20"/>
                <w:color w:val="auto"/>
              </w:rPr>
            </w:pPr>
            <w:r>
              <w:rPr>
                <w:rFonts w:ascii="Arial" w:cs="Arial" w:eastAsia="Arial" w:hAnsi="Arial"/>
                <w:sz w:val="18"/>
                <w:szCs w:val="18"/>
                <w:color w:val="auto"/>
              </w:rPr>
              <w:t>Treatment of Certain Information; Confidentiality</w:t>
            </w:r>
          </w:p>
        </w:tc>
        <w:tc>
          <w:tcPr>
            <w:tcW w:w="24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10.08</w:t>
            </w:r>
          </w:p>
        </w:tc>
        <w:tc>
          <w:tcPr>
            <w:tcW w:w="7700" w:type="dxa"/>
            <w:vAlign w:val="bottom"/>
          </w:tcPr>
          <w:p>
            <w:pPr>
              <w:ind w:left="40"/>
              <w:spacing w:after="0"/>
              <w:rPr>
                <w:sz w:val="20"/>
                <w:szCs w:val="20"/>
                <w:color w:val="auto"/>
              </w:rPr>
            </w:pPr>
            <w:r>
              <w:rPr>
                <w:rFonts w:ascii="Arial" w:cs="Arial" w:eastAsia="Arial" w:hAnsi="Arial"/>
                <w:sz w:val="18"/>
                <w:szCs w:val="18"/>
                <w:color w:val="auto"/>
              </w:rPr>
              <w:t>Right of Setoff</w:t>
            </w:r>
          </w:p>
        </w:tc>
        <w:tc>
          <w:tcPr>
            <w:tcW w:w="24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10.09</w:t>
            </w:r>
          </w:p>
        </w:tc>
        <w:tc>
          <w:tcPr>
            <w:tcW w:w="7700" w:type="dxa"/>
            <w:vAlign w:val="bottom"/>
          </w:tcPr>
          <w:p>
            <w:pPr>
              <w:ind w:left="40"/>
              <w:spacing w:after="0"/>
              <w:rPr>
                <w:sz w:val="20"/>
                <w:szCs w:val="20"/>
                <w:color w:val="auto"/>
              </w:rPr>
            </w:pPr>
            <w:r>
              <w:rPr>
                <w:rFonts w:ascii="Arial" w:cs="Arial" w:eastAsia="Arial" w:hAnsi="Arial"/>
                <w:sz w:val="18"/>
                <w:szCs w:val="18"/>
                <w:color w:val="auto"/>
              </w:rPr>
              <w:t>Interest Rate Limitation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10.10</w:t>
            </w:r>
          </w:p>
        </w:tc>
        <w:tc>
          <w:tcPr>
            <w:tcW w:w="7700" w:type="dxa"/>
            <w:vAlign w:val="bottom"/>
          </w:tcPr>
          <w:p>
            <w:pPr>
              <w:ind w:left="40"/>
              <w:spacing w:after="0"/>
              <w:rPr>
                <w:sz w:val="20"/>
                <w:szCs w:val="20"/>
                <w:color w:val="auto"/>
              </w:rPr>
            </w:pPr>
            <w:r>
              <w:rPr>
                <w:rFonts w:ascii="Arial" w:cs="Arial" w:eastAsia="Arial" w:hAnsi="Arial"/>
                <w:sz w:val="18"/>
                <w:szCs w:val="18"/>
                <w:color w:val="auto"/>
              </w:rPr>
              <w:t>Counterparts; Integration; Effectiveness</w:t>
            </w:r>
          </w:p>
        </w:tc>
        <w:tc>
          <w:tcPr>
            <w:tcW w:w="24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10.11</w:t>
            </w:r>
          </w:p>
        </w:tc>
        <w:tc>
          <w:tcPr>
            <w:tcW w:w="7700" w:type="dxa"/>
            <w:vAlign w:val="bottom"/>
          </w:tcPr>
          <w:p>
            <w:pPr>
              <w:ind w:left="40"/>
              <w:spacing w:after="0"/>
              <w:rPr>
                <w:sz w:val="20"/>
                <w:szCs w:val="20"/>
                <w:color w:val="auto"/>
              </w:rPr>
            </w:pPr>
            <w:r>
              <w:rPr>
                <w:rFonts w:ascii="Arial" w:cs="Arial" w:eastAsia="Arial" w:hAnsi="Arial"/>
                <w:sz w:val="18"/>
                <w:szCs w:val="18"/>
                <w:color w:val="auto"/>
              </w:rPr>
              <w:t>Survival of Representations and Warranties</w:t>
            </w:r>
          </w:p>
        </w:tc>
        <w:tc>
          <w:tcPr>
            <w:tcW w:w="24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10.12</w:t>
            </w:r>
          </w:p>
        </w:tc>
        <w:tc>
          <w:tcPr>
            <w:tcW w:w="770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4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10.13</w:t>
            </w:r>
          </w:p>
        </w:tc>
        <w:tc>
          <w:tcPr>
            <w:tcW w:w="7700" w:type="dxa"/>
            <w:vAlign w:val="bottom"/>
          </w:tcPr>
          <w:p>
            <w:pPr>
              <w:ind w:left="40"/>
              <w:spacing w:after="0"/>
              <w:rPr>
                <w:sz w:val="20"/>
                <w:szCs w:val="20"/>
                <w:color w:val="auto"/>
              </w:rPr>
            </w:pPr>
            <w:r>
              <w:rPr>
                <w:rFonts w:ascii="Arial" w:cs="Arial" w:eastAsia="Arial" w:hAnsi="Arial"/>
                <w:sz w:val="18"/>
                <w:szCs w:val="18"/>
                <w:color w:val="auto"/>
              </w:rPr>
              <w:t>Replacement of Lenders</w:t>
            </w:r>
          </w:p>
        </w:tc>
        <w:tc>
          <w:tcPr>
            <w:tcW w:w="24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10.14</w:t>
            </w:r>
          </w:p>
        </w:tc>
        <w:tc>
          <w:tcPr>
            <w:tcW w:w="7700" w:type="dxa"/>
            <w:vAlign w:val="bottom"/>
          </w:tcPr>
          <w:p>
            <w:pPr>
              <w:ind w:left="40"/>
              <w:spacing w:after="0"/>
              <w:rPr>
                <w:sz w:val="20"/>
                <w:szCs w:val="20"/>
                <w:color w:val="auto"/>
              </w:rPr>
            </w:pPr>
            <w:r>
              <w:rPr>
                <w:rFonts w:ascii="Arial" w:cs="Arial" w:eastAsia="Arial" w:hAnsi="Arial"/>
                <w:sz w:val="18"/>
                <w:szCs w:val="18"/>
                <w:color w:val="auto"/>
              </w:rPr>
              <w:t>Governing Law; Jurisdiction; Etc</w:t>
            </w:r>
          </w:p>
        </w:tc>
        <w:tc>
          <w:tcPr>
            <w:tcW w:w="24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10.15</w:t>
            </w:r>
          </w:p>
        </w:tc>
        <w:tc>
          <w:tcPr>
            <w:tcW w:w="7700" w:type="dxa"/>
            <w:vAlign w:val="bottom"/>
          </w:tcPr>
          <w:p>
            <w:pPr>
              <w:ind w:left="40"/>
              <w:spacing w:after="0"/>
              <w:rPr>
                <w:sz w:val="20"/>
                <w:szCs w:val="20"/>
                <w:color w:val="auto"/>
              </w:rPr>
            </w:pPr>
            <w:r>
              <w:rPr>
                <w:rFonts w:ascii="Arial" w:cs="Arial" w:eastAsia="Arial" w:hAnsi="Arial"/>
                <w:sz w:val="18"/>
                <w:szCs w:val="18"/>
                <w:color w:val="auto"/>
              </w:rPr>
              <w:t>Waiver of Jury Trial</w:t>
            </w:r>
          </w:p>
        </w:tc>
        <w:tc>
          <w:tcPr>
            <w:tcW w:w="24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10.16</w:t>
            </w:r>
          </w:p>
        </w:tc>
        <w:tc>
          <w:tcPr>
            <w:tcW w:w="7700" w:type="dxa"/>
            <w:vAlign w:val="bottom"/>
          </w:tcPr>
          <w:p>
            <w:pPr>
              <w:ind w:left="40"/>
              <w:spacing w:after="0"/>
              <w:rPr>
                <w:sz w:val="20"/>
                <w:szCs w:val="20"/>
                <w:color w:val="auto"/>
              </w:rPr>
            </w:pPr>
            <w:r>
              <w:rPr>
                <w:rFonts w:ascii="Arial" w:cs="Arial" w:eastAsia="Arial" w:hAnsi="Arial"/>
                <w:sz w:val="18"/>
                <w:szCs w:val="18"/>
                <w:color w:val="auto"/>
              </w:rPr>
              <w:t>No Advisory or Fiduciary Responsibility</w:t>
            </w:r>
          </w:p>
        </w:tc>
        <w:tc>
          <w:tcPr>
            <w:tcW w:w="24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10.17</w:t>
            </w:r>
          </w:p>
        </w:tc>
        <w:tc>
          <w:tcPr>
            <w:tcW w:w="7700" w:type="dxa"/>
            <w:vAlign w:val="bottom"/>
          </w:tcPr>
          <w:p>
            <w:pPr>
              <w:ind w:left="40"/>
              <w:spacing w:after="0"/>
              <w:rPr>
                <w:sz w:val="20"/>
                <w:szCs w:val="20"/>
                <w:color w:val="auto"/>
              </w:rPr>
            </w:pPr>
            <w:r>
              <w:rPr>
                <w:rFonts w:ascii="Arial" w:cs="Arial" w:eastAsia="Arial" w:hAnsi="Arial"/>
                <w:sz w:val="18"/>
                <w:szCs w:val="18"/>
                <w:color w:val="auto"/>
              </w:rPr>
              <w:t>Electronic Execution of Assignments and Certain Other Documents</w:t>
            </w:r>
          </w:p>
        </w:tc>
        <w:tc>
          <w:tcPr>
            <w:tcW w:w="24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10.18</w:t>
            </w:r>
          </w:p>
        </w:tc>
        <w:tc>
          <w:tcPr>
            <w:tcW w:w="7700" w:type="dxa"/>
            <w:vAlign w:val="bottom"/>
          </w:tcPr>
          <w:p>
            <w:pPr>
              <w:ind w:left="40"/>
              <w:spacing w:after="0"/>
              <w:rPr>
                <w:sz w:val="20"/>
                <w:szCs w:val="20"/>
                <w:color w:val="auto"/>
              </w:rPr>
            </w:pPr>
            <w:r>
              <w:rPr>
                <w:rFonts w:ascii="Arial" w:cs="Arial" w:eastAsia="Arial" w:hAnsi="Arial"/>
                <w:sz w:val="18"/>
                <w:szCs w:val="18"/>
                <w:color w:val="auto"/>
              </w:rPr>
              <w:t>Judgment Currency</w:t>
            </w:r>
          </w:p>
        </w:tc>
        <w:tc>
          <w:tcPr>
            <w:tcW w:w="24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10.19</w:t>
            </w:r>
          </w:p>
        </w:tc>
        <w:tc>
          <w:tcPr>
            <w:tcW w:w="7700" w:type="dxa"/>
            <w:vAlign w:val="bottom"/>
          </w:tcPr>
          <w:p>
            <w:pPr>
              <w:ind w:left="40"/>
              <w:spacing w:after="0"/>
              <w:rPr>
                <w:sz w:val="20"/>
                <w:szCs w:val="20"/>
                <w:color w:val="auto"/>
              </w:rPr>
            </w:pPr>
            <w:r>
              <w:rPr>
                <w:rFonts w:ascii="Arial" w:cs="Arial" w:eastAsia="Arial" w:hAnsi="Arial"/>
                <w:sz w:val="18"/>
                <w:szCs w:val="18"/>
                <w:color w:val="auto"/>
              </w:rPr>
              <w:t>USA PATRIOT ACT NOTICE</w:t>
            </w:r>
          </w:p>
        </w:tc>
        <w:tc>
          <w:tcPr>
            <w:tcW w:w="24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10.20</w:t>
            </w:r>
          </w:p>
        </w:tc>
        <w:tc>
          <w:tcPr>
            <w:tcW w:w="7700" w:type="dxa"/>
            <w:vAlign w:val="bottom"/>
          </w:tcPr>
          <w:p>
            <w:pPr>
              <w:ind w:left="40"/>
              <w:spacing w:after="0"/>
              <w:rPr>
                <w:sz w:val="20"/>
                <w:szCs w:val="20"/>
                <w:color w:val="auto"/>
              </w:rPr>
            </w:pPr>
            <w:r>
              <w:rPr>
                <w:rFonts w:ascii="Arial" w:cs="Arial" w:eastAsia="Arial" w:hAnsi="Arial"/>
                <w:sz w:val="18"/>
                <w:szCs w:val="18"/>
                <w:color w:val="auto"/>
              </w:rPr>
              <w:t>Acknowledgement Regarding Any Supported QFCs</w:t>
            </w:r>
          </w:p>
        </w:tc>
        <w:tc>
          <w:tcPr>
            <w:tcW w:w="24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10.21</w:t>
            </w:r>
          </w:p>
        </w:tc>
        <w:tc>
          <w:tcPr>
            <w:tcW w:w="7700" w:type="dxa"/>
            <w:vAlign w:val="bottom"/>
          </w:tcPr>
          <w:p>
            <w:pPr>
              <w:ind w:left="4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10.22</w:t>
            </w:r>
          </w:p>
        </w:tc>
        <w:tc>
          <w:tcPr>
            <w:tcW w:w="7700" w:type="dxa"/>
            <w:vAlign w:val="bottom"/>
          </w:tcPr>
          <w:p>
            <w:pPr>
              <w:ind w:left="40"/>
              <w:spacing w:after="0"/>
              <w:rPr>
                <w:sz w:val="20"/>
                <w:szCs w:val="20"/>
                <w:color w:val="auto"/>
              </w:rPr>
            </w:pPr>
            <w:r>
              <w:rPr>
                <w:rFonts w:ascii="Arial" w:cs="Arial" w:eastAsia="Arial" w:hAnsi="Arial"/>
                <w:sz w:val="18"/>
                <w:szCs w:val="18"/>
                <w:color w:val="auto"/>
              </w:rPr>
              <w:t>Subsidiary Guarantors; Release of Subsidiary Guarantors</w:t>
            </w:r>
          </w:p>
        </w:tc>
        <w:tc>
          <w:tcPr>
            <w:tcW w:w="24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w w:val="97"/>
              </w:rPr>
              <w:t>10.23</w:t>
            </w:r>
          </w:p>
        </w:tc>
        <w:tc>
          <w:tcPr>
            <w:tcW w:w="7700" w:type="dxa"/>
            <w:vAlign w:val="bottom"/>
          </w:tcPr>
          <w:p>
            <w:pPr>
              <w:ind w:left="40"/>
              <w:spacing w:after="0"/>
              <w:rPr>
                <w:sz w:val="20"/>
                <w:szCs w:val="20"/>
                <w:color w:val="auto"/>
              </w:rPr>
            </w:pPr>
            <w:r>
              <w:rPr>
                <w:rFonts w:ascii="Arial" w:cs="Arial" w:eastAsia="Arial" w:hAnsi="Arial"/>
                <w:sz w:val="18"/>
                <w:szCs w:val="18"/>
                <w:color w:val="auto"/>
              </w:rPr>
              <w:t>Amendment and Restatement</w:t>
            </w:r>
          </w:p>
        </w:tc>
        <w:tc>
          <w:tcPr>
            <w:tcW w:w="2440" w:type="dxa"/>
            <w:vAlign w:val="bottom"/>
          </w:tcPr>
          <w:p>
            <w:pPr>
              <w:jc w:val="right"/>
              <w:spacing w:after="0"/>
              <w:rPr>
                <w:sz w:val="20"/>
                <w:szCs w:val="20"/>
                <w:color w:val="auto"/>
              </w:rPr>
            </w:pPr>
            <w:r>
              <w:rPr>
                <w:rFonts w:ascii="Arial" w:cs="Arial" w:eastAsia="Arial" w:hAnsi="Arial"/>
                <w:sz w:val="18"/>
                <w:szCs w:val="18"/>
                <w:color w:val="auto"/>
              </w:rPr>
              <w:t>122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4"/>
              </w:rPr>
              <w:t>SCHEDULES</w:t>
            </w: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0" w:type="dxa"/>
            <w:vAlign w:val="bottom"/>
          </w:tcPr>
          <w:p>
            <w:pPr>
              <w:ind w:left="360"/>
              <w:spacing w:after="0"/>
              <w:rPr>
                <w:sz w:val="20"/>
                <w:szCs w:val="20"/>
                <w:color w:val="auto"/>
              </w:rPr>
            </w:pPr>
            <w:r>
              <w:rPr>
                <w:rFonts w:ascii="Arial" w:cs="Arial" w:eastAsia="Arial" w:hAnsi="Arial"/>
                <w:sz w:val="18"/>
                <w:szCs w:val="18"/>
                <w:color w:val="auto"/>
              </w:rPr>
              <w:t>1.01</w:t>
            </w:r>
          </w:p>
        </w:tc>
        <w:tc>
          <w:tcPr>
            <w:tcW w:w="4480" w:type="dxa"/>
            <w:vAlign w:val="bottom"/>
          </w:tcPr>
          <w:p>
            <w:pPr>
              <w:ind w:left="40"/>
              <w:spacing w:after="0"/>
              <w:rPr>
                <w:sz w:val="20"/>
                <w:szCs w:val="20"/>
                <w:color w:val="auto"/>
              </w:rPr>
            </w:pPr>
            <w:r>
              <w:rPr>
                <w:rFonts w:ascii="Arial" w:cs="Arial" w:eastAsia="Arial" w:hAnsi="Arial"/>
                <w:sz w:val="18"/>
                <w:szCs w:val="18"/>
                <w:color w:val="auto"/>
              </w:rPr>
              <w:t>Consolidated EBITDA Add-backs</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2.01</w:t>
            </w:r>
          </w:p>
        </w:tc>
        <w:tc>
          <w:tcPr>
            <w:tcW w:w="4480" w:type="dxa"/>
            <w:vAlign w:val="bottom"/>
          </w:tcPr>
          <w:p>
            <w:pPr>
              <w:ind w:left="40"/>
              <w:spacing w:after="0"/>
              <w:rPr>
                <w:sz w:val="20"/>
                <w:szCs w:val="20"/>
                <w:color w:val="auto"/>
              </w:rPr>
            </w:pPr>
            <w:r>
              <w:rPr>
                <w:rFonts w:ascii="Arial" w:cs="Arial" w:eastAsia="Arial" w:hAnsi="Arial"/>
                <w:sz w:val="18"/>
                <w:szCs w:val="18"/>
                <w:color w:val="auto"/>
              </w:rPr>
              <w:t>Commitments and Applicable Percentages</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2.19</w:t>
            </w:r>
          </w:p>
        </w:tc>
        <w:tc>
          <w:tcPr>
            <w:tcW w:w="4480" w:type="dxa"/>
            <w:vAlign w:val="bottom"/>
          </w:tcPr>
          <w:p>
            <w:pPr>
              <w:ind w:left="40"/>
              <w:spacing w:after="0"/>
              <w:rPr>
                <w:sz w:val="20"/>
                <w:szCs w:val="20"/>
                <w:color w:val="auto"/>
              </w:rPr>
            </w:pPr>
            <w:r>
              <w:rPr>
                <w:rFonts w:ascii="Arial" w:cs="Arial" w:eastAsia="Arial" w:hAnsi="Arial"/>
                <w:sz w:val="18"/>
                <w:szCs w:val="18"/>
                <w:color w:val="auto"/>
              </w:rPr>
              <w:t>Sustainability Table</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5.12(d)</w:t>
            </w:r>
          </w:p>
        </w:tc>
        <w:tc>
          <w:tcPr>
            <w:tcW w:w="4480" w:type="dxa"/>
            <w:vAlign w:val="bottom"/>
          </w:tcPr>
          <w:p>
            <w:pPr>
              <w:ind w:left="40"/>
              <w:spacing w:after="0"/>
              <w:rPr>
                <w:sz w:val="20"/>
                <w:szCs w:val="20"/>
                <w:color w:val="auto"/>
              </w:rPr>
            </w:pPr>
            <w:r>
              <w:rPr>
                <w:rFonts w:ascii="Arial" w:cs="Arial" w:eastAsia="Arial" w:hAnsi="Arial"/>
                <w:sz w:val="18"/>
                <w:szCs w:val="18"/>
                <w:color w:val="auto"/>
              </w:rPr>
              <w:t>Pension Plans</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5.13</w:t>
            </w:r>
          </w:p>
        </w:tc>
        <w:tc>
          <w:tcPr>
            <w:tcW w:w="4480" w:type="dxa"/>
            <w:vAlign w:val="bottom"/>
          </w:tcPr>
          <w:p>
            <w:pPr>
              <w:ind w:left="40"/>
              <w:spacing w:after="0"/>
              <w:rPr>
                <w:sz w:val="20"/>
                <w:szCs w:val="20"/>
                <w:color w:val="auto"/>
              </w:rPr>
            </w:pPr>
            <w:r>
              <w:rPr>
                <w:rFonts w:ascii="Arial" w:cs="Arial" w:eastAsia="Arial" w:hAnsi="Arial"/>
                <w:sz w:val="18"/>
                <w:szCs w:val="18"/>
                <w:color w:val="auto"/>
              </w:rPr>
              <w:t>Main Manufacturing Facilities</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5.17</w:t>
            </w:r>
          </w:p>
        </w:tc>
        <w:tc>
          <w:tcPr>
            <w:tcW w:w="4480" w:type="dxa"/>
            <w:vAlign w:val="bottom"/>
          </w:tcPr>
          <w:p>
            <w:pPr>
              <w:ind w:left="40"/>
              <w:spacing w:after="0"/>
              <w:rPr>
                <w:sz w:val="20"/>
                <w:szCs w:val="20"/>
                <w:color w:val="auto"/>
              </w:rPr>
            </w:pPr>
            <w:r>
              <w:rPr>
                <w:rFonts w:ascii="Arial" w:cs="Arial" w:eastAsia="Arial" w:hAnsi="Arial"/>
                <w:sz w:val="18"/>
                <w:szCs w:val="18"/>
                <w:color w:val="auto"/>
              </w:rPr>
              <w:t>Taxpayer Identification Number</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7.01</w:t>
            </w:r>
          </w:p>
        </w:tc>
        <w:tc>
          <w:tcPr>
            <w:tcW w:w="4480" w:type="dxa"/>
            <w:vAlign w:val="bottom"/>
          </w:tcPr>
          <w:p>
            <w:pPr>
              <w:ind w:left="40"/>
              <w:spacing w:after="0"/>
              <w:rPr>
                <w:sz w:val="20"/>
                <w:szCs w:val="20"/>
                <w:color w:val="auto"/>
              </w:rPr>
            </w:pPr>
            <w:r>
              <w:rPr>
                <w:rFonts w:ascii="Arial" w:cs="Arial" w:eastAsia="Arial" w:hAnsi="Arial"/>
                <w:sz w:val="18"/>
                <w:szCs w:val="18"/>
                <w:color w:val="auto"/>
              </w:rPr>
              <w:t>Liens</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7.02</w:t>
            </w:r>
          </w:p>
        </w:tc>
        <w:tc>
          <w:tcPr>
            <w:tcW w:w="4480" w:type="dxa"/>
            <w:vAlign w:val="bottom"/>
          </w:tcPr>
          <w:p>
            <w:pPr>
              <w:ind w:left="40"/>
              <w:spacing w:after="0"/>
              <w:rPr>
                <w:sz w:val="20"/>
                <w:szCs w:val="20"/>
                <w:color w:val="auto"/>
              </w:rPr>
            </w:pPr>
            <w:r>
              <w:rPr>
                <w:rFonts w:ascii="Arial" w:cs="Arial" w:eastAsia="Arial" w:hAnsi="Arial"/>
                <w:sz w:val="18"/>
                <w:szCs w:val="18"/>
                <w:color w:val="auto"/>
              </w:rPr>
              <w:t>Indebtedness</w:t>
            </w:r>
          </w:p>
        </w:tc>
        <w:tc>
          <w:tcPr>
            <w:tcW w:w="0" w:type="dxa"/>
            <w:vAlign w:val="bottom"/>
          </w:tcPr>
          <w:p>
            <w:pPr>
              <w:spacing w:after="0"/>
              <w:rPr>
                <w:sz w:val="1"/>
                <w:szCs w:val="1"/>
                <w:color w:val="auto"/>
              </w:rPr>
            </w:pPr>
          </w:p>
        </w:tc>
      </w:tr>
      <w:tr>
        <w:trPr>
          <w:trHeight w:val="230"/>
        </w:trPr>
        <w:tc>
          <w:tcPr>
            <w:tcW w:w="1060" w:type="dxa"/>
            <w:vAlign w:val="bottom"/>
          </w:tcPr>
          <w:p>
            <w:pPr>
              <w:ind w:left="360"/>
              <w:spacing w:after="0"/>
              <w:rPr>
                <w:sz w:val="20"/>
                <w:szCs w:val="20"/>
                <w:color w:val="auto"/>
              </w:rPr>
            </w:pPr>
            <w:r>
              <w:rPr>
                <w:rFonts w:ascii="Arial" w:cs="Arial" w:eastAsia="Arial" w:hAnsi="Arial"/>
                <w:sz w:val="18"/>
                <w:szCs w:val="18"/>
                <w:color w:val="auto"/>
              </w:rPr>
              <w:t>10.02</w:t>
            </w:r>
          </w:p>
        </w:tc>
        <w:tc>
          <w:tcPr>
            <w:tcW w:w="4480" w:type="dxa"/>
            <w:vAlign w:val="bottom"/>
          </w:tcPr>
          <w:p>
            <w:pPr>
              <w:ind w:left="40"/>
              <w:spacing w:after="0"/>
              <w:rPr>
                <w:sz w:val="20"/>
                <w:szCs w:val="20"/>
                <w:color w:val="auto"/>
              </w:rPr>
            </w:pPr>
            <w:r>
              <w:rPr>
                <w:rFonts w:ascii="Arial" w:cs="Arial" w:eastAsia="Arial" w:hAnsi="Arial"/>
                <w:sz w:val="18"/>
                <w:szCs w:val="18"/>
                <w:color w:val="auto"/>
                <w:w w:val="92"/>
              </w:rPr>
              <w:t>Administrative Agent’s Office; Certain Addresses for Notices</w:t>
            </w: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EXHIBITS</w:t>
            </w:r>
          </w:p>
        </w:tc>
        <w:tc>
          <w:tcPr>
            <w:tcW w:w="44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Form of</w:t>
            </w: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4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1.01(a)</w:t>
            </w:r>
          </w:p>
        </w:tc>
        <w:tc>
          <w:tcPr>
            <w:tcW w:w="4480" w:type="dxa"/>
            <w:vAlign w:val="bottom"/>
          </w:tcPr>
          <w:p>
            <w:pPr>
              <w:ind w:left="40"/>
              <w:spacing w:after="0"/>
              <w:rPr>
                <w:sz w:val="20"/>
                <w:szCs w:val="20"/>
                <w:color w:val="auto"/>
              </w:rPr>
            </w:pPr>
            <w:r>
              <w:rPr>
                <w:rFonts w:ascii="Arial" w:cs="Arial" w:eastAsia="Arial" w:hAnsi="Arial"/>
                <w:sz w:val="18"/>
                <w:szCs w:val="18"/>
                <w:color w:val="auto"/>
              </w:rPr>
              <w:t>Company Guaranty</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1.01(b)</w:t>
            </w:r>
          </w:p>
        </w:tc>
        <w:tc>
          <w:tcPr>
            <w:tcW w:w="4480" w:type="dxa"/>
            <w:vAlign w:val="bottom"/>
          </w:tcPr>
          <w:p>
            <w:pPr>
              <w:ind w:left="40"/>
              <w:spacing w:after="0"/>
              <w:rPr>
                <w:sz w:val="20"/>
                <w:szCs w:val="20"/>
                <w:color w:val="auto"/>
              </w:rPr>
            </w:pPr>
            <w:r>
              <w:rPr>
                <w:rFonts w:ascii="Arial" w:cs="Arial" w:eastAsia="Arial" w:hAnsi="Arial"/>
                <w:sz w:val="18"/>
                <w:szCs w:val="18"/>
                <w:color w:val="auto"/>
              </w:rPr>
              <w:t>Subsidiary Guaranty</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2.02</w:t>
            </w:r>
          </w:p>
        </w:tc>
        <w:tc>
          <w:tcPr>
            <w:tcW w:w="4480" w:type="dxa"/>
            <w:vAlign w:val="bottom"/>
          </w:tcPr>
          <w:p>
            <w:pPr>
              <w:ind w:left="40"/>
              <w:spacing w:after="0"/>
              <w:rPr>
                <w:sz w:val="20"/>
                <w:szCs w:val="20"/>
                <w:color w:val="auto"/>
              </w:rPr>
            </w:pPr>
            <w:r>
              <w:rPr>
                <w:rFonts w:ascii="Arial" w:cs="Arial" w:eastAsia="Arial" w:hAnsi="Arial"/>
                <w:sz w:val="18"/>
                <w:szCs w:val="18"/>
                <w:color w:val="auto"/>
              </w:rPr>
              <w:t>Committed Loan Notice</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2.04</w:t>
            </w:r>
          </w:p>
        </w:tc>
        <w:tc>
          <w:tcPr>
            <w:tcW w:w="4480" w:type="dxa"/>
            <w:vAlign w:val="bottom"/>
          </w:tcPr>
          <w:p>
            <w:pPr>
              <w:ind w:left="40"/>
              <w:spacing w:after="0"/>
              <w:rPr>
                <w:sz w:val="20"/>
                <w:szCs w:val="20"/>
                <w:color w:val="auto"/>
              </w:rPr>
            </w:pPr>
            <w:r>
              <w:rPr>
                <w:rFonts w:ascii="Arial" w:cs="Arial" w:eastAsia="Arial" w:hAnsi="Arial"/>
                <w:sz w:val="18"/>
                <w:szCs w:val="18"/>
                <w:color w:val="auto"/>
              </w:rPr>
              <w:t>Swing Line Loan Notice</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2.11</w:t>
            </w:r>
          </w:p>
        </w:tc>
        <w:tc>
          <w:tcPr>
            <w:tcW w:w="4480" w:type="dxa"/>
            <w:vAlign w:val="bottom"/>
          </w:tcPr>
          <w:p>
            <w:pPr>
              <w:ind w:left="40"/>
              <w:spacing w:after="0"/>
              <w:rPr>
                <w:sz w:val="20"/>
                <w:szCs w:val="20"/>
                <w:color w:val="auto"/>
              </w:rPr>
            </w:pPr>
            <w:r>
              <w:rPr>
                <w:rFonts w:ascii="Arial" w:cs="Arial" w:eastAsia="Arial" w:hAnsi="Arial"/>
                <w:sz w:val="18"/>
                <w:szCs w:val="18"/>
                <w:color w:val="auto"/>
              </w:rPr>
              <w:t>Note</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2.19</w:t>
            </w:r>
          </w:p>
        </w:tc>
        <w:tc>
          <w:tcPr>
            <w:tcW w:w="4480" w:type="dxa"/>
            <w:vAlign w:val="bottom"/>
          </w:tcPr>
          <w:p>
            <w:pPr>
              <w:ind w:left="40"/>
              <w:spacing w:after="0"/>
              <w:rPr>
                <w:sz w:val="20"/>
                <w:szCs w:val="20"/>
                <w:color w:val="auto"/>
              </w:rPr>
            </w:pPr>
            <w:r>
              <w:rPr>
                <w:rFonts w:ascii="Arial" w:cs="Arial" w:eastAsia="Arial" w:hAnsi="Arial"/>
                <w:sz w:val="18"/>
                <w:szCs w:val="18"/>
                <w:color w:val="auto"/>
              </w:rPr>
              <w:t>Pricing Certificate</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2.18(a)</w:t>
            </w:r>
          </w:p>
        </w:tc>
        <w:tc>
          <w:tcPr>
            <w:tcW w:w="4480" w:type="dxa"/>
            <w:vAlign w:val="bottom"/>
          </w:tcPr>
          <w:p>
            <w:pPr>
              <w:ind w:left="40"/>
              <w:spacing w:after="0"/>
              <w:rPr>
                <w:sz w:val="20"/>
                <w:szCs w:val="20"/>
                <w:color w:val="auto"/>
              </w:rPr>
            </w:pPr>
            <w:r>
              <w:rPr>
                <w:rFonts w:ascii="Arial" w:cs="Arial" w:eastAsia="Arial" w:hAnsi="Arial"/>
                <w:sz w:val="18"/>
                <w:szCs w:val="18"/>
                <w:color w:val="auto"/>
                <w:w w:val="94"/>
              </w:rPr>
              <w:t>Designated Borrower Request and Assumption Agreement</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2.18(b)</w:t>
            </w:r>
          </w:p>
        </w:tc>
        <w:tc>
          <w:tcPr>
            <w:tcW w:w="4480" w:type="dxa"/>
            <w:vAlign w:val="bottom"/>
          </w:tcPr>
          <w:p>
            <w:pPr>
              <w:ind w:left="40"/>
              <w:spacing w:after="0"/>
              <w:rPr>
                <w:sz w:val="20"/>
                <w:szCs w:val="20"/>
                <w:color w:val="auto"/>
              </w:rPr>
            </w:pPr>
            <w:r>
              <w:rPr>
                <w:rFonts w:ascii="Arial" w:cs="Arial" w:eastAsia="Arial" w:hAnsi="Arial"/>
                <w:sz w:val="18"/>
                <w:szCs w:val="18"/>
                <w:color w:val="auto"/>
              </w:rPr>
              <w:t>Designated Borrower Notice</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3.01</w:t>
            </w:r>
          </w:p>
        </w:tc>
        <w:tc>
          <w:tcPr>
            <w:tcW w:w="4480" w:type="dxa"/>
            <w:vAlign w:val="bottom"/>
          </w:tcPr>
          <w:p>
            <w:pPr>
              <w:ind w:left="40"/>
              <w:spacing w:after="0"/>
              <w:rPr>
                <w:sz w:val="20"/>
                <w:szCs w:val="20"/>
                <w:color w:val="auto"/>
              </w:rPr>
            </w:pPr>
            <w:r>
              <w:rPr>
                <w:rFonts w:ascii="Arial" w:cs="Arial" w:eastAsia="Arial" w:hAnsi="Arial"/>
                <w:sz w:val="18"/>
                <w:szCs w:val="18"/>
                <w:color w:val="auto"/>
              </w:rPr>
              <w:t>U.S. Tax Compliance Certificates</w:t>
            </w:r>
          </w:p>
        </w:tc>
        <w:tc>
          <w:tcPr>
            <w:tcW w:w="0" w:type="dxa"/>
            <w:vAlign w:val="bottom"/>
          </w:tcPr>
          <w:p>
            <w:pPr>
              <w:spacing w:after="0"/>
              <w:rPr>
                <w:sz w:val="1"/>
                <w:szCs w:val="1"/>
                <w:color w:val="auto"/>
              </w:rPr>
            </w:pP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6.02</w:t>
            </w:r>
          </w:p>
        </w:tc>
        <w:tc>
          <w:tcPr>
            <w:tcW w:w="4480" w:type="dxa"/>
            <w:vAlign w:val="bottom"/>
          </w:tcPr>
          <w:p>
            <w:pPr>
              <w:ind w:left="40"/>
              <w:spacing w:after="0"/>
              <w:rPr>
                <w:sz w:val="20"/>
                <w:szCs w:val="20"/>
                <w:color w:val="auto"/>
              </w:rPr>
            </w:pPr>
            <w:r>
              <w:rPr>
                <w:rFonts w:ascii="Arial" w:cs="Arial" w:eastAsia="Arial" w:hAnsi="Arial"/>
                <w:sz w:val="18"/>
                <w:szCs w:val="18"/>
                <w:color w:val="auto"/>
              </w:rPr>
              <w:t>Compliance Certificate</w:t>
            </w:r>
          </w:p>
        </w:tc>
        <w:tc>
          <w:tcPr>
            <w:tcW w:w="0" w:type="dxa"/>
            <w:vAlign w:val="bottom"/>
          </w:tcPr>
          <w:p>
            <w:pPr>
              <w:spacing w:after="0"/>
              <w:rPr>
                <w:sz w:val="1"/>
                <w:szCs w:val="1"/>
                <w:color w:val="auto"/>
              </w:rPr>
            </w:pPr>
          </w:p>
        </w:tc>
      </w:tr>
      <w:tr>
        <w:trPr>
          <w:trHeight w:val="230"/>
        </w:trPr>
        <w:tc>
          <w:tcPr>
            <w:tcW w:w="1060" w:type="dxa"/>
            <w:vAlign w:val="bottom"/>
          </w:tcPr>
          <w:p>
            <w:pPr>
              <w:ind w:left="360"/>
              <w:spacing w:after="0"/>
              <w:rPr>
                <w:sz w:val="20"/>
                <w:szCs w:val="20"/>
                <w:color w:val="auto"/>
              </w:rPr>
            </w:pPr>
            <w:r>
              <w:rPr>
                <w:rFonts w:ascii="Arial" w:cs="Arial" w:eastAsia="Arial" w:hAnsi="Arial"/>
                <w:sz w:val="18"/>
                <w:szCs w:val="18"/>
                <w:color w:val="auto"/>
              </w:rPr>
              <w:t>10.06</w:t>
            </w:r>
          </w:p>
        </w:tc>
        <w:tc>
          <w:tcPr>
            <w:tcW w:w="4480" w:type="dxa"/>
            <w:vAlign w:val="bottom"/>
          </w:tcPr>
          <w:p>
            <w:pPr>
              <w:ind w:left="40"/>
              <w:spacing w:after="0"/>
              <w:rPr>
                <w:sz w:val="20"/>
                <w:szCs w:val="20"/>
                <w:color w:val="auto"/>
              </w:rPr>
            </w:pPr>
            <w:r>
              <w:rPr>
                <w:rFonts w:ascii="Arial" w:cs="Arial" w:eastAsia="Arial" w:hAnsi="Arial"/>
                <w:sz w:val="18"/>
                <w:szCs w:val="18"/>
                <w:color w:val="auto"/>
              </w:rPr>
              <w:t>Assignment and Assumption</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019"/>
          </w:cols>
          <w:pgMar w:left="440" w:top="274"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11" w:lineRule="exact"/>
        <w:rPr>
          <w:sz w:val="20"/>
          <w:szCs w:val="20"/>
          <w:color w:val="auto"/>
        </w:rPr>
      </w:pPr>
    </w:p>
    <w:p>
      <w:pPr>
        <w:ind w:right="260" w:firstLine="440"/>
        <w:spacing w:after="0" w:line="257" w:lineRule="auto"/>
        <w:rPr>
          <w:sz w:val="20"/>
          <w:szCs w:val="20"/>
          <w:color w:val="auto"/>
        </w:rPr>
      </w:pPr>
      <w:r>
        <w:rPr>
          <w:rFonts w:ascii="Arial" w:cs="Arial" w:eastAsia="Arial" w:hAnsi="Arial"/>
          <w:sz w:val="18"/>
          <w:szCs w:val="18"/>
          <w:color w:val="auto"/>
        </w:rPr>
        <w:t>This THIRD AMENDED AND RESTATED CREDIT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June 23, 2021, among ANALOG DEVICES, INC., a Massachusetts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certain Subsidiaries of the Company party hereto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and BANK OF AMERICA, N.A., as Administrative Agent, Swing Line Lender and an L/C Issuer.</w:t>
      </w:r>
    </w:p>
    <w:p>
      <w:pPr>
        <w:spacing w:after="0" w:line="188"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WHEREAS, the Borrower, the lenders party thereto and Bank of America, N.A., as administrative agent, letter of credit issuer and swing line lender, entered into that certain Second Amended and Restated Credit Agreement, dated as of June 28, 2019 (as amended or modified from time to time prior to the date hereof, collectively,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w:t>
      </w:r>
    </w:p>
    <w:p>
      <w:pPr>
        <w:spacing w:after="0" w:line="184"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WHEREAS, the parties hereto wish to amend and restate the Existing Credit Agreement to (a) make available to the Company increased Commitments and (b) make certain other amendments and modifications, all as more fully set forth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ACCOUNTING TERMS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Defined Terms.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2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Acquisition Debt</w:t>
      </w:r>
      <w:r>
        <w:rPr>
          <w:rFonts w:ascii="Arial" w:cs="Arial" w:eastAsia="Arial" w:hAnsi="Arial"/>
          <w:sz w:val="16"/>
          <w:szCs w:val="16"/>
          <w:color w:val="auto"/>
        </w:rPr>
        <w:t xml:space="preserve">” means any Indebtedness of the Company or any of its Subsidiaries that has been issued for the purpose of financing, in whole or in part, a Qualified Acquisition and any related transactions or series of related transactions (including for the purpose of refinancing or replacing all or a portion of any pre-existing Indebtedness of the Company, any of its Subsidiaries or the person(s) or assets to be acquired);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satisfies one or more of the following requirements: (a) the release of the proceeds thereof to the Company and its Subsidiaries is contingent upon the consummation of such Qualified Acquisition and, pending such release, such proceeds are held in escrow (and, if the definitive agreement (or, in the case of a tender offer or similar transaction, the definitive offer document) for such Qualified Acquisition is terminated prior to the consummation of such Qualified Acquisition or if such Qualified Acquisition is otherwise not consummated by the date specified in the definitive documentation relating to such debt, such proceeds shall be promptly applied to satisfy and discharge all obligations of the Company and its Subsidiaries in respect of such Indebtedness); (b) such Indebtedness contains a “special mandatory redemption” provision (or other similar provision) or otherwise requires such Indebtedness to be redeemed or prepaid if such Qualified Acquisition is not consummated by the date specified in the definitive documentation relating to such debt (and if the definitive agreement (or, in the case of a tender offer or similar transaction, the definitive offer document) for such Qualified Acquisition is terminated in accordance with its terms prior to the consummation of such Qualified Acquisition or such Qualified Acquisition is otherwise not consummated by the date specified in the definitive documentation relating to such Indebtedness, such debt is so redeemed or prepaid within 90 days of such termination or such specified date, as the case may be); or (c) such Indebtedness does not include a “special mandatory redemption” provision (or other similar provision) or otherwise have a repayment or</w:t>
      </w:r>
    </w:p>
    <w:p>
      <w:pPr>
        <w:sectPr>
          <w:pgSz w:w="11900" w:h="16838" w:orient="portrait"/>
          <w:cols w:equalWidth="0" w:num="1">
            <w:col w:w="11020"/>
          </w:cols>
          <w:pgMar w:left="440" w:top="270" w:right="439" w:bottom="1440" w:gutter="0" w:footer="0" w:header="0"/>
        </w:sectPr>
      </w:pPr>
    </w:p>
    <w:bookmarkStart w:id="10" w:name="page11"/>
    <w:bookmarkEnd w:id="10"/>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redemption feature tied to the failure to consummate such Qualified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unless the Company or any of its Subsidiaries has taken prompt action to repay, redeem, discharge or commence a tender offer to repurchase such Indebtedness after the definitive agreement (or, in the case of a tender offer or similar transaction, the definitive offer document) for the relevant Qualified Acquisition is terminated in accordance with its terms prior to the consummation thereof or such Qualified Acquisition is otherwise not consummated by the date specified in the definitive documentation relating thereto (and in any event, within 90 days after the date of such termination or the specified date, as the case may be, has initiated such action), such Indebtedness shall no longer constitute “Acquisition Debt” pursuant to this clause (c).</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Additional Commitment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2.14(d)</w:t>
      </w:r>
      <w:r>
        <w:rPr>
          <w:rFonts w:ascii="Arial" w:cs="Arial" w:eastAsia="Arial" w:hAnsi="Arial"/>
          <w:sz w:val="18"/>
          <w:szCs w:val="18"/>
          <w:color w:val="auto"/>
        </w:rPr>
        <w:t>.</w:t>
      </w:r>
    </w:p>
    <w:p>
      <w:pPr>
        <w:spacing w:after="0" w:line="225"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Administrative Agent</w:t>
      </w:r>
      <w:r>
        <w:rPr>
          <w:rFonts w:ascii="Arial" w:cs="Arial" w:eastAsia="Arial" w:hAnsi="Arial"/>
          <w:sz w:val="18"/>
          <w:szCs w:val="18"/>
          <w:color w:val="auto"/>
        </w:rPr>
        <w:t>” means Bank of America (or any of its designated branch offices or affiliates) in its capacity as administrative agent under the Loan Documents, or any successor administrative agent.</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Administrative Agent’s Office</w:t>
      </w:r>
      <w:r>
        <w:rPr>
          <w:rFonts w:ascii="Arial" w:cs="Arial" w:eastAsia="Arial" w:hAnsi="Arial"/>
          <w:sz w:val="18"/>
          <w:szCs w:val="18"/>
          <w:color w:val="auto"/>
        </w:rPr>
        <w:t xml:space="preserve">” means, with respect to any currency,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to the Company and the Lenders.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Agent Fee Letter</w:t>
      </w:r>
      <w:r>
        <w:rPr>
          <w:rFonts w:ascii="Arial" w:cs="Arial" w:eastAsia="Arial" w:hAnsi="Arial"/>
          <w:sz w:val="16"/>
          <w:szCs w:val="16"/>
          <w:color w:val="auto"/>
        </w:rPr>
        <w:t>” means the fee letter agreement, dated as of June 2, 2021, among the Company, the Administrative Agent and BofA Securities.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Agent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10.02(c)</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Aggregate Commitments</w:t>
      </w:r>
      <w:r>
        <w:rPr>
          <w:rFonts w:ascii="Arial" w:cs="Arial" w:eastAsia="Arial" w:hAnsi="Arial"/>
          <w:sz w:val="18"/>
          <w:szCs w:val="18"/>
          <w:color w:val="auto"/>
        </w:rPr>
        <w:t>” means the Commitments of all the Lenders, as increased or reduced from time to time pursuant to the terms of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Agreed Currency</w:t>
      </w:r>
      <w:r>
        <w:rPr>
          <w:rFonts w:ascii="Arial" w:cs="Arial" w:eastAsia="Arial" w:hAnsi="Arial"/>
          <w:sz w:val="18"/>
          <w:szCs w:val="18"/>
          <w:color w:val="auto"/>
        </w:rPr>
        <w:t>” means Dollars or any Alternative Currency,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Third Amended and Restated Credit Agreement, as amended, modified or supplemented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 Currency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10.18</w:t>
      </w:r>
      <w:r>
        <w:rPr>
          <w:rFonts w:ascii="Arial" w:cs="Arial" w:eastAsia="Arial" w:hAnsi="Arial"/>
          <w:sz w:val="18"/>
          <w:szCs w:val="18"/>
          <w:color w:val="auto"/>
        </w:rPr>
        <w:t>.</w:t>
      </w:r>
    </w:p>
    <w:p>
      <w:pPr>
        <w:spacing w:after="0" w:line="225" w:lineRule="exact"/>
        <w:rPr>
          <w:sz w:val="20"/>
          <w:szCs w:val="20"/>
          <w:color w:val="auto"/>
        </w:rPr>
      </w:pPr>
    </w:p>
    <w:p>
      <w:pPr>
        <w:ind w:right="8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Alternative Currency</w:t>
      </w:r>
      <w:r>
        <w:rPr>
          <w:rFonts w:ascii="Arial" w:cs="Arial" w:eastAsia="Arial" w:hAnsi="Arial"/>
          <w:sz w:val="18"/>
          <w:szCs w:val="18"/>
          <w:color w:val="auto"/>
        </w:rPr>
        <w:t xml:space="preserve">” means each of Euro, Sterling and each other currency (other than Dollars) that is approved in accordance with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each Alternative Currency, such requested currency is an Eligible Currency.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Alternative Currency Daily Rate</w:t>
      </w:r>
      <w:r>
        <w:rPr>
          <w:rFonts w:ascii="Arial" w:cs="Arial" w:eastAsia="Arial" w:hAnsi="Arial"/>
          <w:sz w:val="18"/>
          <w:szCs w:val="18"/>
          <w:color w:val="auto"/>
        </w:rPr>
        <w:t>” means, for any day, with respect to any Credit Extension: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1" w:name="page12"/>
    <w:bookmarkEnd w:id="11"/>
    <w:p>
      <w:pPr>
        <w:ind w:left="1240" w:hanging="253"/>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denominated in Sterling, the rate per annum equal to SONIA determined pursuant to the definition thereof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SONIA</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Adjustment; and</w:t>
      </w:r>
    </w:p>
    <w:p>
      <w:pPr>
        <w:spacing w:after="0" w:line="102" w:lineRule="exact"/>
        <w:rPr>
          <w:rFonts w:ascii="Arial" w:cs="Arial" w:eastAsia="Arial" w:hAnsi="Arial"/>
          <w:sz w:val="18"/>
          <w:szCs w:val="18"/>
          <w:color w:val="auto"/>
        </w:rPr>
      </w:pPr>
    </w:p>
    <w:p>
      <w:pPr>
        <w:ind w:right="20" w:firstLine="987"/>
        <w:spacing w:after="0" w:line="259" w:lineRule="auto"/>
        <w:tabs>
          <w:tab w:leader="none" w:pos="1246"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denominated in any other Alternative Currency other than Euro (to the extent such Loans denominated in such currency bear interest at a daily rate), the daily rate per annum as designated with respect to such Alternative Currency at the time such Alternative Currency is approved by the Administrative Agent and the relevant Lenders pursuant to </w:t>
      </w:r>
      <w:r>
        <w:rPr>
          <w:rFonts w:ascii="Arial" w:cs="Arial" w:eastAsia="Arial" w:hAnsi="Arial"/>
          <w:sz w:val="18"/>
          <w:szCs w:val="18"/>
          <w:u w:val="single" w:color="auto"/>
          <w:color w:val="auto"/>
        </w:rPr>
        <w:t>Section 1.09 plus</w:t>
      </w:r>
      <w:r>
        <w:rPr>
          <w:rFonts w:ascii="Arial" w:cs="Arial" w:eastAsia="Arial" w:hAnsi="Arial"/>
          <w:sz w:val="18"/>
          <w:szCs w:val="18"/>
          <w:color w:val="auto"/>
        </w:rPr>
        <w:t xml:space="preserve"> the adjustment (if any) determined by the Administrative Agent and the relevant Lenders pursuant to </w:t>
      </w:r>
      <w:r>
        <w:rPr>
          <w:rFonts w:ascii="Arial" w:cs="Arial" w:eastAsia="Arial" w:hAnsi="Arial"/>
          <w:sz w:val="18"/>
          <w:szCs w:val="18"/>
          <w:u w:val="single" w:color="auto"/>
          <w:color w:val="auto"/>
        </w:rPr>
        <w:t>Section 1.09</w:t>
      </w:r>
      <w:r>
        <w:rPr>
          <w:rFonts w:ascii="Arial" w:cs="Arial" w:eastAsia="Arial" w:hAnsi="Arial"/>
          <w:sz w:val="18"/>
          <w:szCs w:val="18"/>
          <w:color w:val="auto"/>
        </w:rPr>
        <w:t>;</w:t>
      </w:r>
    </w:p>
    <w:p>
      <w:pPr>
        <w:spacing w:after="0" w:line="187"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provided,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20"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Alternative Currency Daily Rate Loan</w:t>
      </w:r>
      <w:r>
        <w:rPr>
          <w:rFonts w:ascii="Arial" w:cs="Arial" w:eastAsia="Arial" w:hAnsi="Arial"/>
          <w:sz w:val="18"/>
          <w:szCs w:val="18"/>
          <w:color w:val="auto"/>
        </w:rPr>
        <w:t>” means a Committed Loan that bears interest at a rate based on the definition of “Alternative Currency Daily Rate”. All Alternative Currency Daily Rate Loans must be denominated in an Alternative Currency.</w:t>
      </w:r>
    </w:p>
    <w:p>
      <w:pPr>
        <w:spacing w:after="0" w:line="162"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Alternative Currency Equivalent</w:t>
      </w:r>
      <w:r>
        <w:rPr>
          <w:rFonts w:ascii="Arial" w:cs="Arial" w:eastAsia="Arial" w:hAnsi="Arial"/>
          <w:sz w:val="17"/>
          <w:szCs w:val="17"/>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 at approximately 11:00 a.m. on the date two (2) Business Days prior to the date as of which the foreign exchange computation is made.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Alternative Currency Loan</w:t>
      </w:r>
      <w:r>
        <w:rPr>
          <w:rFonts w:ascii="Arial" w:cs="Arial" w:eastAsia="Arial" w:hAnsi="Arial"/>
          <w:sz w:val="17"/>
          <w:szCs w:val="17"/>
          <w:color w:val="auto"/>
        </w:rPr>
        <w:t>” means an Alternative Currency Daily Rate Loan or an Alternative Currency Term Rate Loan, as applicable.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Alternative Currency Term Rate</w:t>
      </w:r>
      <w:r>
        <w:rPr>
          <w:rFonts w:ascii="Arial" w:cs="Arial" w:eastAsia="Arial" w:hAnsi="Arial"/>
          <w:sz w:val="18"/>
          <w:szCs w:val="18"/>
          <w:b w:val="1"/>
          <w:bCs w:val="1"/>
          <w:color w:val="auto"/>
        </w:rPr>
        <w:t>”</w:t>
      </w:r>
      <w:r>
        <w:rPr>
          <w:rFonts w:ascii="Arial" w:cs="Arial" w:eastAsia="Arial" w:hAnsi="Arial"/>
          <w:sz w:val="18"/>
          <w:szCs w:val="18"/>
          <w:color w:val="auto"/>
        </w:rPr>
        <w:t xml:space="preserve"> means, for any Interest Period, with respect to any Credit Extension:</w:t>
      </w:r>
    </w:p>
    <w:p>
      <w:pPr>
        <w:spacing w:after="0" w:line="121" w:lineRule="exact"/>
        <w:rPr>
          <w:sz w:val="20"/>
          <w:szCs w:val="20"/>
          <w:color w:val="auto"/>
        </w:rPr>
      </w:pPr>
    </w:p>
    <w:p>
      <w:pPr>
        <w:jc w:val="both"/>
        <w:ind w:right="340" w:firstLine="436"/>
        <w:spacing w:after="0" w:line="311" w:lineRule="auto"/>
        <w:tabs>
          <w:tab w:leader="none" w:pos="685" w:val="left"/>
        </w:tabs>
        <w:numPr>
          <w:ilvl w:val="0"/>
          <w:numId w:val="3"/>
        </w:numPr>
        <w:rPr>
          <w:rFonts w:ascii="Arial" w:cs="Arial" w:eastAsia="Arial" w:hAnsi="Arial"/>
          <w:sz w:val="16"/>
          <w:szCs w:val="16"/>
          <w:color w:val="auto"/>
        </w:rPr>
      </w:pPr>
      <w:r>
        <w:rPr>
          <w:rFonts w:ascii="Arial" w:cs="Arial" w:eastAsia="Arial" w:hAnsi="Arial"/>
          <w:sz w:val="16"/>
          <w:szCs w:val="16"/>
          <w:color w:val="auto"/>
        </w:rPr>
        <w:t>denominated in Euros, the rate per annum equal to the Euro Interbank Offered Rate (“</w:t>
      </w:r>
      <w:r>
        <w:rPr>
          <w:rFonts w:ascii="Arial" w:cs="Arial" w:eastAsia="Arial" w:hAnsi="Arial"/>
          <w:sz w:val="16"/>
          <w:szCs w:val="16"/>
          <w:u w:val="single" w:color="auto"/>
          <w:color w:val="auto"/>
        </w:rPr>
        <w:t>EURIBOR</w:t>
      </w:r>
      <w:r>
        <w:rPr>
          <w:rFonts w:ascii="Arial" w:cs="Arial" w:eastAsia="Arial" w:hAnsi="Arial"/>
          <w:sz w:val="16"/>
          <w:szCs w:val="16"/>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w:t>
      </w:r>
    </w:p>
    <w:p>
      <w:pPr>
        <w:spacing w:after="0" w:line="40" w:lineRule="exact"/>
        <w:rPr>
          <w:rFonts w:ascii="Arial" w:cs="Arial" w:eastAsia="Arial" w:hAnsi="Arial"/>
          <w:sz w:val="16"/>
          <w:szCs w:val="16"/>
          <w:color w:val="auto"/>
        </w:rPr>
      </w:pPr>
    </w:p>
    <w:p>
      <w:pPr>
        <w:jc w:val="both"/>
        <w:ind w:right="160" w:firstLine="436"/>
        <w:spacing w:after="0" w:line="259"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Arial" w:cs="Arial" w:eastAsia="Arial" w:hAnsi="Arial"/>
          <w:sz w:val="18"/>
          <w:szCs w:val="18"/>
          <w:u w:val="single" w:color="auto"/>
          <w:color w:val="auto"/>
        </w:rPr>
        <w:t>Section 1.09 plus</w:t>
      </w:r>
      <w:r>
        <w:rPr>
          <w:rFonts w:ascii="Arial" w:cs="Arial" w:eastAsia="Arial" w:hAnsi="Arial"/>
          <w:sz w:val="18"/>
          <w:szCs w:val="18"/>
          <w:color w:val="auto"/>
        </w:rPr>
        <w:t xml:space="preserve"> the adjustment (if any) determined by the Administrative Agent and the relevant Lenders pursuant to </w:t>
      </w:r>
      <w:r>
        <w:rPr>
          <w:rFonts w:ascii="Arial" w:cs="Arial" w:eastAsia="Arial" w:hAnsi="Arial"/>
          <w:sz w:val="18"/>
          <w:szCs w:val="18"/>
          <w:u w:val="single" w:color="auto"/>
          <w:color w:val="auto"/>
        </w:rPr>
        <w:t>Section 1.09;</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if any Alternative Currency Term Rate shall be less than zero, such rate shall be deemed zero for purposes of this Agreement.</w:t>
      </w:r>
    </w:p>
    <w:p>
      <w:pPr>
        <w:spacing w:after="0" w:line="233"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Alternative Currency Term Rate Loan</w:t>
      </w:r>
      <w:r>
        <w:rPr>
          <w:rFonts w:ascii="Arial" w:cs="Arial" w:eastAsia="Arial" w:hAnsi="Arial"/>
          <w:sz w:val="18"/>
          <w:szCs w:val="18"/>
          <w:color w:val="auto"/>
        </w:rPr>
        <w:t>” means a Committed Loan that bears interest at a rate based on the definition of “Alternative Currency Term Rate.” All Alternative Currency Term Rate Loans must be denominated in an Alternative Currency.</w:t>
      </w:r>
    </w:p>
    <w:p>
      <w:pPr>
        <w:spacing w:after="0" w:line="162" w:lineRule="exact"/>
        <w:rPr>
          <w:sz w:val="20"/>
          <w:szCs w:val="20"/>
          <w:color w:val="auto"/>
        </w:rPr>
      </w:pPr>
    </w:p>
    <w:p>
      <w:pPr>
        <w:jc w:val="center"/>
        <w:ind w:right="8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Annual Period</w:t>
      </w:r>
      <w:r>
        <w:rPr>
          <w:rFonts w:ascii="Arial" w:cs="Arial" w:eastAsia="Arial" w:hAnsi="Arial"/>
          <w:sz w:val="18"/>
          <w:szCs w:val="18"/>
          <w:color w:val="auto"/>
        </w:rPr>
        <w:t>” means each period beginning on January 1</w:t>
      </w:r>
      <w:r>
        <w:rPr>
          <w:rFonts w:ascii="Arial" w:cs="Arial" w:eastAsia="Arial" w:hAnsi="Arial"/>
          <w:sz w:val="15"/>
          <w:szCs w:val="15"/>
          <w:color w:val="auto"/>
        </w:rPr>
        <w:t>st</w:t>
      </w:r>
      <w:r>
        <w:rPr>
          <w:rFonts w:ascii="Arial" w:cs="Arial" w:eastAsia="Arial" w:hAnsi="Arial"/>
          <w:sz w:val="18"/>
          <w:szCs w:val="18"/>
          <w:color w:val="auto"/>
        </w:rPr>
        <w:t xml:space="preserve"> and ending on December 31</w:t>
      </w:r>
      <w:r>
        <w:rPr>
          <w:rFonts w:ascii="Arial" w:cs="Arial" w:eastAsia="Arial" w:hAnsi="Arial"/>
          <w:sz w:val="15"/>
          <w:szCs w:val="15"/>
          <w:color w:val="auto"/>
        </w:rPr>
        <w:t>st</w:t>
      </w:r>
      <w:r>
        <w:rPr>
          <w:rFonts w:ascii="Arial" w:cs="Arial" w:eastAsia="Arial" w:hAnsi="Arial"/>
          <w:sz w:val="18"/>
          <w:szCs w:val="18"/>
          <w:color w:val="auto"/>
        </w:rPr>
        <w:t xml:space="preserve"> (inclusive) throughout the Availability Period. 3</w:t>
      </w:r>
    </w:p>
    <w:p>
      <w:pPr>
        <w:sectPr>
          <w:pgSz w:w="11900" w:h="16838" w:orient="portrait"/>
          <w:cols w:equalWidth="0" w:num="1">
            <w:col w:w="11000"/>
          </w:cols>
          <w:pgMar w:left="440" w:top="274" w:right="45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Anti-Corruption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Anniversary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Percentage</w:t>
      </w:r>
      <w:r>
        <w:rPr>
          <w:rFonts w:ascii="Arial" w:cs="Arial" w:eastAsia="Arial" w:hAnsi="Arial"/>
          <w:sz w:val="18"/>
          <w:szCs w:val="18"/>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If the commitment of each Lender to make Loans and the obligation of each L/C Issuer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or other agreement pursuant to which such Lender becomes a party hereto, as applicable.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Applicable Rate</w:t>
      </w:r>
      <w:r>
        <w:rPr>
          <w:rFonts w:ascii="Arial" w:cs="Arial" w:eastAsia="Arial" w:hAnsi="Arial"/>
          <w:sz w:val="17"/>
          <w:szCs w:val="17"/>
          <w:color w:val="auto"/>
        </w:rPr>
        <w:t>” means, from time to time, the following percentages per annum, based upon the Company’s then-current Debt Rating: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color w:val="auto"/>
                <w:w w:val="95"/>
              </w:rPr>
              <w:t>Applicable</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8"/>
              </w:rPr>
              <w:t>Margin</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rPr>
              <w:t>for</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3"/>
              </w:rPr>
              <w:t>Eurocurrency</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Rate Loans,</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9"/>
              </w:rPr>
              <w:t>Alternative</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5"/>
              </w:rPr>
              <w:t>Currency</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1"/>
              </w:rPr>
              <w:t>Loans and</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Applicable</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color w:val="auto"/>
                <w:w w:val="94"/>
              </w:rPr>
              <w:t>Pricing Level</w:t>
            </w:r>
          </w:p>
        </w:tc>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Facility</w:t>
            </w:r>
          </w:p>
        </w:tc>
        <w:tc>
          <w:tcPr>
            <w:tcW w:w="18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7"/>
              </w:rPr>
              <w:t>Letter of</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Margin for Base</w:t>
            </w:r>
          </w:p>
        </w:tc>
        <w:tc>
          <w:tcPr>
            <w:tcW w:w="0" w:type="dxa"/>
            <w:vAlign w:val="bottom"/>
          </w:tcPr>
          <w:p>
            <w:pPr>
              <w:spacing w:after="0"/>
              <w:rPr>
                <w:sz w:val="1"/>
                <w:szCs w:val="1"/>
                <w:color w:val="auto"/>
              </w:rPr>
            </w:pPr>
          </w:p>
        </w:tc>
      </w:tr>
      <w:tr>
        <w:trPr>
          <w:trHeight w:val="159"/>
        </w:trPr>
        <w:tc>
          <w:tcPr>
            <w:tcW w:w="780" w:type="dxa"/>
            <w:vAlign w:val="bottom"/>
            <w:tcBorders>
              <w:bottom w:val="single" w:sz="8" w:color="auto"/>
            </w:tcBorders>
            <w:vMerge w:val="continue"/>
          </w:tcPr>
          <w:p>
            <w:pPr>
              <w:spacing w:after="0"/>
              <w:rPr>
                <w:sz w:val="13"/>
                <w:szCs w:val="13"/>
                <w:color w:val="auto"/>
              </w:rPr>
            </w:pPr>
          </w:p>
        </w:tc>
        <w:tc>
          <w:tcPr>
            <w:tcW w:w="5620" w:type="dxa"/>
            <w:vAlign w:val="bottom"/>
          </w:tcPr>
          <w:p>
            <w:pPr>
              <w:spacing w:after="0"/>
              <w:rPr>
                <w:sz w:val="13"/>
                <w:szCs w:val="13"/>
                <w:color w:val="auto"/>
              </w:rPr>
            </w:pPr>
          </w:p>
        </w:tc>
        <w:tc>
          <w:tcPr>
            <w:tcW w:w="126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4"/>
              </w:rPr>
              <w:t>Debt Rating</w:t>
            </w:r>
          </w:p>
        </w:tc>
        <w:tc>
          <w:tcPr>
            <w:tcW w:w="760" w:type="dxa"/>
            <w:vAlign w:val="bottom"/>
            <w:gridSpan w:val="2"/>
          </w:tcPr>
          <w:p>
            <w:pPr>
              <w:jc w:val="right"/>
              <w:ind w:right="440"/>
              <w:spacing w:after="0" w:line="154" w:lineRule="exact"/>
              <w:rPr>
                <w:sz w:val="20"/>
                <w:szCs w:val="20"/>
                <w:color w:val="auto"/>
              </w:rPr>
            </w:pPr>
            <w:r>
              <w:rPr>
                <w:rFonts w:ascii="Arial" w:cs="Arial" w:eastAsia="Arial" w:hAnsi="Arial"/>
                <w:sz w:val="14"/>
                <w:szCs w:val="14"/>
                <w:color w:val="auto"/>
              </w:rPr>
              <w:t>Fee</w:t>
            </w:r>
          </w:p>
        </w:tc>
        <w:tc>
          <w:tcPr>
            <w:tcW w:w="180" w:type="dxa"/>
            <w:vAlign w:val="bottom"/>
          </w:tcPr>
          <w:p>
            <w:pPr>
              <w:spacing w:after="0"/>
              <w:rPr>
                <w:sz w:val="13"/>
                <w:szCs w:val="13"/>
                <w:color w:val="auto"/>
              </w:rPr>
            </w:pPr>
          </w:p>
        </w:tc>
        <w:tc>
          <w:tcPr>
            <w:tcW w:w="1260" w:type="dxa"/>
            <w:vAlign w:val="bottom"/>
            <w:gridSpan w:val="2"/>
          </w:tcPr>
          <w:p>
            <w:pPr>
              <w:jc w:val="center"/>
              <w:ind w:right="480"/>
              <w:spacing w:after="0" w:line="154" w:lineRule="exact"/>
              <w:rPr>
                <w:sz w:val="20"/>
                <w:szCs w:val="20"/>
                <w:color w:val="auto"/>
              </w:rPr>
            </w:pPr>
            <w:r>
              <w:rPr>
                <w:rFonts w:ascii="Arial" w:cs="Arial" w:eastAsia="Arial" w:hAnsi="Arial"/>
                <w:sz w:val="14"/>
                <w:szCs w:val="14"/>
                <w:color w:val="auto"/>
                <w:w w:val="91"/>
              </w:rPr>
              <w:t>Credit Fees</w:t>
            </w:r>
          </w:p>
        </w:tc>
        <w:tc>
          <w:tcPr>
            <w:tcW w:w="116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89"/>
              </w:rPr>
              <w:t>Rate Loans</w:t>
            </w:r>
          </w:p>
        </w:tc>
        <w:tc>
          <w:tcPr>
            <w:tcW w:w="0" w:type="dxa"/>
            <w:vAlign w:val="bottom"/>
          </w:tcPr>
          <w:p>
            <w:pPr>
              <w:spacing w:after="0"/>
              <w:rPr>
                <w:sz w:val="1"/>
                <w:szCs w:val="1"/>
                <w:color w:val="auto"/>
              </w:rPr>
            </w:pPr>
          </w:p>
        </w:tc>
      </w:tr>
      <w:tr>
        <w:trPr>
          <w:trHeight w:val="20"/>
        </w:trPr>
        <w:tc>
          <w:tcPr>
            <w:tcW w:w="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w:t>
            </w:r>
          </w:p>
        </w:tc>
        <w:tc>
          <w:tcPr>
            <w:tcW w:w="56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vMerge w:val="continue"/>
            <w:shd w:val="clear" w:color="auto" w:fill="CCEEFF"/>
          </w:tcPr>
          <w:p>
            <w:pPr>
              <w:spacing w:after="0"/>
              <w:rPr>
                <w:sz w:val="17"/>
                <w:szCs w:val="17"/>
                <w:color w:val="auto"/>
              </w:rPr>
            </w:pPr>
          </w:p>
        </w:tc>
        <w:tc>
          <w:tcPr>
            <w:tcW w:w="562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&gt;A+/A1</w:t>
            </w:r>
          </w:p>
        </w:tc>
        <w:tc>
          <w:tcPr>
            <w:tcW w:w="30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94"/>
              </w:rPr>
              <w:t>0.060%</w:t>
            </w:r>
          </w:p>
        </w:tc>
        <w:tc>
          <w:tcPr>
            <w:tcW w:w="18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0.690%</w:t>
            </w:r>
          </w:p>
        </w:tc>
        <w:tc>
          <w:tcPr>
            <w:tcW w:w="11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II</w:t>
            </w:r>
          </w:p>
        </w:tc>
        <w:tc>
          <w:tcPr>
            <w:tcW w:w="56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rPr>
              <w:t>A/A2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0.070%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0.805%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5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A-/A3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0.090%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0.910%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IV</w:t>
            </w:r>
          </w:p>
        </w:tc>
        <w:tc>
          <w:tcPr>
            <w:tcW w:w="56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BBB+/Baa1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0.110%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1.015%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0.015%</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V</w:t>
            </w:r>
          </w:p>
        </w:tc>
        <w:tc>
          <w:tcPr>
            <w:tcW w:w="5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BBB/Baa2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0.150%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1.100%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VI</w:t>
            </w:r>
          </w:p>
        </w:tc>
        <w:tc>
          <w:tcPr>
            <w:tcW w:w="56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&lt;BBB-/Baa3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0.200%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1.175%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Each change in the Applicable Rate resulting from a publicly announced change in the Debt Rating shall be effective</w:t>
      </w:r>
      <w:r>
        <w:rPr>
          <w:rFonts w:ascii="Arial" w:cs="Arial" w:eastAsia="Arial" w:hAnsi="Arial"/>
          <w:sz w:val="16"/>
          <w:szCs w:val="16"/>
          <w:b w:val="1"/>
          <w:bCs w:val="1"/>
          <w:color w:val="auto"/>
        </w:rPr>
        <w:t>,</w:t>
      </w:r>
      <w:r>
        <w:rPr>
          <w:rFonts w:ascii="Arial" w:cs="Arial" w:eastAsia="Arial" w:hAnsi="Arial"/>
          <w:sz w:val="16"/>
          <w:szCs w:val="16"/>
          <w:color w:val="auto"/>
        </w:rPr>
        <w:t xml:space="preserve"> in the case of an upgrade, during the period commencing on the date of delivery by the Company to the Administrative Agent of notice thereof pursuant to </w:t>
      </w:r>
      <w:r>
        <w:rPr>
          <w:rFonts w:ascii="Arial" w:cs="Arial" w:eastAsia="Arial" w:hAnsi="Arial"/>
          <w:sz w:val="16"/>
          <w:szCs w:val="16"/>
          <w:u w:val="single" w:color="auto"/>
          <w:color w:val="auto"/>
        </w:rPr>
        <w:t>Section 6.03(b)</w:t>
      </w:r>
      <w:r>
        <w:rPr>
          <w:rFonts w:ascii="Arial" w:cs="Arial" w:eastAsia="Arial" w:hAnsi="Arial"/>
          <w:sz w:val="16"/>
          <w:szCs w:val="16"/>
          <w:color w:val="auto"/>
        </w:rPr>
        <w:t xml:space="preserve"> and ending on the date immediately preceding the effective date of the next such change and, in the case of a downgrade</w:t>
      </w:r>
      <w:r>
        <w:rPr>
          <w:rFonts w:ascii="Arial" w:cs="Arial" w:eastAsia="Arial" w:hAnsi="Arial"/>
          <w:sz w:val="16"/>
          <w:szCs w:val="16"/>
          <w:b w:val="1"/>
          <w:bCs w:val="1"/>
          <w:color w:val="auto"/>
        </w:rPr>
        <w:t>,</w:t>
      </w:r>
      <w:r>
        <w:rPr>
          <w:rFonts w:ascii="Arial" w:cs="Arial" w:eastAsia="Arial" w:hAnsi="Arial"/>
          <w:sz w:val="16"/>
          <w:szCs w:val="16"/>
          <w:color w:val="auto"/>
        </w:rPr>
        <w:t xml:space="preserve"> during the period commencing on the date of the public announcement thereof and ending on the date immediately preceding the effective date of the next such change. If the Debt Ratings differ by one level, then the Pricing Level for the higher of such Debt Ratings shall apply (with the Debt Rating for Pricing Level I being the highest and the Debt Rating for Pricing Level VI being the lowest). If there is a split in Debt Ratings of more than one level, then the Pricing Level that is one level lower than the Pricing Level of the higher Debt Rating shall apply. If the Company has only one Debt Rating, the Pricing Level that is one level lower than that of such Debt Rating shall apply. If the Company does not have any Debt Rating, Pricing Level VI shall apply.</w:t>
      </w:r>
    </w:p>
    <w:p>
      <w:pPr>
        <w:spacing w:after="0" w:line="1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It is understood and agreed that the Applicable Rate with respect to Eurocurrency Rate Loans, Alternative Currency Daily Rate Loan, Base Rate Loans, the Letter of Credit Fee and the Facility Fee shall be adjusted from time to time based upon the Sustainability Margin Adjustment and the Sustainability Fee Adjustment, as applicable (in each case, to be calculated and applied as set forth in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the Applicable Rate with respect to Eurocurrency Rate Loans, Alternative Currency Daily Rate Loan, Base Rate Loans, the Letter of Credit Fee and the Facility Fee be less than zero percent per annum.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13" w:name="page14"/>
    <w:bookmarkEnd w:id="13"/>
    <w:p>
      <w:pPr>
        <w:ind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Applicable Time</w:t>
      </w:r>
      <w:r>
        <w:rPr>
          <w:rFonts w:ascii="Arial" w:cs="Arial" w:eastAsia="Arial" w:hAnsi="Arial"/>
          <w:sz w:val="18"/>
          <w:szCs w:val="18"/>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Applicant Borrower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2.18</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Arrangers</w:t>
      </w:r>
      <w:r>
        <w:rPr>
          <w:rFonts w:ascii="Arial" w:cs="Arial" w:eastAsia="Arial" w:hAnsi="Arial"/>
          <w:sz w:val="18"/>
          <w:szCs w:val="18"/>
          <w:color w:val="auto"/>
        </w:rPr>
        <w:t>” means the Persons named as joint lead arrangers and joint bookrunners on the cover page of this Agreement, acting in such capacities.</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10.06</w:t>
      </w:r>
      <w:r>
        <w:rPr>
          <w:rFonts w:ascii="Arial" w:cs="Arial" w:eastAsia="Arial" w:hAnsi="Arial"/>
          <w:sz w:val="18"/>
          <w:szCs w:val="18"/>
          <w:color w:val="auto"/>
        </w:rPr>
        <w:t xml:space="preserve"> or any other form (including electronic documentation generated by MarkitClear or other electronic platform) approved by the Administrative Agent and reasonably acceptable to the Company.</w:t>
      </w:r>
    </w:p>
    <w:p>
      <w:pPr>
        <w:spacing w:after="0" w:line="180"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0" w:lineRule="exact"/>
        <w:rPr>
          <w:sz w:val="20"/>
          <w:szCs w:val="20"/>
          <w:color w:val="auto"/>
        </w:rPr>
      </w:pPr>
    </w:p>
    <w:p>
      <w:pPr>
        <w:ind w:right="3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Audited Financial Statements</w:t>
      </w:r>
      <w:r>
        <w:rPr>
          <w:rFonts w:ascii="Arial" w:cs="Arial" w:eastAsia="Arial" w:hAnsi="Arial"/>
          <w:sz w:val="18"/>
          <w:szCs w:val="18"/>
          <w:color w:val="auto"/>
        </w:rPr>
        <w:t>” means the audited consolidated balance sheet of the Company and its Subsidiaries for the fiscal year ended October 31, 2020, and the related consolidated statements of income or operations, shareholders’ equity and cash flows for such fiscal year of the Company and its Subsidiaries, including the notes thereto.</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Auto-Extension Letter of Credit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2.03(b)(iii)</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Availability Period</w:t>
      </w:r>
      <w:r>
        <w:rPr>
          <w:rFonts w:ascii="Arial" w:cs="Arial" w:eastAsia="Arial" w:hAnsi="Arial"/>
          <w:sz w:val="18"/>
          <w:szCs w:val="18"/>
          <w:color w:val="auto"/>
        </w:rPr>
        <w:t xml:space="preserve">” means the period from and including the Closing Date to the earliest of (a) the Maturity Date, (b) the date of termination of the Aggregate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each Lender to make Loans and of the obligation of each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76" w:lineRule="exact"/>
        <w:rPr>
          <w:sz w:val="20"/>
          <w:szCs w:val="20"/>
          <w:color w:val="auto"/>
        </w:rPr>
      </w:pPr>
    </w:p>
    <w:p>
      <w:pPr>
        <w:ind w:right="2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Available Tenor</w:t>
      </w:r>
      <w:r>
        <w:rPr>
          <w:rFonts w:ascii="Arial" w:cs="Arial" w:eastAsia="Arial" w:hAnsi="Arial"/>
          <w:sz w:val="16"/>
          <w:szCs w:val="16"/>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4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Base Rate</w:t>
      </w:r>
      <w:r>
        <w:rPr>
          <w:rFonts w:ascii="Arial" w:cs="Arial" w:eastAsia="Arial" w:hAnsi="Arial"/>
          <w:sz w:val="17"/>
          <w:szCs w:val="17"/>
          <w:color w:val="auto"/>
        </w:rPr>
        <w:t>” means for any day a fluctuating rate per annum equal to the highest of (a) the Federal Funds Rate plus 1/2 of 1%, (b) the rate of interest in effect for such day as publicly announced from time to time by Bank of America as its “prime rate” and (c) the LIBOR Rate for a one month Interest Period on such day (or if such day is not a Business Day, the immediately preceding Business Day) plus 1.00%; and if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the “prime rate” announced by Bank of America shall take effect at the opening of business on the day specified in the public announcement of such change.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Base Rate Committed Loan</w:t>
      </w:r>
      <w:r>
        <w:rPr>
          <w:rFonts w:ascii="Arial" w:cs="Arial" w:eastAsia="Arial" w:hAnsi="Arial"/>
          <w:sz w:val="18"/>
          <w:szCs w:val="18"/>
          <w:color w:val="auto"/>
        </w:rPr>
        <w:t>” means a Committed Loan that is a Base Rate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Base Rate Loan</w:t>
      </w:r>
      <w:r>
        <w:rPr>
          <w:rFonts w:ascii="Arial" w:cs="Arial" w:eastAsia="Arial" w:hAnsi="Arial"/>
          <w:sz w:val="18"/>
          <w:szCs w:val="18"/>
          <w:color w:val="auto"/>
        </w:rPr>
        <w:t>” means a Loan that bears interest based on the Base Rate.</w:t>
      </w:r>
    </w:p>
    <w:p>
      <w:pPr>
        <w:spacing w:after="0" w:line="225"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Benchmark</w:t>
      </w:r>
      <w:r>
        <w:rPr>
          <w:rFonts w:ascii="Arial" w:cs="Arial" w:eastAsia="Arial" w:hAnsi="Arial"/>
          <w:sz w:val="17"/>
          <w:szCs w:val="17"/>
          <w:color w:val="auto"/>
        </w:rPr>
        <w:t xml:space="preserve">” means, initially, LIBOR;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replacement of the Benchmark has occurred pursuant to Section 3.03(c)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Benchmark Replacement</w:t>
      </w:r>
      <w:r>
        <w:rPr>
          <w:rFonts w:ascii="Arial" w:cs="Arial" w:eastAsia="Arial" w:hAnsi="Arial"/>
          <w:sz w:val="18"/>
          <w:szCs w:val="18"/>
          <w:color w:val="auto"/>
        </w:rPr>
        <w:t>” means:</w:t>
      </w:r>
    </w:p>
    <w:p>
      <w:pPr>
        <w:spacing w:after="0" w:line="121" w:lineRule="exact"/>
        <w:rPr>
          <w:sz w:val="20"/>
          <w:szCs w:val="20"/>
          <w:color w:val="auto"/>
        </w:rPr>
      </w:pPr>
    </w:p>
    <w:p>
      <w:pPr>
        <w:ind w:left="700" w:hanging="2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purposes of Section 3.03(c)(i), the first alternative set forth below that can be determined by the Administrative Agent: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sum of: (i) Term SOFR and (ii) 0.11448% (11.448 basis points) for an Available Tenor of one-month’s duration,</w:t>
      </w:r>
    </w:p>
    <w:p>
      <w:pPr>
        <w:spacing w:after="0" w:line="34" w:lineRule="exact"/>
        <w:rPr>
          <w:rFonts w:ascii="Arial" w:cs="Arial" w:eastAsia="Arial" w:hAnsi="Arial"/>
          <w:sz w:val="17"/>
          <w:szCs w:val="17"/>
          <w:color w:val="auto"/>
        </w:rPr>
      </w:pPr>
    </w:p>
    <w:p>
      <w:pPr>
        <w:ind w:left="1960" w:right="280"/>
        <w:spacing w:after="0" w:line="255" w:lineRule="auto"/>
        <w:rPr>
          <w:rFonts w:ascii="Arial" w:cs="Arial" w:eastAsia="Arial" w:hAnsi="Arial"/>
          <w:sz w:val="17"/>
          <w:szCs w:val="17"/>
          <w:color w:val="auto"/>
        </w:rPr>
      </w:pPr>
      <w:r>
        <w:rPr>
          <w:rFonts w:ascii="Arial" w:cs="Arial" w:eastAsia="Arial" w:hAnsi="Arial"/>
          <w:sz w:val="18"/>
          <w:szCs w:val="18"/>
          <w:color w:val="auto"/>
        </w:rPr>
        <w:t>0.26161% (26.161 basis points) for an Available Tenor of three-months’ duration, 0.42826% (42.826 basis points) for an Available Tenor of six-months’ duration, and 0.71513% (71.513 basis points) for an Available Tenor of twelve-months’ duration, or</w:t>
      </w:r>
    </w:p>
    <w:p>
      <w:pPr>
        <w:spacing w:after="0" w:line="95" w:lineRule="exact"/>
        <w:rPr>
          <w:rFonts w:ascii="Arial" w:cs="Arial" w:eastAsia="Arial" w:hAnsi="Arial"/>
          <w:sz w:val="17"/>
          <w:szCs w:val="17"/>
          <w:color w:val="auto"/>
        </w:rPr>
      </w:pPr>
    </w:p>
    <w:p>
      <w:pPr>
        <w:ind w:left="1960" w:hanging="533"/>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sum of: (i) Daily Simple SOFR and (ii) 0.11448% (11.448 basis points);</w:t>
      </w:r>
    </w:p>
    <w:p>
      <w:pPr>
        <w:spacing w:after="0" w:line="225" w:lineRule="exact"/>
        <w:rPr>
          <w:sz w:val="20"/>
          <w:szCs w:val="20"/>
          <w:color w:val="auto"/>
        </w:rPr>
      </w:pPr>
    </w:p>
    <w:p>
      <w:pPr>
        <w:ind w:right="200" w:firstLine="440"/>
        <w:spacing w:after="0" w:line="29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initially LIBOR is replaced with the rate contained in clause (b) above (Daily Simple SOFR plus the applicable spread adjustment) and subsequent to such replacement, the Administrative Agent determines that Term SOFR has become available and is administratively feasible for the Administrative Agent in its sole discretion,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clause (a) above; and</w:t>
      </w:r>
    </w:p>
    <w:p>
      <w:pPr>
        <w:spacing w:after="0" w:line="53" w:lineRule="exact"/>
        <w:rPr>
          <w:sz w:val="20"/>
          <w:szCs w:val="20"/>
          <w:color w:val="auto"/>
        </w:rPr>
      </w:pPr>
    </w:p>
    <w:p>
      <w:pPr>
        <w:ind w:left="440" w:right="260" w:hanging="4"/>
        <w:spacing w:after="0" w:line="259"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purposes of Section 3.03(c)(ii), the sum of (a) the alternate benchmark rate and (b) an adjustment (which may be a positive or negative value or zero), in each case, that has been selected by the Administrative Agent and the Borrower as the replacement Benchmark giving due consideration to any evolving or then-prevailing market convention, including any applicable recommendations made by a Relevant Governmental Body, for U.S. dollar-denominated syndicated credit facilities at such time;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0" w:right="519" w:bottom="1440" w:gutter="0" w:footer="0" w:header="0"/>
        </w:sectPr>
      </w:pPr>
    </w:p>
    <w:bookmarkStart w:id="15" w:name="page16"/>
    <w:bookmarkEnd w:id="15"/>
    <w:p>
      <w:pPr>
        <w:ind w:right="26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Arial" w:cs="Arial" w:eastAsia="Arial" w:hAnsi="Arial"/>
          <w:sz w:val="18"/>
          <w:szCs w:val="18"/>
          <w:color w:val="auto"/>
        </w:rPr>
        <w:t xml:space="preserve"> that, if the Benchmark Replacement as determined pursuant to clause (1) or (2) above would be less than zero, the Benchmark Replacement will be deemed to be zero for the purposes of this Agreement and the other Loan Documents.</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Any Benchmark Replacement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Benchmark Replacement shall be applied in a manner as otherwise reasonably determined by the Administrative Agent.</w:t>
      </w:r>
    </w:p>
    <w:p>
      <w:pPr>
        <w:spacing w:after="0" w:line="18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74"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Benchmark Transition Event</w:t>
      </w:r>
      <w:r>
        <w:rPr>
          <w:rFonts w:ascii="Arial" w:cs="Arial" w:eastAsia="Arial" w:hAnsi="Arial"/>
          <w:sz w:val="16"/>
          <w:szCs w:val="16"/>
          <w:color w:val="auto"/>
        </w:rPr>
        <w:t>” means,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Beneficial Ownership Certification</w:t>
      </w:r>
      <w:r>
        <w:rPr>
          <w:rFonts w:ascii="Arial" w:cs="Arial" w:eastAsia="Arial" w:hAnsi="Arial"/>
          <w:sz w:val="16"/>
          <w:szCs w:val="16"/>
          <w:color w:val="auto"/>
        </w:rPr>
        <w:t>” means a certification regarding beneficial ownership required by the Beneficial Ownership Regulation.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BofA Securities</w:t>
      </w:r>
      <w:r>
        <w:rPr>
          <w:rFonts w:ascii="Arial" w:cs="Arial" w:eastAsia="Arial" w:hAnsi="Arial"/>
          <w:sz w:val="18"/>
          <w:szCs w:val="18"/>
          <w:color w:val="auto"/>
        </w:rPr>
        <w:t>” means BofA Securities, Inc., in its capacity as a joint lead arranger and bookrunner.</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each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Borrowing</w:t>
      </w:r>
      <w:r>
        <w:rPr>
          <w:rFonts w:ascii="Arial" w:cs="Arial" w:eastAsia="Arial" w:hAnsi="Arial"/>
          <w:sz w:val="18"/>
          <w:szCs w:val="18"/>
          <w:color w:val="auto"/>
        </w:rPr>
        <w:t>” means a Committed Borrowing or a Swing Line Borrowing, as the context may require.</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w:t>
      </w:r>
    </w:p>
    <w:p>
      <w:pPr>
        <w:spacing w:after="0" w:line="58" w:lineRule="exact"/>
        <w:rPr>
          <w:sz w:val="20"/>
          <w:szCs w:val="20"/>
          <w:color w:val="auto"/>
        </w:rPr>
      </w:pPr>
    </w:p>
    <w:p>
      <w:pPr>
        <w:ind w:left="440" w:right="60" w:firstLine="419"/>
        <w:spacing w:after="0" w:line="311" w:lineRule="auto"/>
        <w:tabs>
          <w:tab w:leader="none" w:pos="1108"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that is also a London Banking Day;</w:t>
      </w:r>
    </w:p>
    <w:p>
      <w:pPr>
        <w:spacing w:after="0" w:line="40" w:lineRule="exact"/>
        <w:rPr>
          <w:rFonts w:ascii="Arial" w:cs="Arial" w:eastAsia="Arial" w:hAnsi="Arial"/>
          <w:sz w:val="16"/>
          <w:szCs w:val="16"/>
          <w:color w:val="auto"/>
        </w:rPr>
      </w:pPr>
    </w:p>
    <w:p>
      <w:pPr>
        <w:jc w:val="both"/>
        <w:ind w:left="440" w:right="240" w:firstLine="419"/>
        <w:spacing w:after="0" w:line="263" w:lineRule="auto"/>
        <w:tabs>
          <w:tab w:leader="none" w:pos="1118"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TARGET Day;</w:t>
      </w:r>
    </w:p>
    <w:p>
      <w:pPr>
        <w:spacing w:after="0" w:line="75" w:lineRule="exact"/>
        <w:rPr>
          <w:rFonts w:ascii="Arial" w:cs="Arial" w:eastAsia="Arial" w:hAnsi="Arial"/>
          <w:sz w:val="18"/>
          <w:szCs w:val="18"/>
          <w:color w:val="auto"/>
        </w:rPr>
      </w:pPr>
    </w:p>
    <w:p>
      <w:pPr>
        <w:jc w:val="both"/>
        <w:ind w:left="440" w:firstLine="419"/>
        <w:spacing w:after="0" w:line="263" w:lineRule="auto"/>
        <w:tabs>
          <w:tab w:leader="none" w:pos="1108"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an Alternative Currency Daily Rate Loan denominated in Sterling, means a day other than a day banks are closed for general business in London because such day is a Saturday, Sunday or a legal holiday under the laws of the United Kingdom;</w:t>
      </w:r>
    </w:p>
    <w:p>
      <w:pPr>
        <w:spacing w:after="0" w:line="75"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a currency other than Dollars, means any such day on which dealings in deposits in the relevant currency are conducted by and between banks in the London or other applicable offshore interbank market for such currency;</w:t>
      </w:r>
    </w:p>
    <w:p>
      <w:pPr>
        <w:spacing w:after="0" w:line="75" w:lineRule="exact"/>
        <w:rPr>
          <w:rFonts w:ascii="Arial" w:cs="Arial" w:eastAsia="Arial" w:hAnsi="Arial"/>
          <w:sz w:val="18"/>
          <w:szCs w:val="18"/>
          <w:color w:val="auto"/>
        </w:rPr>
      </w:pPr>
    </w:p>
    <w:p>
      <w:pPr>
        <w:ind w:left="440" w:right="20" w:firstLine="419"/>
        <w:spacing w:after="0" w:line="279" w:lineRule="auto"/>
        <w:tabs>
          <w:tab w:leader="none" w:pos="1108"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 and</w:t>
      </w:r>
    </w:p>
    <w:p>
      <w:pPr>
        <w:spacing w:after="0" w:line="63" w:lineRule="exact"/>
        <w:rPr>
          <w:rFonts w:ascii="Arial" w:cs="Arial" w:eastAsia="Arial" w:hAnsi="Arial"/>
          <w:sz w:val="17"/>
          <w:szCs w:val="17"/>
          <w:color w:val="auto"/>
        </w:rPr>
      </w:pPr>
    </w:p>
    <w:p>
      <w:pPr>
        <w:ind w:left="440" w:right="120" w:firstLine="419"/>
        <w:spacing w:after="0" w:line="279" w:lineRule="auto"/>
        <w:tabs>
          <w:tab w:leader="none" w:pos="1088"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such day relates to any fundings, disbursements, settlements and payments in a currency other than Dollars in respect of a Eurocurrency Rate Loan denominated in a currency other than Dollars, or any other dealings in any currency other than Dollars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67"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Cash 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0" w:right="499" w:bottom="1440" w:gutter="0" w:footer="0" w:header="0"/>
        </w:sectPr>
      </w:pPr>
    </w:p>
    <w:bookmarkStart w:id="17" w:name="page18"/>
    <w:bookmarkEnd w:id="17"/>
    <w:p>
      <w:pPr>
        <w:ind w:right="20" w:firstLine="4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u w:val="single" w:color="auto"/>
          <w:color w:val="auto"/>
        </w:rPr>
        <w:t>Cash Collateralize</w:t>
      </w:r>
      <w:r>
        <w:rPr>
          <w:rFonts w:ascii="Arial" w:cs="Arial" w:eastAsia="Arial" w:hAnsi="Arial"/>
          <w:sz w:val="17"/>
          <w:szCs w:val="17"/>
          <w:color w:val="auto"/>
        </w:rPr>
        <w:t>” means to pledge and deposit with or deliver to the Administrative Agent, for the benefit of one or more of the L/C Issuers or the Lenders, as collateral for L/C Obligations or obligations of the Lenders to fund participations in respect of L/C Obligations, cash or deposit account balances or other credit support reasonably satisfactory to the Administrative Agent and the applicable L/C Issuer, in each case pursuant to documentation in form and substance reasonably satisfactory to the Administrative Agent and the applicable L/C Issuer.</w:t>
      </w:r>
    </w:p>
    <w:p>
      <w:pPr>
        <w:spacing w:after="0" w:line="16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Law</w:t>
      </w:r>
      <w:r>
        <w:rPr>
          <w:rFonts w:ascii="Arial" w:cs="Arial" w:eastAsia="Arial" w:hAnsi="Arial"/>
          <w:sz w:val="18"/>
          <w:szCs w:val="18"/>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Arial" w:cs="Arial" w:eastAsia="Arial" w:hAnsi="Arial"/>
          <w:sz w:val="18"/>
          <w:szCs w:val="18"/>
          <w:u w:val="single" w:color="auto"/>
          <w:color w:val="auto"/>
        </w:rPr>
        <w:t>Change in Law</w:t>
      </w:r>
      <w:r>
        <w:rPr>
          <w:rFonts w:ascii="Arial" w:cs="Arial" w:eastAsia="Arial" w:hAnsi="Arial"/>
          <w:sz w:val="18"/>
          <w:szCs w:val="18"/>
          <w:color w:val="auto"/>
        </w:rPr>
        <w:t>”, regardless of the date enacted, adopted or issued.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means an event or series of events by which:</w:t>
      </w:r>
    </w:p>
    <w:p>
      <w:pPr>
        <w:spacing w:after="0" w:line="121" w:lineRule="exact"/>
        <w:rPr>
          <w:sz w:val="20"/>
          <w:szCs w:val="20"/>
          <w:color w:val="auto"/>
        </w:rPr>
      </w:pPr>
    </w:p>
    <w:p>
      <w:pPr>
        <w:ind w:left="440" w:right="40" w:firstLine="419"/>
        <w:spacing w:after="0" w:line="254" w:lineRule="auto"/>
        <w:tabs>
          <w:tab w:leader="none" w:pos="1108"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8"/>
          <w:szCs w:val="18"/>
          <w:u w:val="single" w:color="auto"/>
          <w:color w:val="auto"/>
        </w:rPr>
        <w:t>option right</w:t>
      </w:r>
      <w:r>
        <w:rPr>
          <w:rFonts w:ascii="Arial" w:cs="Arial" w:eastAsia="Arial" w:hAnsi="Arial"/>
          <w:sz w:val="18"/>
          <w:szCs w:val="18"/>
          <w:color w:val="auto"/>
        </w:rPr>
        <w:t>”), directly or indirectly, of 40% or more of the Equity Interests of the Company entitled to vote for members of the board of directors or equivalent governing body of the Company on a fully-diluted basis (and taking into account all such Equity Interests that such person or group has the right to acquire pursuant to any option right);</w:t>
      </w:r>
    </w:p>
    <w:p>
      <w:pPr>
        <w:spacing w:after="0" w:line="83" w:lineRule="exact"/>
        <w:rPr>
          <w:rFonts w:ascii="Arial" w:cs="Arial" w:eastAsia="Arial" w:hAnsi="Arial"/>
          <w:sz w:val="18"/>
          <w:szCs w:val="18"/>
          <w:color w:val="auto"/>
        </w:rPr>
      </w:pPr>
    </w:p>
    <w:p>
      <w:pPr>
        <w:ind w:left="1120" w:hanging="261"/>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117" w:lineRule="exact"/>
        <w:rPr>
          <w:rFonts w:ascii="Arial" w:cs="Arial" w:eastAsia="Arial" w:hAnsi="Arial"/>
          <w:sz w:val="18"/>
          <w:szCs w:val="18"/>
          <w:color w:val="auto"/>
        </w:rPr>
      </w:pPr>
    </w:p>
    <w:p>
      <w:pPr>
        <w:ind w:left="440" w:right="160" w:firstLine="419"/>
        <w:spacing w:after="0" w:line="277" w:lineRule="auto"/>
        <w:tabs>
          <w:tab w:leader="none" w:pos="110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shall for any reason cease (at any time during which any Subsidiary is a Designated Borrower) to Control any Designated Borrower.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Citi Fee Letter</w:t>
      </w:r>
      <w:r>
        <w:rPr>
          <w:rFonts w:ascii="Arial" w:cs="Arial" w:eastAsia="Arial" w:hAnsi="Arial"/>
          <w:sz w:val="18"/>
          <w:szCs w:val="18"/>
          <w:color w:val="auto"/>
        </w:rPr>
        <w:t>” means the fee letter agreement, dated as of June 2, 2021, between the Company and Citibank, N.A.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means June 23, 2021.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w:t>
      </w:r>
      <w:r>
        <w:rPr>
          <w:rFonts w:ascii="Arial" w:cs="Arial" w:eastAsia="Arial" w:hAnsi="Arial"/>
          <w:sz w:val="18"/>
          <w:szCs w:val="18"/>
          <w:color w:val="auto"/>
        </w:rPr>
        <w:t xml:space="preserve">” means, as to each Lender, its obligation to (a) make Committed Loans to the Borrowers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 as such amount may be adjusted from time to time in accordance with this Agreement. The aggregate amount of the Commitments on the Closing Date is TWO BILLION FIVE HUNDRED MILLION DOLLARS ($2,500,000,000);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(x) prior to the Full Availability Closing Date, only the Interim Availability shall be available for Borrowing or Letters of Credit and (y) on or after the Full Availability Closing Date, the Full Availability shall become available.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18" w:name="page19"/>
    <w:bookmarkEnd w:id="18"/>
    <w:p>
      <w:pPr>
        <w:ind w:left="4" w:right="6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Committed Borrowing</w:t>
      </w:r>
      <w:r>
        <w:rPr>
          <w:rFonts w:ascii="Arial" w:cs="Arial" w:eastAsia="Arial" w:hAnsi="Arial"/>
          <w:sz w:val="18"/>
          <w:szCs w:val="18"/>
          <w:color w:val="auto"/>
        </w:rPr>
        <w:t xml:space="preserve">” means a borrowing consisting of simultaneous Committed Loans of the same Type and to the same Borrower and, in the case of Eurocurrency Rate Loans and Alternative Currency Term Rate Loans, having the same Interest Period made by each of the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Committed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Committed Loan Notice</w:t>
      </w:r>
      <w:r>
        <w:rPr>
          <w:rFonts w:ascii="Arial" w:cs="Arial" w:eastAsia="Arial" w:hAnsi="Arial"/>
          <w:sz w:val="16"/>
          <w:szCs w:val="16"/>
          <w:color w:val="auto"/>
        </w:rPr>
        <w:t>” means a notice of (a) a Committed Borrowing, (b) a conversion of Committed Loans from one Type to the other, or</w:t>
      </w:r>
    </w:p>
    <w:p>
      <w:pPr>
        <w:spacing w:after="0" w:line="50" w:lineRule="exact"/>
        <w:rPr>
          <w:sz w:val="20"/>
          <w:szCs w:val="20"/>
          <w:color w:val="auto"/>
        </w:rPr>
      </w:pPr>
    </w:p>
    <w:p>
      <w:pPr>
        <w:ind w:left="4" w:right="20" w:hanging="4"/>
        <w:spacing w:after="0" w:line="253"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 continuation of Eurocurrency Rate Loans and Alternative Currency Term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2.02</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Guaranty</w:t>
      </w:r>
      <w:r>
        <w:rPr>
          <w:rFonts w:ascii="Arial" w:cs="Arial" w:eastAsia="Arial" w:hAnsi="Arial"/>
          <w:sz w:val="18"/>
          <w:szCs w:val="18"/>
          <w:color w:val="auto"/>
        </w:rPr>
        <w:t xml:space="preserve">” means any Company Guaranty made by the Company in favor of the Administrative Agent and the Lenders, substantially in the form of </w:t>
      </w:r>
      <w:r>
        <w:rPr>
          <w:rFonts w:ascii="Arial" w:cs="Arial" w:eastAsia="Arial" w:hAnsi="Arial"/>
          <w:sz w:val="18"/>
          <w:szCs w:val="18"/>
          <w:u w:val="single" w:color="auto"/>
          <w:color w:val="auto"/>
        </w:rPr>
        <w:t>EXHIBIT 1.01(a)</w:t>
      </w:r>
      <w:r>
        <w:rPr>
          <w:rFonts w:ascii="Arial" w:cs="Arial" w:eastAsia="Arial" w:hAnsi="Arial"/>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6.02</w:t>
      </w:r>
      <w:r>
        <w:rPr>
          <w:rFonts w:ascii="Arial" w:cs="Arial" w:eastAsia="Arial" w:hAnsi="Arial"/>
          <w:sz w:val="18"/>
          <w:szCs w:val="18"/>
          <w:color w:val="auto"/>
        </w:rPr>
        <w:t>.</w:t>
      </w:r>
    </w:p>
    <w:p>
      <w:pPr>
        <w:spacing w:after="0" w:line="225" w:lineRule="exact"/>
        <w:rPr>
          <w:sz w:val="20"/>
          <w:szCs w:val="20"/>
          <w:color w:val="auto"/>
        </w:rPr>
      </w:pPr>
    </w:p>
    <w:p>
      <w:pPr>
        <w:ind w:left="4" w:right="1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Consolidated EBITDA</w:t>
      </w:r>
      <w:r>
        <w:rPr>
          <w:rFonts w:ascii="Arial" w:cs="Arial" w:eastAsia="Arial" w:hAnsi="Arial"/>
          <w:sz w:val="16"/>
          <w:szCs w:val="16"/>
          <w:color w:val="auto"/>
        </w:rPr>
        <w:t xml:space="preserve">” means, for any period, for the Company and its Subsidiaries on a consolidated basis, an amount equal to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the following to the extent deducted in calculating such Consolidated Net Income and without duplication:</w:t>
      </w:r>
    </w:p>
    <w:p>
      <w:pPr>
        <w:spacing w:after="0" w:line="1" w:lineRule="exact"/>
        <w:rPr>
          <w:sz w:val="20"/>
          <w:szCs w:val="20"/>
          <w:color w:val="auto"/>
        </w:rPr>
      </w:pPr>
    </w:p>
    <w:p>
      <w:pPr>
        <w:ind w:left="4" w:right="80" w:hanging="4"/>
        <w:spacing w:after="0" w:line="285" w:lineRule="auto"/>
        <w:tabs>
          <w:tab w:leader="none" w:pos="219"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Consolidated Interest Charges for such period, (ii) the provision for federal, state, local and foreign income Taxes payable by the Company and its Subsidiaries for such period, (iii) depreciation and amortization expense for such period, (iv) non-cash stock-based compensation expense for such period, (v) certain non-recurring expenses of the Company and its Subsidiaries incurred prior to the Closing Date, as more fully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w:t>
      </w:r>
      <w:r>
        <w:rPr>
          <w:rFonts w:ascii="Arial" w:cs="Arial" w:eastAsia="Arial" w:hAnsi="Arial"/>
          <w:sz w:val="16"/>
          <w:szCs w:val="16"/>
          <w:color w:val="auto"/>
        </w:rPr>
        <w:t xml:space="preserve">, for such period, and non-recurring cash expenses relating to pension liabilities incurred after the Closing Date, in an aggregate amount not to exceed $300,000,000, (vi) non-recurring expenses (whether or not separately identified on the profit and loss statement) of the Company and its Subsidiaries which do not represent a cash item in such period or any future period, (vii) non-recurring cash expenses (whether or not separately identified on the profit and loss statement) of the Company and its Subsidiaries to the extent such cash expenses are not paid in such period but will be paid in a future period (it being understood that such nonrecurring cash expenses will reduce Consolidated EBITDA for the period in which paid), (viii) fees and expenses incurred in connection with the execution and delivery of this Agreement and the related transactions and (ix) fees and expenses incurred in connection with any Qualified Acquisition,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to the extent included in calculating such Consolidated Net Income, all non-recurring non-cash items increasing Consolidated Net Income for such period, all as determined in accordance with GAAP.</w:t>
      </w:r>
    </w:p>
    <w:p>
      <w:pPr>
        <w:spacing w:after="0" w:line="170"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Consolidated EBITDA Adjustments</w:t>
      </w:r>
      <w:r>
        <w:rPr>
          <w:rFonts w:ascii="Arial" w:cs="Arial" w:eastAsia="Arial" w:hAnsi="Arial"/>
          <w:sz w:val="17"/>
          <w:szCs w:val="17"/>
          <w:color w:val="auto"/>
        </w:rPr>
        <w:t xml:space="preserve">” means, (a) in connection with any Person acquired by the Company or any of its Subsidiaries or any other assets acquired by the Company or any of its Subsidiaries during the applicable four fiscal quarter measurement period for purposes of </w:t>
      </w:r>
      <w:r>
        <w:rPr>
          <w:rFonts w:ascii="Arial" w:cs="Arial" w:eastAsia="Arial" w:hAnsi="Arial"/>
          <w:sz w:val="17"/>
          <w:szCs w:val="17"/>
          <w:u w:val="single" w:color="auto"/>
          <w:color w:val="auto"/>
        </w:rPr>
        <w:t>Section 7.07</w:t>
      </w:r>
      <w:r>
        <w:rPr>
          <w:rFonts w:ascii="Arial" w:cs="Arial" w:eastAsia="Arial" w:hAnsi="Arial"/>
          <w:sz w:val="17"/>
          <w:szCs w:val="17"/>
          <w:color w:val="auto"/>
        </w:rPr>
        <w:t>, in each case where there exist historical financial statements with respect thereto or the Company provides internally prepared separate financial statements to the Administrative Agent with respect to such Person or assets (such statements to be reasonably acceptable to the Administrative Agent), Consolidated EBITDA shall be calculated, without duplication, on a pro forma basis as if such Person or assets had been acquired on the first day of such four fiscal quarter period, (b) in connection with any Person disposed of by the Company or any of its Subsidiaries or any other assets disposed of by the Company or any of its Subsidiaries during</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0" w:right="459" w:bottom="1440" w:gutter="0" w:footer="0" w:header="0"/>
        </w:sectPr>
      </w:pPr>
    </w:p>
    <w:bookmarkStart w:id="19" w:name="page20"/>
    <w:bookmarkEnd w:id="19"/>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applicable four fiscal quarter measurement period for purposes of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in each case to the extent there exist historical financial statements with respect to such Person or assets or the Company provides (or, upon the request of the Administrative Agent, can reasonably provide) internally prepared separate financial statements to the Administrative Agent with respect to such Person or assets (such statements to be reasonably acceptable to the Administrative Agent), Consolidated EBITDA shall be calculated, without duplication, on a pro forma basis as if such Person or assets had been disposed of on the first day of such four fiscal quarter period and (c) any pro forma calculation of Consolidated EBITDA pursuant to the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may include, without duplication, operating expense reductions, other operating improvements, synergies or operational changes or restructurings reasonably expected to result from the applicable acquisition or disposition, in each case in the 12-month period following the consummation of such acquisition or disposition, as determined in the reasonable good faith determination of the Company and set forth in the Compliance Certificate delivered with respect to each applicable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addbacks related to any applicable pro forma events shall not in the aggregate exceed 15% of Consolidated EBITDA (calculated before giving effect to such addbacks) in any 12-month period.</w:t>
      </w:r>
    </w:p>
    <w:p>
      <w:pPr>
        <w:spacing w:after="0" w:line="16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Consolidated Funded Indebtedness</w:t>
      </w:r>
      <w:r>
        <w:rPr>
          <w:rFonts w:ascii="Arial" w:cs="Arial" w:eastAsia="Arial" w:hAnsi="Arial"/>
          <w:sz w:val="16"/>
          <w:szCs w:val="16"/>
          <w:color w:val="auto"/>
        </w:rPr>
        <w:t xml:space="preserve">” means, as of any date of determination with respect to the Company and its Subsidiaries on a consolidated basis, without duplication, the sum of: (a) all obligations for borrowed money, whether current or long-term (including the Loans) and all obligations evidenced by bonds, debentures, notes, loan agreements or other similar instruments; (b) all purchase money Indebtedness; (c) all obligations (direct or contingent) arising in respect of letters of credit, whether standby or commercial (other than commercial letters of credit issued in the ordinary course of business to the extent there is no overdue reimbursement obligation in respect thereof), bankers’ acceptances, bank guaranties, surety bonds and similar instruments; (d) all obligations in respect of the deferred purchase price of property or services (other than (i) trade accounts payable in the ordinary course of business and (ii) earnouts or other earned deferred payment obligations measured in whole or in part by events or performance occurring after the purchase, to the extent such obligations are contingent); (e) all Attributable Indebtedness; (f) all Guarantees with respect to Indebtedness of the types specified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above of another Person; and (g) all Indebtedness of the types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above of any partnership or joint venture (other than a joint venture that is itself a corporation or limited liability company) in which the Company or any Subsidiary is a general partner or joint venturer, except to the extent that Indebtedness is expressly made non-recourse to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Company or any Subsidiary delivers or causes to be delivered an irrevocable repayment or redemption notice that results in Indebtedness in the form of debt securities being due and payable in full not later than 30 days after such repayment or redemption notice has been delivered and deposits cash with or for the benefit of the trustee or holders of such Indebtedness to fund such repayment or redemption in full, then such Indebtedness shall be considered repaid or redeemed (it being understood that if any applicable deposit is returned and the corresponding Indebtedness is not repaid or redeemed, but remains outstanding, such Indebtedness shall no longer be considered repaid or redeemed).</w:t>
      </w:r>
    </w:p>
    <w:p>
      <w:pPr>
        <w:spacing w:after="0" w:line="164"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Consolidated Interest Charges</w:t>
      </w:r>
      <w:r>
        <w:rPr>
          <w:rFonts w:ascii="Arial" w:cs="Arial" w:eastAsia="Arial" w:hAnsi="Arial"/>
          <w:sz w:val="18"/>
          <w:szCs w:val="18"/>
          <w:color w:val="auto"/>
        </w:rPr>
        <w:t>” means, for any period, for the Company and its Subsidiaries on a consolidated basis, the sum of (a)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and (b) the portion of rent expense of the Company and its Subsidiaries with respect to such period under capital leases that is treated as interest in accordance with GAAP.</w:t>
      </w:r>
    </w:p>
    <w:p>
      <w:pPr>
        <w:spacing w:after="0" w:line="183"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Consolidated Leverage Ratio</w:t>
      </w:r>
      <w:r>
        <w:rPr>
          <w:rFonts w:ascii="Arial" w:cs="Arial" w:eastAsia="Arial" w:hAnsi="Arial"/>
          <w:sz w:val="17"/>
          <w:szCs w:val="17"/>
          <w:color w:val="auto"/>
        </w:rPr>
        <w:t xml:space="preserve">” means, as of the last day of any fiscal quarter, the ratio of (a) Consolidated Funded Indebtedness as of such date to (b) Consolidated EBITDA for the period of the four fiscal quarters ended on such date, subject to Consolidated EBITDA Adjustments;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after the definitive agreement for any Qualified Acquisition shall have been executed (or, in the case of a Qualified Acquisition in the form of a tender offer or similar transaction, after the offer shall have been launched) and prior to the consummation of such Qualified Acquisition (or termination of the definitive documentation in respect thereof (or such later date as such Indebtedness ceases to constitute Acquisition Debt)), any Acquisition Debt shall be excluded from the determination of the Consolidated Leverage Ratio.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0" w:name="page21"/>
    <w:bookmarkEnd w:id="20"/>
    <w:p>
      <w:pPr>
        <w:ind w:left="4" w:right="40" w:firstLine="4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u w:val="single" w:color="auto"/>
          <w:color w:val="auto"/>
        </w:rPr>
        <w:t>Consolidated Net Income</w:t>
      </w:r>
      <w:r>
        <w:rPr>
          <w:rFonts w:ascii="Arial" w:cs="Arial" w:eastAsia="Arial" w:hAnsi="Arial"/>
          <w:sz w:val="16"/>
          <w:szCs w:val="16"/>
          <w:color w:val="auto"/>
        </w:rPr>
        <w:t>” means, for any period, for the Company and its Subsidiaries on a consolidated basis, the net income of the Company and its Subsidiaries (excluding extraordinary gains and extraordinary losses) for that period, in each case as determined in accordance with GAAP.</w:t>
      </w:r>
    </w:p>
    <w:p>
      <w:pPr>
        <w:spacing w:after="0" w:line="116" w:lineRule="exact"/>
        <w:rPr>
          <w:sz w:val="20"/>
          <w:szCs w:val="20"/>
          <w:color w:val="auto"/>
        </w:rPr>
      </w:pPr>
    </w:p>
    <w:p>
      <w:pPr>
        <w:ind w:left="4"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Consolidated Tangible Assets</w:t>
      </w:r>
      <w:r>
        <w:rPr>
          <w:rFonts w:ascii="Arial" w:cs="Arial" w:eastAsia="Arial" w:hAnsi="Arial"/>
          <w:sz w:val="18"/>
          <w:szCs w:val="18"/>
          <w:color w:val="auto"/>
        </w:rPr>
        <w:t>” means, at any time, the consolidated tangible assets of the Company and its Subsidiaries, as determined in accordance with GAAP.</w:t>
      </w:r>
    </w:p>
    <w:p>
      <w:pPr>
        <w:spacing w:after="0" w:line="162"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left="4" w:right="3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16"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Daily Simple SOFR</w:t>
      </w:r>
      <w:r>
        <w:rPr>
          <w:rFonts w:ascii="Arial" w:cs="Arial" w:eastAsia="Arial" w:hAnsi="Arial"/>
          <w:sz w:val="18"/>
          <w:szCs w:val="18"/>
          <w:color w:val="auto"/>
        </w:rPr>
        <w:t>” with respect to any applicable determination date means the secured overnight financing rate (“</w:t>
      </w:r>
      <w:r>
        <w:rPr>
          <w:rFonts w:ascii="Arial" w:cs="Arial" w:eastAsia="Arial" w:hAnsi="Arial"/>
          <w:sz w:val="18"/>
          <w:szCs w:val="18"/>
          <w:b w:val="1"/>
          <w:bCs w:val="1"/>
          <w:color w:val="auto"/>
        </w:rPr>
        <w:t>SOFR</w:t>
      </w:r>
      <w:r>
        <w:rPr>
          <w:rFonts w:ascii="Arial" w:cs="Arial" w:eastAsia="Arial" w:hAnsi="Arial"/>
          <w:sz w:val="18"/>
          <w:szCs w:val="18"/>
          <w:color w:val="auto"/>
        </w:rPr>
        <w:t>”) published on such date by the Federal Reserve Bank of New York, as the administrator of the benchmark (or a successor administrator) on the Federal Reserve Bank of New York’s website (or any successor source).</w:t>
      </w:r>
    </w:p>
    <w:p>
      <w:pPr>
        <w:spacing w:after="0" w:line="176"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Debt Rating</w:t>
      </w:r>
      <w:r>
        <w:rPr>
          <w:rFonts w:ascii="Arial" w:cs="Arial" w:eastAsia="Arial" w:hAnsi="Arial"/>
          <w:sz w:val="18"/>
          <w:szCs w:val="18"/>
          <w:color w:val="auto"/>
        </w:rPr>
        <w:t>” means, as of any date of determination, the rating as determined by S&amp;P and Moody’s (collectively, the “</w:t>
      </w:r>
      <w:r>
        <w:rPr>
          <w:rFonts w:ascii="Arial" w:cs="Arial" w:eastAsia="Arial" w:hAnsi="Arial"/>
          <w:sz w:val="18"/>
          <w:szCs w:val="18"/>
          <w:u w:val="single" w:color="auto"/>
          <w:color w:val="auto"/>
        </w:rPr>
        <w:t>Debt Ratings</w:t>
      </w:r>
      <w:r>
        <w:rPr>
          <w:rFonts w:ascii="Arial" w:cs="Arial" w:eastAsia="Arial" w:hAnsi="Arial"/>
          <w:sz w:val="18"/>
          <w:szCs w:val="18"/>
          <w:color w:val="auto"/>
        </w:rPr>
        <w:t>”) of the Company’s non-credit-enhanced, senior unsecured long- term debt.</w:t>
      </w:r>
    </w:p>
    <w:p>
      <w:pPr>
        <w:spacing w:after="0" w:line="162"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6"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Default Rate</w:t>
      </w:r>
      <w:r>
        <w:rPr>
          <w:rFonts w:ascii="Arial" w:cs="Arial" w:eastAsia="Arial" w:hAnsi="Arial"/>
          <w:sz w:val="16"/>
          <w:szCs w:val="16"/>
          <w:color w:val="auto"/>
        </w:rPr>
        <w:t>” means (a) when used with respect to Obligations other than Letter of Credit Fees, an interest rate equal to (i) the Base Rate plus</w:t>
      </w:r>
    </w:p>
    <w:p>
      <w:pPr>
        <w:spacing w:after="0" w:line="50" w:lineRule="exact"/>
        <w:rPr>
          <w:sz w:val="20"/>
          <w:szCs w:val="20"/>
          <w:color w:val="auto"/>
        </w:rPr>
      </w:pPr>
    </w:p>
    <w:p>
      <w:pPr>
        <w:ind w:left="4" w:right="80" w:hanging="4"/>
        <w:spacing w:after="0" w:line="273" w:lineRule="auto"/>
        <w:tabs>
          <w:tab w:leader="none" w:pos="269"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Applicable Rate, if any, applicable to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 Eurocurrency Rate Loan and/or an Alternative Currency Loan, the Default Rate shall be an interest rate equal to the interest rate (including any Applicable Rate) otherwise applicable to such Loan plus 2% per annum, in each case to the fullest extent permitted by applicable Laws, and (b) when used with respect to Letter of Credit Fees, a rate equal to the Applicable Rate for Letters of Credit plus 2% per annum.</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21" w:name="page22"/>
    <w:bookmarkEnd w:id="21"/>
    <w:p>
      <w:pPr>
        <w:ind w:left="4" w:right="3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Default Right”</w:t>
      </w:r>
      <w:r>
        <w:rPr>
          <w:rFonts w:ascii="Arial" w:cs="Arial" w:eastAsia="Arial" w:hAnsi="Arial"/>
          <w:sz w:val="18"/>
          <w:szCs w:val="18"/>
          <w:color w:val="auto"/>
        </w:rPr>
        <w:t xml:space="preserve"> has the meaning assigned to that term in, and shall be interpreted in accordance with, 12 C.F.R. §§ 252.81, 47.2 or 382.1, as applicable.</w:t>
      </w:r>
    </w:p>
    <w:p>
      <w:pPr>
        <w:spacing w:after="0" w:line="162"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2.17(b)</w:t>
      </w:r>
      <w:r>
        <w:rPr>
          <w:rFonts w:ascii="Arial" w:cs="Arial" w:eastAsia="Arial" w:hAnsi="Arial"/>
          <w:sz w:val="16"/>
          <w:szCs w:val="16"/>
          <w:color w:val="auto"/>
        </w:rPr>
        <w:t>, any Lender that (a) has failed to (i) fund all or any portion of its Committed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 L/C Issuer, the Swing Line Lender or any other Lender any other amount required to be paid by it hereunder (including in respect of its participation in Letters of Credit or Swing Line Loans) within two Business Days of the date when due, (b) has notified the Company, the Administrative Agent, an L/C Issuer or the Swing Line Lender in writing that it does not intend to comply with its funding obligations hereunder, or has made a public statement to that effect (unless such writing or public statement relates to such Lender’s obligation to fund a Committed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w:t>
      </w:r>
    </w:p>
    <w:p>
      <w:pPr>
        <w:spacing w:after="0" w:line="7" w:lineRule="exact"/>
        <w:rPr>
          <w:sz w:val="20"/>
          <w:szCs w:val="20"/>
          <w:color w:val="auto"/>
        </w:rPr>
      </w:pPr>
    </w:p>
    <w:p>
      <w:pPr>
        <w:ind w:left="4" w:right="80" w:hanging="4"/>
        <w:spacing w:after="0" w:line="285" w:lineRule="auto"/>
        <w:tabs>
          <w:tab w:leader="none" w:pos="249" w:val="left"/>
        </w:tabs>
        <w:numPr>
          <w:ilvl w:val="0"/>
          <w:numId w:val="11"/>
        </w:numPr>
        <w:rPr>
          <w:rFonts w:ascii="Arial" w:cs="Arial" w:eastAsia="Arial" w:hAnsi="Arial"/>
          <w:sz w:val="16"/>
          <w:szCs w:val="16"/>
          <w:u w:val="single" w:color="auto"/>
          <w:color w:val="auto"/>
        </w:rPr>
      </w:pPr>
      <w:r>
        <w:rPr>
          <w:rFonts w:ascii="Arial" w:cs="Arial" w:eastAsia="Arial" w:hAnsi="Arial"/>
          <w:sz w:val="16"/>
          <w:szCs w:val="16"/>
          <w:color w:val="auto"/>
        </w:rPr>
        <w:t xml:space="preserve">upon receipt of such written confirmation by the Administrative Agent and the Company), or (d) has, or has a direct or indirect parent company that has, (i) become the subject of a proceeding under any Debtor Relief Law or any Bail-In Action,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Interests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6"/>
          <w:szCs w:val="16"/>
          <w:u w:val="single" w:color="auto"/>
          <w:color w:val="auto"/>
        </w:rPr>
        <w:t>Section 2.17(b)</w:t>
      </w:r>
      <w:r>
        <w:rPr>
          <w:rFonts w:ascii="Arial" w:cs="Arial" w:eastAsia="Arial" w:hAnsi="Arial"/>
          <w:sz w:val="16"/>
          <w:szCs w:val="16"/>
          <w:color w:val="auto"/>
        </w:rPr>
        <w:t>) as of the date established therefor by the Administrative Agent in a written notice of such determination, which shall be delivered by the Administrative Agent to the Company, each L/C Issuer, the Swing Line Lender and each other Lender promptly following such determination.</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Designated 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Designated Borrower Notice</w:t>
      </w:r>
      <w:r>
        <w:rPr>
          <w:rFonts w:ascii="Arial" w:cs="Arial" w:eastAsia="Arial" w:hAnsi="Arial"/>
          <w:sz w:val="18"/>
          <w:szCs w:val="18"/>
          <w:color w:val="auto"/>
        </w:rPr>
        <w:t xml:space="preserve">” means the notice substantially in the form of </w:t>
      </w:r>
      <w:r>
        <w:rPr>
          <w:rFonts w:ascii="Arial" w:cs="Arial" w:eastAsia="Arial" w:hAnsi="Arial"/>
          <w:sz w:val="18"/>
          <w:szCs w:val="18"/>
          <w:u w:val="single" w:color="auto"/>
          <w:color w:val="auto"/>
        </w:rPr>
        <w:t>EXHIBIT 2.18(b)</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Designated Borrower Request and Assumption Agreement</w:t>
      </w:r>
      <w:r>
        <w:rPr>
          <w:rFonts w:ascii="Arial" w:cs="Arial" w:eastAsia="Arial" w:hAnsi="Arial"/>
          <w:sz w:val="16"/>
          <w:szCs w:val="16"/>
          <w:color w:val="auto"/>
        </w:rPr>
        <w:t xml:space="preserve">” means the notice substantially in the form of </w:t>
      </w:r>
      <w:r>
        <w:rPr>
          <w:rFonts w:ascii="Arial" w:cs="Arial" w:eastAsia="Arial" w:hAnsi="Arial"/>
          <w:sz w:val="16"/>
          <w:szCs w:val="16"/>
          <w:u w:val="single" w:color="auto"/>
          <w:color w:val="auto"/>
        </w:rPr>
        <w:t>EXHIBIT 2.18(a)</w:t>
      </w:r>
      <w:r>
        <w:rPr>
          <w:rFonts w:ascii="Arial" w:cs="Arial" w:eastAsia="Arial" w:hAnsi="Arial"/>
          <w:sz w:val="16"/>
          <w:szCs w:val="16"/>
          <w:color w:val="auto"/>
        </w:rPr>
        <w:t xml:space="preserve"> attached hereto.</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Designated Jurisdiction</w:t>
      </w:r>
      <w:r>
        <w:rPr>
          <w:rFonts w:ascii="Arial" w:cs="Arial" w:eastAsia="Arial" w:hAnsi="Arial"/>
          <w:sz w:val="18"/>
          <w:szCs w:val="18"/>
          <w:color w:val="auto"/>
        </w:rPr>
        <w:t>” means any country or territory to the extent that such country or territory is the subject of any Sanction.</w:t>
      </w:r>
    </w:p>
    <w:p>
      <w:pPr>
        <w:spacing w:after="0" w:line="225" w:lineRule="exact"/>
        <w:rPr>
          <w:sz w:val="20"/>
          <w:szCs w:val="20"/>
          <w:color w:val="auto"/>
        </w:rPr>
      </w:pPr>
    </w:p>
    <w:p>
      <w:pPr>
        <w:jc w:val="both"/>
        <w:ind w:left="4"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property of any Person, including any sale, assignment, transfer or other disposal, with or without recourse, of any notes or accounts receivable or any rights and claims associated therewith.</w:t>
      </w:r>
    </w:p>
    <w:p>
      <w:pPr>
        <w:spacing w:after="0" w:line="11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0" w:right="47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Domestic Subsidiary</w:t>
      </w:r>
      <w:r>
        <w:rPr>
          <w:rFonts w:ascii="Arial" w:cs="Arial" w:eastAsia="Arial" w:hAnsi="Arial"/>
          <w:sz w:val="17"/>
          <w:szCs w:val="17"/>
          <w:color w:val="auto"/>
        </w:rPr>
        <w:t>” means any Subsidiary that is organized under the laws of any state of the United States or the District of Columbia.</w:t>
      </w:r>
    </w:p>
    <w:p>
      <w:pPr>
        <w:spacing w:after="0" w:line="237"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Opt-in Effective Date</w:t>
      </w:r>
      <w:r>
        <w:rPr>
          <w:rFonts w:ascii="Arial" w:cs="Arial" w:eastAsia="Arial" w:hAnsi="Arial"/>
          <w:sz w:val="18"/>
          <w:szCs w:val="18"/>
          <w:color w:val="auto"/>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Opt-in Election</w:t>
      </w:r>
      <w:r>
        <w:rPr>
          <w:rFonts w:ascii="Arial" w:cs="Arial" w:eastAsia="Arial" w:hAnsi="Arial"/>
          <w:sz w:val="18"/>
          <w:szCs w:val="18"/>
          <w:color w:val="auto"/>
        </w:rPr>
        <w:t>” means the occurrence of:</w:t>
      </w:r>
    </w:p>
    <w:p>
      <w:pPr>
        <w:spacing w:after="0" w:line="135" w:lineRule="exact"/>
        <w:rPr>
          <w:sz w:val="20"/>
          <w:szCs w:val="20"/>
          <w:color w:val="auto"/>
        </w:rPr>
      </w:pPr>
    </w:p>
    <w:p>
      <w:pPr>
        <w:ind w:left="760" w:right="160" w:hanging="548"/>
        <w:spacing w:after="0" w:line="259"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determination by the Administrative Agent, or a notification by the Borrower to the Administrative Agent that the Borrower has made a determination, that U.S. dollar-denominated syndicated credit facilities currently being executed, or that include language similar to that contained in Section 3.03(c), are being executed or amended (as applicable) to incorporate or adopt a new benchmark interest rate to replace LIBOR, and</w:t>
      </w:r>
    </w:p>
    <w:p>
      <w:pPr>
        <w:spacing w:after="0" w:line="187"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joint election by the Administrative Agent and the Borrower to replace LIBOR with a Benchmark Replacement and the provision by the Administrative Agent of written notice of such election to the Lenders.</w:t>
      </w:r>
    </w:p>
    <w:p>
      <w:pPr>
        <w:spacing w:after="0" w:line="166"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23" w:name="page24"/>
    <w:bookmarkEnd w:id="23"/>
    <w:p>
      <w:pPr>
        <w:ind w:right="6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u w:val="single" w:color="auto"/>
          <w:color w:val="auto"/>
        </w:rPr>
        <w:t>Eligible Currency</w:t>
      </w:r>
      <w:r>
        <w:rPr>
          <w:rFonts w:ascii="Arial" w:cs="Arial" w:eastAsia="Arial" w:hAnsi="Arial"/>
          <w:sz w:val="17"/>
          <w:szCs w:val="17"/>
          <w:color w:val="auto"/>
        </w:rPr>
        <w:t>” means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 Required Lenders (in the case of any Loans to be denominated in an Alternative Currency) or any L/C Issuer (in the case of any Letter of Credit to be denominated in an Alternative Currency), (a) such currency no longer being readily available, freely transferable and convertible into Dollars, (b) a Dollar Equivalent is no longer readily calculable with respect to such currency, (c) with regard to Alternative Currencies other than Euro and Sterling, providing such currency is impracticable for the Required Lenders or such L/C Issuer, or (d) with regard to Alternative Currencies other than Euro and Sterling, such currency is no longer a currency in which the Required Lenders or such L/C Issuer are willing to make such Credit Extensions (each of (a), (b), (c), and (d) a “</w:t>
      </w:r>
      <w:r>
        <w:rPr>
          <w:rFonts w:ascii="Arial" w:cs="Arial" w:eastAsia="Arial" w:hAnsi="Arial"/>
          <w:sz w:val="17"/>
          <w:szCs w:val="17"/>
          <w:u w:val="single" w:color="auto"/>
          <w:color w:val="auto"/>
        </w:rPr>
        <w:t>Disqualifying Event</w:t>
      </w:r>
      <w:r>
        <w:rPr>
          <w:rFonts w:ascii="Arial" w:cs="Arial" w:eastAsia="Arial" w:hAnsi="Arial"/>
          <w:sz w:val="17"/>
          <w:szCs w:val="17"/>
          <w:color w:val="auto"/>
        </w:rPr>
        <w:t>”), then the Administrative Agent shall promptly notify the Lenders and the Company, and such country’s currency shall no longer be an Alternative Currency until such time as the Disqualifying Event(s) no longer exist. Within, five (5) Business Days after receipt of such notice from the Administrative Agent, the Borrowers shall repay all Loans in such currency to which the Disqualifying Event applies.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End Date</w:t>
      </w:r>
      <w:r>
        <w:rPr>
          <w:rFonts w:ascii="Arial" w:cs="Arial" w:eastAsia="Arial" w:hAnsi="Arial"/>
          <w:sz w:val="18"/>
          <w:szCs w:val="18"/>
          <w:color w:val="auto"/>
        </w:rPr>
        <w:t>” has the meaning specified in the Maxim Plan of Merger, after giving effect to any automatic extensions pursuant thereto.</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Environmental Laws</w:t>
      </w:r>
      <w:r>
        <w:rPr>
          <w:rFonts w:ascii="Arial" w:cs="Arial" w:eastAsia="Arial" w:hAnsi="Arial"/>
          <w:sz w:val="18"/>
          <w:szCs w:val="18"/>
          <w:color w:val="auto"/>
        </w:rPr>
        <w:t>” means any and all applicable federal, state, local, foreign and other applicable statutes, laws, regulations, ordinances, rules, judgments, orders, decrees, permits, concessions, grants, franchises, governmental licenses, governmental agreements or governmental restrictions relating to pollution or the protection of the environment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Company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Equity Interests</w:t>
      </w:r>
      <w:r>
        <w:rPr>
          <w:rFonts w:ascii="Arial" w:cs="Arial" w:eastAsia="Arial" w:hAnsi="Arial"/>
          <w:sz w:val="18"/>
          <w:szCs w:val="18"/>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Indebtedness convertible or exchangeable into Equity Interests shall not be deemed to be Equity Interests unless and until such Indebtedness is so converted or exchanged.</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26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ERISA Affiliate</w:t>
      </w:r>
      <w:r>
        <w:rPr>
          <w:rFonts w:ascii="Arial" w:cs="Arial" w:eastAsia="Arial" w:hAnsi="Arial"/>
          <w:sz w:val="16"/>
          <w:szCs w:val="16"/>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24" w:name="page25"/>
    <w:bookmarkEnd w:id="24"/>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ERISA Event</w:t>
      </w:r>
      <w:r>
        <w:rPr>
          <w:rFonts w:ascii="Arial" w:cs="Arial" w:eastAsia="Arial" w:hAnsi="Arial"/>
          <w:sz w:val="16"/>
          <w:szCs w:val="16"/>
          <w:color w:val="auto"/>
        </w:rPr>
        <w:t xml:space="preserve">” means (a) a Reportable Event with respect to a Pension Plan; (b) a withdrawal by the Company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Pension Plan amendment as a termination under Section 4041 or 4041A of ERISA, or the institution by the PBGC of proceedings to terminate a Pension Plan; (e) any event or condition which constitutes grounds under Section 4042 of ERISA for the termination of, or the appointment of a trustee to administer, any Pension Plan; (f) the imposition of any liability under Title IV of ERISA, other than for PBGC premiums due but not delinquent under Section 4007 of ERISA, upon the Company or any ERISA Affiliate; or (g) the determination that any Pension Plan is considered an at-risk plan or a plan in endangered or critical status within the meaning of Sections 430, 431 and 432 of the Code or Sections 303, 304 and 305 of ERISA;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 Pension Plan or Multiemployer Plan in which neither the Company nor any Subsidiary is a participating or contributing employer, clauses (a) through (g) above shall be to the knowledge of the Company.</w:t>
      </w:r>
    </w:p>
    <w:p>
      <w:pPr>
        <w:spacing w:after="0" w:line="163"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single currency of the Participating Member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Eurocurrency Rate</w:t>
      </w:r>
      <w:r>
        <w:rPr>
          <w:rFonts w:ascii="Arial" w:cs="Arial" w:eastAsia="Arial" w:hAnsi="Arial"/>
          <w:sz w:val="18"/>
          <w:szCs w:val="18"/>
          <w:color w:val="auto"/>
        </w:rPr>
        <w:t>” means:</w:t>
      </w:r>
    </w:p>
    <w:p>
      <w:pPr>
        <w:spacing w:after="0" w:line="121" w:lineRule="exact"/>
        <w:rPr>
          <w:sz w:val="20"/>
          <w:szCs w:val="20"/>
          <w:color w:val="auto"/>
        </w:rPr>
      </w:pPr>
    </w:p>
    <w:p>
      <w:pPr>
        <w:ind w:left="1100" w:hanging="241"/>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Interest Period:</w:t>
      </w:r>
    </w:p>
    <w:p>
      <w:pPr>
        <w:spacing w:after="0" w:line="117" w:lineRule="exact"/>
        <w:rPr>
          <w:rFonts w:ascii="Arial" w:cs="Arial" w:eastAsia="Arial" w:hAnsi="Arial"/>
          <w:sz w:val="18"/>
          <w:szCs w:val="18"/>
          <w:color w:val="auto"/>
        </w:rPr>
      </w:pPr>
    </w:p>
    <w:p>
      <w:pPr>
        <w:ind w:left="980" w:right="120" w:firstLine="408"/>
        <w:spacing w:after="0" w:line="296" w:lineRule="auto"/>
        <w:tabs>
          <w:tab w:leader="none" w:pos="1596" w:val="left"/>
        </w:tabs>
        <w:numPr>
          <w:ilvl w:val="1"/>
          <w:numId w:val="13"/>
        </w:numPr>
        <w:rPr>
          <w:rFonts w:ascii="Arial" w:cs="Arial" w:eastAsia="Arial" w:hAnsi="Arial"/>
          <w:sz w:val="16"/>
          <w:szCs w:val="16"/>
          <w:color w:val="auto"/>
        </w:rPr>
      </w:pPr>
      <w:r>
        <w:rPr>
          <w:rFonts w:ascii="Arial" w:cs="Arial" w:eastAsia="Arial" w:hAnsi="Arial"/>
          <w:sz w:val="16"/>
          <w:szCs w:val="16"/>
          <w:color w:val="auto"/>
        </w:rPr>
        <w:t>with respect to any Loan denominated in a LIBOR Quoted Currency, the rate per annum equal to the London Interbank Offered Rate (“</w:t>
      </w:r>
      <w:r>
        <w:rPr>
          <w:rFonts w:ascii="Arial" w:cs="Arial" w:eastAsia="Arial" w:hAnsi="Arial"/>
          <w:sz w:val="16"/>
          <w:szCs w:val="16"/>
          <w:u w:val="single" w:color="auto"/>
          <w:color w:val="auto"/>
        </w:rPr>
        <w:t>LIBOR</w:t>
      </w:r>
      <w:r>
        <w:rPr>
          <w:rFonts w:ascii="Arial" w:cs="Arial" w:eastAsia="Arial" w:hAnsi="Arial"/>
          <w:sz w:val="16"/>
          <w:szCs w:val="16"/>
          <w:color w:val="auto"/>
        </w:rPr>
        <w:t xml:space="preserve">”), or a comparable or successor rate which rate is approved, subject to </w:t>
      </w:r>
      <w:r>
        <w:rPr>
          <w:rFonts w:ascii="Arial" w:cs="Arial" w:eastAsia="Arial" w:hAnsi="Arial"/>
          <w:sz w:val="16"/>
          <w:szCs w:val="16"/>
          <w:u w:val="single" w:color="auto"/>
          <w:color w:val="auto"/>
        </w:rPr>
        <w:t>Section 3.03(c)</w:t>
      </w:r>
      <w:r>
        <w:rPr>
          <w:rFonts w:ascii="Arial" w:cs="Arial" w:eastAsia="Arial" w:hAnsi="Arial"/>
          <w:sz w:val="16"/>
          <w:szCs w:val="16"/>
          <w:color w:val="auto"/>
        </w:rPr>
        <w:t>, by the Administrative Agent,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16"/>
          <w:szCs w:val="16"/>
          <w:u w:val="single" w:color="auto"/>
          <w:color w:val="auto"/>
        </w:rPr>
        <w:t>LIBOR Rate</w:t>
      </w:r>
      <w:r>
        <w:rPr>
          <w:rFonts w:ascii="Arial" w:cs="Arial" w:eastAsia="Arial" w:hAnsi="Arial"/>
          <w:sz w:val="16"/>
          <w:szCs w:val="16"/>
          <w:color w:val="auto"/>
        </w:rPr>
        <w:t>”) at or about 11:00 a.m. (London time) on the Rate Determination Date, for deposits in the relevant currency, with a term equivalent to such Interest Period; and</w:t>
      </w:r>
    </w:p>
    <w:p>
      <w:pPr>
        <w:spacing w:after="0" w:line="53" w:lineRule="exact"/>
        <w:rPr>
          <w:rFonts w:ascii="Arial" w:cs="Arial" w:eastAsia="Arial" w:hAnsi="Arial"/>
          <w:sz w:val="16"/>
          <w:szCs w:val="16"/>
          <w:color w:val="auto"/>
        </w:rPr>
      </w:pPr>
    </w:p>
    <w:p>
      <w:pPr>
        <w:ind w:left="980" w:right="160" w:firstLine="408"/>
        <w:spacing w:after="0" w:line="275" w:lineRule="auto"/>
        <w:tabs>
          <w:tab w:leader="none" w:pos="1646" w:val="left"/>
        </w:tabs>
        <w:numPr>
          <w:ilvl w:val="1"/>
          <w:numId w:val="13"/>
        </w:numPr>
        <w:rPr>
          <w:rFonts w:ascii="Arial" w:cs="Arial" w:eastAsia="Arial" w:hAnsi="Arial"/>
          <w:sz w:val="17"/>
          <w:szCs w:val="17"/>
          <w:color w:val="auto"/>
        </w:rPr>
      </w:pPr>
      <w:r>
        <w:rPr>
          <w:rFonts w:ascii="Arial" w:cs="Arial" w:eastAsia="Arial" w:hAnsi="Arial"/>
          <w:sz w:val="17"/>
          <w:szCs w:val="17"/>
          <w:color w:val="auto"/>
        </w:rPr>
        <w:t xml:space="preserve">with respect to any Loan denominated in any Non-LIBOR Quoted Currency (other than Euros and Sterling), (1) the rate per annum as designated with respect to such Alternative Currency at the time such Alternative Currency is approved by the Administrative Agent and the Lenders pursuant to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or (2) with respect to any LIBOR Quoted Currency that becomes a Non-LIBOR Quoted Currency after the Closing Date, the rate per annum determined, subject to </w:t>
      </w:r>
      <w:r>
        <w:rPr>
          <w:rFonts w:ascii="Arial" w:cs="Arial" w:eastAsia="Arial" w:hAnsi="Arial"/>
          <w:sz w:val="17"/>
          <w:szCs w:val="17"/>
          <w:u w:val="single" w:color="auto"/>
          <w:color w:val="auto"/>
        </w:rPr>
        <w:t>Section 3.03(c)</w:t>
      </w:r>
      <w:r>
        <w:rPr>
          <w:rFonts w:ascii="Arial" w:cs="Arial" w:eastAsia="Arial" w:hAnsi="Arial"/>
          <w:sz w:val="17"/>
          <w:szCs w:val="17"/>
          <w:color w:val="auto"/>
        </w:rPr>
        <w:t>, by the Administrative Agent and the Lenders at or after the time in which such currency is no longer a LIBOR Quoted Currency.</w:t>
      </w:r>
    </w:p>
    <w:p>
      <w:pPr>
        <w:spacing w:after="0" w:line="68" w:lineRule="exact"/>
        <w:rPr>
          <w:rFonts w:ascii="Arial" w:cs="Arial" w:eastAsia="Arial" w:hAnsi="Arial"/>
          <w:sz w:val="17"/>
          <w:szCs w:val="17"/>
          <w:color w:val="auto"/>
        </w:rPr>
      </w:pPr>
    </w:p>
    <w:p>
      <w:pPr>
        <w:ind w:left="440" w:right="20" w:firstLine="419"/>
        <w:spacing w:after="0" w:line="263"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interest rate calculation with respect to a Base Rate Loan on any date, the rate per annum equal to LIBOR, at or about 11:00 a.m., London time, determined two Business Days prior to such date for U.S. Dollar deposits being delivered in the London interbank market for deposits in Dollars with a term of one month commencing that day;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5" w:name="page26"/>
    <w:bookmarkEnd w:id="25"/>
    <w:p>
      <w:pPr>
        <w:ind w:right="160" w:firstLine="440"/>
        <w:spacing w:after="0" w:line="30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Arial" w:cs="Arial" w:eastAsia="Arial" w:hAnsi="Arial"/>
          <w:sz w:val="16"/>
          <w:szCs w:val="16"/>
          <w:color w:val="auto"/>
        </w:rPr>
        <w:t xml:space="preserve"> that to the extent a comparable or successor rate is approved, subject to </w:t>
      </w:r>
      <w:r>
        <w:rPr>
          <w:rFonts w:ascii="Arial" w:cs="Arial" w:eastAsia="Arial" w:hAnsi="Arial"/>
          <w:sz w:val="16"/>
          <w:szCs w:val="16"/>
          <w:u w:val="single" w:color="auto"/>
          <w:color w:val="auto"/>
        </w:rPr>
        <w:t>Section 3.03(c)</w:t>
      </w:r>
      <w:r>
        <w:rPr>
          <w:rFonts w:ascii="Arial" w:cs="Arial" w:eastAsia="Arial" w:hAnsi="Arial"/>
          <w:sz w:val="16"/>
          <w:szCs w:val="16"/>
          <w:color w:val="auto"/>
        </w:rPr>
        <w:t>, by the Administrative Agent in connection herewith, the approved rate shall be applied in a manner consistent with market practice; provided, further that to the extent such market practice is not administratively feasible for the Administrative Agent, such approved rate shall be applied in a manner as otherwise reasonably determined by the Administrative Agent; and if the Eurocurrency Rate shall be less than zero, such rate shall be deemed zero for purposes of this Agreement.</w:t>
      </w:r>
    </w:p>
    <w:p>
      <w:pPr>
        <w:spacing w:after="0" w:line="153" w:lineRule="exact"/>
        <w:rPr>
          <w:sz w:val="20"/>
          <w:szCs w:val="20"/>
          <w:color w:val="auto"/>
        </w:rPr>
      </w:pPr>
    </w:p>
    <w:p>
      <w:pPr>
        <w:ind w:right="6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Eurocurrency Rate Loan</w:t>
      </w:r>
      <w:r>
        <w:rPr>
          <w:rFonts w:ascii="Arial" w:cs="Arial" w:eastAsia="Arial" w:hAnsi="Arial"/>
          <w:sz w:val="17"/>
          <w:szCs w:val="17"/>
          <w:color w:val="auto"/>
        </w:rPr>
        <w:t>” means a Loan, other than any Alternative Currency Daily Rate Loan, that bears interest at a rate based on the definition of “Eurocurrency Rate”. Eurocurrency Rate Loans may be denominated in Dollars or in an Alternative Currency.</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Excluded Taxes</w:t>
      </w:r>
      <w:r>
        <w:rPr>
          <w:rFonts w:ascii="Arial" w:cs="Arial" w:eastAsia="Arial" w:hAnsi="Arial"/>
          <w:sz w:val="16"/>
          <w:szCs w:val="16"/>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(d) any U.S. federal withholding Taxes imposed under FATCA, and (e) any withholding Tax imposed by Ireland where such Tax would not be imposed if on the date on which the payment falls due (i) Lender is not, or has ceased to be, a Qualifying Lender other than as a result of a change after the date it became a Lender under this Agreement in (or in the interpretation, administration, or application of) any law, or any Irish double tax agreement or (ii) the Lender is a Treaty Lender and a Borrower is able to demonstrate that the payment could have been made to the Lender without such withholding or deduction, had that Lender complied with its obligations under </w:t>
      </w:r>
      <w:r>
        <w:rPr>
          <w:rFonts w:ascii="Arial" w:cs="Arial" w:eastAsia="Arial" w:hAnsi="Arial"/>
          <w:sz w:val="16"/>
          <w:szCs w:val="16"/>
          <w:u w:val="single" w:color="auto"/>
          <w:color w:val="auto"/>
        </w:rPr>
        <w:t>Section 3.01(e)</w:t>
      </w:r>
      <w:r>
        <w:rPr>
          <w:rFonts w:ascii="Arial" w:cs="Arial" w:eastAsia="Arial" w:hAnsi="Arial"/>
          <w:sz w:val="16"/>
          <w:szCs w:val="16"/>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Existing Credit Agreement</w:t>
      </w:r>
      <w:r>
        <w:rPr>
          <w:rFonts w:ascii="Arial" w:cs="Arial" w:eastAsia="Arial" w:hAnsi="Arial"/>
          <w:sz w:val="18"/>
          <w:szCs w:val="18"/>
          <w:color w:val="auto"/>
        </w:rPr>
        <w:t>” has the meaning specified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Existing Maturity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Extending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Facility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5"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FATCA</w:t>
      </w:r>
      <w:r>
        <w:rPr>
          <w:rFonts w:ascii="Arial" w:cs="Arial" w:eastAsia="Arial" w:hAnsi="Arial"/>
          <w:sz w:val="18"/>
          <w:szCs w:val="18"/>
          <w:color w:val="auto"/>
        </w:rPr>
        <w:t>” means Sections 1471 through 1474 of the Code, as of the Closing Date (or any amended or successor version that is substantively comparable and not materially more onerous to comply with), any current or future regulations or official interpretations thereof and any agreements entered into pursuant to Section 1471 (b) (1) of the Code.</w:t>
      </w:r>
    </w:p>
    <w:p>
      <w:pPr>
        <w:spacing w:after="0" w:line="176"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Federal Funds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Rate for such day shall be such rate on such transactions on the next preceding Business Day as so published on the next succeeding Business Day,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and (c) if such rate shall be less than zero, such rate shall be deemed to be zero for all purposes of this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6" w:name="page27"/>
    <w:bookmarkEnd w:id="2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Fee Letters</w:t>
      </w:r>
      <w:r>
        <w:rPr>
          <w:rFonts w:ascii="Arial" w:cs="Arial" w:eastAsia="Arial" w:hAnsi="Arial"/>
          <w:sz w:val="18"/>
          <w:szCs w:val="18"/>
          <w:color w:val="auto"/>
        </w:rPr>
        <w:t>” means the Agent Fee Letter, the JPM Fee Letter, the MS Fee Letter and the Citi Fee Letter.</w:t>
      </w:r>
    </w:p>
    <w:p>
      <w:pPr>
        <w:spacing w:after="0" w:line="225"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Finance Subsidiary</w:t>
      </w:r>
      <w:r>
        <w:rPr>
          <w:rFonts w:ascii="Arial" w:cs="Arial" w:eastAsia="Arial" w:hAnsi="Arial"/>
          <w:sz w:val="16"/>
          <w:szCs w:val="16"/>
          <w:color w:val="auto"/>
        </w:rPr>
        <w:t xml:space="preserve">” means any Subsidiary of the Company that is a special purpose entity established solely in connection with any issuance or incurrence of Indebtedness by such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Subsidiary does not own any (i) Equity Interests in any Person, (ii) Indebtedness of any Subsidiary or other Affiliate of the Company or (iii) other assets, other than, in the case of this clause (iii), assets relating to its existence or arising under the documents creating such Indebtedness and assets arising from the investment of the proceeds of such Indebtedness in cash equivalents;</w:t>
      </w:r>
    </w:p>
    <w:p>
      <w:pPr>
        <w:spacing w:after="0" w:line="2" w:lineRule="exact"/>
        <w:rPr>
          <w:sz w:val="20"/>
          <w:szCs w:val="20"/>
          <w:color w:val="auto"/>
        </w:rPr>
      </w:pPr>
    </w:p>
    <w:p>
      <w:pPr>
        <w:ind w:left="4" w:right="120" w:hanging="4"/>
        <w:spacing w:after="0" w:line="255"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Subsidiary conducts no business or operations other than activities incidental to its existence and incurrence by it of such Indebtedness and on-lending or other distribution of the proceeds of such Indebtedness to the Company; and (c) such Subsidiary does not Guarantee any Indebtedness of the Company or any other Subsidiary.</w:t>
      </w:r>
    </w:p>
    <w:p>
      <w:pPr>
        <w:spacing w:after="0" w:line="186" w:lineRule="exact"/>
        <w:rPr>
          <w:sz w:val="20"/>
          <w:szCs w:val="20"/>
          <w:color w:val="auto"/>
        </w:rPr>
      </w:pPr>
    </w:p>
    <w:p>
      <w:pPr>
        <w:ind w:left="4"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Foreign Borrower</w:t>
      </w:r>
      <w:r>
        <w:rPr>
          <w:rFonts w:ascii="Arial" w:cs="Arial" w:eastAsia="Arial" w:hAnsi="Arial"/>
          <w:sz w:val="18"/>
          <w:szCs w:val="18"/>
          <w:color w:val="auto"/>
        </w:rPr>
        <w:t>” means any Borrower that is organized under the laws of a jurisdiction other than the Unites States, a state thereof or the District of Columbia.</w:t>
      </w:r>
    </w:p>
    <w:p>
      <w:pPr>
        <w:spacing w:after="0" w:line="162"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Foreign Lender</w:t>
      </w:r>
      <w:r>
        <w:rPr>
          <w:rFonts w:ascii="Arial" w:cs="Arial" w:eastAsia="Arial" w:hAnsi="Arial"/>
          <w:sz w:val="18"/>
          <w:szCs w:val="18"/>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80"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Foreign Subsidiary</w:t>
      </w:r>
      <w:r>
        <w:rPr>
          <w:rFonts w:ascii="Arial" w:cs="Arial" w:eastAsia="Arial" w:hAnsi="Arial"/>
          <w:sz w:val="18"/>
          <w:szCs w:val="18"/>
          <w:color w:val="auto"/>
        </w:rPr>
        <w:t>” means any Subsidiary that is organized under the laws of a jurisdiction other than the United States, a state thereof or the District of Columbia.</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left="4" w:right="10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Fronting Exposure</w:t>
      </w:r>
      <w:r>
        <w:rPr>
          <w:rFonts w:ascii="Arial" w:cs="Arial" w:eastAsia="Arial" w:hAnsi="Arial"/>
          <w:sz w:val="16"/>
          <w:szCs w:val="16"/>
          <w:color w:val="auto"/>
        </w:rPr>
        <w:t>” means, at any time there is a Defaulting Lender, (a) with respect to an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each case, in accordance with the terms hereof.</w:t>
      </w:r>
    </w:p>
    <w:p>
      <w:pPr>
        <w:spacing w:after="0" w:line="154"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Full Availability</w:t>
      </w:r>
      <w:r>
        <w:rPr>
          <w:rFonts w:ascii="Arial" w:cs="Arial" w:eastAsia="Arial" w:hAnsi="Arial"/>
          <w:sz w:val="18"/>
          <w:szCs w:val="18"/>
          <w:color w:val="auto"/>
        </w:rPr>
        <w:t xml:space="preserve">” means, at any time, the lesser of (x) the sum of (i) the Interim Availability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ONE BILLION TWO HUNDRED FIFTY MILLION DOLLARS ($1,250,000,000) and (y) the Aggregate Commitments at such time.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Full Availability Closing Date</w:t>
      </w:r>
      <w:r>
        <w:rPr>
          <w:rFonts w:ascii="Arial" w:cs="Arial" w:eastAsia="Arial" w:hAnsi="Arial"/>
          <w:sz w:val="18"/>
          <w:szCs w:val="18"/>
          <w:color w:val="auto"/>
        </w:rPr>
        <w:t xml:space="preserve">” means the date on which the conditions precedent set forth in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are satisfied or waived.</w:t>
      </w:r>
    </w:p>
    <w:p>
      <w:pPr>
        <w:spacing w:after="0" w:line="225" w:lineRule="exact"/>
        <w:rPr>
          <w:sz w:val="20"/>
          <w:szCs w:val="20"/>
          <w:color w:val="auto"/>
        </w:rPr>
      </w:pPr>
    </w:p>
    <w:p>
      <w:pPr>
        <w:ind w:left="4"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Full Availability Expiration Date</w:t>
      </w:r>
      <w:r>
        <w:rPr>
          <w:rFonts w:ascii="Arial" w:cs="Arial" w:eastAsia="Arial" w:hAnsi="Arial"/>
          <w:sz w:val="17"/>
          <w:szCs w:val="17"/>
          <w:color w:val="auto"/>
        </w:rPr>
        <w:t>” means the earlier of (i) the End Date and (ii) the date that the Maxim Plan of Merger is terminated or expires in accordance with the terms thereof, if on such earlier date the Full Availability Closing Date shall not have previously occurred.</w:t>
      </w:r>
    </w:p>
    <w:p>
      <w:pPr>
        <w:spacing w:after="0" w:line="7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0" w:right="479" w:bottom="1440" w:gutter="0" w:footer="0" w:header="0"/>
        </w:sectPr>
      </w:pPr>
    </w:p>
    <w:bookmarkStart w:id="27" w:name="page28"/>
    <w:bookmarkEnd w:id="27"/>
    <w:p>
      <w:pPr>
        <w:ind w:right="4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GAAP</w:t>
      </w:r>
      <w:r>
        <w:rPr>
          <w:rFonts w:ascii="Arial" w:cs="Arial" w:eastAsia="Arial" w:hAnsi="Arial"/>
          <w:sz w:val="16"/>
          <w:szCs w:val="16"/>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except as otherwise provided in </w:t>
      </w:r>
      <w:r>
        <w:rPr>
          <w:rFonts w:ascii="Arial" w:cs="Arial" w:eastAsia="Arial" w:hAnsi="Arial"/>
          <w:sz w:val="16"/>
          <w:szCs w:val="16"/>
          <w:u w:val="single" w:color="auto"/>
          <w:color w:val="auto"/>
        </w:rPr>
        <w:t>Section 1.03</w:t>
      </w:r>
      <w:r>
        <w:rPr>
          <w:rFonts w:ascii="Arial" w:cs="Arial" w:eastAsia="Arial" w:hAnsi="Arial"/>
          <w:sz w:val="16"/>
          <w:szCs w:val="16"/>
          <w:color w:val="auto"/>
        </w:rPr>
        <w:t>.</w:t>
      </w:r>
    </w:p>
    <w:p>
      <w:pPr>
        <w:spacing w:after="0" w:line="151"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Greenhouse Gas Emissions Reduction</w:t>
      </w:r>
      <w:r>
        <w:rPr>
          <w:rFonts w:ascii="Arial" w:cs="Arial" w:eastAsia="Arial" w:hAnsi="Arial"/>
          <w:sz w:val="18"/>
          <w:szCs w:val="18"/>
          <w:color w:val="auto"/>
        </w:rPr>
        <w:t>” means, with respect to the end of the relevant calendar year commencing with the calendar year ending December 31, 2021, the percent reduction from the Baseline (as identified in the Sustainability Table) of the aggregate total amount of Scope 1 (direct) emissions at, and Scope 2 (energy-indirect, market-based method) emissions related to, the Main Manufacturing Facilities, as measured in metric tons CO2e and as reported in the applicable KPI Metrics Report.</w:t>
      </w:r>
    </w:p>
    <w:p>
      <w:pPr>
        <w:spacing w:after="0" w:line="180" w:lineRule="exact"/>
        <w:rPr>
          <w:sz w:val="20"/>
          <w:szCs w:val="20"/>
          <w:color w:val="auto"/>
        </w:rPr>
      </w:pPr>
    </w:p>
    <w:p>
      <w:pPr>
        <w:ind w:right="30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Greenhouse Gas Emissions Reduction Fee Adjustment</w:t>
      </w:r>
      <w:r>
        <w:rPr>
          <w:rFonts w:ascii="Arial" w:cs="Arial" w:eastAsia="Arial" w:hAnsi="Arial"/>
          <w:sz w:val="18"/>
          <w:szCs w:val="18"/>
          <w:color w:val="auto"/>
        </w:rPr>
        <w:t>” means with respect to any Annual Period, (i) negative 0.25 basis points if the Greenhouse Gas Emissions Reduction for such Annual Period is greater than or equal to the Greenhouse Gas Emissions Reduction Target for such Annual Period, (ii) 0 basis points if the Greenhouse Gas Emissions Reduction for such Annual Period is greater than or equal to the Greenhouse Gas Emissions Reduction Threshold and less than the Greenhouse Gas Emissions Reduction Target for such Annual Period, and (iii) positive 0.25 basis points if the Greenhouse Gas Emissions Reduction for such Annual Period is less than the Greenhouse Gas Emissions Reduction Threshold for such Annual Period.</w:t>
      </w:r>
    </w:p>
    <w:p>
      <w:pPr>
        <w:spacing w:after="0" w:line="187" w:lineRule="exact"/>
        <w:rPr>
          <w:sz w:val="20"/>
          <w:szCs w:val="20"/>
          <w:color w:val="auto"/>
        </w:rPr>
      </w:pPr>
    </w:p>
    <w:p>
      <w:pPr>
        <w:ind w:right="30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Greenhouse Gas Emissions Reduction Margin Adjustment</w:t>
      </w:r>
      <w:r>
        <w:rPr>
          <w:rFonts w:ascii="Arial" w:cs="Arial" w:eastAsia="Arial" w:hAnsi="Arial"/>
          <w:sz w:val="18"/>
          <w:szCs w:val="18"/>
          <w:color w:val="auto"/>
        </w:rPr>
        <w:t>” means with respect to any Annual Period, (i) negative 2.25 basis points if the Greenhouse Gas Emissions Reduction for such Annual Period is greater than or equal to the Greenhouse Gas Emissions Reduction Target for such Annual Period, (ii) 0 basis points if the Greenhouse Gas Emissions Reduction for such Annual Period is greater than or equal to the Greenhouse Gas Emissions Reduction Threshold and less than the Greenhouse Gas Emissions Reduction Target for such Annual Period, and (iii) positive 2.25 basis points if the Greenhouse Gas Emissions Reduction for such Annual Period is less than the Greenhouse Gas Emissions Reduction Threshold for such Annual Period.</w:t>
      </w:r>
    </w:p>
    <w:p>
      <w:pPr>
        <w:spacing w:after="0" w:line="187"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Greenhouse Gas Emissions Reduction Target</w:t>
      </w:r>
      <w:r>
        <w:rPr>
          <w:rFonts w:ascii="Arial" w:cs="Arial" w:eastAsia="Arial" w:hAnsi="Arial"/>
          <w:sz w:val="18"/>
          <w:szCs w:val="18"/>
          <w:color w:val="auto"/>
        </w:rPr>
        <w:t>” means, for any Annual Period, the Greenhouse Gas Emissions Reduction Target set forth for such Annual Period in the Sustainability Table.</w:t>
      </w:r>
    </w:p>
    <w:p>
      <w:pPr>
        <w:spacing w:after="0" w:line="162"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Greenhouse Gas Emissions Reduction Threshold</w:t>
      </w:r>
      <w:r>
        <w:rPr>
          <w:rFonts w:ascii="Arial" w:cs="Arial" w:eastAsia="Arial" w:hAnsi="Arial"/>
          <w:sz w:val="18"/>
          <w:szCs w:val="18"/>
          <w:color w:val="auto"/>
        </w:rPr>
        <w:t>” means, with respect to any calendar year, the Greenhouse Gas Emissions Reduction Threshold for such calendar year as set forth in the Sustainability Table.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28" w:name="page29"/>
    <w:bookmarkEnd w:id="28"/>
    <w:p>
      <w:pPr>
        <w:ind w:left="4" w:right="14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Guarantee</w:t>
      </w:r>
      <w:r>
        <w:rPr>
          <w:rFonts w:ascii="Arial" w:cs="Arial" w:eastAsia="Arial" w:hAnsi="Arial"/>
          <w:sz w:val="16"/>
          <w:szCs w:val="16"/>
          <w:color w:val="auto"/>
        </w:rPr>
        <w:t>” means, as to any Person, (a) any obligation, contingent or otherwise, of such Person guaranteeing any Indebtedness or other monetary obligation payable by another Person (the “primary obligor”)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thereof or to protect such obligee against loss in respect thereof (in whole or in part), or</w:t>
      </w:r>
    </w:p>
    <w:p>
      <w:pPr>
        <w:spacing w:after="0" w:line="5" w:lineRule="exact"/>
        <w:rPr>
          <w:sz w:val="20"/>
          <w:szCs w:val="20"/>
          <w:color w:val="auto"/>
        </w:rPr>
      </w:pPr>
    </w:p>
    <w:p>
      <w:pPr>
        <w:ind w:left="4" w:hanging="4"/>
        <w:spacing w:after="0" w:line="292" w:lineRule="auto"/>
        <w:tabs>
          <w:tab w:leader="none" w:pos="2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6"/>
          <w:szCs w:val="16"/>
          <w:u w:val="single" w:color="auto"/>
          <w:color w:val="auto"/>
        </w:rPr>
        <w:t>Guarantee</w:t>
      </w:r>
      <w:r>
        <w:rPr>
          <w:rFonts w:ascii="Arial" w:cs="Arial" w:eastAsia="Arial" w:hAnsi="Arial"/>
          <w:sz w:val="16"/>
          <w:szCs w:val="16"/>
          <w:color w:val="auto"/>
        </w:rPr>
        <w:t>” as a verb has a corresponding meaning.</w:t>
      </w:r>
    </w:p>
    <w:p>
      <w:pPr>
        <w:spacing w:after="0" w:line="158"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Honor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Impacted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Increase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2.15(d)</w:t>
      </w:r>
      <w:r>
        <w:rPr>
          <w:rFonts w:ascii="Arial" w:cs="Arial" w:eastAsia="Arial" w:hAnsi="Arial"/>
          <w:sz w:val="18"/>
          <w:szCs w:val="18"/>
          <w:color w:val="auto"/>
        </w:rPr>
        <w:t>.</w:t>
      </w:r>
    </w:p>
    <w:p>
      <w:pPr>
        <w:spacing w:after="0" w:line="225"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58" w:lineRule="exact"/>
        <w:rPr>
          <w:sz w:val="20"/>
          <w:szCs w:val="20"/>
          <w:color w:val="auto"/>
        </w:rPr>
      </w:pPr>
    </w:p>
    <w:p>
      <w:pPr>
        <w:ind w:left="444" w:right="540" w:firstLine="419"/>
        <w:spacing w:after="0" w:line="277" w:lineRule="auto"/>
        <w:tabs>
          <w:tab w:leader="none" w:pos="11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62" w:lineRule="exact"/>
        <w:rPr>
          <w:rFonts w:ascii="Arial" w:cs="Arial" w:eastAsia="Arial" w:hAnsi="Arial"/>
          <w:sz w:val="18"/>
          <w:szCs w:val="18"/>
          <w:color w:val="auto"/>
        </w:rPr>
      </w:pPr>
    </w:p>
    <w:p>
      <w:pPr>
        <w:ind w:left="444" w:right="320" w:firstLine="419"/>
        <w:spacing w:after="0" w:line="277" w:lineRule="auto"/>
        <w:tabs>
          <w:tab w:leader="none" w:pos="112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direct or contingent obligations of such Person arising in respect of letters of credit (including standby and commercial), bankers’ acceptances, bank guaranties, surety bonds and similar instruments;</w:t>
      </w:r>
    </w:p>
    <w:p>
      <w:pPr>
        <w:spacing w:after="0" w:line="62" w:lineRule="exact"/>
        <w:rPr>
          <w:rFonts w:ascii="Arial" w:cs="Arial" w:eastAsia="Arial" w:hAnsi="Arial"/>
          <w:sz w:val="18"/>
          <w:szCs w:val="18"/>
          <w:color w:val="auto"/>
        </w:rPr>
      </w:pPr>
    </w:p>
    <w:p>
      <w:pPr>
        <w:ind w:left="1104" w:hanging="241"/>
        <w:spacing w:after="0"/>
        <w:tabs>
          <w:tab w:leader="none" w:pos="11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117" w:lineRule="exact"/>
        <w:rPr>
          <w:rFonts w:ascii="Arial" w:cs="Arial" w:eastAsia="Arial" w:hAnsi="Arial"/>
          <w:sz w:val="18"/>
          <w:szCs w:val="18"/>
          <w:color w:val="auto"/>
        </w:rPr>
      </w:pPr>
    </w:p>
    <w:p>
      <w:pPr>
        <w:ind w:left="444" w:right="80" w:firstLine="419"/>
        <w:spacing w:after="0" w:line="263" w:lineRule="auto"/>
        <w:tabs>
          <w:tab w:leader="none" w:pos="112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(i) trade accounts payable in the ordinary course of business and (ii) earnouts or other earned deferred payment obligations measured in whole or in part by events or performance occurring after the purchase, to the extent such obligations are contingent);</w:t>
      </w:r>
    </w:p>
    <w:p>
      <w:pPr>
        <w:spacing w:after="0" w:line="75" w:lineRule="exact"/>
        <w:rPr>
          <w:rFonts w:ascii="Arial" w:cs="Arial" w:eastAsia="Arial" w:hAnsi="Arial"/>
          <w:sz w:val="18"/>
          <w:szCs w:val="18"/>
          <w:color w:val="auto"/>
        </w:rPr>
      </w:pPr>
    </w:p>
    <w:p>
      <w:pPr>
        <w:jc w:val="both"/>
        <w:ind w:left="444" w:right="280" w:firstLine="419"/>
        <w:spacing w:after="0" w:line="263" w:lineRule="auto"/>
        <w:tabs>
          <w:tab w:leader="none" w:pos="11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0" w:right="479" w:bottom="1440" w:gutter="0" w:footer="0" w:header="0"/>
        </w:sectPr>
      </w:pPr>
    </w:p>
    <w:bookmarkStart w:id="29" w:name="page30"/>
    <w:bookmarkEnd w:id="29"/>
    <w:p>
      <w:pPr>
        <w:ind w:left="1080" w:hanging="221"/>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leases and Synthetic Lease Obligations;</w:t>
      </w:r>
    </w:p>
    <w:p>
      <w:pPr>
        <w:spacing w:after="0" w:line="117" w:lineRule="exact"/>
        <w:rPr>
          <w:rFonts w:ascii="Arial" w:cs="Arial" w:eastAsia="Arial" w:hAnsi="Arial"/>
          <w:sz w:val="18"/>
          <w:szCs w:val="18"/>
          <w:color w:val="auto"/>
        </w:rPr>
      </w:pPr>
    </w:p>
    <w:p>
      <w:pPr>
        <w:jc w:val="both"/>
        <w:ind w:left="440" w:right="300" w:firstLine="419"/>
        <w:spacing w:after="0" w:line="263" w:lineRule="auto"/>
        <w:tabs>
          <w:tab w:leader="none" w:pos="11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plus accrued and unpaid dividends;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or similar limited liability entity organized under the laws of a jurisdiction other than the United States or a state thereof)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88" w:lineRule="exact"/>
        <w:rPr>
          <w:sz w:val="20"/>
          <w:szCs w:val="20"/>
          <w:color w:val="auto"/>
        </w:rPr>
      </w:pPr>
    </w:p>
    <w:p>
      <w:pPr>
        <w:ind w:right="4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KPI Metrics Report</w:t>
      </w:r>
      <w:r>
        <w:rPr>
          <w:rFonts w:ascii="Arial" w:cs="Arial" w:eastAsia="Arial" w:hAnsi="Arial"/>
          <w:sz w:val="18"/>
          <w:szCs w:val="18"/>
          <w:color w:val="auto"/>
        </w:rPr>
        <w:t xml:space="preserve">” means the first KPI Metrics Report delivered by the Company pursuant to </w:t>
      </w:r>
      <w:r>
        <w:rPr>
          <w:rFonts w:ascii="Arial" w:cs="Arial" w:eastAsia="Arial" w:hAnsi="Arial"/>
          <w:sz w:val="18"/>
          <w:szCs w:val="18"/>
          <w:u w:val="single" w:color="auto"/>
          <w:color w:val="auto"/>
        </w:rPr>
        <w:t>Section 6.01(c)</w:t>
      </w:r>
      <w:r>
        <w:rPr>
          <w:rFonts w:ascii="Arial" w:cs="Arial" w:eastAsia="Arial" w:hAnsi="Arial"/>
          <w:sz w:val="18"/>
          <w:szCs w:val="18"/>
          <w:color w:val="auto"/>
        </w:rPr>
        <w:t xml:space="preserve"> following the Closing Date, covering the 12-month period ending December 31, 2021, the methodology of which shall be substantially similar to the Corporate Responsibility Report, dated May 2020, covering the 12-month period ending December 31, 2019.</w:t>
      </w:r>
    </w:p>
    <w:p>
      <w:pPr>
        <w:spacing w:after="0" w:line="176"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Interest Payment Date</w:t>
      </w:r>
      <w:r>
        <w:rPr>
          <w:rFonts w:ascii="Arial" w:cs="Arial" w:eastAsia="Arial" w:hAnsi="Arial"/>
          <w:sz w:val="17"/>
          <w:szCs w:val="17"/>
          <w:color w:val="auto"/>
        </w:rPr>
        <w:t xml:space="preserve">” means, (a) as to any Loan other than a Base Rate Loan and any Alternative Currency Daily Rate Loan, the last day of each Interest Period applicable to such Loan and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any Interest Period for a Eurocurrency Rate Loan exceeds three months, the respective dates that fall every three months after the beginning of such Interest Period shall also be Interest Payment Dates; (b) as to any Base Rate Loan (including a Swing Line Loan), the last Business Day of each March, June, September and December and the Maturity Date;(c) as to any Alternative Currency Daily Rate Loan, the last Business Day of each March, June, September and December and the Maturity Date; and (d) as to any Alternative Currency Term Rate Loan, the last day of each Interest Period applicable to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Interest Period for an Alternative Currency Term Rate Loan exceeds three months, the respective dates that fall every three months after the beginning of such Interest Period shall be Interest Payment Dates.</w:t>
      </w:r>
    </w:p>
    <w:p>
      <w:pPr>
        <w:spacing w:after="0" w:line="172"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Interest Period</w:t>
      </w:r>
      <w:r>
        <w:rPr>
          <w:rFonts w:ascii="Arial" w:cs="Arial" w:eastAsia="Arial" w:hAnsi="Arial"/>
          <w:sz w:val="17"/>
          <w:szCs w:val="17"/>
          <w:color w:val="auto"/>
        </w:rPr>
        <w:t xml:space="preserve">” means, as to each Eurocurrency Rate Loan and Alternative Currency Term Rate Loan, the period commencing on the date such Eurocurrency Rate Loan or Alternative Currency Term Rate Loan is disbursed or converted to or continued as a Eurocurrency Rate Loan or an Alternative Currency Term Rate Loan and ending on the date one, two, three or six months thereafter (in each case, subject to availability for the interest rate applicable to the relevant currency), as selected by the applicable Borrower in its Committed Loan Notice or such other period that is twelve months or less requested by the applicable Borrower and consented to by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0" w:name="page31"/>
    <w:bookmarkEnd w:id="30"/>
    <w:p>
      <w:pPr>
        <w:ind w:left="440" w:right="140" w:firstLine="419"/>
        <w:spacing w:after="0" w:line="342" w:lineRule="auto"/>
        <w:tabs>
          <w:tab w:leader="none" w:pos="1108"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5" w:lineRule="exact"/>
        <w:rPr>
          <w:rFonts w:ascii="Arial" w:cs="Arial" w:eastAsia="Arial" w:hAnsi="Arial"/>
          <w:sz w:val="16"/>
          <w:szCs w:val="16"/>
          <w:color w:val="auto"/>
        </w:rPr>
      </w:pPr>
    </w:p>
    <w:p>
      <w:pPr>
        <w:ind w:left="440" w:right="80" w:firstLine="419"/>
        <w:spacing w:after="0" w:line="263" w:lineRule="auto"/>
        <w:tabs>
          <w:tab w:leader="none" w:pos="11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5" w:lineRule="exact"/>
        <w:rPr>
          <w:rFonts w:ascii="Arial" w:cs="Arial" w:eastAsia="Arial" w:hAnsi="Arial"/>
          <w:sz w:val="18"/>
          <w:szCs w:val="18"/>
          <w:color w:val="auto"/>
        </w:rPr>
      </w:pPr>
    </w:p>
    <w:p>
      <w:pPr>
        <w:ind w:left="1100" w:hanging="241"/>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1" w:lineRule="exact"/>
        <w:rPr>
          <w:sz w:val="20"/>
          <w:szCs w:val="20"/>
          <w:color w:val="auto"/>
        </w:rPr>
      </w:pPr>
    </w:p>
    <w:p>
      <w:pPr>
        <w:ind w:right="10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Interim Availability</w:t>
      </w:r>
      <w:r>
        <w:rPr>
          <w:rFonts w:ascii="Arial" w:cs="Arial" w:eastAsia="Arial" w:hAnsi="Arial"/>
          <w:sz w:val="18"/>
          <w:szCs w:val="18"/>
          <w:color w:val="auto"/>
        </w:rPr>
        <w:t>” means, at any time, the lesser of (x) ONE BILLION TWO HUNDRED AND FIFTY MILLION DOLLARS ($1,250,000,000) and (y) the Aggregate Commitments at such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or instrument entered into by the applicable L/C Issuer and the Company (or any Subsidiary) or in favor of such L/C Issuer and relating to such Letter of Credit.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JPM Fee Letter</w:t>
      </w:r>
      <w:r>
        <w:rPr>
          <w:rFonts w:ascii="Arial" w:cs="Arial" w:eastAsia="Arial" w:hAnsi="Arial"/>
          <w:sz w:val="17"/>
          <w:szCs w:val="17"/>
          <w:color w:val="auto"/>
        </w:rPr>
        <w:t>” means the fee letter agreement, dated as of June 2, 2021, between the Company and JPMorgan Chase Bank, N.A.</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Judgment Currency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KPI Metrics</w:t>
      </w:r>
      <w:r>
        <w:rPr>
          <w:rFonts w:ascii="Arial" w:cs="Arial" w:eastAsia="Arial" w:hAnsi="Arial"/>
          <w:sz w:val="18"/>
          <w:szCs w:val="18"/>
          <w:color w:val="auto"/>
        </w:rPr>
        <w:t>” means, collectively, Greenhouse Gas Emissions Reduction and Renewable Energy Usage.</w:t>
      </w:r>
    </w:p>
    <w:p>
      <w:pPr>
        <w:spacing w:after="0" w:line="225"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KPI Metrics Auditor</w:t>
      </w:r>
      <w:r>
        <w:rPr>
          <w:rFonts w:ascii="Arial" w:cs="Arial" w:eastAsia="Arial" w:hAnsi="Arial"/>
          <w:sz w:val="18"/>
          <w:szCs w:val="18"/>
          <w:color w:val="auto"/>
        </w:rPr>
        <w:t xml:space="preserve">” means, Cameron-Cole;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from time to time designate any independent global provider of environmental, social, and governance reporting assurance services reasonably acceptable to the Sustainability Structuring Agent as a replacement KPI Metrics Auditor;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such replacement KPI Metrics Auditor shall apply substantially the same auditing standards and methodology used in the Initial KPI Metrics Report delivered by the Company.</w:t>
      </w:r>
    </w:p>
    <w:p>
      <w:pPr>
        <w:spacing w:after="0" w:line="180" w:lineRule="exact"/>
        <w:rPr>
          <w:sz w:val="20"/>
          <w:szCs w:val="20"/>
          <w:color w:val="auto"/>
        </w:rPr>
      </w:pPr>
    </w:p>
    <w:p>
      <w:pPr>
        <w:ind w:right="6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KPI Metrics Report</w:t>
      </w:r>
      <w:r>
        <w:rPr>
          <w:rFonts w:ascii="Arial" w:cs="Arial" w:eastAsia="Arial" w:hAnsi="Arial"/>
          <w:sz w:val="16"/>
          <w:szCs w:val="16"/>
          <w:color w:val="auto"/>
        </w:rPr>
        <w:t>” means a report that may take the form of any non-financial disclosure of the Company’s performance of one or more KPI Metrics as publicly reported by the Company for one or more KPI Metrics for a specific Annual Period, and published on an Internet or intranet website to which each Lender, the Administrative Agent and the Sustainability Structuring Agent have been granted access free of charge (or at the expense of the Company). Such KPI Metrics Report shall be either (i) audited by the KPI Metrics Auditor or (ii) made available to the public.</w:t>
      </w:r>
    </w:p>
    <w:p>
      <w:pPr>
        <w:spacing w:after="0" w:line="151"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(other than agreements consisting of contracts with Governmental Authorities entered into by a Person in the ordinary course of business), in each case whether or not having the force of law.</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1" w:name="page32"/>
    <w:bookmarkEnd w:id="31"/>
    <w:p>
      <w:pPr>
        <w:ind w:right="5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Applicable Percentage.</w:t>
      </w:r>
    </w:p>
    <w:p>
      <w:pPr>
        <w:spacing w:after="0" w:line="162"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Committed Borrowing.</w:t>
      </w:r>
    </w:p>
    <w:p>
      <w:pPr>
        <w:spacing w:after="0" w:line="16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L/C Commitment</w:t>
      </w:r>
      <w:r>
        <w:rPr>
          <w:rFonts w:ascii="Arial" w:cs="Arial" w:eastAsia="Arial" w:hAnsi="Arial"/>
          <w:sz w:val="18"/>
          <w:szCs w:val="18"/>
          <w:color w:val="auto"/>
        </w:rPr>
        <w:t xml:space="preserve">” means, as to each L/C Issuer, its obligation to issue Letters of Credit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in an aggregate principal amount set forth opposite such L/C Issuer’s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Commitment for any L/C Issuer cannot exceed the Letter of Credit Sublimit.</w:t>
      </w:r>
    </w:p>
    <w:p>
      <w:pPr>
        <w:spacing w:after="0" w:line="17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L/C Issuer</w:t>
      </w:r>
      <w:r>
        <w:rPr>
          <w:rFonts w:ascii="Arial" w:cs="Arial" w:eastAsia="Arial" w:hAnsi="Arial"/>
          <w:sz w:val="18"/>
          <w:szCs w:val="18"/>
          <w:color w:val="auto"/>
        </w:rPr>
        <w:t>” means Bank of America, JPMorgan Chase Bank, N.A., Morgan Stanley Bank, N.A and/or an affiliate, and Citibank, N.A., each in its capacity as an issuer of Letters of Credit or any successor issuer of Letters of Credit hereunder.</w:t>
      </w:r>
    </w:p>
    <w:p>
      <w:pPr>
        <w:spacing w:after="0" w:line="162"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L/C Obligations</w:t>
      </w:r>
      <w:r>
        <w:rPr>
          <w:rFonts w:ascii="Arial" w:cs="Arial" w:eastAsia="Arial" w:hAnsi="Arial"/>
          <w:sz w:val="17"/>
          <w:szCs w:val="17"/>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68" w:lineRule="exact"/>
        <w:rPr>
          <w:sz w:val="20"/>
          <w:szCs w:val="20"/>
          <w:color w:val="auto"/>
        </w:rPr>
      </w:pPr>
    </w:p>
    <w:p>
      <w:pPr>
        <w:ind w:right="2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Lender</w:t>
      </w:r>
      <w:r>
        <w:rPr>
          <w:rFonts w:ascii="Arial" w:cs="Arial" w:eastAsia="Arial" w:hAnsi="Arial"/>
          <w:sz w:val="16"/>
          <w:szCs w:val="16"/>
          <w:color w:val="auto"/>
        </w:rPr>
        <w:t xml:space="preserve">” means each of the Persons identified as a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and their successors and assigns and each Person that executes a lender joinder agreement or commitment agreement in accordance with </w:t>
      </w:r>
      <w:r>
        <w:rPr>
          <w:rFonts w:ascii="Arial" w:cs="Arial" w:eastAsia="Arial" w:hAnsi="Arial"/>
          <w:sz w:val="16"/>
          <w:szCs w:val="16"/>
          <w:u w:val="single" w:color="auto"/>
          <w:color w:val="auto"/>
        </w:rPr>
        <w:t>Section 2.15(c)</w:t>
      </w:r>
      <w:r>
        <w:rPr>
          <w:rFonts w:ascii="Arial" w:cs="Arial" w:eastAsia="Arial" w:hAnsi="Arial"/>
          <w:sz w:val="16"/>
          <w:szCs w:val="16"/>
          <w:color w:val="auto"/>
        </w:rPr>
        <w:t xml:space="preserve"> and, as the context requires, includes the Swing Line Lender.</w:t>
      </w:r>
    </w:p>
    <w:p>
      <w:pPr>
        <w:spacing w:after="0" w:line="116"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Letter of Credit</w:t>
      </w:r>
      <w:r>
        <w:rPr>
          <w:rFonts w:ascii="Arial" w:cs="Arial" w:eastAsia="Arial" w:hAnsi="Arial"/>
          <w:sz w:val="16"/>
          <w:szCs w:val="16"/>
          <w:color w:val="auto"/>
        </w:rPr>
        <w:t>” means any standby letter of credit issued hereunder. Letters of Credit may be issued in Dollars or in an Alternative Currency.</w:t>
      </w:r>
    </w:p>
    <w:p>
      <w:pPr>
        <w:spacing w:after="0" w:line="248"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applicable L/C Issuer.</w:t>
      </w:r>
    </w:p>
    <w:p>
      <w:pPr>
        <w:spacing w:after="0" w:line="162"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Letter of Credit Sublimit</w:t>
      </w:r>
      <w:r>
        <w:rPr>
          <w:rFonts w:ascii="Arial" w:cs="Arial" w:eastAsia="Arial" w:hAnsi="Arial"/>
          <w:sz w:val="18"/>
          <w:szCs w:val="18"/>
          <w:color w:val="auto"/>
        </w:rPr>
        <w:t>” means an amount equal to the lesser of (a) $75,000,000 and (b) the Aggregate Commitments. The Letter of Credit Sublimit is part of, and not in addition to, the Aggregate Commitments.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0" w:right="43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LIBOR Quoted Currency</w:t>
      </w:r>
      <w:r>
        <w:rPr>
          <w:rFonts w:ascii="Arial" w:cs="Arial" w:eastAsia="Arial" w:hAnsi="Arial"/>
          <w:sz w:val="18"/>
          <w:szCs w:val="18"/>
          <w:color w:val="auto"/>
        </w:rPr>
        <w:t>” means Dollars, as long as there is a published LIBOR rate with respect thereto.</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Loan</w:t>
      </w:r>
      <w:r>
        <w:rPr>
          <w:rFonts w:ascii="Arial" w:cs="Arial" w:eastAsia="Arial" w:hAnsi="Arial"/>
          <w:sz w:val="17"/>
          <w:szCs w:val="17"/>
          <w:color w:val="auto"/>
        </w:rPr>
        <w:t xml:space="preserve">” means an extension of credit by a Lender to a Borrower under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 the form of a Committed Loan or a Swing Line Loan.</w:t>
      </w:r>
    </w:p>
    <w:p>
      <w:pPr>
        <w:spacing w:after="0" w:line="237"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Loan Documents</w:t>
      </w:r>
      <w:r>
        <w:rPr>
          <w:rFonts w:ascii="Arial" w:cs="Arial" w:eastAsia="Arial" w:hAnsi="Arial"/>
          <w:sz w:val="18"/>
          <w:szCs w:val="18"/>
          <w:color w:val="auto"/>
        </w:rPr>
        <w:t xml:space="preserve">” means this Agreement, the Company Guaranty, the Subsidiary Guaranty, each Note, each Issuer Document, each Designated Borrower Request and Assumption Agreement, any agreement creating or perfecting rights in Cash Collateral pursuant to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this Agreement and the Fee Letters.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Loan Parties</w:t>
      </w:r>
      <w:r>
        <w:rPr>
          <w:rFonts w:ascii="Arial" w:cs="Arial" w:eastAsia="Arial" w:hAnsi="Arial"/>
          <w:sz w:val="18"/>
          <w:szCs w:val="18"/>
          <w:color w:val="auto"/>
        </w:rPr>
        <w:t>” means, collectively, the Company, each Designated Borrower and each Subsidiary Guarantor.</w:t>
      </w:r>
    </w:p>
    <w:p>
      <w:pPr>
        <w:spacing w:after="0" w:line="225"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62"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Main Manufacturing Facilities</w:t>
      </w:r>
      <w:r>
        <w:rPr>
          <w:rFonts w:ascii="Arial" w:cs="Arial" w:eastAsia="Arial" w:hAnsi="Arial"/>
          <w:sz w:val="17"/>
          <w:szCs w:val="17"/>
          <w:color w:val="auto"/>
        </w:rPr>
        <w:t>” means the facilities listed on Schedule 5.13, measured for so long as such facilities are owned, leased or otherwise operated by the Company and/or its principal global manufacturing subsidiaries, each as identified by the Company in writing to the Administrative Agent from time to time (excluding, for the avoidance of doubt, Maxim and its Subsidiaries). Notwithstanding anything to the contrary herein, to the extent the facilities identified on Schedule 5.13 hereto are (a) revised from time to time to remove any facility, the Company shall receive full credit for any Greenhouse Gas Emissions Reduction or Renewable Energy Usage in connection with such Main Manufacturing Facility for the Annual Period during which such facility has been removed unless and until such Main Manufacturing Facility is re-added or (b) closed from time to time, the Company shall receive full credit for any Greenhouse Gas Emissions Reduction or Renewable Energy Usage in connection with such closed Main Manufacturing Facility unless and until such Main Manufacturing Facility is reopened.</w:t>
      </w:r>
    </w:p>
    <w:p>
      <w:pPr>
        <w:spacing w:after="0" w:line="172"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Material Adverse Effect</w:t>
      </w:r>
      <w:r>
        <w:rPr>
          <w:rFonts w:ascii="Arial" w:cs="Arial" w:eastAsia="Arial" w:hAnsi="Arial"/>
          <w:sz w:val="17"/>
          <w:szCs w:val="17"/>
          <w:color w:val="auto"/>
        </w:rPr>
        <w:t>” means (a) a material adverse change in, or a material adverse effect upon, the operations, business, assets, properties, liabilities (actual or contingent) or financial condition of the Company and its Subsidiaries, taken as a whole; (b) a material impairment of the rights and remedies of the Administrative Agent or any Lender under this Agreement or the Loan Documents, taken as a whole, or the ability of any Borrower to perform its obligations under this Agreement or the Loan Documents, taken as a whole; or (c) a material adverse effect upon the legality, validity, binding effect or enforceability against any Loan Party of this Agreement or the Loan Documents, taken as a whole.</w:t>
      </w:r>
    </w:p>
    <w:p>
      <w:pPr>
        <w:spacing w:after="0" w:line="168"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Material Subsidiary</w:t>
      </w:r>
      <w:r>
        <w:rPr>
          <w:rFonts w:ascii="Arial" w:cs="Arial" w:eastAsia="Arial" w:hAnsi="Arial"/>
          <w:sz w:val="16"/>
          <w:szCs w:val="16"/>
          <w:color w:val="auto"/>
        </w:rPr>
        <w:t>” means each Subsidiary now existing or hereafter acquired or formed, and each successor thereto, together with its Subsidiaries on a consolidated basis, with respect to which any of the following criteria has been met: (a) the aggregate revenue generated by such Subsidiary and its Subsidiaries on a consolidated basis for the twelve month period ending as of the most recently completed fiscal quarter of the Company equals or exceeds 5% of the consolidated gross revenues of the Company and its Subsidiaries for such period, (b) the Consolidated EBITDA attributable to such Subsidiary and its Subsidiaries on a consolidated basis for the twelve month period ending as of the most recently completed fiscal quarter of the Company equals or exceeds 5% of Consolidated EBITDA for such period or (c) the aggregate book value of the assets of such Subsidiary and its Subsidiaries on a consolidated basis as of the last day of the most recently completed fiscal quarter of the Company equals or exceeds 5% of the book value of all of the assets of the Company and its Subsidiaries as of the last day of such period.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0" w:right="499" w:bottom="1440" w:gutter="0" w:footer="0" w:header="0"/>
        </w:sectPr>
      </w:pPr>
    </w:p>
    <w:bookmarkStart w:id="33" w:name="page34"/>
    <w:bookmarkEnd w:id="33"/>
    <w:p>
      <w:pPr>
        <w:ind w:right="12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Maturity Date</w:t>
      </w:r>
      <w:r>
        <w:rPr>
          <w:rFonts w:ascii="Arial" w:cs="Arial" w:eastAsia="Arial" w:hAnsi="Arial"/>
          <w:sz w:val="18"/>
          <w:szCs w:val="18"/>
          <w:color w:val="auto"/>
        </w:rPr>
        <w:t xml:space="preserve">” means the later of (a) June 23, 2026 and (b) if maturity is extended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such extended maturity date as determined pursuant to such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any Non-Extending Lender, its Maturity Date shall be the then applicable Existing Maturity Date;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each case, if such date is not a Business Day, the Maturity Date shall be the next preceding Business Day.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w:t>
      </w:r>
      <w:r>
        <w:rPr>
          <w:rFonts w:ascii="Arial" w:cs="Arial" w:eastAsia="Arial" w:hAnsi="Arial"/>
          <w:sz w:val="18"/>
          <w:szCs w:val="18"/>
          <w:color w:val="auto"/>
        </w:rPr>
        <w:t>” means Maxim Integrated Products,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 Acquisition</w:t>
      </w:r>
      <w:r>
        <w:rPr>
          <w:rFonts w:ascii="Arial" w:cs="Arial" w:eastAsia="Arial" w:hAnsi="Arial"/>
          <w:sz w:val="18"/>
          <w:szCs w:val="18"/>
          <w:color w:val="auto"/>
        </w:rPr>
        <w:t>” means the acquisition by the Company of Maxim pursuant to the Maxim Plan of Merger.</w:t>
      </w:r>
    </w:p>
    <w:p>
      <w:pPr>
        <w:spacing w:after="0" w:line="225"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 Plan of Merger</w:t>
      </w:r>
      <w:r>
        <w:rPr>
          <w:rFonts w:ascii="Arial" w:cs="Arial" w:eastAsia="Arial" w:hAnsi="Arial"/>
          <w:sz w:val="18"/>
          <w:szCs w:val="18"/>
          <w:color w:val="auto"/>
        </w:rPr>
        <w:t xml:space="preserve">” means that certain Agreement and Plan of Merger, dated as of July 12, 2020 (as the same may be amended, waived, supplemented or otherwise modified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amendment that has the effect of extending the End Date to a date after January 12, 2022 shall be subject to the prior written consent of the Required Lenders) by and among the Company, Maxim and Magneto Corp., a wholly-owned subsidiary of the Company.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Facility Fee Adjustment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Margin Adjustment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10.09</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Minimum Collateral Amount</w:t>
      </w:r>
      <w:r>
        <w:rPr>
          <w:rFonts w:ascii="Arial" w:cs="Arial" w:eastAsia="Arial" w:hAnsi="Arial"/>
          <w:sz w:val="18"/>
          <w:szCs w:val="18"/>
          <w:color w:val="auto"/>
        </w:rPr>
        <w:t xml:space="preserve">” means, at any time, (a) with respect to Cash Collateral consisting of cash or deposit account balances provided to reduce or eliminate Fronting Exposure during the existence of a Defaulting Lender, an amount equal to 100% of the Fronting Exposure of the applicable L/C Issuer with respect to Letters of Credit issued and outstanding at such time, (b) with respect to Cash Collateral consisting of cash or deposit account balances provided in accordance with the provisions of </w:t>
      </w:r>
      <w:r>
        <w:rPr>
          <w:rFonts w:ascii="Arial" w:cs="Arial" w:eastAsia="Arial" w:hAnsi="Arial"/>
          <w:sz w:val="18"/>
          <w:szCs w:val="18"/>
          <w:u w:val="single" w:color="auto"/>
          <w:color w:val="auto"/>
        </w:rPr>
        <w:t>Section 2.16(a)(i)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(a)(iii)</w:t>
      </w:r>
      <w:r>
        <w:rPr>
          <w:rFonts w:ascii="Arial" w:cs="Arial" w:eastAsia="Arial" w:hAnsi="Arial"/>
          <w:sz w:val="18"/>
          <w:szCs w:val="18"/>
          <w:color w:val="auto"/>
        </w:rPr>
        <w:t>, an amount equal to 102% of the Outstanding Amount of all L/C Obligations, and (c) otherwise, an amount determined by the Administrative Agent and the applicable L/C Issuer in their sole discretion.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MS Fee Letter</w:t>
      </w:r>
      <w:r>
        <w:rPr>
          <w:rFonts w:ascii="Arial" w:cs="Arial" w:eastAsia="Arial" w:hAnsi="Arial"/>
          <w:sz w:val="18"/>
          <w:szCs w:val="18"/>
          <w:color w:val="auto"/>
        </w:rPr>
        <w:t>” means the fee letter agreement, dated as of June 2, 2021, between the Company and Morgan Stanley Bank, N.A.</w:t>
      </w:r>
    </w:p>
    <w:p>
      <w:pPr>
        <w:spacing w:after="0" w:line="225" w:lineRule="exact"/>
        <w:rPr>
          <w:sz w:val="20"/>
          <w:szCs w:val="20"/>
          <w:color w:val="auto"/>
        </w:rPr>
      </w:pPr>
    </w:p>
    <w:p>
      <w:pPr>
        <w:ind w:right="5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Multiemployer Plan</w:t>
      </w:r>
      <w:r>
        <w:rPr>
          <w:rFonts w:ascii="Arial" w:cs="Arial" w:eastAsia="Arial" w:hAnsi="Arial"/>
          <w:sz w:val="16"/>
          <w:szCs w:val="16"/>
          <w:color w:val="auto"/>
        </w:rPr>
        <w:t>” means any employee benefit plan described in Section 4001(a)(3) of ERISA, to which the Company or any ERISA Affiliate makes or is obligated to make contributions, or during the preceding five plan years, has made or been obligated to make contributions.</w:t>
      </w:r>
    </w:p>
    <w:p>
      <w:pPr>
        <w:spacing w:after="0" w:line="116"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Multiple Employer Plan</w:t>
      </w:r>
      <w:r>
        <w:rPr>
          <w:rFonts w:ascii="Arial" w:cs="Arial" w:eastAsia="Arial" w:hAnsi="Arial"/>
          <w:sz w:val="18"/>
          <w:szCs w:val="18"/>
          <w:color w:val="auto"/>
        </w:rPr>
        <w:t>” means a Pension Plan which has two or more contributing sponsors (including the Company or any ERISA Affiliate) at least two of whom are not under common control, as such a plan is described in Section 4064 of ERISA.</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0" w:right="479" w:bottom="1440" w:gutter="0" w:footer="0" w:header="0"/>
        </w:sectPr>
      </w:pPr>
    </w:p>
    <w:bookmarkStart w:id="34" w:name="page35"/>
    <w:bookmarkEnd w:id="34"/>
    <w:p>
      <w:pPr>
        <w:ind w:right="520" w:firstLine="4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Non-Consenting Lender</w:t>
      </w:r>
      <w:r>
        <w:rPr>
          <w:rFonts w:ascii="Arial" w:cs="Arial" w:eastAsia="Arial" w:hAnsi="Arial"/>
          <w:sz w:val="16"/>
          <w:szCs w:val="16"/>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(b) has been approved by the Required Lenders.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Non-Extending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Non-Extension Notice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2.03(b)(iii)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Non-LIBOR Quoted Currency</w:t>
      </w:r>
      <w:r>
        <w:rPr>
          <w:rFonts w:ascii="Arial" w:cs="Arial" w:eastAsia="Arial" w:hAnsi="Arial"/>
          <w:sz w:val="18"/>
          <w:szCs w:val="18"/>
          <w:color w:val="auto"/>
        </w:rPr>
        <w:t>” means any currency other than a LIBOR Quoted Currency.</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Note</w:t>
      </w:r>
      <w:r>
        <w:rPr>
          <w:rFonts w:ascii="Arial" w:cs="Arial" w:eastAsia="Arial" w:hAnsi="Arial"/>
          <w:sz w:val="18"/>
          <w:szCs w:val="18"/>
          <w:color w:val="auto"/>
        </w:rPr>
        <w:t xml:space="preserve">” means a promissory note made by a Borrower in favor of a Lender evidencing Loans made by such Lender to such Borrower, substantially in the form of </w:t>
      </w:r>
      <w:r>
        <w:rPr>
          <w:rFonts w:ascii="Arial" w:cs="Arial" w:eastAsia="Arial" w:hAnsi="Arial"/>
          <w:sz w:val="18"/>
          <w:szCs w:val="18"/>
          <w:u w:val="single" w:color="auto"/>
          <w:color w:val="auto"/>
        </w:rPr>
        <w:t>Exhibit 2.11</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right="8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Organization Documents</w:t>
      </w:r>
      <w:r>
        <w:rPr>
          <w:rFonts w:ascii="Arial" w:cs="Arial" w:eastAsia="Arial" w:hAnsi="Arial"/>
          <w:sz w:val="18"/>
          <w:szCs w:val="18"/>
          <w:color w:val="auto"/>
        </w:rPr>
        <w:t>” means the certificate or articles of incorporation and the bylaws (or equivalent or comparable constitutive documents).</w:t>
      </w:r>
    </w:p>
    <w:p>
      <w:pPr>
        <w:spacing w:after="0" w:line="162"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Rate Early Opt-in</w:t>
      </w:r>
      <w:r>
        <w:rPr>
          <w:rFonts w:ascii="Arial" w:cs="Arial" w:eastAsia="Arial" w:hAnsi="Arial"/>
          <w:sz w:val="18"/>
          <w:szCs w:val="18"/>
          <w:color w:val="auto"/>
        </w:rPr>
        <w:t>” means the Administrative Agent and the Borrower have elected to replace LIBOR with a Benchmark Replacement other than a SOFR-based rate pursuant to (1) an Early Opt-in Election and (2) Section 3.03(c)(ii) and paragraph (2) of the definition of “Benchmark Replacement”.</w:t>
      </w:r>
    </w:p>
    <w:p>
      <w:pPr>
        <w:spacing w:after="0" w:line="176"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0" w:right="439" w:bottom="1440" w:gutter="0" w:footer="0" w:header="0"/>
        </w:sectPr>
      </w:pPr>
    </w:p>
    <w:bookmarkStart w:id="35" w:name="page36"/>
    <w:bookmarkEnd w:id="35"/>
    <w:p>
      <w:pPr>
        <w:ind w:firstLine="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Outstanding Amount</w:t>
      </w:r>
      <w:r>
        <w:rPr>
          <w:rFonts w:ascii="Arial" w:cs="Arial" w:eastAsia="Arial" w:hAnsi="Arial"/>
          <w:sz w:val="18"/>
          <w:szCs w:val="18"/>
          <w:color w:val="auto"/>
        </w:rPr>
        <w:t>” means (a) with respect to Committed Loans and Swing Line Loans on any date, the Dollar Equivalent amount of the aggregate outstanding principal amount thereof after giving effect to any borrowings and prepayments or repayments of Committed Loans and Swing Line Loans, as the case may be, occurring on such date, and (b)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87"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Overnight Rate</w:t>
      </w:r>
      <w:r>
        <w:rPr>
          <w:rFonts w:ascii="Arial" w:cs="Arial" w:eastAsia="Arial" w:hAnsi="Arial"/>
          <w:sz w:val="16"/>
          <w:szCs w:val="16"/>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an overnight rate determined by the Administrative Agent or the L/C Issuer, as the case may be, in accordance with banking industry rules on interbank compensation.</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Participating Member State</w:t>
      </w:r>
      <w:r>
        <w:rPr>
          <w:rFonts w:ascii="Arial" w:cs="Arial" w:eastAsia="Arial" w:hAnsi="Arial"/>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PBGC</w:t>
      </w:r>
      <w:r>
        <w:rPr>
          <w:rFonts w:ascii="Arial" w:cs="Arial" w:eastAsia="Arial" w:hAnsi="Arial"/>
          <w:sz w:val="18"/>
          <w:szCs w:val="18"/>
          <w:color w:val="auto"/>
        </w:rPr>
        <w:t>” means the Pension Benefit Guaranty Corporation or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spacing w:after="0" w:line="180"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Company or any ERISA Affiliate and is either covered by Title IV of ERISA or is subject to minimum funding standards under Section 412 of the Code.</w:t>
      </w:r>
    </w:p>
    <w:p>
      <w:pPr>
        <w:spacing w:after="0" w:line="176"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Pricing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2.19</w:t>
      </w:r>
      <w:r>
        <w:rPr>
          <w:rFonts w:ascii="Arial" w:cs="Arial" w:eastAsia="Arial" w:hAnsi="Arial"/>
          <w:sz w:val="18"/>
          <w:szCs w:val="18"/>
          <w:color w:val="auto"/>
        </w:rPr>
        <w:t xml:space="preserve"> hereto, executed by a Responsible Officer of the Company attaching (a) true and correct copies of the KPI Metrics Report for the immediately preceding Annual Period and setting forth each Sustainability Fee Adjustment and the Sustainability Margin Adjustment for the period covered thereby and for the KPI Metrics disclosed therein, and computations in reasonable detail in respect thereof and (b) a review report of the KPI Metrics Auditor relating to such KPI Metrics Report, confirming that the KPI Metrics Auditor is not aware of any material modifications that should be made to such computations in order for them to be presented in all material respects in conformity with the applicable reporting criteria.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Pricing Certificate Inaccuracy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QFC Credit Support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Qualified Acquisition</w:t>
      </w:r>
      <w:r>
        <w:rPr>
          <w:rFonts w:ascii="Arial" w:cs="Arial" w:eastAsia="Arial" w:hAnsi="Arial"/>
          <w:sz w:val="16"/>
          <w:szCs w:val="16"/>
          <w:color w:val="auto"/>
        </w:rPr>
        <w:t xml:space="preserve">” means any acquisition by the Company or any Subsidiary of Equity Interests of any Person that becomes a Subsidiary (or that is merged, consolidated or amalgamated with or into the Company or any Subsidiary), any acquisition of an ongoing business or any acquisition of all or substantially all the assets of (or all or substantially all the assets constituting a business unit, division, product line or line of business of), any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consideration therefor (including as consideration, without duplication, the aggregate principal amount of Indebtedness assumed or incurred by the Company or any Subsidiary, and the aggregate principal amount of Indebtedness of such Person repaid, prepaid or redeemed by the Company or any Subsidiary, in each case, in connection therewith) is at least $500,000,000;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for any such acquisition to qualify as a “Qualified Acquisition,” the Administrative Agent shall have received prior to, or concurrently with, the consummation of such acquisition, a certificate of a Responsible Officer of the Company describing such acquisition, certifying that such acquisition meets the criteria set forth in this definition and notifying the Administrative Agent that the Company has elected to treat such acquisition as a “Qualified Acquisition”.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Qualifying Lender</w:t>
      </w:r>
      <w:r>
        <w:rPr>
          <w:rFonts w:ascii="Arial" w:cs="Arial" w:eastAsia="Arial" w:hAnsi="Arial"/>
          <w:sz w:val="17"/>
          <w:szCs w:val="17"/>
          <w:color w:val="auto"/>
        </w:rPr>
        <w:t>” means a Lender which is beneficially entitled to interest payable to that Lender in respect of an advance under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and is:</w:t>
      </w:r>
    </w:p>
    <w:p>
      <w:pPr>
        <w:spacing w:after="0" w:line="116" w:lineRule="exact"/>
        <w:rPr>
          <w:sz w:val="20"/>
          <w:szCs w:val="20"/>
          <w:color w:val="auto"/>
        </w:rPr>
      </w:pPr>
    </w:p>
    <w:p>
      <w:pPr>
        <w:ind w:left="960" w:right="440" w:hanging="532"/>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bank within the meaning of section 246 of the TCA which is carrying on a bona fide banking business in Ireland for the purposes of section 246(3)(a) of the TCA and whose Lending Office is located in Ireland; or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body corporate:</w:t>
      </w:r>
    </w:p>
    <w:p>
      <w:pPr>
        <w:spacing w:after="0" w:line="130" w:lineRule="exact"/>
        <w:rPr>
          <w:rFonts w:ascii="Arial" w:cs="Arial" w:eastAsia="Arial" w:hAnsi="Arial"/>
          <w:sz w:val="18"/>
          <w:szCs w:val="18"/>
          <w:color w:val="auto"/>
        </w:rPr>
      </w:pPr>
    </w:p>
    <w:p>
      <w:pPr>
        <w:ind w:left="1420" w:right="120" w:hanging="439"/>
        <w:spacing w:after="0" w:line="342" w:lineRule="auto"/>
        <w:tabs>
          <w:tab w:leader="none" w:pos="14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which, by virtue of the law of a Relevant Territory is resident in the Relevant Territory for the purposes of tax and that jurisdiction imposes a tax that generally applies to interest receivable in that jurisdiction by companies from sources outside that jurisdiction; or</w:t>
      </w:r>
    </w:p>
    <w:p>
      <w:pPr>
        <w:spacing w:after="0" w:line="29" w:lineRule="exact"/>
        <w:rPr>
          <w:rFonts w:ascii="Arial" w:cs="Arial" w:eastAsia="Arial" w:hAnsi="Arial"/>
          <w:sz w:val="16"/>
          <w:szCs w:val="16"/>
          <w:color w:val="auto"/>
        </w:rPr>
      </w:pPr>
    </w:p>
    <w:p>
      <w:pPr>
        <w:ind w:left="1420" w:hanging="439"/>
        <w:spacing w:after="0"/>
        <w:tabs>
          <w:tab w:leader="none" w:pos="14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which is a U.S. company which is incorporated in the United States and is taxed in the United States on its worldwide income; or</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which is a U.S. limited liability company where:</w:t>
      </w:r>
    </w:p>
    <w:p>
      <w:pPr>
        <w:spacing w:after="0" w:line="130" w:lineRule="exact"/>
        <w:rPr>
          <w:rFonts w:ascii="Arial" w:cs="Arial" w:eastAsia="Arial" w:hAnsi="Arial"/>
          <w:sz w:val="18"/>
          <w:szCs w:val="18"/>
          <w:color w:val="auto"/>
        </w:rPr>
      </w:pPr>
    </w:p>
    <w:p>
      <w:pPr>
        <w:ind w:left="5420" w:right="240" w:hanging="3993"/>
        <w:spacing w:after="0" w:line="449" w:lineRule="auto"/>
        <w:tabs>
          <w:tab w:leader="none" w:pos="1973"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ultimate recipients of the interest would themselves be Qualifying Lenders under (i), (ii) or (iv) of this Section (b); and 28</w:t>
      </w:r>
    </w:p>
    <w:p>
      <w:pPr>
        <w:sectPr>
          <w:pgSz w:w="11900" w:h="16838" w:orient="portrait"/>
          <w:cols w:equalWidth="0" w:num="1">
            <w:col w:w="11020"/>
          </w:cols>
          <w:pgMar w:left="440" w:top="270" w:right="439" w:bottom="1440" w:gutter="0" w:footer="0" w:header="0"/>
        </w:sectPr>
      </w:pPr>
    </w:p>
    <w:bookmarkStart w:id="37" w:name="page38"/>
    <w:bookmarkEnd w:id="37"/>
    <w:p>
      <w:pPr>
        <w:ind w:left="1960" w:hanging="533"/>
        <w:spacing w:after="0" w:line="277"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is conducted through the such U.S. limited liability company for market reasons and not for tax avoidance purposes; or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receipt of interest in respect of an advance under this Agreement which:</w:t>
      </w:r>
    </w:p>
    <w:p>
      <w:pPr>
        <w:spacing w:after="0" w:line="130" w:lineRule="exact"/>
        <w:rPr>
          <w:rFonts w:ascii="Arial" w:cs="Arial" w:eastAsia="Arial" w:hAnsi="Arial"/>
          <w:sz w:val="18"/>
          <w:szCs w:val="18"/>
          <w:color w:val="auto"/>
        </w:rPr>
      </w:pPr>
    </w:p>
    <w:p>
      <w:pPr>
        <w:ind w:left="1960" w:hanging="533"/>
        <w:spacing w:after="0" w:line="277" w:lineRule="auto"/>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is exempted from the charge to Irish income tax pursuant to the terms of a double taxation treaty entered into between Ireland and another jurisdiction that is in force on the date the relevant interest is paid; or</w:t>
      </w:r>
    </w:p>
    <w:p>
      <w:pPr>
        <w:spacing w:after="0" w:line="75" w:lineRule="exact"/>
        <w:rPr>
          <w:rFonts w:ascii="Arial" w:cs="Arial" w:eastAsia="Arial" w:hAnsi="Arial"/>
          <w:sz w:val="18"/>
          <w:szCs w:val="18"/>
          <w:color w:val="auto"/>
        </w:rPr>
      </w:pPr>
    </w:p>
    <w:p>
      <w:pPr>
        <w:ind w:left="1960" w:hanging="533"/>
        <w:spacing w:after="0" w:line="263" w:lineRule="auto"/>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would be exempted from the charge to Irish income tax pursuant to the terms of a double taxation treaty entered into between Ireland and another jurisdiction signed on or before the date on which the relevant interest is paid but not in force on that date, assuming that treaty had the force of law on that date,</w:t>
      </w:r>
    </w:p>
    <w:p>
      <w:pPr>
        <w:spacing w:after="0" w:line="76"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provided that, in each case (i) to (iv) above, such body corporate does not provide its commitment through a branch or agency in Ireland; or</w:t>
      </w:r>
    </w:p>
    <w:p>
      <w:pPr>
        <w:spacing w:after="0" w:line="76" w:lineRule="exact"/>
        <w:rPr>
          <w:sz w:val="20"/>
          <w:szCs w:val="20"/>
          <w:color w:val="auto"/>
        </w:rPr>
      </w:pPr>
    </w:p>
    <w:p>
      <w:pPr>
        <w:ind w:left="960" w:right="120" w:hanging="532"/>
        <w:spacing w:after="0" w:line="311"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body corporate which advances money in the ordinary course of a trade which includes the lending of money where the interest payable on monies so advanced is taken into account in computing the trading income of such body corporate and such body corporate has complied with the notification requirements under section 246(5)(a) of the TCA and whose Lending Office is located in Ireland; or</w:t>
      </w:r>
    </w:p>
    <w:p>
      <w:pPr>
        <w:spacing w:after="0" w:line="54" w:lineRule="exact"/>
        <w:rPr>
          <w:rFonts w:ascii="Arial" w:cs="Arial" w:eastAsia="Arial" w:hAnsi="Arial"/>
          <w:sz w:val="16"/>
          <w:szCs w:val="16"/>
          <w:color w:val="auto"/>
        </w:rPr>
      </w:pPr>
    </w:p>
    <w:p>
      <w:pPr>
        <w:ind w:left="960" w:hanging="53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qualifying company within the meaning of section 110 of the TCA and whose Lending Office is located in Ireland;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investment undertaking within the meaning of section 739B of the TCA and whose Lending Office is located in Ireland;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exempt approved scheme within the meaning of section 774 of the TCA and whose Lending Office is located in Ireland;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221"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Rate Determination Date</w:t>
      </w:r>
      <w:r>
        <w:rPr>
          <w:rFonts w:ascii="Arial" w:cs="Arial" w:eastAsia="Arial" w:hAnsi="Arial"/>
          <w:sz w:val="18"/>
          <w:szCs w:val="18"/>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0"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Recipient</w:t>
      </w:r>
      <w:r>
        <w:rPr>
          <w:rFonts w:ascii="Arial" w:cs="Arial" w:eastAsia="Arial" w:hAnsi="Arial"/>
          <w:sz w:val="18"/>
          <w:szCs w:val="18"/>
          <w:color w:val="auto"/>
        </w:rPr>
        <w:t>” means the Administrative Agent, any Lender, any L/C Issuer or any other recipient of any payment to be made by or on account of any obligation of any Loan Party hereunder or under any other Loan Document.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8" w:name="page39"/>
    <w:bookmarkEnd w:id="38"/>
    <w:p>
      <w:pPr>
        <w:ind w:left="4"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u w:val="single" w:color="auto"/>
          <w:color w:val="auto"/>
        </w:rPr>
        <w:t>Relevant Governmental Body</w:t>
      </w:r>
      <w:r>
        <w:rPr>
          <w:rFonts w:ascii="Arial" w:cs="Arial" w:eastAsia="Arial" w:hAnsi="Arial"/>
          <w:sz w:val="16"/>
          <w:szCs w:val="16"/>
          <w:color w:val="auto"/>
        </w:rPr>
        <w:t>” means (a) with respect to Loans denominated in Dollars, the Board of Governors of the Federal Reserve System or the Federal Reserve Bank of New York, or a committee officially endorsed or convened by the Board of Governors of the Federal Reserve System or the Federal Reserve Bank of New York, or any successor thereto, (b) with respect to Loans denominated in Sterling, the Bank of England, or a committee officially endorsed or convened by the Bank of England or, in each case, any successor thereto, (c) with respect to Loans denominated in Euros, the European Central Bank, or a committee officially endorsed or convened by the European Central Bank or, in each case, any successor thereto, and (d) with respect to Loans denominated in any other Agreed Currency, (i) the central bank for the currency in which such Loan is denominated or any central bank or other supervisor which is responsible for supervising either (x) such successor rate or (y) the administrator of such successor rate or</w:t>
      </w:r>
    </w:p>
    <w:p>
      <w:pPr>
        <w:spacing w:after="0" w:line="1" w:lineRule="exact"/>
        <w:rPr>
          <w:sz w:val="20"/>
          <w:szCs w:val="20"/>
          <w:color w:val="auto"/>
        </w:rPr>
      </w:pPr>
    </w:p>
    <w:p>
      <w:pPr>
        <w:ind w:left="4" w:right="180" w:hanging="4"/>
        <w:spacing w:after="0" w:line="277" w:lineRule="auto"/>
        <w:tabs>
          <w:tab w:leader="none" w:pos="269"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working group or committee officially endorsed or convened by (w) the central bank for the currency in which such successor rate is denominated, (x) any central bank or other supervisor that is responsible for supervising either (A) such successor rate or (B) the administrator of such successor rate, (y) a group of those central banks or other supervisors or (z) the Financial Stability Board. or any part thereof.</w:t>
      </w:r>
    </w:p>
    <w:p>
      <w:pPr>
        <w:spacing w:after="0" w:line="169"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Relevant Rate</w:t>
      </w:r>
      <w:r>
        <w:rPr>
          <w:rFonts w:ascii="Arial" w:cs="Arial" w:eastAsia="Arial" w:hAnsi="Arial"/>
          <w:sz w:val="18"/>
          <w:szCs w:val="18"/>
          <w:color w:val="auto"/>
        </w:rPr>
        <w:t>” means with respect to any Credit Extension denominated in (a) Dollars, LIBOR, (b) Sterling, SONIA and (c) Euros, EURIBOR, as applicable.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Relevant Territory</w:t>
      </w:r>
      <w:r>
        <w:rPr>
          <w:rFonts w:ascii="Arial" w:cs="Arial" w:eastAsia="Arial" w:hAnsi="Arial"/>
          <w:sz w:val="18"/>
          <w:szCs w:val="18"/>
          <w:color w:val="auto"/>
        </w:rPr>
        <w:t>” means:</w:t>
      </w:r>
    </w:p>
    <w:p>
      <w:pPr>
        <w:spacing w:after="0" w:line="121" w:lineRule="exact"/>
        <w:rPr>
          <w:sz w:val="20"/>
          <w:szCs w:val="20"/>
          <w:color w:val="auto"/>
        </w:rPr>
      </w:pPr>
    </w:p>
    <w:p>
      <w:pPr>
        <w:ind w:left="1104" w:hanging="241"/>
        <w:spacing w:after="0"/>
        <w:tabs>
          <w:tab w:leader="none" w:pos="11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member state of the European Communities (other than Ireland); or</w:t>
      </w:r>
    </w:p>
    <w:p>
      <w:pPr>
        <w:spacing w:after="0" w:line="117" w:lineRule="exact"/>
        <w:rPr>
          <w:rFonts w:ascii="Arial" w:cs="Arial" w:eastAsia="Arial" w:hAnsi="Arial"/>
          <w:sz w:val="18"/>
          <w:szCs w:val="18"/>
          <w:color w:val="auto"/>
        </w:rPr>
      </w:pPr>
    </w:p>
    <w:p>
      <w:pPr>
        <w:ind w:left="444" w:right="20" w:firstLine="419"/>
        <w:spacing w:after="0" w:line="263" w:lineRule="auto"/>
        <w:tabs>
          <w:tab w:leader="none" w:pos="11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not a member state of the European Communities, a jurisdiction with which Ireland has entered into a double taxation treaty that either has the force of law by virtue of section 826(1) of the TCA or which will have the force of law on completion of the procedures set out in section 826(1) of the TCA.</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Removal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9.06(b)</w:t>
      </w:r>
      <w:r>
        <w:rPr>
          <w:rFonts w:ascii="Arial" w:cs="Arial" w:eastAsia="Arial" w:hAnsi="Arial"/>
          <w:sz w:val="18"/>
          <w:szCs w:val="18"/>
          <w:color w:val="auto"/>
        </w:rPr>
        <w:t>.</w:t>
      </w:r>
    </w:p>
    <w:p>
      <w:pPr>
        <w:spacing w:after="0" w:line="225" w:lineRule="exact"/>
        <w:rPr>
          <w:sz w:val="20"/>
          <w:szCs w:val="20"/>
          <w:color w:val="auto"/>
        </w:rPr>
      </w:pPr>
    </w:p>
    <w:p>
      <w:pPr>
        <w:ind w:left="4"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Renewable Energy</w:t>
      </w:r>
      <w:r>
        <w:rPr>
          <w:rFonts w:ascii="Arial" w:cs="Arial" w:eastAsia="Arial" w:hAnsi="Arial"/>
          <w:sz w:val="18"/>
          <w:szCs w:val="18"/>
          <w:color w:val="auto"/>
        </w:rPr>
        <w:t>” means any type of electricity generation that does not directly emit carbon dioxide, including solar, wind, geothermal, hydropower, nuclear, sustainable biomass, and (to the extent all direct carbon dioxide emissions are captured) electricity generation that utilizes carbon capture and storage.</w:t>
      </w:r>
    </w:p>
    <w:p>
      <w:pPr>
        <w:spacing w:after="0" w:line="176" w:lineRule="exact"/>
        <w:rPr>
          <w:sz w:val="20"/>
          <w:szCs w:val="20"/>
          <w:color w:val="auto"/>
        </w:rPr>
      </w:pPr>
    </w:p>
    <w:p>
      <w:pPr>
        <w:ind w:left="4" w:right="7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Renewable Energy Target</w:t>
      </w:r>
      <w:r>
        <w:rPr>
          <w:rFonts w:ascii="Arial" w:cs="Arial" w:eastAsia="Arial" w:hAnsi="Arial"/>
          <w:sz w:val="18"/>
          <w:szCs w:val="18"/>
          <w:color w:val="auto"/>
        </w:rPr>
        <w:t>” means, for any Annual Period, the Renewable Energy Usage Target set forth for such Annual Period in the Sustainability Table.</w:t>
      </w:r>
    </w:p>
    <w:p>
      <w:pPr>
        <w:spacing w:after="0" w:line="162"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Renewable Energy Usage</w:t>
      </w:r>
      <w:r>
        <w:rPr>
          <w:rFonts w:ascii="Arial" w:cs="Arial" w:eastAsia="Arial" w:hAnsi="Arial"/>
          <w:sz w:val="18"/>
          <w:szCs w:val="18"/>
          <w:color w:val="auto"/>
        </w:rPr>
        <w:t>” means the percentage of total electricity consumption by the Main Manufacturing Facilities generated by Renewable Energy as detailed in the applicable KPI Metrics Report.</w:t>
      </w:r>
    </w:p>
    <w:p>
      <w:pPr>
        <w:spacing w:after="0" w:line="162" w:lineRule="exact"/>
        <w:rPr>
          <w:sz w:val="20"/>
          <w:szCs w:val="20"/>
          <w:color w:val="auto"/>
        </w:rPr>
      </w:pPr>
    </w:p>
    <w:p>
      <w:pPr>
        <w:ind w:left="4"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Renewable Energy Usage Fee Adjustment</w:t>
      </w:r>
      <w:r>
        <w:rPr>
          <w:rFonts w:ascii="Arial" w:cs="Arial" w:eastAsia="Arial" w:hAnsi="Arial"/>
          <w:sz w:val="18"/>
          <w:szCs w:val="18"/>
          <w:color w:val="auto"/>
        </w:rPr>
        <w:t>” means with respect to any Annual Period, (i) negative 0.25 basis points if the Renewable Energy Usage for such Annual Period is greater than or equal to the Renewable Energy Target for such Annual Period, (ii) 0 basis points if the Renewable Energy Usage for such Annual Period is greater than or equal to the Renewable Energy Usage Threshold and less than the Renewable Energy Target for such Annual Period, and (iii) positive 0.25 basis points if the Renewable Energy Usage for such Annual Period is less than the Renewable Energy Usage Threshold for such Annual Period.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0" w:right="459" w:bottom="1440" w:gutter="0" w:footer="0" w:header="0"/>
        </w:sectPr>
      </w:pPr>
    </w:p>
    <w:bookmarkStart w:id="39" w:name="page40"/>
    <w:bookmarkEnd w:id="39"/>
    <w:p>
      <w:pPr>
        <w:ind w:right="6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Renewable Energy Usage Margin Adjustment</w:t>
      </w:r>
      <w:r>
        <w:rPr>
          <w:rFonts w:ascii="Arial" w:cs="Arial" w:eastAsia="Arial" w:hAnsi="Arial"/>
          <w:sz w:val="18"/>
          <w:szCs w:val="18"/>
          <w:color w:val="auto"/>
        </w:rPr>
        <w:t>” means with respect to any Annual Period, (i) negative 2.25 basis points if the Renewable Energy Usage for such Annual Period is greater than or equal to the Renewable Energy Usage Target for such Annual Period, (ii) 0 basis points if the Renewable Energy Usage for such Annual Period is greater than or equal to the Renewable Energy Usage Threshold and less than the Renewable Energy Usage Target for such Annual Period, and (iii) positive 2.25 basis points if the Renewable Energy Usage for such Annual Period is less than the Renewable Energy Usage Threshold for such Annual Period.</w:t>
      </w:r>
    </w:p>
    <w:p>
      <w:pPr>
        <w:spacing w:after="0" w:line="183"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Renewable Energy Usage Threshold</w:t>
      </w:r>
      <w:r>
        <w:rPr>
          <w:rFonts w:ascii="Arial" w:cs="Arial" w:eastAsia="Arial" w:hAnsi="Arial"/>
          <w:sz w:val="18"/>
          <w:szCs w:val="18"/>
          <w:color w:val="auto"/>
        </w:rPr>
        <w:t>” means, with respect to any calendar year, the Renewable Energy Usage Threshold for such calendar year as set forth in the Sustainability Table.</w:t>
      </w:r>
    </w:p>
    <w:p>
      <w:pPr>
        <w:spacing w:after="0" w:line="162"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Reportable Event</w:t>
      </w:r>
      <w:r>
        <w:rPr>
          <w:rFonts w:ascii="Arial" w:cs="Arial" w:eastAsia="Arial" w:hAnsi="Arial"/>
          <w:sz w:val="18"/>
          <w:szCs w:val="18"/>
          <w:color w:val="auto"/>
        </w:rPr>
        <w:t>” means any of the events set forth in Section 4043(c) of ERISA, other than events for which the 30-day notice period has been waived.</w:t>
      </w:r>
    </w:p>
    <w:p>
      <w:pPr>
        <w:spacing w:after="0" w:line="162"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Request for Credit Extension</w:t>
      </w:r>
      <w:r>
        <w:rPr>
          <w:rFonts w:ascii="Arial" w:cs="Arial" w:eastAsia="Arial" w:hAnsi="Arial"/>
          <w:sz w:val="18"/>
          <w:szCs w:val="18"/>
          <w:color w:val="auto"/>
        </w:rPr>
        <w:t>” means (a) with respect to a Borrowing, conversion or continuation of Committed Loans, a Committed Loan Notice, (b) with respect to an L/C Credit Extension, a Letter of Credit Application, and (c) with respect to a Swing Line Loan, a Swing Line Loan Notice.</w:t>
      </w:r>
    </w:p>
    <w:p>
      <w:pPr>
        <w:spacing w:after="0" w:line="17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Required Lenders</w:t>
      </w:r>
      <w:r>
        <w:rPr>
          <w:rFonts w:ascii="Arial" w:cs="Arial" w:eastAsia="Arial" w:hAnsi="Arial"/>
          <w:sz w:val="16"/>
          <w:szCs w:val="16"/>
          <w:color w:val="auto"/>
        </w:rPr>
        <w:t xml:space="preserve">” means, at any time, Lenders having Total Credit Exposures representing more than 50% of the Total Credit Exposures of all Lenders. For purposes of this definition, Revolving Credit Exposure of the Swing Line Lender shall be deemed to exclude any amount of its Swing Line Exposure in excess of its Applicable Percentage of the aggregate principal amount of all the Swing Line Loans, but adjusted to give effect to any reallocation under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of the Swing Line Exposures of Defaulting Lenders in effect at such time, and the unused Commitment of such Lender shall be determined on the basis of its Revolving Credit Exposure excluding such excess amount. The Total Credit Exposure of any Defaulting Lender shall be disregarded in determining Required Lenders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participation in any Swing Line Loan and Unreimbursed Amounts that such Defaulting Lender has failed to fund that have not been reallocated to another Lender shall be deemed to be held by the Lender that is the Swing Line Lender or L/C Issuer, as the case may be, in making such determination.</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Rescindable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Resignation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right="80"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Responsible Officer</w:t>
      </w:r>
      <w:r>
        <w:rPr>
          <w:rFonts w:ascii="Arial" w:cs="Arial" w:eastAsia="Arial" w:hAnsi="Arial"/>
          <w:sz w:val="16"/>
          <w:szCs w:val="16"/>
          <w:color w:val="auto"/>
        </w:rPr>
        <w:t xml:space="preserve">” means, with respect to any Loan Party, the chief executive officer, president, chief financial officer, treasurer, assistant treasurer, chief accounting officer or controller of the Company and any other officer of such Loan Party so designated by any of the foregoing officers in a written notice to the Administrative Agent, and, solely for purposes of notices given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any other officer or employee of any Borrower so designated by any of the foregoing officers in or pursuant to an agreement between such Borrower and the Administrative Agent. Without limiting the representations and warranties of the Loan Parties set forth in the Loan Documents,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1"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Revaluation Date</w:t>
      </w:r>
      <w:r>
        <w:rPr>
          <w:rFonts w:ascii="Arial" w:cs="Arial" w:eastAsia="Arial" w:hAnsi="Arial"/>
          <w:sz w:val="18"/>
          <w:szCs w:val="18"/>
          <w:color w:val="auto"/>
        </w:rPr>
        <w:t xml:space="preserve">” means (a) with respect to any Loan, each of the following: (i) each date of a Borrowing of a Eurocurrency Rate Loan denominated in an Alternative Currency or an Alternative Currency Term Rate Loan, (ii) each date of a continuation of a Eurocurrency Rate Loan denominated in an Alternative Currency or Alternative Currency Term Rate Loan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(iii) each date of a Borrowing of an Alternative Currency Daily Rate Loan and (iv) such additional dates as the Administrative Agent shall determine or the Required Lenders shall require; and (b) with respect to any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0" w:right="499" w:bottom="1440" w:gutter="0" w:footer="0" w:header="0"/>
        </w:sectPr>
      </w:pPr>
    </w:p>
    <w:bookmarkStart w:id="40" w:name="page41"/>
    <w:bookmarkEnd w:id="40"/>
    <w:p>
      <w:pPr>
        <w:ind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 of Credit, each of the following: (i) each date of issuance, amendment and/or extension of a Letter of Credit denominated in an Alternative Currency, (ii) each date of any payment by the L/C Issuer under any Letter of Credit denominated in an Alternative Currency, and (iii) such additional dates as the Administrative Agent or the L/C Issuer shall determine or the Required Lenders shall require.</w:t>
      </w:r>
    </w:p>
    <w:p>
      <w:pPr>
        <w:spacing w:after="0" w:line="161"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Revolving Credit Exposure</w:t>
      </w:r>
      <w:r>
        <w:rPr>
          <w:rFonts w:ascii="Arial" w:cs="Arial" w:eastAsia="Arial" w:hAnsi="Arial"/>
          <w:sz w:val="18"/>
          <w:szCs w:val="18"/>
          <w:color w:val="auto"/>
        </w:rPr>
        <w:t xml:space="preserve">” means, as to any Lender at any time, the aggregate principal amount at such time of its outstanding Committed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participation in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its Swing Line Exposure at such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S&amp;P</w:t>
      </w:r>
      <w:r>
        <w:rPr>
          <w:rFonts w:ascii="Arial" w:cs="Arial" w:eastAsia="Arial" w:hAnsi="Arial"/>
          <w:sz w:val="18"/>
          <w:szCs w:val="18"/>
          <w:color w:val="auto"/>
        </w:rPr>
        <w:t>” means S&amp;P Global Ratings and any successor thereto.</w:t>
      </w:r>
    </w:p>
    <w:p>
      <w:pPr>
        <w:spacing w:after="0" w:line="225"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Same Day Funds</w:t>
      </w:r>
      <w:r>
        <w:rPr>
          <w:rFonts w:ascii="Arial" w:cs="Arial" w:eastAsia="Arial" w:hAnsi="Arial"/>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Sanctions</w:t>
      </w:r>
      <w:r>
        <w:rPr>
          <w:rFonts w:ascii="Arial" w:cs="Arial" w:eastAsia="Arial" w:hAnsi="Arial"/>
          <w:sz w:val="18"/>
          <w:szCs w:val="18"/>
          <w:color w:val="auto"/>
        </w:rPr>
        <w:t>” means any international economic sanction administered or enforced by the United States government (including, without limitation, OFAC and the USA PATRIOT Act), the United Nations Security Council, the European Union, Her Majesty’s Treasury or other relevant sanctions authority.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SOFR Early Opt-in</w:t>
      </w:r>
      <w:r>
        <w:rPr>
          <w:rFonts w:ascii="Arial" w:cs="Arial" w:eastAsia="Arial" w:hAnsi="Arial"/>
          <w:sz w:val="18"/>
          <w:szCs w:val="18"/>
          <w:color w:val="auto"/>
        </w:rPr>
        <w:t>” means the Administrative Agent and the Borrower have elected to replace LIBOR pursuant to (1) an Early Opt-in Election and (2) Section 3.03(c)(i) and paragraph (1) of the definition of “Benchmark Replacement”.</w:t>
      </w:r>
    </w:p>
    <w:p>
      <w:pPr>
        <w:spacing w:after="0" w:line="162"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SONIA</w:t>
      </w:r>
      <w:r>
        <w:rPr>
          <w:rFonts w:ascii="Arial" w:cs="Arial" w:eastAsia="Arial" w:hAnsi="Arial"/>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if such determination date is not a Business Day, SONIA means such rate that applied on the first Business Day immediately prior thereto.</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SONIA Adjustment</w:t>
      </w:r>
      <w:r>
        <w:rPr>
          <w:rFonts w:ascii="Arial" w:cs="Arial" w:eastAsia="Arial" w:hAnsi="Arial"/>
          <w:sz w:val="18"/>
          <w:szCs w:val="18"/>
          <w:color w:val="auto"/>
        </w:rPr>
        <w:t>” means, with respect to SONIA, 0.1193% (11.93 basis points) per annum.</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Special Notice Currency</w:t>
      </w:r>
      <w:r>
        <w:rPr>
          <w:rFonts w:ascii="Arial" w:cs="Arial" w:eastAsia="Arial" w:hAnsi="Arial"/>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6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Spot Rate</w:t>
      </w:r>
      <w:r>
        <w:rPr>
          <w:rFonts w:ascii="Arial" w:cs="Arial" w:eastAsia="Arial" w:hAnsi="Arial"/>
          <w:sz w:val="17"/>
          <w:szCs w:val="17"/>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or from a third source, such as Reuters;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L/C Issuer may use such spot rate quoted on the date as of which the foreign exchange computation is made in the case of any Letter of Credit denominated in an Alternative Currency.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Subsidiary</w:t>
      </w:r>
      <w:r>
        <w:rPr>
          <w:rFonts w:ascii="Arial" w:cs="Arial" w:eastAsia="Arial" w:hAnsi="Arial"/>
          <w:sz w:val="17"/>
          <w:szCs w:val="17"/>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Subsidiary Guarantor</w:t>
      </w:r>
      <w:r>
        <w:rPr>
          <w:rFonts w:ascii="Arial" w:cs="Arial" w:eastAsia="Arial" w:hAnsi="Arial"/>
          <w:sz w:val="18"/>
          <w:szCs w:val="18"/>
          <w:color w:val="auto"/>
        </w:rPr>
        <w:t>” means any Subsidiary that is a party to the Subsidiary Guaranty.</w:t>
      </w:r>
    </w:p>
    <w:p>
      <w:pPr>
        <w:spacing w:after="0" w:line="225" w:lineRule="exact"/>
        <w:rPr>
          <w:sz w:val="20"/>
          <w:szCs w:val="20"/>
          <w:color w:val="auto"/>
        </w:rPr>
      </w:pPr>
    </w:p>
    <w:p>
      <w:pPr>
        <w:ind w:right="2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Subsidiary Guaranty</w:t>
      </w:r>
      <w:r>
        <w:rPr>
          <w:rFonts w:ascii="Arial" w:cs="Arial" w:eastAsia="Arial" w:hAnsi="Arial"/>
          <w:sz w:val="16"/>
          <w:szCs w:val="16"/>
          <w:color w:val="auto"/>
        </w:rPr>
        <w:t xml:space="preserve">” means the Subsidiary Guaranty (including counterparts thereof and joinders and supplements thereto) made by one or more Subsidiary Guarantors in favor of the Administrative Agent and the Lenders, substantially in the form of </w:t>
      </w:r>
      <w:r>
        <w:rPr>
          <w:rFonts w:ascii="Arial" w:cs="Arial" w:eastAsia="Arial" w:hAnsi="Arial"/>
          <w:sz w:val="16"/>
          <w:szCs w:val="16"/>
          <w:u w:val="single" w:color="auto"/>
          <w:color w:val="auto"/>
        </w:rPr>
        <w:t>EXHIBIT 1.01(b)</w:t>
      </w:r>
      <w:r>
        <w:rPr>
          <w:rFonts w:ascii="Arial" w:cs="Arial" w:eastAsia="Arial" w:hAnsi="Arial"/>
          <w:sz w:val="16"/>
          <w:szCs w:val="16"/>
          <w:color w:val="auto"/>
        </w:rPr>
        <w:t xml:space="preserve"> (or such other document as the Administrative Agent and the Company shall deem appropriate). “</w:t>
      </w:r>
      <w:r>
        <w:rPr>
          <w:rFonts w:ascii="Arial" w:cs="Arial" w:eastAsia="Arial" w:hAnsi="Arial"/>
          <w:sz w:val="16"/>
          <w:szCs w:val="16"/>
          <w:b w:val="1"/>
          <w:bCs w:val="1"/>
          <w:u w:val="single" w:color="auto"/>
          <w:color w:val="auto"/>
        </w:rPr>
        <w:t>Supported QFC</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10.20</w:t>
      </w:r>
      <w:r>
        <w:rPr>
          <w:rFonts w:ascii="Arial" w:cs="Arial" w:eastAsia="Arial" w:hAnsi="Arial"/>
          <w:sz w:val="16"/>
          <w:szCs w:val="16"/>
          <w:color w:val="auto"/>
        </w:rPr>
        <w:t>.</w:t>
      </w:r>
    </w:p>
    <w:p>
      <w:pPr>
        <w:spacing w:after="0" w:line="142"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Sustainability Fee Adjustment</w:t>
      </w:r>
      <w:r>
        <w:rPr>
          <w:rFonts w:ascii="Arial" w:cs="Arial" w:eastAsia="Arial" w:hAnsi="Arial"/>
          <w:sz w:val="16"/>
          <w:szCs w:val="16"/>
          <w:color w:val="auto"/>
        </w:rPr>
        <w:t xml:space="preserve">” means, with respect to any KPI Metrics Report for any Annual Period, the number of basis points (whether negative, zero or positive) resulting from the sum of (a) the Greenhouse Gas Emissions Reduction Fee Adjustment and (b) the Renewable Energy Usage Fee Adjustment;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if a KPI Metrics Report does not disclose performance for a given KPI Metric, the relevant adjustment for such KPI Metric shall be 0 basis points and (ii) at no time shall the aggregate sustainability fee adjustment exceed the Maximum Facility Fee Adjustment.</w:t>
      </w:r>
    </w:p>
    <w:p>
      <w:pPr>
        <w:spacing w:after="0" w:line="151"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Sustainability Margin Adjustment</w:t>
      </w:r>
      <w:r>
        <w:rPr>
          <w:rFonts w:ascii="Arial" w:cs="Arial" w:eastAsia="Arial" w:hAnsi="Arial"/>
          <w:sz w:val="18"/>
          <w:szCs w:val="18"/>
          <w:color w:val="auto"/>
        </w:rPr>
        <w:t xml:space="preserve">” means, with respect to any KPI Metrics Report for any Annual Period, the number of basis points (whether negative, zero or positive) resulting from the sum of (a) the Greenhouse Gas Emissions Reduction Margin Adjustment and (b) the Renewable Energy Usage Margin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if a KPI Metrics Report does not disclose performance for a given KPI Metric, the relevant adjustment for such KPI Metric shall be 0 basis points and (ii) at no time shall the aggregate sustainability margin adjustment exceed the Maximum Margin Adjustment.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Sustainability Pricing Adjustment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Sustainability Structuring Agent</w:t>
      </w:r>
      <w:r>
        <w:rPr>
          <w:rFonts w:ascii="Arial" w:cs="Arial" w:eastAsia="Arial" w:hAnsi="Arial"/>
          <w:sz w:val="18"/>
          <w:szCs w:val="18"/>
          <w:color w:val="auto"/>
        </w:rPr>
        <w:t>” means BofA Securities, Inc., in its capacity as the sustainability structuring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Sustainability Table</w:t>
      </w:r>
      <w:r>
        <w:rPr>
          <w:rFonts w:ascii="Arial" w:cs="Arial" w:eastAsia="Arial" w:hAnsi="Arial"/>
          <w:sz w:val="18"/>
          <w:szCs w:val="18"/>
          <w:color w:val="auto"/>
        </w:rPr>
        <w:t xml:space="preserve">” means the Sustainability Table set forth in </w:t>
      </w:r>
      <w:r>
        <w:rPr>
          <w:rFonts w:ascii="Arial" w:cs="Arial" w:eastAsia="Arial" w:hAnsi="Arial"/>
          <w:sz w:val="18"/>
          <w:szCs w:val="18"/>
          <w:u w:val="single" w:color="auto"/>
          <w:color w:val="auto"/>
        </w:rPr>
        <w:t>Schedule 2.19</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42" w:name="page43"/>
    <w:bookmarkEnd w:id="42"/>
    <w:p>
      <w:pPr>
        <w:ind w:right="100" w:firstLine="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u w:val="single" w:color="auto"/>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Swing Line Exposure</w:t>
      </w:r>
      <w:r>
        <w:rPr>
          <w:rFonts w:ascii="Arial" w:cs="Arial" w:eastAsia="Arial" w:hAnsi="Arial"/>
          <w:sz w:val="18"/>
          <w:szCs w:val="18"/>
          <w:color w:val="auto"/>
        </w:rPr>
        <w:t>” means, at any time, the aggregate principal amount of all Swing Line Loans outstanding at any time. The Swing Line Exposure of any Lender at any time shall be the sum of (a) its Applicable Percentage of the total Swing Line Exposure at such time other than with respect to any Swing Line Loans made by such Lender in its capacity as Swing Line Lender and (b) the aggregate principal amount of all Swing Line Loans made by such Lender as Swing Line Lender outstanding at such time (less the amount of participations funded by other Lenders in such Swing Line Loans).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Swing Line Lender</w:t>
      </w:r>
      <w:r>
        <w:rPr>
          <w:rFonts w:ascii="Arial" w:cs="Arial" w:eastAsia="Arial" w:hAnsi="Arial"/>
          <w:sz w:val="16"/>
          <w:szCs w:val="16"/>
          <w:color w:val="auto"/>
        </w:rPr>
        <w:t>” means Bank of America in its capacity as provider of Swing Line Loans, or any successor swing line lender hereunder.</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jc w:val="both"/>
        <w:ind w:right="2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Swing Line Loan Notice</w:t>
      </w:r>
      <w:r>
        <w:rPr>
          <w:rFonts w:ascii="Arial" w:cs="Arial" w:eastAsia="Arial" w:hAnsi="Arial"/>
          <w:sz w:val="16"/>
          <w:szCs w:val="16"/>
          <w:color w:val="auto"/>
        </w:rPr>
        <w:t xml:space="preserve">” means a notice of a Swing Line Borrowing pursuant to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which shall be substantially in the form of </w:t>
      </w:r>
      <w:r>
        <w:rPr>
          <w:rFonts w:ascii="Arial" w:cs="Arial" w:eastAsia="Arial" w:hAnsi="Arial"/>
          <w:sz w:val="16"/>
          <w:szCs w:val="16"/>
          <w:u w:val="single" w:color="auto"/>
          <w:color w:val="auto"/>
        </w:rPr>
        <w:t>EXHIBIT 2.04</w:t>
      </w:r>
      <w:r>
        <w:rPr>
          <w:rFonts w:ascii="Arial" w:cs="Arial" w:eastAsia="Arial" w:hAnsi="Arial"/>
          <w:sz w:val="16"/>
          <w:szCs w:val="16"/>
          <w:color w:val="auto"/>
        </w:rPr>
        <w:t xml:space="preserve"> or such other form as approved by the Administrative Agent (including any form on an electronic platform or electronic transmission system as shall be approve by the Administrative Agent), appropriately completed and signed by a Responsible Officer of the Company.</w:t>
      </w:r>
    </w:p>
    <w:p>
      <w:pPr>
        <w:spacing w:after="0" w:line="142" w:lineRule="exact"/>
        <w:rPr>
          <w:sz w:val="20"/>
          <w:szCs w:val="20"/>
          <w:color w:val="auto"/>
        </w:rPr>
      </w:pPr>
    </w:p>
    <w:p>
      <w:pPr>
        <w:jc w:val="both"/>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Swing Line Sublimit</w:t>
      </w:r>
      <w:r>
        <w:rPr>
          <w:rFonts w:ascii="Arial" w:cs="Arial" w:eastAsia="Arial" w:hAnsi="Arial"/>
          <w:sz w:val="18"/>
          <w:szCs w:val="18"/>
          <w:color w:val="auto"/>
        </w:rPr>
        <w:t>” means an amount equal to the lesser of (a) $25,000,000 and (b) the Aggregate Commitments. The Swing Line Sublimit is part of, and not in addition to, the Aggregate Commitments.</w:t>
      </w:r>
    </w:p>
    <w:p>
      <w:pPr>
        <w:spacing w:after="0" w:line="162" w:lineRule="exact"/>
        <w:rPr>
          <w:sz w:val="20"/>
          <w:szCs w:val="20"/>
          <w:color w:val="auto"/>
        </w:rPr>
      </w:pPr>
    </w:p>
    <w:p>
      <w:pPr>
        <w:jc w:val="both"/>
        <w:ind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4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TARGET2</w:t>
      </w:r>
      <w:r>
        <w:rPr>
          <w:rFonts w:ascii="Arial" w:cs="Arial" w:eastAsia="Arial" w:hAnsi="Arial"/>
          <w:sz w:val="18"/>
          <w:szCs w:val="18"/>
          <w:color w:val="auto"/>
        </w:rPr>
        <w:t>” means the Trans-European Automated Real-time Gross Settlement Express Transfer payment system which utilizes a single shared platform and which was launched on November 19, 2007.</w:t>
      </w:r>
    </w:p>
    <w:p>
      <w:pPr>
        <w:spacing w:after="0" w:line="162"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TARGET Day</w:t>
      </w:r>
      <w:r>
        <w:rPr>
          <w:rFonts w:ascii="Arial" w:cs="Arial" w:eastAsia="Arial" w:hAnsi="Arial"/>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62" w:lineRule="exact"/>
        <w:rPr>
          <w:sz w:val="20"/>
          <w:szCs w:val="20"/>
          <w:color w:val="auto"/>
        </w:rPr>
      </w:pPr>
    </w:p>
    <w:p>
      <w:pPr>
        <w:ind w:right="1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0" w:right="49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TCA</w:t>
      </w:r>
      <w:r>
        <w:rPr>
          <w:rFonts w:ascii="Arial" w:cs="Arial" w:eastAsia="Arial" w:hAnsi="Arial"/>
          <w:sz w:val="18"/>
          <w:szCs w:val="18"/>
          <w:color w:val="auto"/>
        </w:rPr>
        <w:t>” means the Taxes Consolidation Act 1997 of Ireland.</w:t>
      </w:r>
    </w:p>
    <w:p>
      <w:pPr>
        <w:spacing w:after="0" w:line="225" w:lineRule="exact"/>
        <w:rPr>
          <w:sz w:val="20"/>
          <w:szCs w:val="20"/>
          <w:color w:val="auto"/>
        </w:rPr>
      </w:pPr>
    </w:p>
    <w:p>
      <w:pPr>
        <w:ind w:right="10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Term SOFR</w:t>
      </w:r>
      <w:r>
        <w:rPr>
          <w:rFonts w:ascii="Arial" w:cs="Arial" w:eastAsia="Arial" w:hAnsi="Arial"/>
          <w:sz w:val="17"/>
          <w:szCs w:val="17"/>
          <w:color w:val="auto"/>
        </w:rPr>
        <w:t>” means,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forward-looking term rate based on SOFR that has been selected or recommended by the Relevant Governmental Body.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Threshold Amount</w:t>
      </w:r>
      <w:r>
        <w:rPr>
          <w:rFonts w:ascii="Arial" w:cs="Arial" w:eastAsia="Arial" w:hAnsi="Arial"/>
          <w:sz w:val="18"/>
          <w:szCs w:val="18"/>
          <w:color w:val="auto"/>
        </w:rPr>
        <w:t>” means $300,000,000.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Total Credit Exposure</w:t>
      </w:r>
      <w:r>
        <w:rPr>
          <w:rFonts w:ascii="Arial" w:cs="Arial" w:eastAsia="Arial" w:hAnsi="Arial"/>
          <w:sz w:val="16"/>
          <w:szCs w:val="16"/>
          <w:color w:val="auto"/>
        </w:rPr>
        <w:t>” means, as to any Lender at any time, the unused Commitments and Revolving Credit Exposure of such Lender at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Total Outstandings</w:t>
      </w:r>
      <w:r>
        <w:rPr>
          <w:rFonts w:ascii="Arial" w:cs="Arial" w:eastAsia="Arial" w:hAnsi="Arial"/>
          <w:sz w:val="18"/>
          <w:szCs w:val="18"/>
          <w:color w:val="auto"/>
        </w:rPr>
        <w:t>” means the aggregate Outstanding Amount of all Loans and all L/C Obligations.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Treaty Lender</w:t>
      </w:r>
      <w:r>
        <w:rPr>
          <w:rFonts w:ascii="Arial" w:cs="Arial" w:eastAsia="Arial" w:hAnsi="Arial"/>
          <w:sz w:val="18"/>
          <w:szCs w:val="18"/>
          <w:color w:val="auto"/>
        </w:rPr>
        <w:t>” means a Lender, other than a Lender falling within Section (b) of the definition of Qualifying Lender set out above, which:</w:t>
      </w:r>
    </w:p>
    <w:p>
      <w:pPr>
        <w:spacing w:after="0" w:line="135" w:lineRule="exact"/>
        <w:rPr>
          <w:sz w:val="20"/>
          <w:szCs w:val="20"/>
          <w:color w:val="auto"/>
        </w:rPr>
      </w:pPr>
    </w:p>
    <w:p>
      <w:pPr>
        <w:ind w:left="960" w:hanging="532"/>
        <w:spacing w:after="0"/>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is treated as a resident of a Treaty State for the purposes of a Treaty (as such term is defined in the definition of “Treaty State”);</w:t>
      </w:r>
    </w:p>
    <w:p>
      <w:pPr>
        <w:spacing w:after="0" w:line="142" w:lineRule="exact"/>
        <w:rPr>
          <w:rFonts w:ascii="Arial" w:cs="Arial" w:eastAsia="Arial" w:hAnsi="Arial"/>
          <w:sz w:val="17"/>
          <w:szCs w:val="17"/>
          <w:color w:val="auto"/>
        </w:rPr>
      </w:pPr>
    </w:p>
    <w:p>
      <w:pPr>
        <w:ind w:left="960" w:right="60" w:hanging="53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each Interest Payment Date, is entitled under that Treaty to the payment of interest without any deduction of Tax imposed by Ireland on interest except for this purpose it is assumed that any necessary procedural formalities are fulfilled; and</w:t>
      </w:r>
    </w:p>
    <w:p>
      <w:pPr>
        <w:spacing w:after="0" w:line="75" w:lineRule="exact"/>
        <w:rPr>
          <w:rFonts w:ascii="Arial" w:cs="Arial" w:eastAsia="Arial" w:hAnsi="Arial"/>
          <w:sz w:val="18"/>
          <w:szCs w:val="18"/>
          <w:color w:val="auto"/>
        </w:rPr>
      </w:pPr>
    </w:p>
    <w:p>
      <w:pPr>
        <w:ind w:left="960" w:right="400" w:hanging="53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does not carry on a business in Ireland through a permanent establishment with which that Lender’s participation in this Agreement is effectively connected.</w:t>
      </w:r>
    </w:p>
    <w:p>
      <w:pPr>
        <w:spacing w:after="0" w:line="16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Treaty State</w:t>
      </w:r>
      <w:r>
        <w:rPr>
          <w:rFonts w:ascii="Arial" w:cs="Arial" w:eastAsia="Arial" w:hAnsi="Arial"/>
          <w:sz w:val="18"/>
          <w:szCs w:val="18"/>
          <w:color w:val="auto"/>
        </w:rPr>
        <w:t>” means a territory which has entered into a double taxation agreement with Ireland (a “</w:t>
      </w:r>
      <w:r>
        <w:rPr>
          <w:rFonts w:ascii="Arial" w:cs="Arial" w:eastAsia="Arial" w:hAnsi="Arial"/>
          <w:sz w:val="18"/>
          <w:szCs w:val="18"/>
          <w:b w:val="1"/>
          <w:bCs w:val="1"/>
          <w:u w:val="single" w:color="auto"/>
          <w:color w:val="auto"/>
        </w:rPr>
        <w:t>Treaty</w:t>
      </w:r>
      <w:r>
        <w:rPr>
          <w:rFonts w:ascii="Arial" w:cs="Arial" w:eastAsia="Arial" w:hAnsi="Arial"/>
          <w:sz w:val="18"/>
          <w:szCs w:val="18"/>
          <w:color w:val="auto"/>
        </w:rPr>
        <w:t>”) which is in effect and which makes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for full exemption from income tax imposed by Ireland on interest.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True-Up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Type</w:t>
      </w:r>
      <w:r>
        <w:rPr>
          <w:rFonts w:ascii="Arial" w:cs="Arial" w:eastAsia="Arial" w:hAnsi="Arial"/>
          <w:sz w:val="18"/>
          <w:szCs w:val="18"/>
          <w:color w:val="auto"/>
        </w:rPr>
        <w:t>” means, with respect to a Committed Loan, its character as a Base Rate Loan, an Alternative Currency Daily Rate Loan, an Alternative Currency Term Rate Loan or a Eurocurrency Rate Loan.</w:t>
      </w:r>
    </w:p>
    <w:p>
      <w:pPr>
        <w:spacing w:after="0" w:line="162" w:lineRule="exact"/>
        <w:rPr>
          <w:sz w:val="20"/>
          <w:szCs w:val="20"/>
          <w:color w:val="auto"/>
        </w:rPr>
      </w:pPr>
    </w:p>
    <w:p>
      <w:pPr>
        <w:jc w:val="both"/>
        <w:ind w:right="2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right="1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Unaudited Financial Statements</w:t>
      </w:r>
      <w:r>
        <w:rPr>
          <w:rFonts w:ascii="Arial" w:cs="Arial" w:eastAsia="Arial" w:hAnsi="Arial"/>
          <w:sz w:val="17"/>
          <w:szCs w:val="17"/>
          <w:color w:val="auto"/>
        </w:rPr>
        <w:t>” means the unaudited consolidated balance sheets of the Company and its Subsidiaries for the fiscal quarters and the portions of the fiscal year ended January 30, 2021 and April 30, 2021, and the related consolidated statements of income or operations, shareholders’ equity and cash flows for such fiscal quarters of the Company and its Subsidiaries, including the notes thereto.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0" w:right="45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U.S. Person</w:t>
      </w:r>
      <w:r>
        <w:rPr>
          <w:rFonts w:ascii="Arial" w:cs="Arial" w:eastAsia="Arial" w:hAnsi="Arial"/>
          <w:sz w:val="18"/>
          <w:szCs w:val="18"/>
          <w:color w:val="auto"/>
        </w:rPr>
        <w:t>” means a “</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within the meaning of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U.S. Special Resolution Regimes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wholly-owned</w:t>
      </w:r>
      <w:r>
        <w:rPr>
          <w:rFonts w:ascii="Arial" w:cs="Arial" w:eastAsia="Arial" w:hAnsi="Arial"/>
          <w:sz w:val="18"/>
          <w:szCs w:val="18"/>
          <w:color w:val="auto"/>
        </w:rPr>
        <w:t>” means, when used in reference to any Subsidiary, that 100% of the issued and outstanding Equity Interests (other than qualifying shares required in connection with a Subsidiary organized and domiciled outside of the United States) of such Subsidiary are at the time owned, directly or indirectly, by the Company.</w:t>
      </w:r>
    </w:p>
    <w:p>
      <w:pPr>
        <w:spacing w:after="0" w:line="176" w:lineRule="exact"/>
        <w:rPr>
          <w:sz w:val="20"/>
          <w:szCs w:val="20"/>
          <w:color w:val="auto"/>
        </w:rPr>
      </w:pPr>
    </w:p>
    <w:p>
      <w:pPr>
        <w:ind w:right="260"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Other Interpretive Provisions</w:t>
      </w:r>
      <w:r>
        <w:rPr>
          <w:rFonts w:ascii="Arial" w:cs="Arial" w:eastAsia="Arial" w:hAnsi="Arial"/>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With reference to this Agreement and each other Loan Document, unless otherwise specified herein or in such other Loan Document:</w:t>
      </w:r>
    </w:p>
    <w:p>
      <w:pPr>
        <w:spacing w:after="0" w:line="237" w:lineRule="exact"/>
        <w:rPr>
          <w:sz w:val="20"/>
          <w:szCs w:val="20"/>
          <w:color w:val="auto"/>
        </w:rPr>
      </w:pPr>
    </w:p>
    <w:p>
      <w:pPr>
        <w:ind w:firstLine="436"/>
        <w:spacing w:after="0" w:line="287" w:lineRule="auto"/>
        <w:tabs>
          <w:tab w:leader="none" w:pos="6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“without limitation”.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0" w:right="459" w:bottom="1440" w:gutter="0" w:footer="0" w:header="0"/>
        </w:sectPr>
      </w:pPr>
    </w:p>
    <w:bookmarkStart w:id="45" w:name="page46"/>
    <w:bookmarkEnd w:id="45"/>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any reference to any law or regulation shall, unless otherwise specified, refer to such law or regulation as amended, modified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184" w:lineRule="exact"/>
        <w:rPr>
          <w:sz w:val="20"/>
          <w:szCs w:val="20"/>
          <w:color w:val="auto"/>
        </w:rPr>
      </w:pPr>
    </w:p>
    <w:p>
      <w:pPr>
        <w:ind w:right="160" w:firstLine="436"/>
        <w:spacing w:after="0" w:line="277"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“to”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436"/>
        <w:spacing w:after="0" w:line="277" w:lineRule="auto"/>
        <w:tabs>
          <w:tab w:leader="none" w:pos="6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rFonts w:ascii="Arial" w:cs="Arial" w:eastAsia="Arial" w:hAnsi="Arial"/>
          <w:sz w:val="18"/>
          <w:szCs w:val="18"/>
          <w:color w:val="auto"/>
        </w:rPr>
      </w:pPr>
    </w:p>
    <w:p>
      <w:pPr>
        <w:ind w:right="40" w:firstLine="436"/>
        <w:spacing w:after="0" w:line="296" w:lineRule="auto"/>
        <w:tabs>
          <w:tab w:leader="none" w:pos="6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reference herein to a merger,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Accounting Terms</w:t>
      </w:r>
      <w:r>
        <w:rPr>
          <w:rFonts w:ascii="Arial" w:cs="Arial" w:eastAsia="Arial" w:hAnsi="Arial"/>
          <w:sz w:val="18"/>
          <w:szCs w:val="18"/>
          <w:b w:val="1"/>
          <w:bCs w:val="1"/>
          <w:color w:val="auto"/>
        </w:rPr>
        <w:t>.</w:t>
      </w:r>
    </w:p>
    <w:p>
      <w:pPr>
        <w:spacing w:after="0" w:line="121" w:lineRule="exact"/>
        <w:rPr>
          <w:sz w:val="20"/>
          <w:szCs w:val="20"/>
          <w:color w:val="auto"/>
        </w:rPr>
      </w:pPr>
    </w:p>
    <w:p>
      <w:pPr>
        <w:ind w:right="260" w:firstLine="436"/>
        <w:spacing w:after="0" w:line="286" w:lineRule="auto"/>
        <w:tabs>
          <w:tab w:leader="none" w:pos="68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as otherwise specifically prescribed herein.</w:t>
      </w:r>
    </w:p>
    <w:p>
      <w:pPr>
        <w:spacing w:after="0" w:line="57" w:lineRule="exact"/>
        <w:rPr>
          <w:rFonts w:ascii="Arial" w:cs="Arial" w:eastAsia="Arial" w:hAnsi="Arial"/>
          <w:sz w:val="17"/>
          <w:szCs w:val="17"/>
          <w:color w:val="auto"/>
        </w:rPr>
      </w:pPr>
    </w:p>
    <w:p>
      <w:pPr>
        <w:ind w:firstLine="436"/>
        <w:spacing w:after="0" w:line="269" w:lineRule="auto"/>
        <w:tabs>
          <w:tab w:leader="none" w:pos="69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Changes in GAAP</w:t>
      </w:r>
      <w:r>
        <w:rPr>
          <w:rFonts w:ascii="Arial" w:cs="Arial" w:eastAsia="Arial" w:hAnsi="Arial"/>
          <w:sz w:val="17"/>
          <w:szCs w:val="17"/>
          <w:color w:val="auto"/>
        </w:rPr>
        <w:t xml:space="preserve">. If at any time any change in GAAP (including the early adoption by the Company of any provision of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foregoing, for the purposes of this Agreement leases shall continue to be classified and accounted for on a basis consistent with GAAP as in effect as of December 31, 2017, notwithstanding any change in GAAP related thereto (including pursuant to Accounting Standard Codification Topic 842) and the Company shall not be required to provide any reconciliation thereof to GAAP. For the avoidance of doubt, the impact of FASB ASC 606 on revenue recognition shall be given effect.</w:t>
      </w:r>
    </w:p>
    <w:p>
      <w:pPr>
        <w:spacing w:after="0" w:line="73" w:lineRule="exact"/>
        <w:rPr>
          <w:rFonts w:ascii="Arial" w:cs="Arial" w:eastAsia="Arial" w:hAnsi="Arial"/>
          <w:sz w:val="17"/>
          <w:szCs w:val="17"/>
          <w:color w:val="auto"/>
        </w:rPr>
      </w:pPr>
    </w:p>
    <w:p>
      <w:pPr>
        <w:jc w:val="both"/>
        <w:ind w:right="20" w:firstLine="436"/>
        <w:spacing w:after="0" w:line="301" w:lineRule="auto"/>
        <w:tabs>
          <w:tab w:leader="none" w:pos="68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Consolidation of Variable Interest Entities</w:t>
      </w:r>
      <w:r>
        <w:rPr>
          <w:rFonts w:ascii="Arial" w:cs="Arial" w:eastAsia="Arial" w:hAnsi="Arial"/>
          <w:sz w:val="16"/>
          <w:szCs w:val="16"/>
          <w:color w:val="auto"/>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Interpretation No. 46 – Consolidation of Variable Interest Entities: an interpretation of ARB No. 51 (January 2003) as if such variable interest entity were a Subsidiary as defined herein.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1.04 </w:t>
      </w:r>
      <w:r>
        <w:rPr>
          <w:rFonts w:ascii="Arial" w:cs="Arial" w:eastAsia="Arial" w:hAnsi="Arial"/>
          <w:sz w:val="18"/>
          <w:szCs w:val="18"/>
          <w:b w:val="1"/>
          <w:bCs w:val="1"/>
          <w:u w:val="single" w:color="auto"/>
          <w:color w:val="auto"/>
        </w:rPr>
        <w:t>Rounding</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620" w:firstLine="440"/>
        <w:spacing w:after="0" w:line="286" w:lineRule="auto"/>
        <w:rPr>
          <w:sz w:val="20"/>
          <w:szCs w:val="20"/>
          <w:color w:val="auto"/>
        </w:rPr>
      </w:pPr>
      <w:r>
        <w:rPr>
          <w:rFonts w:ascii="Arial" w:cs="Arial" w:eastAsia="Arial" w:hAnsi="Arial"/>
          <w:sz w:val="17"/>
          <w:szCs w:val="17"/>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b w:val="1"/>
          <w:bCs w:val="1"/>
          <w:u w:val="single" w:color="auto"/>
          <w:color w:val="auto"/>
        </w:rPr>
        <w:t>Times of Day</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Unless otherwise specified, all references herein to times of day shall be references to Eastern time (daylight or standard, as applicable).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Letter of Credit Amounts</w:t>
      </w:r>
      <w:r>
        <w:rPr>
          <w:rFonts w:ascii="Arial" w:cs="Arial" w:eastAsia="Arial" w:hAnsi="Arial"/>
          <w:sz w:val="18"/>
          <w:szCs w:val="18"/>
          <w:b w:val="1"/>
          <w:bCs w:val="1"/>
          <w:color w:val="auto"/>
        </w:rPr>
        <w:t>.</w:t>
      </w:r>
    </w:p>
    <w:p>
      <w:pPr>
        <w:spacing w:after="0" w:line="22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Unless otherwise specified herein, the amount of a Letter of Credit at any time shall be deemed to be the Dollar Equivalent of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b w:val="1"/>
          <w:bCs w:val="1"/>
          <w:u w:val="single" w:color="auto"/>
          <w:color w:val="auto"/>
        </w:rPr>
        <w:t>Exchange Rates; Currency Equivalents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36"/>
        <w:spacing w:after="0" w:line="293" w:lineRule="auto"/>
        <w:tabs>
          <w:tab w:leader="none" w:pos="68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Administrative Agent or the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determined in accordance with the prior sentence by the Administrative Agent or the L/C Issuer, as applicable.</w:t>
      </w:r>
    </w:p>
    <w:p>
      <w:pPr>
        <w:spacing w:after="0" w:line="56" w:lineRule="exact"/>
        <w:rPr>
          <w:rFonts w:ascii="Arial" w:cs="Arial" w:eastAsia="Arial" w:hAnsi="Arial"/>
          <w:sz w:val="16"/>
          <w:szCs w:val="16"/>
          <w:color w:val="auto"/>
        </w:rPr>
      </w:pPr>
    </w:p>
    <w:p>
      <w:pPr>
        <w:ind w:right="220" w:firstLine="436"/>
        <w:spacing w:after="0" w:line="257"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Wherever in this Agreement in connection with a Borrowing, conversion, continuation or prepayment of a Eurocurrency Rate Loan or the issuance, amendment or extension of a Letter of Credit, an amount, such as a required minimum or multiple amount, is expressed in Dollars, but such Borrowing, Eurocurrency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79" w:lineRule="exact"/>
        <w:rPr>
          <w:rFonts w:ascii="Arial" w:cs="Arial" w:eastAsia="Arial" w:hAnsi="Arial"/>
          <w:sz w:val="18"/>
          <w:szCs w:val="18"/>
          <w:color w:val="auto"/>
        </w:rPr>
      </w:pPr>
    </w:p>
    <w:p>
      <w:pPr>
        <w:ind w:right="60" w:firstLine="436"/>
        <w:spacing w:after="0" w:line="263" w:lineRule="auto"/>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“Eurocurrency Rate”, “Alternative Currency Daily Rate”, “Alternative Currency Term Rate” or with respect to any comparable or successor rate thereto.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0" w:right="479" w:bottom="1440" w:gutter="0" w:footer="0" w:header="0"/>
        </w:sectPr>
      </w:pPr>
    </w:p>
    <w:bookmarkStart w:id="47" w:name="page48"/>
    <w:bookmarkEnd w:id="4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1.08 </w:t>
      </w:r>
      <w:r>
        <w:rPr>
          <w:rFonts w:ascii="Arial" w:cs="Arial" w:eastAsia="Arial" w:hAnsi="Arial"/>
          <w:sz w:val="18"/>
          <w:szCs w:val="18"/>
          <w:b w:val="1"/>
          <w:bCs w:val="1"/>
          <w:u w:val="single" w:color="auto"/>
          <w:color w:val="auto"/>
        </w:rPr>
        <w:t>Additional Alternate Currencies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 w:firstLine="436"/>
        <w:spacing w:after="0" w:line="255" w:lineRule="auto"/>
        <w:tabs>
          <w:tab w:leader="none" w:pos="689"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Company may from time to time request that Eurocurrency Rate Loans, Alternative Currency Daily Rate Loans and/or Alternative Currency Term Rate Loans be made and/or Letters of Credit be issued in a currency other than those specifically listed in the definition of “Alternative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such requested currency is an Eligible Currency. In the case of any such request with respect to the making of Eurocurrency Rate Loans, Alternative Currency Daily Rate Loans and/or Alternative Currency Term Rate Loans, such request shall be subject to the approval of the Administrative Agent and each Lender; and in the case of any such request with respect to the issuance of Letters of Credit, such request shall be subject to the approval of the Administrative Agent and each L/C Issuer.</w:t>
      </w:r>
    </w:p>
    <w:p>
      <w:pPr>
        <w:spacing w:after="0" w:line="84" w:lineRule="exact"/>
        <w:rPr>
          <w:rFonts w:ascii="Arial" w:cs="Arial" w:eastAsia="Arial" w:hAnsi="Arial"/>
          <w:sz w:val="18"/>
          <w:szCs w:val="18"/>
          <w:color w:val="auto"/>
        </w:rPr>
      </w:pPr>
    </w:p>
    <w:p>
      <w:pPr>
        <w:ind w:left="4" w:right="80" w:firstLine="436"/>
        <w:spacing w:after="0" w:line="284" w:lineRule="auto"/>
        <w:tabs>
          <w:tab w:leader="none" w:pos="699"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each L/C Issuer, in its or their sole discretion). In the case of any such request pertaining to Eurocurrency Rate Loans, Alternative Currency Daily Rate Loans and/or Alternative Currency Term Rate Loans, the Administrative Agent shall promptly notify each Lender thereof; and in the case of any such request pertaining to Letters of Credit, the Administrative Agent shall promptly notify each L/C Issuer thereof. Each Lender (in the case of any such request pertaining to Eurocurrency Rate Loans, Alternative Currency Daily Rate Loans and/or Alternative Currency Term Rate Loans) or each L/C Issuer (in the case of a request pertaining to Letters of Credit) shall notify the Administrative Agent, not later than 11:00 a.m., ten</w:t>
      </w:r>
    </w:p>
    <w:p>
      <w:pPr>
        <w:spacing w:after="0" w:line="2" w:lineRule="exact"/>
        <w:rPr>
          <w:rFonts w:ascii="Arial" w:cs="Arial" w:eastAsia="Arial" w:hAnsi="Arial"/>
          <w:sz w:val="16"/>
          <w:szCs w:val="16"/>
          <w:color w:val="auto"/>
        </w:rPr>
      </w:pPr>
    </w:p>
    <w:p>
      <w:pPr>
        <w:ind w:left="4" w:right="360" w:hanging="4"/>
        <w:spacing w:after="0" w:line="255" w:lineRule="auto"/>
        <w:tabs>
          <w:tab w:leader="none" w:pos="3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Days after receipt of such request whether it consents, in its sole discretion, to the making of Eurocurrency Rate Loans, Alternative Currency Daily Rate Loans and/or Alternative Currency Term Rate Loans or the issuance of Letters of Credit, as the case may be, in such requested currency.</w:t>
      </w:r>
    </w:p>
    <w:p>
      <w:pPr>
        <w:spacing w:after="0" w:line="81" w:lineRule="exact"/>
        <w:rPr>
          <w:rFonts w:ascii="Arial" w:cs="Arial" w:eastAsia="Arial" w:hAnsi="Arial"/>
          <w:sz w:val="18"/>
          <w:szCs w:val="18"/>
          <w:color w:val="auto"/>
        </w:rPr>
      </w:pPr>
    </w:p>
    <w:p>
      <w:pPr>
        <w:ind w:left="4" w:firstLine="436"/>
        <w:spacing w:after="0" w:line="269" w:lineRule="auto"/>
        <w:tabs>
          <w:tab w:leader="none" w:pos="689"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Any failure by a Lender or an L/C Issuer, as the case may be, to respond to such request within the time period specified in </w:t>
      </w:r>
      <w:r>
        <w:rPr>
          <w:rFonts w:ascii="Arial" w:cs="Arial" w:eastAsia="Arial" w:hAnsi="Arial"/>
          <w:sz w:val="17"/>
          <w:szCs w:val="17"/>
          <w:u w:val="single" w:color="auto"/>
          <w:color w:val="auto"/>
        </w:rPr>
        <w:t>Section 1.06(b)</w:t>
      </w:r>
      <w:r>
        <w:rPr>
          <w:rFonts w:ascii="Arial" w:cs="Arial" w:eastAsia="Arial" w:hAnsi="Arial"/>
          <w:sz w:val="17"/>
          <w:szCs w:val="17"/>
          <w:color w:val="auto"/>
        </w:rPr>
        <w:t xml:space="preserve"> shall be deemed to be a refusal by such Lender or L/C Issuer, as the case may be, to permit Eurocurrency Rate Loans, Alternative Currency Daily Rate Loans and/or Alternative Currency Term Rate Loans to be made or Letters of Credit to be issued in such requested currency. If the Administrative Agent and all the Lenders consent to making Eurocurrency Rate Loans, Alternative Currency Daily Rate Loans and/or Alternative Currency Term Rate Loans in such requested currency, the Administrative Agent shall so notify the Company and such currency shall thereupon be deemed for all purposes to be an Alternative Currency hereunder for purposes of any Borrowings of Eurocurrency Rate Loans, Alternative Currency Daily Rate Loans and/or Alternative Currency Term Rate Loans; and if the Administrative Agent and any L/C Issuer consent to the issuance of Letters of Credit in such requested currency, the Administrative Agent shall so notify the Company and such currency shall thereupon be deemed for all purposes, but solely as to the Letters of Credit issued by such L/C Issuer, to be an Alternative Currency hereunder for purposes of any Letter of Credit issuances by such L/C Issuer. If the Administrative Agent shall fail to obtain consent to any request for an additional currency under this </w:t>
      </w:r>
      <w:r>
        <w:rPr>
          <w:rFonts w:ascii="Arial" w:cs="Arial" w:eastAsia="Arial" w:hAnsi="Arial"/>
          <w:sz w:val="17"/>
          <w:szCs w:val="17"/>
          <w:u w:val="single" w:color="auto"/>
          <w:color w:val="auto"/>
        </w:rPr>
        <w:t>Section 1.08</w:t>
      </w:r>
      <w:r>
        <w:rPr>
          <w:rFonts w:ascii="Arial" w:cs="Arial" w:eastAsia="Arial" w:hAnsi="Arial"/>
          <w:sz w:val="17"/>
          <w:szCs w:val="17"/>
          <w:color w:val="auto"/>
        </w:rPr>
        <w:t>, the Administrative Agent shall promptly so notify the Company.</w:t>
      </w:r>
    </w:p>
    <w:p>
      <w:pPr>
        <w:spacing w:after="0" w:line="32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b w:val="1"/>
          <w:bCs w:val="1"/>
          <w:u w:val="single" w:color="auto"/>
          <w:color w:val="auto"/>
        </w:rPr>
        <w:t>Change of Currency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60" w:firstLine="436"/>
        <w:spacing w:after="0" w:line="272" w:lineRule="auto"/>
        <w:tabs>
          <w:tab w:leader="none" w:pos="689"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provided that if any Borrowing in the currency of such member state is outstanding immediately prior to such date, such replacement shall take effect, with respect to such Borrowing, at the end of the then current Interest Period.</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0" w:right="459" w:bottom="1440" w:gutter="0" w:footer="0" w:header="0"/>
        </w:sectPr>
      </w:pPr>
    </w:p>
    <w:bookmarkStart w:id="48" w:name="page49"/>
    <w:bookmarkEnd w:id="48"/>
    <w:p>
      <w:pPr>
        <w:jc w:val="both"/>
        <w:ind w:left="4" w:right="160" w:firstLine="436"/>
        <w:spacing w:after="0" w:line="263" w:lineRule="auto"/>
        <w:tabs>
          <w:tab w:leader="none" w:pos="699"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83" w:lineRule="exact"/>
        <w:rPr>
          <w:rFonts w:ascii="Arial" w:cs="Arial" w:eastAsia="Arial" w:hAnsi="Arial"/>
          <w:sz w:val="18"/>
          <w:szCs w:val="18"/>
          <w:color w:val="auto"/>
        </w:rPr>
      </w:pPr>
    </w:p>
    <w:p>
      <w:pPr>
        <w:ind w:left="4" w:right="20" w:firstLine="436"/>
        <w:spacing w:after="0" w:line="263" w:lineRule="auto"/>
        <w:tabs>
          <w:tab w:leader="none" w:pos="689"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396"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THE COMMITMENTS AND CREDIT EXTENSIONS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b w:val="1"/>
          <w:bCs w:val="1"/>
          <w:u w:val="single" w:color="auto"/>
          <w:color w:val="auto"/>
        </w:rPr>
        <w:t>Committed Loans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color w:val="auto"/>
        </w:rPr>
        <w:t>Subject to the terms and conditions set forth herein, each Lender severally agrees to make loans (each such loan, a “</w:t>
      </w:r>
      <w:r>
        <w:rPr>
          <w:rFonts w:ascii="Arial" w:cs="Arial" w:eastAsia="Arial" w:hAnsi="Arial"/>
          <w:sz w:val="16"/>
          <w:szCs w:val="16"/>
          <w:u w:val="single" w:color="auto"/>
          <w:color w:val="auto"/>
        </w:rPr>
        <w:t>Committed Loan</w:t>
      </w:r>
      <w:r>
        <w:rPr>
          <w:rFonts w:ascii="Arial" w:cs="Arial" w:eastAsia="Arial" w:hAnsi="Arial"/>
          <w:sz w:val="16"/>
          <w:szCs w:val="16"/>
          <w:color w:val="auto"/>
        </w:rPr>
        <w:t xml:space="preserve">”) to the Borrowers in Dollars or in one or more Alternative Currencies, from time to time, on any Business Day during the Availability Period, in an aggregate amount not to exceed at any time outstanding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Committed Borrowing, (a) the Total Outstandings shall not exceed the Aggregate Commitments and (b) the Revolving Credit Exposure of any Lender shall not exceed such Lender’s Commitment. Within the limits of each Lender’s Commitment, and subject to the other terms and conditions hereof, the Borrowers may 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Committed Loans may be Base Rate Loans, Eurocurrency Rate Loans, Alternative Currency Daily Rate Loans or Alternative Currency Term Rate Loans, as further provided herein.</w:t>
      </w:r>
    </w:p>
    <w:p>
      <w:pPr>
        <w:spacing w:after="0" w:line="31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b w:val="1"/>
          <w:bCs w:val="1"/>
          <w:u w:val="single" w:color="auto"/>
          <w:color w:val="auto"/>
        </w:rPr>
        <w:t>Borrowings, Conversions and Continuations of Committed Loans</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36"/>
        <w:spacing w:after="0" w:line="283" w:lineRule="auto"/>
        <w:tabs>
          <w:tab w:leader="none" w:pos="689"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Each Committed Borrowing, each conversion of Committed Loans from one Type to the other, and each continuation of Eurocurrency Rate Loans or Alternative Currency Term Rate Loans shall be made upon the applicable Borrower’s irrevocable notice to the Administrative Agent, which may be given by (A) telephone, or (B) a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telephonic notice must be confirmed promptly by delivery to the Administrative Agent of a Committed Loan Notice. Each such notice must be received by the Administrative Agent not later than 11:00 a.m. (i) three Business Days prior to the requested date of any Borrowing of, conversion to or continuation of Eurocurrency Rate Loans denominated in Dollars or of any conversion of Eurocurrency Rate Loans denominated in Dollars to Base Rate Committed Loans, (ii) four Business Days (or five Business Days in the case of a Special Notice Currency) prior to the requested date of any Borrowing of Eurocurrency Rate Loans denominated in Alternative Currencies or Alternative Currency Loans or continuation of Eurocurrency Rate Loans denominated in Alternative Currencies or Alternative Currency Term Rate Loans and (iii) on the requested date of any Borrowing of Base Rate Committed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applicable Borrower wishes to request Eurocurrency Rate Loans or Alternative Currency Term Rate Loans having an Interest Period other than one, two, three or six months in duration as provided in the definition of “Interest Period,” the applicable notice must be received by the Administrative Agent not later than 11:00 a.m.</w:t>
      </w:r>
    </w:p>
    <w:p>
      <w:pPr>
        <w:spacing w:after="0" w:line="3" w:lineRule="exact"/>
        <w:rPr>
          <w:rFonts w:ascii="Arial" w:cs="Arial" w:eastAsia="Arial" w:hAnsi="Arial"/>
          <w:sz w:val="16"/>
          <w:szCs w:val="16"/>
          <w:color w:val="auto"/>
        </w:rPr>
      </w:pPr>
    </w:p>
    <w:p>
      <w:pPr>
        <w:ind w:left="4" w:hanging="4"/>
        <w:spacing w:after="0" w:line="290" w:lineRule="auto"/>
        <w:tabs>
          <w:tab w:leader="none" w:pos="219"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four Business Days prior to the requested date of such Borrowing, conversion or continuation of Eurocurrency Rate Loans or Alternative Currency Term Rate Loans denominated in Dollars, or (ii) five Business Days (or six Business Days in the case of a Special Notice Currency) prior to the requested date of such Borrowing or conversion of Eurocurrency Rate Loans denominated in Alternative Currencies and/or Alternative Currency Loans or continuation of Eurocurrency Rate Loans denominated in Alternative Currencies or Alternative Currency Term Rate Loans, whereupon the Administrative Agent shall give prompt notice to the Lenders of such request and determine whether the requested Interest Period is acceptable to all of them. Not later than 11:00 a.m., (i) three Business Days before the requested date of such Borrowing, conversion</w:t>
      </w:r>
    </w:p>
    <w:p>
      <w:pPr>
        <w:spacing w:after="0" w:line="9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4"/>
          </w:cols>
          <w:pgMar w:left="436" w:top="274" w:right="539" w:bottom="1440" w:gutter="0" w:footer="0" w:header="0"/>
        </w:sectPr>
      </w:pPr>
    </w:p>
    <w:bookmarkStart w:id="49" w:name="page50"/>
    <w:bookmarkEnd w:id="49"/>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continuation of Eurocurrency Rate Loans denominated in Dollars, or (ii) four Business Days (or five Business Days in the case of a Special Notice Currency) prior to the requested date of such Borrowing or conversion of Eurocurrency Rate Loans denominated in Alternative Currencies, Alternative Currency Daily Rate Loan or Alternative Currency Term Rate Loans or continuation of Eurocurrency Rate Loans denominated in Alternative Currencies or Alternative Currency Term Rate Loans, the Administrative Agent shall notify such Borrower (which notice may be by telephone) whether or not the requested Interest Period has been consented to by all the Lenders. Each Borrowing of or conversion to Eurocurrency Rate Loans, Alternative Currencies Daily Rate Loans and Alternative Currency Term Rate Loans or continuation of Eurocurrency Rate Loans or Alternative Currency Term Rate Loans shall be in a principal amount of the Dollar Equivalent of $500,000 or a whole multiple of the Dollar Equivalent of $100,000 in excess thereof. Except as provided in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each Committed Borrowing of or conversion to Base Rate Committed Loans shall be in a principal amount of the Dollar Equivalent of $500,000 or a whole multiple of the Dollar Equivalent of $100,000 in excess thereof. Each Committed Loan Notice (whether telephonic or written) shall specify (i) whether the applicable Borrower is requesting a Committed Borrowing, a conversion of Committed Loans from one Type to the other, or a continuation of Eurocurrency Rate Loans or Alternative Currency Term Rate Loans,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w:t>
      </w:r>
    </w:p>
    <w:p>
      <w:pPr>
        <w:spacing w:after="0" w:line="2" w:lineRule="exact"/>
        <w:rPr>
          <w:sz w:val="20"/>
          <w:szCs w:val="20"/>
          <w:color w:val="auto"/>
        </w:rPr>
      </w:pPr>
    </w:p>
    <w:p>
      <w:pPr>
        <w:ind w:left="4" w:right="40" w:hanging="4"/>
        <w:spacing w:after="0" w:line="285" w:lineRule="auto"/>
        <w:tabs>
          <w:tab w:leader="none" w:pos="259"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if applicable, the duration of the Interest Period with respect thereto, (vi) the currency of the Loans to be borrowed, and (vii) the applicable Borrower. If the Company fails to specify a currency in a Committed Loan Notice requesting a Borrowing, then the Committed Loans so requested shall be made in Dollars. If the applicable Borrower fails to specify a Type of Committed Loan in a Committed Loan Notice or if the applicable Borrower fails to give a timely notice requesting a conversion or continuation, then the applicable Committed Loans shall be made as, or converted to,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a failure to specify a Type or to timely request a continuation of Committed Loans denominated in an Alternative Currency (other than Sterling), such Committed Loans shall be made as, or continued as, Eurocurrency Rate Loans in their original currency with an Interest Period of one (1) month. Any automatic conversion to Base Rate Loans shall be effective as of the last day of the Interest Period then in effect with respect to the applicable Eurocurrency Rate Loans. If the applicable Borrower requests a Borrowing of or conversion to Eurocurrency Rate Loans and/or Alternative Currency Loans, or continuation of, Eurocurrency Rate Loans or Alternative Currency Term Rate Loans in any such Committed Loan Notice, but fails to specify an Interest Period, it will be deemed to have specified an Interest Period of one month. Subject to </w:t>
      </w:r>
      <w:r>
        <w:rPr>
          <w:rFonts w:ascii="Arial" w:cs="Arial" w:eastAsia="Arial" w:hAnsi="Arial"/>
          <w:sz w:val="16"/>
          <w:szCs w:val="16"/>
          <w:u w:val="single" w:color="auto"/>
          <w:color w:val="auto"/>
        </w:rPr>
        <w:t>Section 2.02(c)</w:t>
      </w:r>
      <w:r>
        <w:rPr>
          <w:rFonts w:ascii="Arial" w:cs="Arial" w:eastAsia="Arial" w:hAnsi="Arial"/>
          <w:sz w:val="16"/>
          <w:szCs w:val="16"/>
          <w:color w:val="auto"/>
        </w:rPr>
        <w:t>, no Committed Loan may be converted into or continued as a Committed Loan denominated in a different currency, but instead must be repaid in the original currency of such Committed Loan and reborrowed in the other currency.</w:t>
      </w:r>
    </w:p>
    <w:p>
      <w:pPr>
        <w:spacing w:after="0" w:line="63" w:lineRule="exact"/>
        <w:rPr>
          <w:rFonts w:ascii="Arial" w:cs="Arial" w:eastAsia="Arial" w:hAnsi="Arial"/>
          <w:sz w:val="16"/>
          <w:szCs w:val="16"/>
          <w:color w:val="auto"/>
        </w:rPr>
      </w:pPr>
    </w:p>
    <w:p>
      <w:pPr>
        <w:ind w:left="4" w:firstLine="436"/>
        <w:spacing w:after="0" w:line="269" w:lineRule="auto"/>
        <w:tabs>
          <w:tab w:leader="none" w:pos="699"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Following receipt of a Committed Loan Notice, the Administrative Agent shall promptly notify each Lender of the amount and currency of its Applicable Percentage of the applicable Committed Loans, and if no timely notice of a conversion or continuation is provided by the applicable Borrower, the Administrative Agent shall notify each Lender of the details of any automatic conversion to Base Rate Loans or continuation of Committed Loans denominated in a currency other than Dollars, in each case as described in the preceding clause. In the case of a Committed Borrowing, each Lender shall make the amount of its Committed Loan available to the Administrative Agent in Same Day Funds at the Administrative Agent’s Office not later than 1:00 p.m., in the case of any Committed Loan denominated in Dollars, and not later than the Applicable Time specified by the Administrative Agent in the case of any Committed Loan in an Alternative Currency, in each case on the Business Day specified in the applicable Committed Loan Notice. Each Lender may, at its option, make any Committed Loan available to any Borrower by causing any foreign or domestic branch or Affiliate of such Lender to make such Loan; provided that any exercise of such option shall not affect the obligation of such Borrower to repay such Committed Loan in accordance with the terms of this Agreement. Upon satisfaction of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the Administrative Agent shall make all funds so received available to the applicable</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4"/>
          </w:cols>
          <w:pgMar w:left="436" w:top="274" w:right="439" w:bottom="1440" w:gutter="0" w:footer="0" w:header="0"/>
        </w:sectPr>
      </w:pPr>
    </w:p>
    <w:bookmarkStart w:id="50" w:name="page51"/>
    <w:bookmarkEnd w:id="50"/>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applicable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the date the Committed Loan Notice with respect to such Borrowing denominated in Dollars is given by any Borrower, there are L/C Borrowings outstanding, then the proceeds of such Borrowing,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shall be applied to the payment in full of any such L/C Borrowings, and, </w:t>
      </w:r>
      <w:r>
        <w:rPr>
          <w:rFonts w:ascii="Arial" w:cs="Arial" w:eastAsia="Arial" w:hAnsi="Arial"/>
          <w:sz w:val="16"/>
          <w:szCs w:val="16"/>
          <w:u w:val="single" w:color="auto"/>
          <w:color w:val="auto"/>
        </w:rPr>
        <w:t>second</w:t>
      </w:r>
      <w:r>
        <w:rPr>
          <w:rFonts w:ascii="Arial" w:cs="Arial" w:eastAsia="Arial" w:hAnsi="Arial"/>
          <w:sz w:val="16"/>
          <w:szCs w:val="16"/>
          <w:color w:val="auto"/>
        </w:rPr>
        <w:t>, shall be made available to the applicable Borrower as provided above.</w:t>
      </w:r>
    </w:p>
    <w:p>
      <w:pPr>
        <w:spacing w:after="0" w:line="53" w:lineRule="exact"/>
        <w:rPr>
          <w:sz w:val="20"/>
          <w:szCs w:val="20"/>
          <w:color w:val="auto"/>
        </w:rPr>
      </w:pPr>
    </w:p>
    <w:p>
      <w:pPr>
        <w:ind w:right="20" w:firstLine="436"/>
        <w:spacing w:after="0" w:line="269" w:lineRule="auto"/>
        <w:tabs>
          <w:tab w:leader="none" w:pos="68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Except as otherwise provided herein, a Eurocurrency Rate Loan or an Alternative Currency Term Rate Loan may be continued or converted only on the last day of an Interest Period for such Eurocurrency Rate Loan or Alternative Currency Term Rate Loan, as applicable. During the existence of a Default, no Loans may be requested as, converted to Eurocurrency Rate Loans or Alternative Currency Loans or continued as Eurocurrency Rate Loans or Alternative Currency Term Rate Loans without the consent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without the consent of the Required Lenders, any Eurocurrency Rate Loans denominated in an Alternative Currency may be continued only for one-month Interest Periods at any time that a Default has occurred and is continuing and no Event of Default has occurred and is continuing. At any time that an Event of Default has occurred and is continuing, the Required Lenders may demand that any or all of the then outstanding Eurocurrency Rate Loans denominated in an Alternative Currency, any Alternative Currency Daily Rate Loan and/or any Alternative Currency Term Rate Loans be prepaid, or redenominated into Dollars in the amount of the Dollar Equivalent thereof, on the last day of the then current Interest Period or determination date(as) with respect thereto, as applicable.</w:t>
      </w:r>
    </w:p>
    <w:p>
      <w:pPr>
        <w:spacing w:after="0" w:line="77" w:lineRule="exact"/>
        <w:rPr>
          <w:rFonts w:ascii="Arial" w:cs="Arial" w:eastAsia="Arial" w:hAnsi="Arial"/>
          <w:sz w:val="17"/>
          <w:szCs w:val="17"/>
          <w:color w:val="auto"/>
        </w:rPr>
      </w:pPr>
    </w:p>
    <w:p>
      <w:pPr>
        <w:ind w:right="480" w:firstLine="436"/>
        <w:spacing w:after="0" w:line="301"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Company and the Lenders of the interest rate applicable to any Interest Period for Eurocurrency Rate Loans or Alternative Currency Term Rate Loans or any determination period for Alternative Currency Daily Rate upon determination of such interest rate. At any time that Base Rate Loans are outstanding, the Administrative Agent shall notify the Company and the Lenders of any change in Bank of America’s prime rate used in determining the Base Rate promptly following the announcement of such change.</w:t>
      </w:r>
    </w:p>
    <w:p>
      <w:pPr>
        <w:spacing w:after="0" w:line="49" w:lineRule="exact"/>
        <w:rPr>
          <w:rFonts w:ascii="Arial" w:cs="Arial" w:eastAsia="Arial" w:hAnsi="Arial"/>
          <w:sz w:val="16"/>
          <w:szCs w:val="16"/>
          <w:color w:val="auto"/>
        </w:rPr>
      </w:pPr>
    </w:p>
    <w:p>
      <w:pPr>
        <w:ind w:right="340" w:firstLine="436"/>
        <w:spacing w:after="0" w:line="342" w:lineRule="auto"/>
        <w:tabs>
          <w:tab w:leader="none" w:pos="68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After giving effect to all Committed Borrowings, all conversions of Committed Loans from one Type to the other, and all continuations of Committed Loans as the same Type, there shall not be more than five Interest Periods in effect with respect to Committed Loans.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2.03 </w:t>
      </w:r>
      <w:r>
        <w:rPr>
          <w:rFonts w:ascii="Arial" w:cs="Arial" w:eastAsia="Arial" w:hAnsi="Arial"/>
          <w:sz w:val="18"/>
          <w:szCs w:val="18"/>
          <w:b w:val="1"/>
          <w:bCs w:val="1"/>
          <w:u w:val="single" w:color="auto"/>
          <w:color w:val="auto"/>
        </w:rPr>
        <w:t>Letters of Credit</w:t>
      </w:r>
      <w:r>
        <w:rPr>
          <w:rFonts w:ascii="Arial" w:cs="Arial" w:eastAsia="Arial" w:hAnsi="Arial"/>
          <w:sz w:val="18"/>
          <w:szCs w:val="18"/>
          <w:b w:val="1"/>
          <w:bCs w:val="1"/>
          <w:color w:val="auto"/>
        </w:rPr>
        <w:t>.</w:t>
      </w:r>
    </w:p>
    <w:p>
      <w:pPr>
        <w:spacing w:after="0" w:line="121" w:lineRule="exact"/>
        <w:rPr>
          <w:sz w:val="20"/>
          <w:szCs w:val="20"/>
          <w:color w:val="auto"/>
        </w:rPr>
      </w:pPr>
    </w:p>
    <w:p>
      <w:pPr>
        <w:ind w:left="680" w:hanging="244"/>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84" w:lineRule="auto"/>
        <w:tabs>
          <w:tab w:leader="none" w:pos="1078"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each L/C Issuer agrees, in reliance upon the agreements of the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(1) from time to time on any Business Day during the period from the Closing Date until the Letter of Credit Expiration Date, to issue Letters of Credit denominated in Dollars or in one or more Alternative Currencies for the account of the Company or any of its Subsidiaries, and to amend Letters of Credit previously issued by it, in accordance with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below, and (2) to honor drawings under the Letters of Credit; and (B) the Lenders severally agree to participate in Letters of Credit issued for the account of the Company or any of its Subsidiaries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w:t>
      </w:r>
    </w:p>
    <w:p>
      <w:pPr>
        <w:spacing w:after="0" w:line="4" w:lineRule="exact"/>
        <w:rPr>
          <w:rFonts w:ascii="Arial" w:cs="Arial" w:eastAsia="Arial" w:hAnsi="Arial"/>
          <w:sz w:val="16"/>
          <w:szCs w:val="16"/>
          <w:color w:val="auto"/>
        </w:rPr>
      </w:pPr>
    </w:p>
    <w:p>
      <w:pPr>
        <w:jc w:val="both"/>
        <w:ind w:left="440" w:right="60" w:hanging="4"/>
        <w:spacing w:after="0" w:line="277" w:lineRule="auto"/>
        <w:tabs>
          <w:tab w:leader="none" w:pos="7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Total Outstandings shall not exceed the Aggregate Commitments, (x) the Revolving Credit Exposure of any Lender shall not exceed such Lender’s Commitment, (y) the Outstanding Amount of the L/C Obligations shall not exceed the Letter of Credit Sublimit and (z) the Outstanding Amount of all L/C Obligations of any L/C Issuer shall not exceed such L/C Issuer’s L/C Commitment. Each request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51" w:name="page52"/>
    <w:bookmarkEnd w:id="5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or any Subsidiary’s ability to obtain Letters of Credit shall be fully revolving, and accordingly the Company may, during the foregoing period, obtain Letters of Credit to replace Letters of Credit that have expired or that have been drawn upon and reimbursed.</w:t>
      </w:r>
    </w:p>
    <w:p>
      <w:pPr>
        <w:spacing w:after="0" w:line="80" w:lineRule="exact"/>
        <w:rPr>
          <w:sz w:val="20"/>
          <w:szCs w:val="20"/>
          <w:color w:val="auto"/>
        </w:rPr>
      </w:pPr>
    </w:p>
    <w:p>
      <w:pPr>
        <w:ind w:left="680" w:hanging="26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L/C Issuer shall issue any Letter of Credit, if:</w:t>
      </w:r>
    </w:p>
    <w:p>
      <w:pPr>
        <w:spacing w:after="0" w:line="117" w:lineRule="exact"/>
        <w:rPr>
          <w:rFonts w:ascii="Arial" w:cs="Arial" w:eastAsia="Arial" w:hAnsi="Arial"/>
          <w:sz w:val="18"/>
          <w:szCs w:val="18"/>
          <w:color w:val="auto"/>
        </w:rPr>
      </w:pPr>
    </w:p>
    <w:p>
      <w:pPr>
        <w:ind w:left="540" w:right="80" w:firstLine="408"/>
        <w:spacing w:after="0" w:line="308" w:lineRule="auto"/>
        <w:tabs>
          <w:tab w:leader="none" w:pos="1236"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2.03(b)(iii)</w:t>
      </w:r>
      <w:r>
        <w:rPr>
          <w:rFonts w:ascii="Arial" w:cs="Arial" w:eastAsia="Arial" w:hAnsi="Arial"/>
          <w:sz w:val="17"/>
          <w:szCs w:val="17"/>
          <w:color w:val="auto"/>
        </w:rPr>
        <w:t>, the expiry date of such requested Letter of Credit would occur more than twelve months after the date of issuance or, if later, the last extension, unless the Required Lenders have approved such expiry date; or</w:t>
      </w:r>
    </w:p>
    <w:p>
      <w:pPr>
        <w:spacing w:after="0" w:line="38" w:lineRule="exact"/>
        <w:rPr>
          <w:rFonts w:ascii="Arial" w:cs="Arial" w:eastAsia="Arial" w:hAnsi="Arial"/>
          <w:sz w:val="17"/>
          <w:szCs w:val="17"/>
          <w:color w:val="auto"/>
        </w:rPr>
      </w:pPr>
    </w:p>
    <w:p>
      <w:pPr>
        <w:ind w:left="540" w:right="160" w:firstLine="408"/>
        <w:spacing w:after="0" w:line="277" w:lineRule="auto"/>
        <w:tabs>
          <w:tab w:leader="none" w:pos="1226"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all the Lenders have approved such expiry date.</w:t>
      </w:r>
    </w:p>
    <w:p>
      <w:pPr>
        <w:spacing w:after="0" w:line="62" w:lineRule="exact"/>
        <w:rPr>
          <w:rFonts w:ascii="Arial" w:cs="Arial" w:eastAsia="Arial" w:hAnsi="Arial"/>
          <w:sz w:val="18"/>
          <w:szCs w:val="18"/>
          <w:color w:val="auto"/>
        </w:rPr>
      </w:pPr>
    </w:p>
    <w:p>
      <w:pPr>
        <w:ind w:left="740" w:hanging="321"/>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L/C Issuer shall be under any obligation to issue, amend or increase any Letter of Credit if:</w:t>
      </w:r>
    </w:p>
    <w:p>
      <w:pPr>
        <w:spacing w:after="0" w:line="117" w:lineRule="exact"/>
        <w:rPr>
          <w:rFonts w:ascii="Arial" w:cs="Arial" w:eastAsia="Arial" w:hAnsi="Arial"/>
          <w:sz w:val="18"/>
          <w:szCs w:val="18"/>
          <w:color w:val="auto"/>
        </w:rPr>
      </w:pPr>
    </w:p>
    <w:p>
      <w:pPr>
        <w:ind w:left="540" w:right="60" w:firstLine="408"/>
        <w:spacing w:after="0" w:line="272" w:lineRule="auto"/>
        <w:tabs>
          <w:tab w:leader="none" w:pos="1236"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69" w:lineRule="exact"/>
        <w:rPr>
          <w:rFonts w:ascii="Arial" w:cs="Arial" w:eastAsia="Arial" w:hAnsi="Arial"/>
          <w:sz w:val="17"/>
          <w:szCs w:val="17"/>
          <w:color w:val="auto"/>
        </w:rPr>
      </w:pPr>
    </w:p>
    <w:p>
      <w:pPr>
        <w:ind w:left="540" w:right="660" w:firstLine="408"/>
        <w:spacing w:after="0" w:line="277" w:lineRule="auto"/>
        <w:tabs>
          <w:tab w:leader="none" w:pos="1226"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one or more policies of such L/C Issuer applicable to letters of credit generally;</w:t>
      </w:r>
    </w:p>
    <w:p>
      <w:pPr>
        <w:spacing w:after="0" w:line="62" w:lineRule="exact"/>
        <w:rPr>
          <w:rFonts w:ascii="Arial" w:cs="Arial" w:eastAsia="Arial" w:hAnsi="Arial"/>
          <w:sz w:val="18"/>
          <w:szCs w:val="18"/>
          <w:color w:val="auto"/>
        </w:rPr>
      </w:pPr>
    </w:p>
    <w:p>
      <w:pPr>
        <w:ind w:left="540" w:right="120" w:firstLine="408"/>
        <w:spacing w:after="0" w:line="277" w:lineRule="auto"/>
        <w:tabs>
          <w:tab w:leader="none" w:pos="1226"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L/C Issuer, such Letter of Credit is in an initial stated amount less than $100,000;</w:t>
      </w:r>
    </w:p>
    <w:p>
      <w:pPr>
        <w:spacing w:after="0" w:line="62" w:lineRule="exact"/>
        <w:rPr>
          <w:rFonts w:ascii="Arial" w:cs="Arial" w:eastAsia="Arial" w:hAnsi="Arial"/>
          <w:sz w:val="18"/>
          <w:szCs w:val="18"/>
          <w:color w:val="auto"/>
        </w:rPr>
      </w:pPr>
    </w:p>
    <w:p>
      <w:pPr>
        <w:ind w:left="540" w:right="380" w:firstLine="408"/>
        <w:spacing w:after="0" w:line="277" w:lineRule="auto"/>
        <w:tabs>
          <w:tab w:leader="none" w:pos="1236"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L/C Issuer such Letter of Credit is to be denominated in a currency other than Dollars or an Alternative Currency;</w:t>
      </w:r>
    </w:p>
    <w:p>
      <w:pPr>
        <w:spacing w:after="0" w:line="62" w:lineRule="exact"/>
        <w:rPr>
          <w:rFonts w:ascii="Arial" w:cs="Arial" w:eastAsia="Arial" w:hAnsi="Arial"/>
          <w:sz w:val="18"/>
          <w:szCs w:val="18"/>
          <w:color w:val="auto"/>
        </w:rPr>
      </w:pPr>
    </w:p>
    <w:p>
      <w:pPr>
        <w:ind w:left="540" w:right="640" w:firstLine="408"/>
        <w:spacing w:after="0" w:line="277" w:lineRule="auto"/>
        <w:tabs>
          <w:tab w:leader="none" w:pos="1216"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applicable L/C Issuer does not as of the issuance date of such requested Letter of Credit issue Letters of Credit in the requested currency; or</w:t>
      </w:r>
    </w:p>
    <w:p>
      <w:pPr>
        <w:spacing w:after="0" w:line="62" w:lineRule="exact"/>
        <w:rPr>
          <w:rFonts w:ascii="Arial" w:cs="Arial" w:eastAsia="Arial" w:hAnsi="Arial"/>
          <w:sz w:val="18"/>
          <w:szCs w:val="18"/>
          <w:color w:val="auto"/>
        </w:rPr>
      </w:pPr>
    </w:p>
    <w:p>
      <w:pPr>
        <w:ind w:left="540" w:right="60" w:firstLine="408"/>
        <w:spacing w:after="0" w:line="257" w:lineRule="auto"/>
        <w:tabs>
          <w:tab w:leader="none" w:pos="1206"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any Lender is at that time a Defaulting Lender, unless such L/C Issuer has entered into arrangements, including the delivery of Cash Collateral, reasonably satisfactory to such L/C Issuer with the Company or such Lender to eliminate such L/C Issuer’s actual or potential Fronting Exposure (after giving effect to </w:t>
      </w:r>
      <w:r>
        <w:rPr>
          <w:rFonts w:ascii="Arial" w:cs="Arial" w:eastAsia="Arial" w:hAnsi="Arial"/>
          <w:sz w:val="18"/>
          <w:szCs w:val="18"/>
          <w:u w:val="single" w:color="auto"/>
          <w:color w:val="auto"/>
        </w:rPr>
        <w:t>Section 2.17(a)(iv)</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spacing w:after="0" w:line="12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20"/>
          </w:cols>
          <w:pgMar w:left="880" w:top="274" w:right="499" w:bottom="1440" w:gutter="0" w:footer="0" w:header="0"/>
        </w:sectPr>
      </w:pPr>
    </w:p>
    <w:bookmarkStart w:id="52" w:name="page53"/>
    <w:bookmarkEnd w:id="52"/>
    <w:p>
      <w:pPr>
        <w:ind w:left="4" w:right="160" w:firstLine="419"/>
        <w:spacing w:after="0" w:line="277" w:lineRule="auto"/>
        <w:tabs>
          <w:tab w:leader="none" w:pos="731" w:val="left"/>
        </w:tabs>
        <w:numPr>
          <w:ilvl w:val="1"/>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L/C Issuer shall amend any Letter of Credit if such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jc w:val="both"/>
        <w:ind w:left="4" w:firstLine="419"/>
        <w:spacing w:after="0" w:line="263" w:lineRule="auto"/>
        <w:tabs>
          <w:tab w:leader="none" w:pos="681"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75" w:lineRule="exact"/>
        <w:rPr>
          <w:rFonts w:ascii="Arial" w:cs="Arial" w:eastAsia="Arial" w:hAnsi="Arial"/>
          <w:sz w:val="18"/>
          <w:szCs w:val="18"/>
          <w:color w:val="auto"/>
        </w:rPr>
      </w:pPr>
    </w:p>
    <w:p>
      <w:pPr>
        <w:ind w:left="4" w:right="80" w:firstLine="419"/>
        <w:spacing w:after="0" w:line="275" w:lineRule="auto"/>
        <w:tabs>
          <w:tab w:leader="none" w:pos="731"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Each L/C Issuer shall act on behalf of the Lenders with respect to any Letters of Credit issued by it and the documents associated therewith, and each L/C Issuer shall have all of the benefits and immunities (a) provided to the Administrative Agent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included such L/C Issuer with respect to such acts or omissions, and (b) as additionally provided herein with respect to the L/C Issuers.</w:t>
      </w:r>
    </w:p>
    <w:p>
      <w:pPr>
        <w:spacing w:after="0" w:line="68" w:lineRule="exact"/>
        <w:rPr>
          <w:rFonts w:ascii="Arial" w:cs="Arial" w:eastAsia="Arial" w:hAnsi="Arial"/>
          <w:sz w:val="17"/>
          <w:szCs w:val="17"/>
          <w:color w:val="auto"/>
        </w:rPr>
      </w:pPr>
    </w:p>
    <w:p>
      <w:pPr>
        <w:ind w:left="264" w:hanging="264"/>
        <w:spacing w:after="0"/>
        <w:tabs>
          <w:tab w:leader="none" w:pos="26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19"/>
        <w:spacing w:after="0" w:line="267" w:lineRule="auto"/>
        <w:tabs>
          <w:tab w:leader="none" w:pos="641" w:val="left"/>
        </w:tabs>
        <w:numPr>
          <w:ilvl w:val="1"/>
          <w:numId w:val="42"/>
        </w:numPr>
        <w:rPr>
          <w:rFonts w:ascii="Arial" w:cs="Arial" w:eastAsia="Arial" w:hAnsi="Arial"/>
          <w:sz w:val="17"/>
          <w:szCs w:val="17"/>
          <w:color w:val="auto"/>
        </w:rPr>
      </w:pPr>
      <w:r>
        <w:rPr>
          <w:rFonts w:ascii="Arial" w:cs="Arial" w:eastAsia="Arial" w:hAnsi="Arial"/>
          <w:sz w:val="17"/>
          <w:szCs w:val="17"/>
          <w:color w:val="auto"/>
        </w:rPr>
        <w:t>Each Letter of Credit shall be issued or amended, as the case may be, upon the request of the Company delivered to an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such L/C Issuer, by personal delivery or by any other means acceptable to such L/C Issuer. Such Letter of Credit Application must be received by such L/C Issuer and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such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L/C Issuer may require. In the case of a request for an amendment of any outstanding Letter of Credit, such Letter of Credit Application shall specify in form and detail satisfactory to such L/C Issuer: (A) the Letter of Credit to be amended; (B) the proposed date of amendment thereof (which shall be a Business Day); (C) the nature of the proposed amendment; and (D) such other matters as such L/C Issuer may require. Additionally, the Company shall furnish to such L/C Issuer and the Administrative Agent such other documents and information pertaining to such requested Letter of Credit issuance or amendment, including any Issuer Documents, as such L/C Issuer or the Administrative Agent may require.</w:t>
      </w:r>
    </w:p>
    <w:p>
      <w:pPr>
        <w:spacing w:after="0" w:line="12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64"/>
          </w:cols>
          <w:pgMar w:left="876" w:top="274" w:right="459" w:bottom="1440" w:gutter="0" w:footer="0" w:header="0"/>
        </w:sectPr>
      </w:pPr>
    </w:p>
    <w:bookmarkStart w:id="53" w:name="page54"/>
    <w:bookmarkEnd w:id="53"/>
    <w:p>
      <w:pPr>
        <w:ind w:left="4" w:right="40" w:firstLine="419"/>
        <w:spacing w:after="0" w:line="269" w:lineRule="auto"/>
        <w:tabs>
          <w:tab w:leader="none" w:pos="691" w:val="left"/>
        </w:tabs>
        <w:numPr>
          <w:ilvl w:val="1"/>
          <w:numId w:val="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Promptly after receipt of any Letter of Credit Application, the applicable L/C Issuer will confirm with the Administrative Agent (by telephone or in writing) that the Administrative Agent has received a copy of such Letter of Credit Application from the Company and, if not, such L/C Issuer will provide the Administrative Agent with a copy thereof. Unless such L/C Issuer has received written notice from any Lender, the Administrative Agent or the Company, at least one Business Day prior to the requested date of issuance or amendment of the applicable Letter of Credit, that one or more applicable conditions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not then be satisfied, then, subject to the terms and conditions hereof, such L/C Issuer shall, on the requested date, issue a Letter of Credit for the account of the Company (or the applicable Subsidiary) or enter into the applicable amendment, as the case may be, in each case in accordance with such L/C Issuer’s usual and customary business practices. Immediately upon the issuance of each Letter of Credit, each Lender shall be deemed to, and hereby irrevocably and unconditionally agrees to, purchase from the applicable L/C Issuer a risk participation in such Letter of Credit in an amount equal to the product of such Lender’s Applicable Percentage times the amount of such Letter of Credit.</w:t>
      </w:r>
    </w:p>
    <w:p>
      <w:pPr>
        <w:spacing w:after="0" w:line="77" w:lineRule="exact"/>
        <w:rPr>
          <w:rFonts w:ascii="Arial" w:cs="Arial" w:eastAsia="Arial" w:hAnsi="Arial"/>
          <w:sz w:val="17"/>
          <w:szCs w:val="17"/>
          <w:color w:val="auto"/>
        </w:rPr>
      </w:pPr>
    </w:p>
    <w:p>
      <w:pPr>
        <w:ind w:left="4" w:right="20" w:firstLine="419"/>
        <w:spacing w:after="0" w:line="286" w:lineRule="auto"/>
        <w:tabs>
          <w:tab w:leader="none" w:pos="741"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the Company so requests in any applicable Letter of Credit Application, each L/C Issuer agrees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applicable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applicable L/C Issuer, the Company (or the applicable Subsidiary) shall not be required to make a specific request to such L/C Issuer for any such extension. Once an Auto-Extension Letter of Credit has been issued, the Lenders shall be deemed to have authorized (but may not require) such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2.03(a) or otherwise) or (B) it has received notice (which may be by telephone or in writing) on or before the day that is seven Business Days before the Non-Extension Notice Date from the Administrative Agent, any Lender or the Company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and in each such case directing such L/C Issuer not to permit such extension.</w:t>
      </w:r>
    </w:p>
    <w:p>
      <w:pPr>
        <w:spacing w:after="0" w:line="65" w:lineRule="exact"/>
        <w:rPr>
          <w:rFonts w:ascii="Arial" w:cs="Arial" w:eastAsia="Arial" w:hAnsi="Arial"/>
          <w:sz w:val="16"/>
          <w:szCs w:val="16"/>
          <w:color w:val="auto"/>
        </w:rPr>
      </w:pPr>
    </w:p>
    <w:p>
      <w:pPr>
        <w:ind w:left="4" w:right="60" w:firstLine="419"/>
        <w:spacing w:after="0" w:line="263" w:lineRule="auto"/>
        <w:tabs>
          <w:tab w:leader="none" w:pos="731"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each L/C Issuer will also deliver to the Company and the Administrative Agent a true and complete copy of such Letter of Credit or amendment.</w:t>
      </w:r>
    </w:p>
    <w:p>
      <w:pPr>
        <w:spacing w:after="0" w:line="75" w:lineRule="exact"/>
        <w:rPr>
          <w:rFonts w:ascii="Arial" w:cs="Arial" w:eastAsia="Arial" w:hAnsi="Arial"/>
          <w:sz w:val="18"/>
          <w:szCs w:val="18"/>
          <w:color w:val="auto"/>
        </w:rPr>
      </w:pPr>
    </w:p>
    <w:p>
      <w:pPr>
        <w:ind w:left="244" w:hanging="244"/>
        <w:spacing w:after="0"/>
        <w:tabs>
          <w:tab w:leader="none" w:pos="24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19"/>
        <w:spacing w:after="0" w:line="254" w:lineRule="auto"/>
        <w:tabs>
          <w:tab w:leader="none" w:pos="641" w:val="left"/>
        </w:tabs>
        <w:numPr>
          <w:ilvl w:val="1"/>
          <w:numId w:val="44"/>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applicable L/C Issuer shall notify the Company and the Administrative Agent thereof. In the case of a Letter of Credit denominated in an Alternative Currency, the Company shall reimburse the applicable L/C Issuer in such Alternative Currency, unless (A) the applicable L/C Issuer (at its option) shall have specified in such notice that it will require reimbursement in Dollars, or (B) in the absence of any such requirement for reimbursement in Dollars, the Company shall have notified the applicable L/C Issuer promptly following receipt of the notice of drawing that the Company will reimburse such L/C Issuer in Dollars. In the case of any such reimbursement in Dollars of a drawing under a Letter of Credit denominated in an Alternative Currency, the applicable L/C Issuer shall notify the Company of the Dollar Equivalent of the amount of the drawing promptly following the determination thereof. To the extent the</w:t>
      </w:r>
    </w:p>
    <w:p>
      <w:pPr>
        <w:spacing w:after="0" w:line="124"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84"/>
          </w:cols>
          <w:pgMar w:left="876" w:top="274" w:right="439" w:bottom="1440" w:gutter="0" w:footer="0" w:header="0"/>
        </w:sectPr>
      </w:pPr>
    </w:p>
    <w:bookmarkStart w:id="54" w:name="page55"/>
    <w:bookmarkEnd w:id="54"/>
    <w:p>
      <w:pPr>
        <w:jc w:val="both"/>
        <w:ind w:left="4"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receives such notice on or before 10:00 a.m. on an Honor Date (as defined below), not later than 12:00 noon on the date of any payment by such L/C Issuer under a Letter of Credit to be reimbursed in Dollars, or the Applicable Time on the date of any payment by the applicable L/C Issuer under a Letter of Credit to be reimbursed in an Alternative Currency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Company shall reimburse such L/C Issuer through the Administrative Agent in an amount equal to the amount of such drawing and in the applicable currency. In the event that</w:t>
      </w:r>
    </w:p>
    <w:p>
      <w:pPr>
        <w:spacing w:after="0" w:line="1" w:lineRule="exact"/>
        <w:rPr>
          <w:sz w:val="20"/>
          <w:szCs w:val="20"/>
          <w:color w:val="auto"/>
        </w:rPr>
      </w:pPr>
    </w:p>
    <w:p>
      <w:pPr>
        <w:ind w:left="264" w:hanging="264"/>
        <w:spacing w:after="0"/>
        <w:tabs>
          <w:tab w:leader="none" w:pos="264"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a drawing denominated in an Alternative Currency is to be reimbursed in Dollars pursuant to the second sentence of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and</w:t>
      </w:r>
    </w:p>
    <w:p>
      <w:pPr>
        <w:spacing w:after="0" w:line="32" w:lineRule="exact"/>
        <w:rPr>
          <w:rFonts w:ascii="Arial" w:cs="Arial" w:eastAsia="Arial" w:hAnsi="Arial"/>
          <w:sz w:val="16"/>
          <w:szCs w:val="16"/>
          <w:color w:val="auto"/>
        </w:rPr>
      </w:pPr>
    </w:p>
    <w:p>
      <w:pPr>
        <w:ind w:left="4" w:right="60" w:hanging="4"/>
        <w:spacing w:after="0" w:line="266" w:lineRule="auto"/>
        <w:tabs>
          <w:tab w:leader="none" w:pos="258"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applicable L/C Issuer for the loss resulting from its inability on that date to purchase the Alternative Currency in the full amount of the drawing. To the extent the Company receives such notice after 10:00 a.m. but on or before 3:00 p.m. on an Honor Date under a Letter of Credit to be reimbursed in Dollars, the Company shall reimburse such L/C Issuer through the Administrative Agent in an amount equal to the amount of such drawing on such date. To the extent the Company receives such notice after 3:00 p.m. on an Honor Date under a Letter of Credit to be reimbursed in Dollars, on or before 11:00 a.m. on the next day following such Honor Date, the Company shall reimburse such L/C Issuer through the Administrative Agent in an amount equal to the amount of such drawing. If the Company fails to so reimburse such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and the amount of such Lender’s Applicable Percentage thereof. In such event, the Company shall be deemed to have requested a Committed Borrowing of Base Rate Loans to be disbursed on the Honor Date in an amount equal to the Unreimbursed Amount, without regard to the minimum and multiples specified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for the principal amount of Base Rate Loans, but subject to the amount of the unutilized portion of the Aggregate Commitments and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the delivery of a Committed Loan Notice) and provided that, after giving effect to such Borrowing, the Total Outstandings shall not exceed the Aggregate Commitments. Any notice given by an L/C Issuer or the Administrative Agent pursuant to this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81" w:lineRule="exact"/>
        <w:rPr>
          <w:rFonts w:ascii="Arial" w:cs="Arial" w:eastAsia="Arial" w:hAnsi="Arial"/>
          <w:sz w:val="17"/>
          <w:szCs w:val="17"/>
          <w:color w:val="auto"/>
        </w:rPr>
      </w:pPr>
    </w:p>
    <w:p>
      <w:pPr>
        <w:ind w:left="4" w:firstLine="419"/>
        <w:spacing w:after="0" w:line="273" w:lineRule="auto"/>
        <w:tabs>
          <w:tab w:leader="none" w:pos="691"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Each Lender shall upon any notice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make funds available (and the Administrative Agent may apply Cash Collateral provided for this purpose) to the Administrative Agent for the account of the applicable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Arial" w:cs="Arial" w:eastAsia="Arial" w:hAnsi="Arial"/>
          <w:sz w:val="17"/>
          <w:szCs w:val="17"/>
          <w:u w:val="single" w:color="auto"/>
          <w:color w:val="auto"/>
        </w:rPr>
        <w:t>Section 2.03(c)(iii)</w:t>
      </w:r>
      <w:r>
        <w:rPr>
          <w:rFonts w:ascii="Arial" w:cs="Arial" w:eastAsia="Arial" w:hAnsi="Arial"/>
          <w:sz w:val="17"/>
          <w:szCs w:val="17"/>
          <w:color w:val="auto"/>
        </w:rPr>
        <w:t>, each Lender that so makes funds available shall be deemed to have made a Base Rate Committed Loan to the Company in such amount. The Administrative Agent shall remit the funds so received to the applicable L/C Issuer in Dollars.</w:t>
      </w:r>
    </w:p>
    <w:p>
      <w:pPr>
        <w:spacing w:after="0" w:line="69" w:lineRule="exact"/>
        <w:rPr>
          <w:rFonts w:ascii="Arial" w:cs="Arial" w:eastAsia="Arial" w:hAnsi="Arial"/>
          <w:sz w:val="17"/>
          <w:szCs w:val="17"/>
          <w:color w:val="auto"/>
        </w:rPr>
      </w:pPr>
    </w:p>
    <w:p>
      <w:pPr>
        <w:ind w:left="4" w:right="60" w:firstLine="419"/>
        <w:spacing w:after="0" w:line="293" w:lineRule="auto"/>
        <w:tabs>
          <w:tab w:leader="none" w:pos="741"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With respect to any Unreimbursed Amount that is not fully refinanced by a Committed Borrowing of Base Rate Loans because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cannot be satisfied or for any other reason, the Company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applicable L/C Issuer pursuant to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97"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64"/>
          </w:cols>
          <w:pgMar w:left="876" w:top="274" w:right="459" w:bottom="1440" w:gutter="0" w:footer="0" w:header="0"/>
        </w:sectPr>
      </w:pPr>
    </w:p>
    <w:bookmarkStart w:id="55" w:name="page56"/>
    <w:bookmarkEnd w:id="55"/>
    <w:p>
      <w:pPr>
        <w:ind w:left="4" w:right="60" w:firstLine="419"/>
        <w:spacing w:after="0" w:line="263" w:lineRule="auto"/>
        <w:tabs>
          <w:tab w:leader="none" w:pos="731" w:val="left"/>
        </w:tabs>
        <w:numPr>
          <w:ilvl w:val="1"/>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Until each Lender funds its Committed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applicable L/C Issuer for any amount drawn under any Letter of Credit, interest in respect of such Lender’s Applicable Percentage of such amount shall be solely for the account of such L/C Issuer.</w:t>
      </w:r>
    </w:p>
    <w:p>
      <w:pPr>
        <w:spacing w:after="0" w:line="75" w:lineRule="exact"/>
        <w:rPr>
          <w:rFonts w:ascii="Arial" w:cs="Arial" w:eastAsia="Arial" w:hAnsi="Arial"/>
          <w:sz w:val="18"/>
          <w:szCs w:val="18"/>
          <w:color w:val="auto"/>
        </w:rPr>
      </w:pPr>
    </w:p>
    <w:p>
      <w:pPr>
        <w:ind w:left="4" w:right="40" w:firstLine="419"/>
        <w:spacing w:after="0" w:line="290" w:lineRule="auto"/>
        <w:tabs>
          <w:tab w:leader="none" w:pos="681"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Each Lender’s obligation to make Committed Loans or L/C Advances to reimburse the applicable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such L/C Issuer, the Company, any Subsidiary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Lender’s obligation to make Committed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delivery by the Company of a Committed Loan Notice). No such making of an L/C Advance shall relieve or otherwise impair the obligation of the Company to reimburse an L/C Issuer for the amount of any payment made by such L/C Issuer under any Letter of Credit, together with interest as provided herein.</w:t>
      </w:r>
    </w:p>
    <w:p>
      <w:pPr>
        <w:spacing w:after="0" w:line="57" w:lineRule="exact"/>
        <w:rPr>
          <w:rFonts w:ascii="Arial" w:cs="Arial" w:eastAsia="Arial" w:hAnsi="Arial"/>
          <w:sz w:val="16"/>
          <w:szCs w:val="16"/>
          <w:color w:val="auto"/>
        </w:rPr>
      </w:pPr>
    </w:p>
    <w:p>
      <w:pPr>
        <w:ind w:left="4" w:right="20" w:firstLine="419"/>
        <w:spacing w:after="0" w:line="270" w:lineRule="auto"/>
        <w:tabs>
          <w:tab w:leader="none" w:pos="731"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an L/C Issuer any amount required to be paid by such Lender pursuant to the foregoing provisions of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2.03(c)(ii),</w:t>
      </w:r>
      <w:r>
        <w:rPr>
          <w:rFonts w:ascii="Arial" w:cs="Arial" w:eastAsia="Arial" w:hAnsi="Arial"/>
          <w:sz w:val="17"/>
          <w:szCs w:val="17"/>
          <w:color w:val="auto"/>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customarily charged by such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applicable L/C Issuer submitted to any Lender (through the Administrative Agent) with respect to any amounts owing under this </w:t>
      </w:r>
      <w:r>
        <w:rPr>
          <w:rFonts w:ascii="Arial" w:cs="Arial" w:eastAsia="Arial" w:hAnsi="Arial"/>
          <w:sz w:val="17"/>
          <w:szCs w:val="17"/>
          <w:u w:val="single" w:color="auto"/>
          <w:color w:val="auto"/>
        </w:rPr>
        <w:t>clause 2.03(c)(vi)</w:t>
      </w:r>
      <w:r>
        <w:rPr>
          <w:rFonts w:ascii="Arial" w:cs="Arial" w:eastAsia="Arial" w:hAnsi="Arial"/>
          <w:sz w:val="17"/>
          <w:szCs w:val="17"/>
          <w:color w:val="auto"/>
        </w:rPr>
        <w:t xml:space="preserve"> shall be conclusive absent manifest error.</w:t>
      </w:r>
    </w:p>
    <w:p>
      <w:pPr>
        <w:spacing w:after="0" w:line="72" w:lineRule="exact"/>
        <w:rPr>
          <w:rFonts w:ascii="Arial" w:cs="Arial" w:eastAsia="Arial" w:hAnsi="Arial"/>
          <w:sz w:val="17"/>
          <w:szCs w:val="17"/>
          <w:color w:val="auto"/>
        </w:rPr>
      </w:pPr>
    </w:p>
    <w:p>
      <w:pPr>
        <w:ind w:left="264" w:hanging="264"/>
        <w:spacing w:after="0"/>
        <w:tabs>
          <w:tab w:leader="none" w:pos="26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19"/>
        <w:spacing w:after="0" w:line="273" w:lineRule="auto"/>
        <w:tabs>
          <w:tab w:leader="none" w:pos="641"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At any time after an L/C Issuer has made a payment under any Letter of Credit and has received from any Lender such Lender’s L/C Advance in respect of such payment in accordance with </w:t>
      </w:r>
      <w:r>
        <w:rPr>
          <w:rFonts w:ascii="Arial" w:cs="Arial" w:eastAsia="Arial" w:hAnsi="Arial"/>
          <w:sz w:val="17"/>
          <w:szCs w:val="17"/>
          <w:u w:val="single" w:color="auto"/>
          <w:color w:val="auto"/>
        </w:rPr>
        <w:t>Section 2.03(c)</w:t>
      </w:r>
      <w:r>
        <w:rPr>
          <w:rFonts w:ascii="Arial" w:cs="Arial" w:eastAsia="Arial" w:hAnsi="Arial"/>
          <w:sz w:val="17"/>
          <w:szCs w:val="17"/>
          <w:color w:val="auto"/>
        </w:rPr>
        <w:t>, if the Administrative Agent receives for the account of the applicable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Dollars in the same funds as those received by the Administrative Agent.</w:t>
      </w:r>
    </w:p>
    <w:p>
      <w:pPr>
        <w:spacing w:after="0" w:line="69" w:lineRule="exact"/>
        <w:rPr>
          <w:rFonts w:ascii="Arial" w:cs="Arial" w:eastAsia="Arial" w:hAnsi="Arial"/>
          <w:sz w:val="17"/>
          <w:szCs w:val="17"/>
          <w:color w:val="auto"/>
        </w:rPr>
      </w:pPr>
    </w:p>
    <w:p>
      <w:pPr>
        <w:ind w:left="4" w:right="140" w:firstLine="419"/>
        <w:spacing w:after="0" w:line="263" w:lineRule="auto"/>
        <w:tabs>
          <w:tab w:leader="none" w:pos="691"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applicable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(including pursuant to any settlement entered into by such L/C Issuer in its discretion), each Lender shall pay to the Administrative Agent for the account of</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64"/>
          </w:cols>
          <w:pgMar w:left="876" w:top="274" w:right="459" w:bottom="1440" w:gutter="0" w:footer="0" w:header="0"/>
        </w:sectPr>
      </w:pPr>
    </w:p>
    <w:bookmarkStart w:id="56" w:name="page57"/>
    <w:bookmarkEnd w:id="56"/>
    <w:p>
      <w:pPr>
        <w:ind w:lef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applicable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w:t>
      </w:r>
      <w:r>
        <w:rPr>
          <w:rFonts w:ascii="Arial" w:cs="Arial" w:eastAsia="Arial" w:hAnsi="Arial"/>
          <w:sz w:val="18"/>
          <w:szCs w:val="18"/>
          <w:u w:val="single" w:color="auto"/>
          <w:color w:val="auto"/>
        </w:rPr>
        <w:t>clause 2.03(d)(ii)</w:t>
      </w:r>
      <w:r>
        <w:rPr>
          <w:rFonts w:ascii="Arial" w:cs="Arial" w:eastAsia="Arial" w:hAnsi="Arial"/>
          <w:sz w:val="18"/>
          <w:szCs w:val="18"/>
          <w:color w:val="auto"/>
        </w:rPr>
        <w:t xml:space="preserve"> shall survive the payment in full of the Obligations and the termination of this Agreement.</w:t>
      </w:r>
    </w:p>
    <w:p>
      <w:pPr>
        <w:spacing w:after="0" w:line="79" w:lineRule="exact"/>
        <w:rPr>
          <w:sz w:val="20"/>
          <w:szCs w:val="20"/>
          <w:color w:val="auto"/>
        </w:rPr>
      </w:pPr>
    </w:p>
    <w:p>
      <w:pPr>
        <w:ind w:left="-20" w:right="60" w:firstLine="436"/>
        <w:spacing w:after="0" w:line="263" w:lineRule="auto"/>
        <w:tabs>
          <w:tab w:leader="none" w:pos="66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xml:space="preserve"> The obligation of the Company to reimburse the L/C Issuers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75" w:lineRule="exact"/>
        <w:rPr>
          <w:rFonts w:ascii="Arial" w:cs="Arial" w:eastAsia="Arial" w:hAnsi="Arial"/>
          <w:sz w:val="18"/>
          <w:szCs w:val="18"/>
          <w:color w:val="auto"/>
        </w:rPr>
      </w:pPr>
    </w:p>
    <w:p>
      <w:pPr>
        <w:ind w:left="1060" w:hanging="221"/>
        <w:spacing w:after="0"/>
        <w:tabs>
          <w:tab w:leader="none" w:pos="10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rFonts w:ascii="Arial" w:cs="Arial" w:eastAsia="Arial" w:hAnsi="Arial"/>
          <w:sz w:val="18"/>
          <w:szCs w:val="18"/>
          <w:color w:val="auto"/>
        </w:rPr>
      </w:pPr>
    </w:p>
    <w:p>
      <w:pPr>
        <w:jc w:val="both"/>
        <w:ind w:left="420" w:right="40" w:firstLine="419"/>
        <w:spacing w:after="0" w:line="279" w:lineRule="auto"/>
        <w:tabs>
          <w:tab w:leader="none" w:pos="1108"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63" w:lineRule="exact"/>
        <w:rPr>
          <w:rFonts w:ascii="Arial" w:cs="Arial" w:eastAsia="Arial" w:hAnsi="Arial"/>
          <w:sz w:val="17"/>
          <w:szCs w:val="17"/>
          <w:color w:val="auto"/>
        </w:rPr>
      </w:pPr>
    </w:p>
    <w:p>
      <w:pPr>
        <w:ind w:left="420" w:right="100" w:firstLine="419"/>
        <w:spacing w:after="0" w:line="263" w:lineRule="auto"/>
        <w:tabs>
          <w:tab w:leader="none" w:pos="115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5" w:lineRule="exact"/>
        <w:rPr>
          <w:rFonts w:ascii="Arial" w:cs="Arial" w:eastAsia="Arial" w:hAnsi="Arial"/>
          <w:sz w:val="18"/>
          <w:szCs w:val="18"/>
          <w:color w:val="auto"/>
        </w:rPr>
      </w:pPr>
    </w:p>
    <w:p>
      <w:pPr>
        <w:ind w:left="420" w:right="680" w:firstLine="419"/>
        <w:spacing w:after="0" w:line="308" w:lineRule="auto"/>
        <w:tabs>
          <w:tab w:leader="none" w:pos="1148" w:val="left"/>
        </w:tabs>
        <w:numPr>
          <w:ilvl w:val="1"/>
          <w:numId w:val="48"/>
        </w:numPr>
        <w:rPr>
          <w:rFonts w:ascii="Arial" w:cs="Arial" w:eastAsia="Arial" w:hAnsi="Arial"/>
          <w:sz w:val="17"/>
          <w:szCs w:val="17"/>
          <w:color w:val="auto"/>
        </w:rPr>
      </w:pPr>
      <w:r>
        <w:rPr>
          <w:rFonts w:ascii="Arial" w:cs="Arial" w:eastAsia="Arial" w:hAnsi="Arial"/>
          <w:sz w:val="17"/>
          <w:szCs w:val="17"/>
          <w:color w:val="auto"/>
        </w:rPr>
        <w:t>waiver by the applicable L/C Issuer of any requirement that exists for such L/C Issuer’s protection and not the protection of the Company or any waiver by the applicable L/C Issuer which does not in fact materially prejudice the Company;</w:t>
      </w:r>
    </w:p>
    <w:p>
      <w:pPr>
        <w:spacing w:after="0" w:line="38" w:lineRule="exact"/>
        <w:rPr>
          <w:rFonts w:ascii="Arial" w:cs="Arial" w:eastAsia="Arial" w:hAnsi="Arial"/>
          <w:sz w:val="17"/>
          <w:szCs w:val="17"/>
          <w:color w:val="auto"/>
        </w:rPr>
      </w:pPr>
    </w:p>
    <w:p>
      <w:pPr>
        <w:ind w:left="1100" w:hanging="261"/>
        <w:spacing w:after="0"/>
        <w:tabs>
          <w:tab w:leader="none" w:pos="11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honor of a demand for payment presented electronically even if such Letter of Credit requires that demand be in the form of a draft;</w:t>
      </w:r>
    </w:p>
    <w:p>
      <w:pPr>
        <w:spacing w:after="0" w:line="128" w:lineRule="exact"/>
        <w:rPr>
          <w:rFonts w:ascii="Arial" w:cs="Arial" w:eastAsia="Arial" w:hAnsi="Arial"/>
          <w:sz w:val="17"/>
          <w:szCs w:val="17"/>
          <w:color w:val="auto"/>
        </w:rPr>
      </w:pPr>
    </w:p>
    <w:p>
      <w:pPr>
        <w:ind w:left="420" w:right="260" w:firstLine="419"/>
        <w:spacing w:after="0" w:line="263" w:lineRule="auto"/>
        <w:tabs>
          <w:tab w:leader="none" w:pos="114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payment made by the applicable L/C Issuer in respect of an otherwise complying item presented after the date specified as the expiry date of, or the date by which documents must be received under, such Letter of Credit if presentation after such date is authorized by the ISP or the UCP, as applicable;</w:t>
      </w:r>
    </w:p>
    <w:p>
      <w:pPr>
        <w:spacing w:after="0" w:line="75" w:lineRule="exact"/>
        <w:rPr>
          <w:rFonts w:ascii="Arial" w:cs="Arial" w:eastAsia="Arial" w:hAnsi="Arial"/>
          <w:sz w:val="18"/>
          <w:szCs w:val="18"/>
          <w:color w:val="auto"/>
        </w:rPr>
      </w:pPr>
    </w:p>
    <w:p>
      <w:pPr>
        <w:ind w:left="420" w:right="20" w:firstLine="419"/>
        <w:spacing w:after="0" w:line="257" w:lineRule="auto"/>
        <w:tabs>
          <w:tab w:leader="none" w:pos="11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payment by the applicable L/C Issuer under such Letter of Credit against presentation of a draft or certificate that does not strictly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79" w:lineRule="exact"/>
        <w:rPr>
          <w:rFonts w:ascii="Arial" w:cs="Arial" w:eastAsia="Arial" w:hAnsi="Arial"/>
          <w:sz w:val="18"/>
          <w:szCs w:val="18"/>
          <w:color w:val="auto"/>
        </w:rPr>
      </w:pPr>
    </w:p>
    <w:p>
      <w:pPr>
        <w:ind w:left="420" w:right="300" w:firstLine="419"/>
        <w:spacing w:after="0" w:line="277" w:lineRule="auto"/>
        <w:tabs>
          <w:tab w:leader="none" w:pos="124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the Company or any Subsidiary or in the relevant currency markets generally;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60" w:top="274" w:right="459" w:bottom="1440" w:gutter="0" w:footer="0" w:header="0"/>
        </w:sectPr>
      </w:pPr>
    </w:p>
    <w:bookmarkStart w:id="57" w:name="page58"/>
    <w:bookmarkEnd w:id="57"/>
    <w:p>
      <w:pPr>
        <w:ind w:left="440" w:right="140" w:firstLine="419"/>
        <w:spacing w:after="0" w:line="263" w:lineRule="auto"/>
        <w:tabs>
          <w:tab w:leader="none" w:pos="1168"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other circumstance or happening whatsoever, whether or not similar to any of the foregoing, including any other circumstance that might otherwise constitute a defense available to, or a discharge of, the Company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shall impair the rights of the Company under </w:t>
      </w:r>
      <w:r>
        <w:rPr>
          <w:rFonts w:ascii="Arial" w:cs="Arial" w:eastAsia="Arial" w:hAnsi="Arial"/>
          <w:sz w:val="18"/>
          <w:szCs w:val="18"/>
          <w:u w:val="single" w:color="auto"/>
          <w:color w:val="auto"/>
        </w:rPr>
        <w:t>Section 2.03(f)</w:t>
      </w:r>
      <w:r>
        <w:rPr>
          <w:rFonts w:ascii="Arial" w:cs="Arial" w:eastAsia="Arial" w:hAnsi="Arial"/>
          <w:sz w:val="18"/>
          <w:szCs w:val="18"/>
          <w:color w:val="auto"/>
        </w:rPr>
        <w:t>.</w:t>
      </w:r>
    </w:p>
    <w:p>
      <w:pPr>
        <w:spacing w:after="0" w:line="184"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Company shall promptly examine a copy of each Letter of Credit and each amendment thereto that is delivered to it and, in the event of any claim of noncompliance with the Company’s instructions or other irregularity, the Company will immediately notify the applicable L/C Issuer. The Company shall be conclusively deemed to have waived any such claim against such L/C Issuer and its correspondents unless such notice is given as aforesaid.</w:t>
      </w:r>
    </w:p>
    <w:p>
      <w:pPr>
        <w:spacing w:after="0" w:line="79" w:lineRule="exact"/>
        <w:rPr>
          <w:sz w:val="20"/>
          <w:szCs w:val="20"/>
          <w:color w:val="auto"/>
        </w:rPr>
      </w:pPr>
    </w:p>
    <w:p>
      <w:pPr>
        <w:ind w:firstLine="436"/>
        <w:spacing w:after="0" w:line="284" w:lineRule="auto"/>
        <w:tabs>
          <w:tab w:leader="none" w:pos="66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Role of L/C Issuers.</w:t>
      </w:r>
      <w:r>
        <w:rPr>
          <w:rFonts w:ascii="Arial" w:cs="Arial" w:eastAsia="Arial" w:hAnsi="Arial"/>
          <w:sz w:val="16"/>
          <w:szCs w:val="16"/>
          <w:color w:val="auto"/>
        </w:rPr>
        <w:t xml:space="preserve"> Each Lender and the Company agree that, in paying any drawing under a Letter of Credit, no L/C Issuer shall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Company’s pursuing such rights and remedies as it may have against the beneficiary or transferee at law or under any other agreement. None of the L/C Issuers, the Administrative Agent, any of their respective Related Parties nor any correspondent, participant or assignee of an L/C Issuer shall be liable or responsible for any of the matters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(viii)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in such clauses to the contrary, the Company may have a claim against an L/C Issuer, and the applicable L/C Issuer may be liable to the Company, to the extent, but only to the extent, of any direct, as opposed to consequential or 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unless such L/C Issuer is prevented or prohibited from so paying as a result of any order or directive of any court or other Governmental Authority.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73" w:lineRule="exact"/>
        <w:rPr>
          <w:rFonts w:ascii="Arial" w:cs="Arial" w:eastAsia="Arial" w:hAnsi="Arial"/>
          <w:sz w:val="16"/>
          <w:szCs w:val="16"/>
          <w:color w:val="auto"/>
        </w:rPr>
      </w:pPr>
    </w:p>
    <w:p>
      <w:pPr>
        <w:ind w:right="100" w:firstLine="436"/>
        <w:spacing w:after="0" w:line="291" w:lineRule="auto"/>
        <w:tabs>
          <w:tab w:leader="none" w:pos="69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Applicability of ISP.</w:t>
      </w:r>
      <w:r>
        <w:rPr>
          <w:rFonts w:ascii="Arial" w:cs="Arial" w:eastAsia="Arial" w:hAnsi="Arial"/>
          <w:sz w:val="16"/>
          <w:szCs w:val="16"/>
          <w:color w:val="auto"/>
        </w:rPr>
        <w:t xml:space="preserve"> Unless otherwise expressly agreed by the applicable L/C Issuer and the Company when a Letter of Credit is issued, the rules of the ISP shall apply to each standby Letter of Credit. Notwithstanding the foregoing, no L/C Issuer shall be responsible to the Company for, and each L/C Issuer’s rights and remedies against the Company shall not be impaired by, any action or inaction of the applicable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58" w:name="page59"/>
    <w:bookmarkEnd w:id="58"/>
    <w:p>
      <w:pPr>
        <w:ind w:firstLine="436"/>
        <w:spacing w:after="0" w:line="269" w:lineRule="auto"/>
        <w:tabs>
          <w:tab w:leader="none" w:pos="69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 of Credit Fees.</w:t>
      </w:r>
      <w:r>
        <w:rPr>
          <w:rFonts w:ascii="Arial" w:cs="Arial" w:eastAsia="Arial" w:hAnsi="Arial"/>
          <w:sz w:val="17"/>
          <w:szCs w:val="17"/>
          <w:color w:val="auto"/>
        </w:rPr>
        <w:t xml:space="preserve"> The Company shall pay to the Administrative Agent for the account of each Lender in accordance, subject to </w:t>
      </w:r>
      <w:r>
        <w:rPr>
          <w:rFonts w:ascii="Arial" w:cs="Arial" w:eastAsia="Arial" w:hAnsi="Arial"/>
          <w:sz w:val="17"/>
          <w:szCs w:val="17"/>
          <w:u w:val="single" w:color="auto"/>
          <w:color w:val="auto"/>
        </w:rPr>
        <w:t>Section 2.17</w:t>
      </w:r>
      <w:r>
        <w:rPr>
          <w:rFonts w:ascii="Arial" w:cs="Arial" w:eastAsia="Arial" w:hAnsi="Arial"/>
          <w:sz w:val="17"/>
          <w:szCs w:val="17"/>
          <w:color w:val="auto"/>
        </w:rPr>
        <w:t>, with its Applicable Percentage, a Letter of Credit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xml:space="preserve">”) for each Letter of Credit equal to the Applicable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77" w:lineRule="exact"/>
        <w:rPr>
          <w:rFonts w:ascii="Arial" w:cs="Arial" w:eastAsia="Arial" w:hAnsi="Arial"/>
          <w:sz w:val="17"/>
          <w:szCs w:val="17"/>
          <w:color w:val="auto"/>
        </w:rPr>
      </w:pPr>
    </w:p>
    <w:p>
      <w:pPr>
        <w:ind w:right="40" w:firstLine="436"/>
        <w:spacing w:after="0" w:line="288"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Issuers</w:t>
      </w:r>
      <w:r>
        <w:rPr>
          <w:rFonts w:ascii="Arial" w:cs="Arial" w:eastAsia="Arial" w:hAnsi="Arial"/>
          <w:sz w:val="16"/>
          <w:szCs w:val="16"/>
          <w:color w:val="auto"/>
        </w:rPr>
        <w:t xml:space="preserve">. The Company shall pay directly to the applicable L/C Issuer for its own account a fronting fee with respect to each Letter of Credit, at the rate per annum specified in the applicable Fee Letter, computed on the Dollar Equivalent of the actual daily maximum amount available to be drawn under such Letter of Credit (whether or not such maximum amount is then in effect under such Letter of Credit) and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In addition, the Company shall pay directly to the applicable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60" w:lineRule="exact"/>
        <w:rPr>
          <w:rFonts w:ascii="Arial" w:cs="Arial" w:eastAsia="Arial" w:hAnsi="Arial"/>
          <w:sz w:val="16"/>
          <w:szCs w:val="16"/>
          <w:color w:val="auto"/>
        </w:rPr>
      </w:pPr>
    </w:p>
    <w:p>
      <w:pPr>
        <w:ind w:right="120" w:firstLine="436"/>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xml:space="preserve"> In the event of any conflict between the terms hereof and the terms of any Issuer Document, the terms hereof shall control.</w:t>
      </w:r>
    </w:p>
    <w:p>
      <w:pPr>
        <w:spacing w:after="0" w:line="62" w:lineRule="exact"/>
        <w:rPr>
          <w:rFonts w:ascii="Arial" w:cs="Arial" w:eastAsia="Arial" w:hAnsi="Arial"/>
          <w:sz w:val="18"/>
          <w:szCs w:val="18"/>
          <w:color w:val="auto"/>
        </w:rPr>
      </w:pPr>
    </w:p>
    <w:p>
      <w:pPr>
        <w:ind w:right="60" w:firstLine="436"/>
        <w:spacing w:after="0" w:line="279" w:lineRule="auto"/>
        <w:tabs>
          <w:tab w:leader="none" w:pos="69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Letters of Credit Issued for Subsidiaries.</w:t>
      </w:r>
      <w:r>
        <w:rPr>
          <w:rFonts w:ascii="Arial" w:cs="Arial" w:eastAsia="Arial" w:hAnsi="Arial"/>
          <w:sz w:val="17"/>
          <w:szCs w:val="17"/>
          <w:color w:val="auto"/>
        </w:rPr>
        <w:t xml:space="preserve"> Notwithstanding that a Letter of Credit issued or outstanding hereunder is in support of any obligations of, or is for the account of, a Subsidiary, the Company shall be obligated to reimburse the applicable L/C Issuer hereunder for any and all drawings under such Letter of Credit. The Company hereby acknowledges that the issuance of Letters of Credit for the account of Subsidiaries inures to the benefit of the Company, and that the Company’s business derives substantial benefits from the businesses of such Subsidiaries.</w:t>
      </w:r>
    </w:p>
    <w:p>
      <w:pPr>
        <w:spacing w:after="0" w:line="63" w:lineRule="exact"/>
        <w:rPr>
          <w:rFonts w:ascii="Arial" w:cs="Arial" w:eastAsia="Arial" w:hAnsi="Arial"/>
          <w:sz w:val="17"/>
          <w:szCs w:val="17"/>
          <w:color w:val="auto"/>
        </w:rPr>
      </w:pPr>
    </w:p>
    <w:p>
      <w:pPr>
        <w:ind w:right="120" w:firstLine="436"/>
        <w:spacing w:after="0" w:line="308"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L/C Issuer Reports to the Administrative Agent.</w:t>
      </w:r>
      <w:r>
        <w:rPr>
          <w:rFonts w:ascii="Arial" w:cs="Arial" w:eastAsia="Arial" w:hAnsi="Arial"/>
          <w:sz w:val="17"/>
          <w:szCs w:val="17"/>
          <w:color w:val="auto"/>
        </w:rPr>
        <w:t xml:space="preserve"> Unless otherwise agreed by the Administrative Agent, each L/C Issuer shall, in addition to its notification obligations set forth elsewhere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provide the Administrative Agent a Letter of Credit report, as set forth below:</w:t>
      </w:r>
    </w:p>
    <w:p>
      <w:pPr>
        <w:spacing w:after="0" w:line="38" w:lineRule="exact"/>
        <w:rPr>
          <w:rFonts w:ascii="Arial" w:cs="Arial" w:eastAsia="Arial" w:hAnsi="Arial"/>
          <w:sz w:val="17"/>
          <w:szCs w:val="17"/>
          <w:color w:val="auto"/>
        </w:rPr>
      </w:pPr>
    </w:p>
    <w:p>
      <w:pPr>
        <w:ind w:left="1080" w:hanging="221"/>
        <w:spacing w:after="0"/>
        <w:tabs>
          <w:tab w:leader="none" w:pos="10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reasonably prior to the time that such L/C Issuer issues, amends, renews, increases or extends a Letter of Credit, the date of such</w:t>
      </w:r>
    </w:p>
    <w:p>
      <w:pPr>
        <w:spacing w:after="0" w:line="34" w:lineRule="exact"/>
        <w:rPr>
          <w:rFonts w:ascii="Arial" w:cs="Arial" w:eastAsia="Arial" w:hAnsi="Arial"/>
          <w:sz w:val="17"/>
          <w:szCs w:val="17"/>
          <w:color w:val="auto"/>
        </w:rPr>
      </w:pPr>
    </w:p>
    <w:p>
      <w:pPr>
        <w:ind w:left="440" w:right="60"/>
        <w:spacing w:after="0" w:line="260" w:lineRule="auto"/>
        <w:rPr>
          <w:rFonts w:ascii="Arial" w:cs="Arial" w:eastAsia="Arial" w:hAnsi="Arial"/>
          <w:sz w:val="17"/>
          <w:szCs w:val="17"/>
          <w:color w:val="auto"/>
        </w:rPr>
      </w:pPr>
      <w:r>
        <w:rPr>
          <w:rFonts w:ascii="Arial" w:cs="Arial" w:eastAsia="Arial" w:hAnsi="Arial"/>
          <w:sz w:val="18"/>
          <w:szCs w:val="18"/>
          <w:color w:val="auto"/>
        </w:rPr>
        <w:t>issuance, amendment, renewal, increase or extension and the stated amount of the applicable Letters of Credit after giving effect to such issuance, amendment, renewal or extension (and whether the amounts thereof shall have changed);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59" w:name="page60"/>
    <w:bookmarkEnd w:id="59"/>
    <w:p>
      <w:pPr>
        <w:ind w:left="1120" w:hanging="261"/>
        <w:spacing w:after="0"/>
        <w:tabs>
          <w:tab w:leader="none" w:pos="1120" w:val="left"/>
        </w:tabs>
        <w:numPr>
          <w:ilvl w:val="1"/>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each Business Day on which such L/C Issuer makes a payment pursuant to a Letter of Credit, the date and amount of such payment;</w:t>
      </w:r>
    </w:p>
    <w:p>
      <w:pPr>
        <w:spacing w:after="0" w:line="140" w:lineRule="exact"/>
        <w:rPr>
          <w:rFonts w:ascii="Arial" w:cs="Arial" w:eastAsia="Arial" w:hAnsi="Arial"/>
          <w:sz w:val="16"/>
          <w:szCs w:val="16"/>
          <w:color w:val="auto"/>
        </w:rPr>
      </w:pPr>
    </w:p>
    <w:p>
      <w:pPr>
        <w:ind w:left="440" w:firstLine="419"/>
        <w:spacing w:after="0" w:line="277" w:lineRule="auto"/>
        <w:tabs>
          <w:tab w:leader="none" w:pos="1178" w:val="left"/>
        </w:tabs>
        <w:numPr>
          <w:ilvl w:val="1"/>
          <w:numId w:val="52"/>
        </w:numPr>
        <w:rPr>
          <w:rFonts w:ascii="Arial" w:cs="Arial" w:eastAsia="Arial" w:hAnsi="Arial"/>
          <w:sz w:val="18"/>
          <w:szCs w:val="18"/>
          <w:color w:val="auto"/>
        </w:rPr>
      </w:pPr>
      <w:r>
        <w:rPr>
          <w:rFonts w:ascii="Arial" w:cs="Arial" w:eastAsia="Arial" w:hAnsi="Arial"/>
          <w:sz w:val="18"/>
          <w:szCs w:val="18"/>
          <w:color w:val="auto"/>
        </w:rPr>
        <w:t>on any Business Day on which the Company fails to reimburse a payment made pursuant to a Letter of Credit required to be reimbursed to such L/C Issuer on such day, the date of such failure and the amount of such payment;</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on any Business Day that such L/C Issuer agrees to increase its L/C Commitment and the amount of such increase;</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on any other Business Day, such other information as the Administrative Agent shall reasonably request as to the Letters of Credit issued by such L/C Issuer; and</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for so long as any Letter of Credit issued by an L/C Issuer is outstanding, such L/C Issuer shall deliver to the Administrative Agent</w:t>
      </w:r>
    </w:p>
    <w:p>
      <w:pPr>
        <w:spacing w:after="0" w:line="34" w:lineRule="exact"/>
        <w:rPr>
          <w:rFonts w:ascii="Arial" w:cs="Arial" w:eastAsia="Arial" w:hAnsi="Arial"/>
          <w:sz w:val="17"/>
          <w:szCs w:val="17"/>
          <w:color w:val="auto"/>
        </w:rPr>
      </w:pPr>
    </w:p>
    <w:p>
      <w:pPr>
        <w:ind w:left="440" w:right="60" w:hanging="4"/>
        <w:spacing w:after="0" w:line="253" w:lineRule="auto"/>
        <w:tabs>
          <w:tab w:leader="none" w:pos="7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b w:val="1"/>
          <w:bCs w:val="1"/>
          <w:u w:val="single" w:color="auto"/>
          <w:color w:val="auto"/>
        </w:rPr>
        <w:t>Swing Line Loans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36"/>
        <w:spacing w:after="0" w:line="269" w:lineRule="auto"/>
        <w:tabs>
          <w:tab w:leader="none" w:pos="68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The Swing Line.</w:t>
      </w:r>
      <w:r>
        <w:rPr>
          <w:rFonts w:ascii="Arial" w:cs="Arial" w:eastAsia="Arial" w:hAnsi="Arial"/>
          <w:sz w:val="17"/>
          <w:szCs w:val="17"/>
          <w:color w:val="auto"/>
        </w:rPr>
        <w:t xml:space="preserve"> Subject to the terms and conditions set forth herein, the Swing Line Lender agrees, in reliance upon the agreements of the other Lenders set forth in this </w:t>
      </w:r>
      <w:r>
        <w:rPr>
          <w:rFonts w:ascii="Arial" w:cs="Arial" w:eastAsia="Arial" w:hAnsi="Arial"/>
          <w:sz w:val="17"/>
          <w:szCs w:val="17"/>
          <w:u w:val="single" w:color="auto"/>
          <w:color w:val="auto"/>
        </w:rPr>
        <w:t>Section 2.04</w:t>
      </w:r>
      <w:r>
        <w:rPr>
          <w:rFonts w:ascii="Arial" w:cs="Arial" w:eastAsia="Arial" w:hAnsi="Arial"/>
          <w:sz w:val="17"/>
          <w:szCs w:val="17"/>
          <w:color w:val="auto"/>
        </w:rPr>
        <w:t>, to make loans in Dollars (each such loan, a “</w:t>
      </w:r>
      <w:r>
        <w:rPr>
          <w:rFonts w:ascii="Arial" w:cs="Arial" w:eastAsia="Arial" w:hAnsi="Arial"/>
          <w:sz w:val="17"/>
          <w:szCs w:val="17"/>
          <w:u w:val="single" w:color="auto"/>
          <w:color w:val="auto"/>
        </w:rPr>
        <w:t>Swing Line Loan</w:t>
      </w:r>
      <w:r>
        <w:rPr>
          <w:rFonts w:ascii="Arial" w:cs="Arial" w:eastAsia="Arial" w:hAnsi="Arial"/>
          <w:sz w:val="17"/>
          <w:szCs w:val="17"/>
          <w:color w:val="auto"/>
        </w:rPr>
        <w:t xml:space="preserve">”) to the Company from time to time on any Business Day during the Availability Period in an aggregate amount not to exceed at any time outstanding the amount of the Swing Line Sublimit;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Swing Line Loan, (i) the Total Outstandings shall not exceed the Aggregate Commitments, and (ii) the Revolving Credit Exposure of any Lender shall not exceed such Lender’s Commitment,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(x) Company shall not use the proceeds of any Swing Line Loan to refinance any outstanding Swing Line Loan and (y)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Company may 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Each Swing Line Loan shall be a Base Rate Loan.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Swing Line Loan.</w:t>
      </w:r>
    </w:p>
    <w:p>
      <w:pPr>
        <w:spacing w:after="0" w:line="70" w:lineRule="exact"/>
        <w:rPr>
          <w:rFonts w:ascii="Arial" w:cs="Arial" w:eastAsia="Arial" w:hAnsi="Arial"/>
          <w:sz w:val="17"/>
          <w:szCs w:val="17"/>
          <w:color w:val="auto"/>
        </w:rPr>
      </w:pPr>
    </w:p>
    <w:p>
      <w:pPr>
        <w:ind w:right="40" w:firstLine="436"/>
        <w:spacing w:after="0" w:line="271" w:lineRule="auto"/>
        <w:tabs>
          <w:tab w:leader="none" w:pos="69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Borrowing Procedures.</w:t>
      </w:r>
      <w:r>
        <w:rPr>
          <w:rFonts w:ascii="Arial" w:cs="Arial" w:eastAsia="Arial" w:hAnsi="Arial"/>
          <w:sz w:val="17"/>
          <w:szCs w:val="17"/>
          <w:color w:val="auto"/>
        </w:rPr>
        <w:t xml:space="preserve"> Each Swing Line Borrowing shall be made upon the Company’s irrevocable notice to the Swing Line Lender and the Administrative Agent, which may be given by (i) telephone or (ii) by a Swing Line Loan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(A) the amount to be borrowed, which shall be a minimum of $500,000, and (B) the requested borrowing date,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60" w:name="page61"/>
    <w:bookmarkEnd w:id="60"/>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has received notice (by telephone or in writing) from the Administrative Agent (including at the request of any Lender) prior to 2:00 p.m. on the date of the proposed Swing Line Borrowing (1) directing the Swing Line Lender not to make such Swing Line Loan as a result of the limitations set forth in the first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(2) that one or more of the applicable conditions specified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Company at its office by crediting the account of the Company on the books of the Swing Line Lender in Same Day Funds.</w:t>
      </w:r>
    </w:p>
    <w:p>
      <w:pPr>
        <w:spacing w:after="0" w:line="84" w:lineRule="exact"/>
        <w:rPr>
          <w:sz w:val="20"/>
          <w:szCs w:val="20"/>
          <w:color w:val="auto"/>
        </w:rPr>
      </w:pPr>
    </w:p>
    <w:p>
      <w:pPr>
        <w:ind w:left="680" w:hanging="244"/>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86" w:lineRule="auto"/>
        <w:tabs>
          <w:tab w:leader="none" w:pos="1078"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Each Swing Line Loan shall be due and payable on the tenth Business Day following the making of such Swing Line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Swing Line Lender at any time in its sole and absolute discretion may request, on behalf of the Company (which hereby irrevocably authorizes the Swing Line Lender to so request on its behalf), that each Lender make a Base Rate Committed Loan in an amount equal to such Lender’s Applicable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provided that, after giving effect to such Borrowing, the Total Outstandings shall not exceed the Aggregate Commitments. The Swing Line Lender shall furnish the Company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for Dollar-denominated payments not later than 1:00 p.m.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Lender that so makes funds available shall be deemed to have made a Base Rate Committed Loan to the Company in such amount. The Administrative Agent shall remit the funds so received to the Swing Line Lender.</w:t>
      </w:r>
    </w:p>
    <w:p>
      <w:pPr>
        <w:spacing w:after="0" w:line="62" w:lineRule="exact"/>
        <w:rPr>
          <w:rFonts w:ascii="Arial" w:cs="Arial" w:eastAsia="Arial" w:hAnsi="Arial"/>
          <w:sz w:val="16"/>
          <w:szCs w:val="16"/>
          <w:color w:val="auto"/>
        </w:rPr>
      </w:pPr>
    </w:p>
    <w:p>
      <w:pPr>
        <w:ind w:left="440" w:right="20" w:firstLine="419"/>
        <w:spacing w:after="0" w:line="301" w:lineRule="auto"/>
        <w:tabs>
          <w:tab w:leader="none" w:pos="1128"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Committed Borrowing in accordance with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the request for Base Rate Committed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shall be deemed payment in respect of such participation.</w:t>
      </w:r>
    </w:p>
    <w:p>
      <w:pPr>
        <w:spacing w:after="0" w:line="49" w:lineRule="exact"/>
        <w:rPr>
          <w:rFonts w:ascii="Arial" w:cs="Arial" w:eastAsia="Arial" w:hAnsi="Arial"/>
          <w:sz w:val="16"/>
          <w:szCs w:val="16"/>
          <w:color w:val="auto"/>
        </w:rPr>
      </w:pPr>
    </w:p>
    <w:p>
      <w:pPr>
        <w:ind w:left="440" w:right="20" w:firstLine="419"/>
        <w:spacing w:after="0" w:line="270" w:lineRule="auto"/>
        <w:tabs>
          <w:tab w:leader="none" w:pos="1178" w:val="left"/>
        </w:tabs>
        <w:numPr>
          <w:ilvl w:val="1"/>
          <w:numId w:val="55"/>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Lender pays such amount (with interest and fees as aforesaid), the amount so paid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shall be conclusive absent manifest error.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61" w:name="page62"/>
    <w:bookmarkEnd w:id="61"/>
    <w:p>
      <w:pPr>
        <w:ind w:left="440" w:firstLine="419"/>
        <w:spacing w:after="0" w:line="254" w:lineRule="auto"/>
        <w:tabs>
          <w:tab w:leader="none" w:pos="1168"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Lender’s obligation to make Committed Loans or to purchase and fund risk participations in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Swing Line Lender, the Company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Committed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the Company to repay Swing Line Loans, together with interest as provided herein.</w:t>
      </w:r>
    </w:p>
    <w:p>
      <w:pPr>
        <w:spacing w:after="0" w:line="86" w:lineRule="exact"/>
        <w:rPr>
          <w:rFonts w:ascii="Arial" w:cs="Arial" w:eastAsia="Arial" w:hAnsi="Arial"/>
          <w:sz w:val="18"/>
          <w:szCs w:val="18"/>
          <w:color w:val="auto"/>
        </w:rPr>
      </w:pPr>
    </w:p>
    <w:p>
      <w:pPr>
        <w:ind w:left="700" w:hanging="264"/>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19"/>
        <w:spacing w:after="0" w:line="259" w:lineRule="auto"/>
        <w:tabs>
          <w:tab w:leader="none" w:pos="107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(appropriately adjusted, in the case of interest payments, to reflect the period of time during which such Lender’s risk participation was funded) in the same funds as those received by the Swing Line Lender.</w:t>
      </w:r>
    </w:p>
    <w:p>
      <w:pPr>
        <w:spacing w:after="0" w:line="78" w:lineRule="exact"/>
        <w:rPr>
          <w:rFonts w:ascii="Arial" w:cs="Arial" w:eastAsia="Arial" w:hAnsi="Arial"/>
          <w:sz w:val="18"/>
          <w:szCs w:val="18"/>
          <w:color w:val="auto"/>
        </w:rPr>
      </w:pPr>
    </w:p>
    <w:p>
      <w:pPr>
        <w:ind w:left="440" w:right="20" w:firstLine="419"/>
        <w:spacing w:after="0" w:line="273" w:lineRule="auto"/>
        <w:tabs>
          <w:tab w:leader="none" w:pos="1128"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69" w:lineRule="exact"/>
        <w:rPr>
          <w:rFonts w:ascii="Arial" w:cs="Arial" w:eastAsia="Arial" w:hAnsi="Arial"/>
          <w:sz w:val="17"/>
          <w:szCs w:val="17"/>
          <w:color w:val="auto"/>
        </w:rPr>
      </w:pPr>
    </w:p>
    <w:p>
      <w:pPr>
        <w:ind w:right="180" w:firstLine="436"/>
        <w:spacing w:after="0" w:line="259" w:lineRule="auto"/>
        <w:tabs>
          <w:tab w:leader="none" w:pos="68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the Company for interest on the Swing Line Loans. Until each Lender funds its Base Rate Committed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Lender’s Applicable Percentage of any Swing Line Loan, interest in respect of such Applicable Percentage shall be solely for the account of the Swing Line Lender.</w:t>
      </w:r>
    </w:p>
    <w:p>
      <w:pPr>
        <w:spacing w:after="0" w:line="78" w:lineRule="exact"/>
        <w:rPr>
          <w:rFonts w:ascii="Arial" w:cs="Arial" w:eastAsia="Arial" w:hAnsi="Arial"/>
          <w:sz w:val="18"/>
          <w:szCs w:val="18"/>
          <w:color w:val="auto"/>
        </w:rPr>
      </w:pPr>
    </w:p>
    <w:p>
      <w:pPr>
        <w:ind w:right="180" w:firstLine="436"/>
        <w:spacing w:after="0" w:line="277" w:lineRule="auto"/>
        <w:tabs>
          <w:tab w:leader="none" w:pos="66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xml:space="preserve"> The Company shall make all payments of principal and interest in respect of the Swing Line Loans directly to the Swing Line Lender.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2.05 </w:t>
      </w:r>
      <w:r>
        <w:rPr>
          <w:rFonts w:ascii="Arial" w:cs="Arial" w:eastAsia="Arial" w:hAnsi="Arial"/>
          <w:sz w:val="18"/>
          <w:szCs w:val="18"/>
          <w:b w:val="1"/>
          <w:bCs w:val="1"/>
          <w:u w:val="single" w:color="auto"/>
          <w:color w:val="auto"/>
        </w:rPr>
        <w:t>Prepayments</w:t>
      </w:r>
      <w:r>
        <w:rPr>
          <w:rFonts w:ascii="Arial" w:cs="Arial" w:eastAsia="Arial" w:hAnsi="Arial"/>
          <w:sz w:val="18"/>
          <w:szCs w:val="18"/>
          <w:b w:val="1"/>
          <w:bCs w:val="1"/>
          <w:color w:val="auto"/>
        </w:rPr>
        <w:t>.</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Each Borrower may, upon notice from such Borrower to the Administrative Agent, at any time or from time to time voluntarily prepay Committed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notice must be in a form acceptable to the Administrative Agent and received by the Administrative Agent not later than 11:00 a.m. (i) three Business Days prior to any date of prepayment of Eurocurrency Rate Loans denominated in Dollars (ii) four Business Days (or five, in the case of prepayment of Loans denominated in Special Notice Currencies) prior to any date of prepayment of Eurocurrency Rate Loans denominated in Alternative Currencies and/or Alternative Currency Loans and (iii) on the date 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2" w:name="page63"/>
    <w:bookmarkEnd w:id="62"/>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prepayment of Base Rate Committed Loans; (b) any prepayment of Eurocurrency Rate Loans denominated in Dollars shall be in a principal amount of $500,000 or a whole multiple of $100,000 in excess thereof; (c) any prepayment of Eurocurrency Rate Loans denominated in Alternative Currencies or Alternative Currency Loans shall be in a minimum principal amount of $500,000 or a whole multiple of $100,000 in excess thereof; and (d) any prepayment of Base Rate Committed Loans shall be in a principal amount of $500,000 or a whole multiple of $100,000 in excess thereof or, in each case, if less, the entire principal amount thereof then outstanding. Each such notice shall specify the date, currency and amount of such prepayment and the Type(s) of Committed Loans to be prepaid and, if Eurocurrency Rate Loans or Alternative Currency Term Rate Loans are to be prepaid, the Interest Period(s) of such Loans. The Administrative Agent will promptly notify each Lender of its receipt of each such notice, and of the amount of such Lender’s Applicable Percentage of such prepayment. Any notice delivered by a Borrower pursuant to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may state that such notice is conditioned upon the effectiveness of one or more events specified therein, in which case such notice may be revoked by a Borrower (by notice to the Administrative Agent on or prior to the specified effective date) if such condition is not satisfied. Subject to the foregoing sentence, if such notice is given by any Borrower, such Borrower shall make such prepayment and the payment amount specified in such notice shall be due and payable on the date specified therein. Any prepayment of a Eurocurrency Rate Loan and/or an Alternative Currency Loan shall be accompanied by all accrued interest on the amount prepaid, together with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Each such prepayment shall be applied to the Committed Loans of the Lenders in accordance with their respective Applicable Percentages.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may, upon notice to the Swing Line Lender (with a copy to the Administrative Agent), at any time or 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notice must be received by the Swing Line Lender and the Administrative Agent not later than 1:00 p.m. on the date of the prepayment, and (b) any such prepayment shall be in a minimum principal amount of $500,000 or a whole multiple of $100,000 in excess thereof. Each such notice shall specify the date and amount of such prepayment. If such notice is given by the Company, the Company shall make such prepayment and the payment amount specified in such notice shall be due and payable on the date specified therein.</w:t>
      </w:r>
    </w:p>
    <w:p>
      <w:pPr>
        <w:spacing w:after="0" w:line="19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If the Administrative Agent notifies the Company at any time that, for any reason, the Total Outstandings at such time exceed the Aggregate Commitments then in effect, the Borrowers shall immediately prepay Loans and/or the Company shall Cash Collateralize the L/C Obligations in an aggregate amount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required to Cash Collateralize the L/C Obligations pursuant to this paragraph of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unless after the prepayment in full of the Loans the Total Outstandings exceed the Aggregate Commitments then in effect.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2.06 </w:t>
      </w:r>
      <w:r>
        <w:rPr>
          <w:rFonts w:ascii="Arial" w:cs="Arial" w:eastAsia="Arial" w:hAnsi="Arial"/>
          <w:sz w:val="18"/>
          <w:szCs w:val="18"/>
          <w:b w:val="1"/>
          <w:bCs w:val="1"/>
          <w:u w:val="single" w:color="auto"/>
          <w:color w:val="auto"/>
        </w:rPr>
        <w:t>Termination or Reduction of Commitments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The Company may, upon notice to the Administrative Agent, terminate the Aggregate Commitments, or from time to time permanently reduce the Aggregate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such notice shall be received by the Administrative Agent not later than 11:00 a.m. five Business Days prior to the date of termination or reduction, (b) any such partial reduction shall be in an aggregate amount of $10,000,000 or any whole multiple of $1,000,000 in excess thereof, (c) the Company shall not terminate or reduce the Aggregate Commitments if, after giving effect thereto and to any concurrent prepayments hereunder, the Total Outstandings would exceed the Aggregate Commitments, and (d) if, after giving effect to any reduction of the Aggregate Commitments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Cash Collateralization of the L/C Obligations hereunder), the Letter of Credit Sublimit or the Swing Line Sublimit exceeds the amount of the Aggregate Commitments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Cash Collateralization of the L/C Obligations hereunder), such sublimit shall be automatically reduced by the amount of such excess. The Administrative Agent will promptly notify the Lenders of any such notice of termination or reduction of the Letter of Credit Sublimit, Swingline Sublimit,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3" w:name="page64"/>
    <w:bookmarkEnd w:id="6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the Aggregate Commitments. Any notice delivered by the Company pursuant to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may state that such notice is conditioned upon the effectiveness of one or more events specified therein, in which case such notice may be revoked by the Company (by notice to the Administrative Agent on or prior to the specified effective date) if such condition is not satisfied. Any reduction of the Aggregate Commitments shall be applied to the Commitment of each Lender according to its Applicable Percentage. All fees accrued until the effective date of any termination of the Aggregate Commitments shall be paid on the effective date of such termination. On the Full Availability Expiration Date, the Aggregate Commitments shall be automatically reduced by $1,250,000,000, which reduction shall be allocated to reduce each Lender’s Commitment ratably in accordance with the Lenders’ respective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no such reduction shall reduce or otherwise affect the Interim Availability.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2.07 </w:t>
      </w:r>
      <w:r>
        <w:rPr>
          <w:rFonts w:ascii="Arial" w:cs="Arial" w:eastAsia="Arial" w:hAnsi="Arial"/>
          <w:sz w:val="18"/>
          <w:szCs w:val="18"/>
          <w:b w:val="1"/>
          <w:bCs w:val="1"/>
          <w:u w:val="single" w:color="auto"/>
          <w:color w:val="auto"/>
        </w:rPr>
        <w:t>Repayment of Loans</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36"/>
        <w:spacing w:after="0" w:line="277" w:lineRule="auto"/>
        <w:tabs>
          <w:tab w:leader="none" w:pos="6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Borrower shall repay to each Lender on the applicable Maturity Date the aggregate principal amount of Committed Loans made to such Borrower by such Lender outstanding on such date, and such Lender’s Commitment shall terminate on such date.</w:t>
      </w:r>
    </w:p>
    <w:p>
      <w:pPr>
        <w:spacing w:after="0" w:line="62" w:lineRule="exact"/>
        <w:rPr>
          <w:rFonts w:ascii="Arial" w:cs="Arial" w:eastAsia="Arial" w:hAnsi="Arial"/>
          <w:sz w:val="18"/>
          <w:szCs w:val="18"/>
          <w:color w:val="auto"/>
        </w:rPr>
      </w:pPr>
    </w:p>
    <w:p>
      <w:pPr>
        <w:ind w:right="180" w:firstLine="436"/>
        <w:spacing w:after="0" w:line="277"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shall repay each Swing Line Loan on the earlier to occur of (i) the date ten Business Days after such Loan is made and (ii) the Maturity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2.08 </w:t>
      </w: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36"/>
        <w:spacing w:after="0" w:line="289" w:lineRule="auto"/>
        <w:tabs>
          <w:tab w:leader="none" w:pos="685"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below, (i) each Eurocurrency Rate Loan shall bear interest on the outstanding principal amount thereof for each Interest Period at a rate per annum equal to the Eurocurrency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Eurocurrency Rate Loans; (ii) each Base Rate Committed Loan shall bear interest on the outstanding principal amount thereof from the applicable borrowing date at a rate per annum equal to the Base Rate plus the Applicable Rate for Base Rate Committed Loans; (iii) each Alternative Currency Daily Rate Loan shall bear interest on the outstanding principal amount thereof from the borrowing date at a rate per annum equal to the Alternative Currency Daily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Alternative Currency Daily Rate Loans; (iv) each Alternative Currency Term Rate Loan shall bear interest on the outstanding principal amount thereof for each Interest Period at a rate per annum equal to the Alternative Currency Term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Alternative Currency Term Rate Loans; and (v) each Swing Line Loan shall bear interest on the outstanding principal amount thereof from the applicable borrowing date at a rate per annum equal to the Base Rate plus the Applicable Rate for Base Rate Committed Loans.</w:t>
      </w:r>
    </w:p>
    <w:p>
      <w:pPr>
        <w:spacing w:after="0" w:line="58" w:lineRule="exact"/>
        <w:rPr>
          <w:rFonts w:ascii="Arial" w:cs="Arial" w:eastAsia="Arial" w:hAnsi="Arial"/>
          <w:sz w:val="16"/>
          <w:szCs w:val="16"/>
          <w:color w:val="auto"/>
        </w:rPr>
      </w:pPr>
    </w:p>
    <w:p>
      <w:pPr>
        <w:ind w:right="120" w:firstLine="436"/>
        <w:spacing w:after="0" w:line="263" w:lineRule="auto"/>
        <w:tabs>
          <w:tab w:leader="none" w:pos="7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(1)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75" w:lineRule="exact"/>
        <w:rPr>
          <w:rFonts w:ascii="Arial" w:cs="Arial" w:eastAsia="Arial" w:hAnsi="Arial"/>
          <w:sz w:val="18"/>
          <w:szCs w:val="18"/>
          <w:color w:val="auto"/>
        </w:rPr>
      </w:pPr>
    </w:p>
    <w:p>
      <w:pPr>
        <w:ind w:left="440" w:right="220" w:firstLine="419"/>
        <w:spacing w:after="0" w:line="259" w:lineRule="auto"/>
        <w:tabs>
          <w:tab w:leader="none" w:pos="1128"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78" w:lineRule="exact"/>
        <w:rPr>
          <w:rFonts w:ascii="Arial" w:cs="Arial" w:eastAsia="Arial" w:hAnsi="Arial"/>
          <w:sz w:val="18"/>
          <w:szCs w:val="18"/>
          <w:color w:val="auto"/>
        </w:rPr>
      </w:pPr>
    </w:p>
    <w:p>
      <w:pPr>
        <w:ind w:left="440" w:firstLine="419"/>
        <w:spacing w:after="0" w:line="263" w:lineRule="auto"/>
        <w:tabs>
          <w:tab w:leader="none" w:pos="11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Upon the request of the Required Lenders, while any Event of Default exists, the Borrowers shall pay interest on the principal amount of all outstanding Obligations hereunder at a fluctuating interest rate per annum at all times equal to the Default Rate to the fullest extent permitted by applicable 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64" w:name="page65"/>
    <w:bookmarkEnd w:id="64"/>
    <w:p>
      <w:pPr>
        <w:ind w:left="1160" w:hanging="301"/>
        <w:spacing w:after="0"/>
        <w:tabs>
          <w:tab w:leader="none" w:pos="1160" w:val="left"/>
        </w:tabs>
        <w:numPr>
          <w:ilvl w:val="1"/>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Accrued and unpaid interest on past due amounts (including interest on past due interest) shall be due and payable upon demand.</w:t>
      </w:r>
    </w:p>
    <w:p>
      <w:pPr>
        <w:spacing w:after="0" w:line="128" w:lineRule="exact"/>
        <w:rPr>
          <w:rFonts w:ascii="Arial" w:cs="Arial" w:eastAsia="Arial" w:hAnsi="Arial"/>
          <w:sz w:val="17"/>
          <w:szCs w:val="17"/>
          <w:color w:val="auto"/>
        </w:rPr>
      </w:pPr>
    </w:p>
    <w:p>
      <w:pPr>
        <w:ind w:right="180" w:firstLine="436"/>
        <w:spacing w:after="0" w:line="263" w:lineRule="auto"/>
        <w:tabs>
          <w:tab w:leader="none" w:pos="6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2.09 </w:t>
      </w:r>
      <w:r>
        <w:rPr>
          <w:rFonts w:ascii="Arial" w:cs="Arial" w:eastAsia="Arial" w:hAnsi="Arial"/>
          <w:sz w:val="18"/>
          <w:szCs w:val="18"/>
          <w:b w:val="1"/>
          <w:bCs w:val="1"/>
          <w:u w:val="single" w:color="auto"/>
          <w:color w:val="auto"/>
        </w:rPr>
        <w:t>Fees</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In addition to certain fees described in </w:t>
      </w:r>
      <w:r>
        <w:rPr>
          <w:rFonts w:ascii="Arial" w:cs="Arial" w:eastAsia="Arial" w:hAnsi="Arial"/>
          <w:sz w:val="18"/>
          <w:szCs w:val="18"/>
          <w:u w:val="single" w:color="auto"/>
          <w:color w:val="auto"/>
        </w:rPr>
        <w:t>clauses (h)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9" w:lineRule="auto"/>
        <w:tabs>
          <w:tab w:leader="none" w:pos="685"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Facility Fee.</w:t>
      </w:r>
      <w:r>
        <w:rPr>
          <w:rFonts w:ascii="Arial" w:cs="Arial" w:eastAsia="Arial" w:hAnsi="Arial"/>
          <w:sz w:val="17"/>
          <w:szCs w:val="17"/>
          <w:color w:val="auto"/>
        </w:rPr>
        <w:t xml:space="preserve"> The Company shall pay to the Administrative Agent for the account of each Lender, in accordance with its Applicable Percentage, a facility fee (the “</w:t>
      </w:r>
      <w:r>
        <w:rPr>
          <w:rFonts w:ascii="Arial" w:cs="Arial" w:eastAsia="Arial" w:hAnsi="Arial"/>
          <w:sz w:val="17"/>
          <w:szCs w:val="17"/>
          <w:u w:val="single" w:color="auto"/>
          <w:color w:val="auto"/>
        </w:rPr>
        <w:t>Facility Fee</w:t>
      </w:r>
      <w:r>
        <w:rPr>
          <w:rFonts w:ascii="Arial" w:cs="Arial" w:eastAsia="Arial" w:hAnsi="Arial"/>
          <w:sz w:val="17"/>
          <w:szCs w:val="17"/>
          <w:color w:val="auto"/>
        </w:rPr>
        <w:t xml:space="preserve">”) in Dollars equal to the Applicable Rate for the Facility Fee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actual daily amount of the Interim Availability (or, if the Aggregate Commitments have terminated, on the Outstanding Amount of all Committed Loans, Swing Line Loans and L/C Obligations), regardless of usage, subject to adjustment as provided in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all times on and after the Full Availability Closing Date, the Facility Fee shall be an amount equal to the Applicable Rate for the Facility Fee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actual daily amount of the Full Availability (or, if the Aggregate Commitments have terminated, on the Outstanding Amount of all Committed Loans, Swing Line Loans and L/C Obligations). The Facility Fee shall accrue at all times during the Availability Period (and thereafter so long as any Committed Loans, Swing Line Loans or L/C Obligations remain outstanding), including at any time during which one or more of the conditions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70" w:lineRule="exact"/>
        <w:rPr>
          <w:rFonts w:ascii="Arial" w:cs="Arial" w:eastAsia="Arial" w:hAnsi="Arial"/>
          <w:sz w:val="17"/>
          <w:szCs w:val="17"/>
          <w:color w:val="auto"/>
        </w:rPr>
      </w:pPr>
    </w:p>
    <w:p>
      <w:pPr>
        <w:ind w:left="700" w:hanging="264"/>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Fees.</w:t>
      </w:r>
    </w:p>
    <w:p>
      <w:pPr>
        <w:spacing w:after="0" w:line="117" w:lineRule="exact"/>
        <w:rPr>
          <w:rFonts w:ascii="Arial" w:cs="Arial" w:eastAsia="Arial" w:hAnsi="Arial"/>
          <w:sz w:val="18"/>
          <w:szCs w:val="18"/>
          <w:color w:val="auto"/>
        </w:rPr>
      </w:pPr>
    </w:p>
    <w:p>
      <w:pPr>
        <w:ind w:left="440" w:right="80" w:firstLine="419"/>
        <w:spacing w:after="0" w:line="342" w:lineRule="auto"/>
        <w:tabs>
          <w:tab w:leader="none" w:pos="1078"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Company shall pay to the Arrangers and the Administrative Agent for their own respective accounts, in Dollars, fees in the amounts and at the times specified in the Fee Letters. Such fees shall be fully earned when paid and shall not be refundable for any reason whatsoever.</w:t>
      </w:r>
    </w:p>
    <w:p>
      <w:pPr>
        <w:spacing w:after="0" w:line="15" w:lineRule="exact"/>
        <w:rPr>
          <w:rFonts w:ascii="Arial" w:cs="Arial" w:eastAsia="Arial" w:hAnsi="Arial"/>
          <w:sz w:val="16"/>
          <w:szCs w:val="16"/>
          <w:color w:val="auto"/>
        </w:rPr>
      </w:pPr>
    </w:p>
    <w:p>
      <w:pPr>
        <w:ind w:left="440" w:right="120" w:firstLine="419"/>
        <w:spacing w:after="0" w:line="308" w:lineRule="auto"/>
        <w:tabs>
          <w:tab w:leader="none" w:pos="1128"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Company shall pay to the Lenders, in Dollars, such fees as shall have been separately agreed upon in writing in the amounts and at the times so specified. Such fees shall be fully earned when paid and shall not be refundable for any reason whatsoever.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b w:val="1"/>
          <w:bCs w:val="1"/>
          <w:u w:val="single" w:color="auto"/>
          <w:color w:val="auto"/>
        </w:rPr>
        <w:t>Computation of Interest and Fees</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40"/>
        <w:spacing w:after="0" w:line="290" w:lineRule="auto"/>
        <w:rPr>
          <w:sz w:val="20"/>
          <w:szCs w:val="20"/>
          <w:color w:val="auto"/>
        </w:rPr>
      </w:pPr>
      <w:r>
        <w:rPr>
          <w:rFonts w:ascii="Arial" w:cs="Arial" w:eastAsia="Arial" w:hAnsi="Arial"/>
          <w:sz w:val="16"/>
          <w:szCs w:val="16"/>
          <w:color w:val="auto"/>
        </w:rPr>
        <w:t xml:space="preserve">All computations of interest for Base Rate Loans (including Base Rate Loans determined by reference to the Eurocurrency Rate) and for Loans denominated in Alternative Currency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day on which it is made shall, subject to </w:t>
      </w:r>
      <w:r>
        <w:rPr>
          <w:rFonts w:ascii="Arial" w:cs="Arial" w:eastAsia="Arial" w:hAnsi="Arial"/>
          <w:sz w:val="16"/>
          <w:szCs w:val="16"/>
          <w:u w:val="single" w:color="auto"/>
          <w:color w:val="auto"/>
        </w:rPr>
        <w:t>Section 2.12(a)</w:t>
      </w:r>
      <w:r>
        <w:rPr>
          <w:rFonts w:ascii="Arial" w:cs="Arial" w:eastAsia="Arial" w:hAnsi="Arial"/>
          <w:sz w:val="16"/>
          <w:szCs w:val="16"/>
          <w:color w:val="auto"/>
        </w:rPr>
        <w:t>, bear interest for one day. Each determination by the Administrative Agent of an interest rate or fee hereunder shall be conclusive and binding for all purposes, absent manifest error.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2.11 </w:t>
      </w:r>
      <w:r>
        <w:rPr>
          <w:rFonts w:ascii="Arial" w:cs="Arial" w:eastAsia="Arial" w:hAnsi="Arial"/>
          <w:sz w:val="18"/>
          <w:szCs w:val="18"/>
          <w:b w:val="1"/>
          <w:bCs w:val="1"/>
          <w:u w:val="single" w:color="auto"/>
          <w:color w:val="auto"/>
        </w:rPr>
        <w:t>Evidence of Debt</w:t>
      </w:r>
      <w:r>
        <w:rPr>
          <w:rFonts w:ascii="Arial" w:cs="Arial" w:eastAsia="Arial" w:hAnsi="Arial"/>
          <w:sz w:val="18"/>
          <w:szCs w:val="18"/>
          <w:color w:val="auto"/>
        </w:rPr>
        <w:t>.</w:t>
      </w:r>
    </w:p>
    <w:p>
      <w:pPr>
        <w:spacing w:after="0" w:line="121" w:lineRule="exact"/>
        <w:rPr>
          <w:sz w:val="20"/>
          <w:szCs w:val="20"/>
          <w:color w:val="auto"/>
        </w:rPr>
      </w:pPr>
    </w:p>
    <w:p>
      <w:pPr>
        <w:ind w:right="20" w:firstLine="436"/>
        <w:spacing w:after="0" w:line="269" w:lineRule="auto"/>
        <w:tabs>
          <w:tab w:leader="none" w:pos="68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77" w:lineRule="exact"/>
        <w:rPr>
          <w:rFonts w:ascii="Arial" w:cs="Arial" w:eastAsia="Arial" w:hAnsi="Arial"/>
          <w:sz w:val="17"/>
          <w:szCs w:val="17"/>
          <w:color w:val="auto"/>
        </w:rPr>
      </w:pPr>
    </w:p>
    <w:p>
      <w:pPr>
        <w:ind w:right="80" w:firstLine="436"/>
        <w:spacing w:after="0" w:line="279" w:lineRule="auto"/>
        <w:tabs>
          <w:tab w:leader="none" w:pos="6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In addition to the accounts and records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u w:val="single" w:color="auto"/>
          <w:color w:val="auto"/>
        </w:rPr>
        <w:t>Payments Generally; Administrative Agent’s Clawback</w:t>
      </w:r>
      <w:r>
        <w:rPr>
          <w:rFonts w:ascii="Arial" w:cs="Arial" w:eastAsia="Arial" w:hAnsi="Arial"/>
          <w:sz w:val="18"/>
          <w:szCs w:val="18"/>
          <w:b w:val="1"/>
          <w:bCs w:val="1"/>
          <w:color w:val="auto"/>
        </w:rPr>
        <w:t>.</w:t>
      </w:r>
    </w:p>
    <w:p>
      <w:pPr>
        <w:spacing w:after="0" w:line="121" w:lineRule="exact"/>
        <w:rPr>
          <w:sz w:val="20"/>
          <w:szCs w:val="20"/>
          <w:color w:val="auto"/>
        </w:rPr>
      </w:pPr>
    </w:p>
    <w:p>
      <w:pPr>
        <w:ind w:firstLine="436"/>
        <w:spacing w:after="0" w:line="285" w:lineRule="auto"/>
        <w:tabs>
          <w:tab w:leader="none" w:pos="68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Except as otherwise specifically provided in </w:t>
      </w:r>
      <w:r>
        <w:rPr>
          <w:rFonts w:ascii="Arial" w:cs="Arial" w:eastAsia="Arial" w:hAnsi="Arial"/>
          <w:sz w:val="16"/>
          <w:szCs w:val="16"/>
          <w:u w:val="single" w:color="auto"/>
          <w:color w:val="auto"/>
        </w:rPr>
        <w:t>Section 3.01</w:t>
      </w:r>
      <w:r>
        <w:rPr>
          <w:rFonts w:ascii="Arial" w:cs="Arial" w:eastAsia="Arial" w:hAnsi="Arial"/>
          <w:sz w:val="16"/>
          <w:szCs w:val="16"/>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(i) 2:00 p.m. in the case of payments in Dollars, or (ii) after the Applicable Time specified by the Administrative Agent, in the case of payments in an Alternative Currency shall be deemed received on the next succeeding Business Day and any applicable interest or fee shall continue to accrue. Subject to the definition of “Interest Period”, if any payment to be made by a Borrower shall come due on a day other than a Business Day, payment shall be made on the next following Business Day, and such extension of time shall be reflected in computing interest or fees, as the case may be.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0" w:right="479" w:bottom="1440" w:gutter="0" w:footer="0" w:header="0"/>
        </w:sectPr>
      </w:pPr>
    </w:p>
    <w:bookmarkStart w:id="66" w:name="page67"/>
    <w:bookmarkEnd w:id="66"/>
    <w:p>
      <w:pPr>
        <w:ind w:right="40" w:firstLine="436"/>
        <w:spacing w:after="0" w:line="285" w:lineRule="auto"/>
        <w:tabs>
          <w:tab w:leader="none" w:pos="785" w:val="left"/>
        </w:tabs>
        <w:numPr>
          <w:ilvl w:val="0"/>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Committed Borrowing of Eurocurrency Rate Loans and/or Alternative Currency Loans (or, in the case of any Committed Borrowing of Base Rate Loans, prior to 12:00 noon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Committed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or in the case of Alternative Currencies in accordance with such market practice, in each case, as applicable.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Committed Borrowing to the Administrative Agent, then the amount so paid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65" w:lineRule="exact"/>
        <w:rPr>
          <w:rFonts w:ascii="Arial" w:cs="Arial" w:eastAsia="Arial" w:hAnsi="Arial"/>
          <w:sz w:val="16"/>
          <w:szCs w:val="16"/>
          <w:color w:val="auto"/>
        </w:rPr>
      </w:pPr>
    </w:p>
    <w:p>
      <w:pPr>
        <w:ind w:left="440" w:firstLine="419"/>
        <w:spacing w:after="0" w:line="288" w:lineRule="auto"/>
        <w:tabs>
          <w:tab w:leader="none" w:pos="1128"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Payments by Borrowers; Presumptions by Administrative Agent.</w:t>
      </w:r>
      <w:r>
        <w:rPr>
          <w:rFonts w:ascii="Arial" w:cs="Arial" w:eastAsia="Arial" w:hAnsi="Arial"/>
          <w:sz w:val="16"/>
          <w:szCs w:val="16"/>
          <w:color w:val="auto"/>
        </w:rPr>
        <w:t xml:space="preserve"> Unless the Administrative Agent shall have received notice from a Borrower prior to the date on which any payment is due to the Administrative Agent for the account of the Lenders or an L/C Issuer hereunder that such Borrower will not make such payment, the Administrative Agent may assume that such Borrower has made such payment on such date in accordance herewith and may, in reliance upon such assumption, distribute to the Lenders or the applicable L/C Issuer, as the case may be, the amount due. In such event, if such (x) Borrower has not in fact made such payment, (y) the Administrative Agent has made a payment in excess of the amount so paid by such Borrower (whether or not then owed); or (z) the Administrative agent has for any reason otherwise erroneously made such payment (any payment satisfying any of the foregoing conditions referred to as the “</w:t>
      </w:r>
      <w:r>
        <w:rPr>
          <w:rFonts w:ascii="Arial" w:cs="Arial" w:eastAsia="Arial" w:hAnsi="Arial"/>
          <w:sz w:val="16"/>
          <w:szCs w:val="16"/>
          <w:u w:val="single" w:color="auto"/>
          <w:color w:val="auto"/>
        </w:rPr>
        <w:t>Rescindable Amount</w:t>
      </w:r>
      <w:r>
        <w:rPr>
          <w:rFonts w:ascii="Arial" w:cs="Arial" w:eastAsia="Arial" w:hAnsi="Arial"/>
          <w:sz w:val="16"/>
          <w:szCs w:val="16"/>
          <w:color w:val="auto"/>
        </w:rPr>
        <w:t>”), then each of the Lenders or the applicable L/C Issuer, as the case may be, severally agrees to repay to the Administrative Agent forthwith on demand the amount so distributed to such Lender or such L/C Issuer, in Same Day Funds with interest thereon, for each day from and including the date such amount is distributed to it to but excluding the date of payment to the Administrative Agent, at the Overnight Rate.</w:t>
      </w:r>
    </w:p>
    <w:p>
      <w:pPr>
        <w:spacing w:after="0" w:line="168"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A notice of the Administrative Agent to any Lender or Borrower with respect to any amount owing under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be conclusive, absent manifest error.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67" w:name="page68"/>
    <w:bookmarkEnd w:id="67"/>
    <w:p>
      <w:pPr>
        <w:ind w:right="60" w:firstLine="436"/>
        <w:spacing w:after="0" w:line="301" w:lineRule="auto"/>
        <w:tabs>
          <w:tab w:leader="none" w:pos="68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such Borrower by the Administrative Agent because the conditions to the applicable Credit Extension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Lender) to such Lender, without interest.</w:t>
      </w:r>
    </w:p>
    <w:p>
      <w:pPr>
        <w:spacing w:after="0" w:line="49" w:lineRule="exact"/>
        <w:rPr>
          <w:rFonts w:ascii="Arial" w:cs="Arial" w:eastAsia="Arial" w:hAnsi="Arial"/>
          <w:sz w:val="16"/>
          <w:szCs w:val="16"/>
          <w:color w:val="auto"/>
        </w:rPr>
      </w:pPr>
    </w:p>
    <w:p>
      <w:pPr>
        <w:ind w:firstLine="436"/>
        <w:spacing w:after="0" w:line="275" w:lineRule="auto"/>
        <w:tabs>
          <w:tab w:leader="none" w:pos="695"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Obligations of Lenders Several.</w:t>
      </w:r>
      <w:r>
        <w:rPr>
          <w:rFonts w:ascii="Arial" w:cs="Arial" w:eastAsia="Arial" w:hAnsi="Arial"/>
          <w:sz w:val="17"/>
          <w:szCs w:val="17"/>
          <w:color w:val="auto"/>
        </w:rPr>
        <w:t xml:space="preserve"> The obligations of the Lenders hereunder to make Committed Loans, to fund participations in Letters of Credit and Swing Line Loans and to make payments pursuant to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are several and not joint. The failure of any Lender to make any Committed Loan, to fund any such participation or to make any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on any date required hereunder shall not relieve any other Lender of its corresponding obligation to do so on such date, and, except as provided in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no Lender shall be responsible for the failure of any other Lender to so make its Committed Loan, to purchase its participation or to make its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right="140" w:firstLine="436"/>
        <w:spacing w:after="0" w:line="342" w:lineRule="auto"/>
        <w:tabs>
          <w:tab w:leader="none" w:pos="68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b w:val="1"/>
          <w:bCs w:val="1"/>
          <w:u w:val="single" w:color="auto"/>
          <w:color w:val="auto"/>
        </w:rPr>
        <w:t>Sharing of Payments by Lenders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of the Committed Loans made by it, or the participations in L/C Obligations or in Swing Line Loans held by it (excluding any amounts applied by the Swing Line Lender to outstanding Swing Line Loans) resulting in such Lender’s receiving payment of a proportion of the aggregate amount of such Committed Loans or participations and accrued interest thereon greater than its pro rata share thereof as provided herein, then the Lender receiving such greater proportion shall (a) notify the Administrative Agent of such fact, and (b) purchase (for cash at face value) participations in the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0" w:lineRule="exact"/>
        <w:rPr>
          <w:sz w:val="20"/>
          <w:szCs w:val="20"/>
          <w:color w:val="auto"/>
        </w:rPr>
      </w:pPr>
    </w:p>
    <w:p>
      <w:pPr>
        <w:ind w:left="440" w:right="200" w:firstLine="419"/>
        <w:spacing w:after="0" w:line="342" w:lineRule="auto"/>
        <w:tabs>
          <w:tab w:leader="none" w:pos="1078"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 w:lineRule="exact"/>
        <w:rPr>
          <w:rFonts w:ascii="Arial" w:cs="Arial" w:eastAsia="Arial" w:hAnsi="Arial"/>
          <w:sz w:val="16"/>
          <w:szCs w:val="16"/>
          <w:color w:val="auto"/>
        </w:rPr>
      </w:pPr>
    </w:p>
    <w:p>
      <w:pPr>
        <w:ind w:left="440" w:right="20" w:firstLine="419"/>
        <w:spacing w:after="0" w:line="291" w:lineRule="auto"/>
        <w:tabs>
          <w:tab w:leader="none" w:pos="1128"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shall not be construed to apply to (x) any payment made by or on behalf of a Borrower pursuant to and in accordance with the express terms of this Agreement (including the application of funds arising from the existence of a Defaulting Lender),</w:t>
      </w:r>
    </w:p>
    <w:p>
      <w:pPr>
        <w:ind w:left="440" w:right="60" w:hanging="4"/>
        <w:spacing w:after="0" w:line="277" w:lineRule="auto"/>
        <w:tabs>
          <w:tab w:leader="none" w:pos="695"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the application of Cash Collateral provided for in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(z) any payment obtained by a Lender as consideration for the assignment of or sale of a participation in any of its Committed Loans or subparticipations in L/C Obligations or Swing Line Loans to any assignee or participant, other than to the Company or any Subsidiary (as to which the provisions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shall apply).</w:t>
      </w:r>
    </w:p>
    <w:p>
      <w:pPr>
        <w:spacing w:after="0" w:line="173" w:lineRule="exact"/>
        <w:rPr>
          <w:sz w:val="20"/>
          <w:szCs w:val="20"/>
          <w:color w:val="auto"/>
        </w:rPr>
      </w:pPr>
    </w:p>
    <w:p>
      <w:pPr>
        <w:ind w:right="480" w:firstLine="440"/>
        <w:spacing w:after="0" w:line="286" w:lineRule="auto"/>
        <w:rPr>
          <w:sz w:val="20"/>
          <w:szCs w:val="20"/>
          <w:color w:val="auto"/>
        </w:rPr>
      </w:pPr>
      <w:r>
        <w:rPr>
          <w:rFonts w:ascii="Arial" w:cs="Arial" w:eastAsia="Arial" w:hAnsi="Arial"/>
          <w:sz w:val="17"/>
          <w:szCs w:val="17"/>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2.14 </w:t>
      </w:r>
      <w:r>
        <w:rPr>
          <w:rFonts w:ascii="Arial" w:cs="Arial" w:eastAsia="Arial" w:hAnsi="Arial"/>
          <w:sz w:val="18"/>
          <w:szCs w:val="18"/>
          <w:b w:val="1"/>
          <w:bCs w:val="1"/>
          <w:u w:val="single" w:color="auto"/>
          <w:color w:val="auto"/>
        </w:rPr>
        <w:t>Extension of Maturity Date</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180" w:firstLine="436"/>
        <w:spacing w:after="0" w:line="279" w:lineRule="auto"/>
        <w:tabs>
          <w:tab w:leader="none" w:pos="685"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Requests for Extension.</w:t>
      </w:r>
      <w:r>
        <w:rPr>
          <w:rFonts w:ascii="Arial" w:cs="Arial" w:eastAsia="Arial" w:hAnsi="Arial"/>
          <w:sz w:val="17"/>
          <w:szCs w:val="17"/>
          <w:color w:val="auto"/>
        </w:rPr>
        <w:t xml:space="preserve"> The Company may, by notice to the Administrative Agent (who shall promptly notify the Lenders) not more than 90 days and not less than 45 days prior to any annual anniversary date following the Closing Date (the “</w:t>
      </w:r>
      <w:r>
        <w:rPr>
          <w:rFonts w:ascii="Arial" w:cs="Arial" w:eastAsia="Arial" w:hAnsi="Arial"/>
          <w:sz w:val="17"/>
          <w:szCs w:val="17"/>
          <w:u w:val="single" w:color="auto"/>
          <w:color w:val="auto"/>
        </w:rPr>
        <w:t>Applicable Anniversary Date</w:t>
      </w:r>
      <w:r>
        <w:rPr>
          <w:rFonts w:ascii="Arial" w:cs="Arial" w:eastAsia="Arial" w:hAnsi="Arial"/>
          <w:sz w:val="17"/>
          <w:szCs w:val="17"/>
          <w:color w:val="auto"/>
        </w:rPr>
        <w:t>”), request that each Lender extend such Lender’s Maturity Date for an additional year from the Maturity Date then in effect (each such date, an “</w:t>
      </w:r>
      <w:r>
        <w:rPr>
          <w:rFonts w:ascii="Arial" w:cs="Arial" w:eastAsia="Arial" w:hAnsi="Arial"/>
          <w:sz w:val="17"/>
          <w:szCs w:val="17"/>
          <w:u w:val="single" w:color="auto"/>
          <w:color w:val="auto"/>
        </w:rPr>
        <w:t>Existing Maturity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request no more than two such extensions during the term of this Agreement.</w:t>
      </w:r>
    </w:p>
    <w:p>
      <w:pPr>
        <w:spacing w:after="0" w:line="63" w:lineRule="exact"/>
        <w:rPr>
          <w:rFonts w:ascii="Arial" w:cs="Arial" w:eastAsia="Arial" w:hAnsi="Arial"/>
          <w:sz w:val="17"/>
          <w:szCs w:val="17"/>
          <w:color w:val="auto"/>
        </w:rPr>
      </w:pPr>
    </w:p>
    <w:p>
      <w:pPr>
        <w:ind w:right="40" w:firstLine="436"/>
        <w:spacing w:after="0" w:line="293"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Lender Elections to Extend.</w:t>
      </w:r>
      <w:r>
        <w:rPr>
          <w:rFonts w:ascii="Arial" w:cs="Arial" w:eastAsia="Arial" w:hAnsi="Arial"/>
          <w:sz w:val="16"/>
          <w:szCs w:val="16"/>
          <w:color w:val="auto"/>
        </w:rPr>
        <w:t xml:space="preserve"> Each Lender, acting in its sole and individual discretion, shall, by notice to the Administrative Agent given not more than 30 days prior to the Applicable Anniversary Date and not less than the date (the “</w:t>
      </w:r>
      <w:r>
        <w:rPr>
          <w:rFonts w:ascii="Arial" w:cs="Arial" w:eastAsia="Arial" w:hAnsi="Arial"/>
          <w:sz w:val="16"/>
          <w:szCs w:val="16"/>
          <w:u w:val="single" w:color="auto"/>
          <w:color w:val="auto"/>
        </w:rPr>
        <w:t>Notice Date</w:t>
      </w:r>
      <w:r>
        <w:rPr>
          <w:rFonts w:ascii="Arial" w:cs="Arial" w:eastAsia="Arial" w:hAnsi="Arial"/>
          <w:sz w:val="16"/>
          <w:szCs w:val="16"/>
          <w:color w:val="auto"/>
        </w:rPr>
        <w:t>”) that is 15 days prior to the Applicable Anniversary Date, advise the Administrative Agent whether or not such Lender agrees to such extension (and each Lender that determines not to so extend its Maturity Date (a “</w:t>
      </w:r>
      <w:r>
        <w:rPr>
          <w:rFonts w:ascii="Arial" w:cs="Arial" w:eastAsia="Arial" w:hAnsi="Arial"/>
          <w:sz w:val="16"/>
          <w:szCs w:val="16"/>
          <w:u w:val="single" w:color="auto"/>
          <w:color w:val="auto"/>
        </w:rPr>
        <w:t>Non-Extending Lender</w:t>
      </w:r>
      <w:r>
        <w:rPr>
          <w:rFonts w:ascii="Arial" w:cs="Arial" w:eastAsia="Arial" w:hAnsi="Arial"/>
          <w:sz w:val="16"/>
          <w:szCs w:val="16"/>
          <w:color w:val="auto"/>
        </w:rPr>
        <w:t>”) shall notify the Administrative Agent of such fact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spacing w:after="0" w:line="56" w:lineRule="exact"/>
        <w:rPr>
          <w:rFonts w:ascii="Arial" w:cs="Arial" w:eastAsia="Arial" w:hAnsi="Arial"/>
          <w:sz w:val="16"/>
          <w:szCs w:val="16"/>
          <w:color w:val="auto"/>
        </w:rPr>
      </w:pPr>
    </w:p>
    <w:p>
      <w:pPr>
        <w:ind w:left="680" w:hanging="244"/>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w:t>
      </w:r>
      <w:r>
        <w:rPr>
          <w:rFonts w:ascii="Arial" w:cs="Arial" w:eastAsia="Arial" w:hAnsi="Arial"/>
          <w:sz w:val="18"/>
          <w:szCs w:val="18"/>
          <w:color w:val="auto"/>
        </w:rPr>
        <w:t xml:space="preserve"> The Administrative Agent shall notify the Company of each Lender’s determination under this</w:t>
      </w:r>
    </w:p>
    <w:p>
      <w:pPr>
        <w:spacing w:after="0" w:line="23"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no later than the date 15 days prior to the Applicable Anniversary Date (or, if such date is not a Business Day, on the next preceding Business Day).</w:t>
      </w:r>
    </w:p>
    <w:p>
      <w:pPr>
        <w:spacing w:after="0" w:line="77" w:lineRule="exact"/>
        <w:rPr>
          <w:sz w:val="20"/>
          <w:szCs w:val="20"/>
          <w:color w:val="auto"/>
        </w:rPr>
      </w:pPr>
    </w:p>
    <w:p>
      <w:pPr>
        <w:ind w:right="400" w:firstLine="436"/>
        <w:spacing w:after="0" w:line="296"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Additional Commitment Lenders.</w:t>
      </w:r>
      <w:r>
        <w:rPr>
          <w:rFonts w:ascii="Arial" w:cs="Arial" w:eastAsia="Arial" w:hAnsi="Arial"/>
          <w:sz w:val="16"/>
          <w:szCs w:val="16"/>
          <w:color w:val="auto"/>
        </w:rPr>
        <w:t xml:space="preserve"> The Company shall have the right at any time to replace each Non-Extending Lender with, and add as a “Lender” under this Agreement in place thereof, one or more Eligible Assignees (each, an “</w:t>
      </w:r>
      <w:r>
        <w:rPr>
          <w:rFonts w:ascii="Arial" w:cs="Arial" w:eastAsia="Arial" w:hAnsi="Arial"/>
          <w:sz w:val="16"/>
          <w:szCs w:val="16"/>
          <w:u w:val="single" w:color="auto"/>
          <w:color w:val="auto"/>
        </w:rPr>
        <w:t>Additional Commitment Lender</w:t>
      </w:r>
      <w:r>
        <w:rPr>
          <w:rFonts w:ascii="Arial" w:cs="Arial" w:eastAsia="Arial" w:hAnsi="Arial"/>
          <w:sz w:val="16"/>
          <w:szCs w:val="16"/>
          <w:color w:val="auto"/>
        </w:rPr>
        <w:t xml:space="preserve">”) as provided in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of such Additional Commitment Lenders shall enter into an Assignment and Assumption pursuant to which such Additional Commitment Lender shall, effective no later than the Existing Maturity Date, undertake a Commitment (and, if any such Additional Commitment Lender is already a Lender, its Commitment shall be in addition to such Lender’s Commitment hereunder on such date).</w:t>
      </w:r>
    </w:p>
    <w:p>
      <w:pPr>
        <w:spacing w:after="0" w:line="53" w:lineRule="exact"/>
        <w:rPr>
          <w:rFonts w:ascii="Arial" w:cs="Arial" w:eastAsia="Arial" w:hAnsi="Arial"/>
          <w:sz w:val="16"/>
          <w:szCs w:val="16"/>
          <w:color w:val="auto"/>
        </w:rPr>
      </w:pPr>
    </w:p>
    <w:p>
      <w:pPr>
        <w:ind w:right="40" w:firstLine="436"/>
        <w:spacing w:after="0" w:line="293" w:lineRule="auto"/>
        <w:tabs>
          <w:tab w:leader="none" w:pos="68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Minimum Extension Requirement.</w:t>
      </w:r>
      <w:r>
        <w:rPr>
          <w:rFonts w:ascii="Arial" w:cs="Arial" w:eastAsia="Arial" w:hAnsi="Arial"/>
          <w:sz w:val="16"/>
          <w:szCs w:val="16"/>
          <w:color w:val="auto"/>
        </w:rPr>
        <w:t xml:space="preserve"> If (and only if) the total of the Commitments of the Lenders that have agreed so to extend their Maturity Date (each,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and the additional Commitments of the Additional Commitment Lenders shall be more than 50% of the aggregate amount of the Commitments in effect immediately prior to the Applicable Anniversary Date, then, effective as of the Applicable Anniversary Date, the Maturity Date of each Extending Lender and of each Additional Commitment Lender shall be extended to the date falling one year after the most recent Existing Maturity Date (except that, if such date is not a Business Day, such Maturity Date as so extended shall be the next preceding Business Day) and each Additional Commitment Lender shall thereupon become a “Lender” for all purposes of this Agreement.</w:t>
      </w:r>
    </w:p>
    <w:p>
      <w:pPr>
        <w:spacing w:after="0" w:line="56" w:lineRule="exact"/>
        <w:rPr>
          <w:rFonts w:ascii="Arial" w:cs="Arial" w:eastAsia="Arial" w:hAnsi="Arial"/>
          <w:sz w:val="16"/>
          <w:szCs w:val="16"/>
          <w:color w:val="auto"/>
        </w:rPr>
      </w:pPr>
    </w:p>
    <w:p>
      <w:pPr>
        <w:ind w:firstLine="436"/>
        <w:spacing w:after="0" w:line="291" w:lineRule="auto"/>
        <w:tabs>
          <w:tab w:leader="none" w:pos="66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Extensions.</w:t>
      </w:r>
      <w:r>
        <w:rPr>
          <w:rFonts w:ascii="Arial" w:cs="Arial" w:eastAsia="Arial" w:hAnsi="Arial"/>
          <w:sz w:val="16"/>
          <w:szCs w:val="16"/>
          <w:color w:val="auto"/>
        </w:rPr>
        <w:t xml:space="preserve"> As a condition precedent to such extension, the Company shall deliver to the Administrative Agent a certificate of the Company dated as of the Applicable Anniversary Date (in sufficient copies for each Extending Lender and each Additional Commitment Lender) signed by a Responsible Officer of the Company (i) certifying and attaching the resolutions adopted by the Company approving or consenting to such extension and (ii) certifying that, before and after giving effect to such extension, (A)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the other Loan Documents are true and correct (1) in the case of the representations and warranties qualified as to materiality, in all respects and (2) otherwise, in all material respects on and as of the Applicable Anniversary Date, except in each case to the extent that such representations and warranties specifically refer to an earlier date, in which case they are true and correct as of such earlier date, and except that for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270" w:right="439" w:bottom="1440" w:gutter="0" w:footer="0" w:header="0"/>
        </w:sectPr>
      </w:pPr>
    </w:p>
    <w:bookmarkStart w:id="69" w:name="page70"/>
    <w:bookmarkEnd w:id="69"/>
    <w:p>
      <w:pPr>
        <w:ind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purposes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clause 6.01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no Default exists. In addition, on the Existing Maturity Date applicable to any Non-Extending Lender, the Borrowers shall prepay any Committed Loans outstanding on such date (and pay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to the extent necessary to keep outstanding Committed Loans ratable with any revised Applicable Percentages of the respective Lenders effective as of such date.</w:t>
      </w:r>
    </w:p>
    <w:p>
      <w:pPr>
        <w:spacing w:after="0" w:line="80" w:lineRule="exact"/>
        <w:rPr>
          <w:sz w:val="20"/>
          <w:szCs w:val="20"/>
          <w:color w:val="auto"/>
        </w:rPr>
      </w:pPr>
    </w:p>
    <w:p>
      <w:pPr>
        <w:jc w:val="both"/>
        <w:ind w:right="140" w:firstLine="436"/>
        <w:spacing w:after="0" w:line="259"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Consent of L/C Issuers/Swing Line Lender.</w:t>
      </w:r>
      <w:r>
        <w:rPr>
          <w:rFonts w:ascii="Arial" w:cs="Arial" w:eastAsia="Arial" w:hAnsi="Arial"/>
          <w:sz w:val="18"/>
          <w:szCs w:val="18"/>
          <w:color w:val="auto"/>
        </w:rPr>
        <w:t xml:space="preserve"> Notwithstanding anything in this Section to the contrary, the terms “Letter of Credit Expiration Date,” “Availability Period” and “Maturity Date” (without taking into consideration any extension pursuant to this Section), as such terms are used in reference to any L/C Issuer or any Letters of Credit issued by any L/C Issuer or the Swing Line Lender or any Swing Line Loans, may not be extended without the prior written consent of such L/C Issuer or the Swing Line Lender, as applicable.</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b w:val="1"/>
          <w:bCs w:val="1"/>
          <w:u w:val="single" w:color="auto"/>
          <w:color w:val="auto"/>
        </w:rPr>
        <w:t>Increase in Commitments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36"/>
        <w:spacing w:after="0" w:line="273" w:lineRule="auto"/>
        <w:tabs>
          <w:tab w:leader="none" w:pos="685"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Request for Increase.</w:t>
      </w:r>
      <w:r>
        <w:rPr>
          <w:rFonts w:ascii="Arial" w:cs="Arial" w:eastAsia="Arial" w:hAnsi="Arial"/>
          <w:sz w:val="17"/>
          <w:szCs w:val="17"/>
          <w:color w:val="auto"/>
        </w:rPr>
        <w:t xml:space="preserve"> Provided there exists no Default, upon notice to the Administrative Agent (which shall promptly notify the Lenders), the Company may from time to time, request an increase in the Aggregate Commitments by an amount (for all such requests) not exceeding $750,000,000;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request for an increase shall be in a minimum amount of $50,000,000. At the time of sending such notice, the Company (in consultation with the Administrative Agent) shall specify the time period within which each Lender is requested to respond (which shall in no event be less than ten Business Days from the date of delivery of such notice to the Lenders). No consent of any Lender (other than Lenders participating in the increase) shall be required for any increase in Commitments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120" w:firstLine="436"/>
        <w:spacing w:after="0" w:line="273" w:lineRule="auto"/>
        <w:tabs>
          <w:tab w:leader="none" w:pos="695"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Proposed Lenders</w:t>
      </w:r>
      <w:r>
        <w:rPr>
          <w:rFonts w:ascii="Arial" w:cs="Arial" w:eastAsia="Arial" w:hAnsi="Arial"/>
          <w:sz w:val="17"/>
          <w:szCs w:val="17"/>
          <w:color w:val="auto"/>
        </w:rPr>
        <w:t xml:space="preserve">. Any proposed increase in the Aggregate Commitments may be requested from existing Lenders, new prospective lenders who are Eligible Assignees (and who are approved by the Administrative Agent, the L/C Issuers and the Swing Line Lender, which approvals shall not be unreasonably withheld or delayed), or a combination thereof, as selected by, and with such allocations of committed amounts as may be determined by, the lead arranger(s) thereof and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any incremental Commitment provided by an Eligible Assignee shall be in a principal amount of $5,000,000 or an integral multiple of $500,000 in excess thereof. Any Lender approached to provide all or a portion of any incremental Commitment may elect or decline, in its sole discretion, to provide such incremental Commitment.</w:t>
      </w:r>
    </w:p>
    <w:p>
      <w:pPr>
        <w:spacing w:after="0" w:line="69" w:lineRule="exact"/>
        <w:rPr>
          <w:rFonts w:ascii="Arial" w:cs="Arial" w:eastAsia="Arial" w:hAnsi="Arial"/>
          <w:sz w:val="17"/>
          <w:szCs w:val="17"/>
          <w:color w:val="auto"/>
        </w:rPr>
      </w:pPr>
    </w:p>
    <w:p>
      <w:pPr>
        <w:ind w:right="20" w:firstLine="436"/>
        <w:spacing w:after="0" w:line="259" w:lineRule="auto"/>
        <w:tabs>
          <w:tab w:leader="none" w:pos="68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Lender Elections to Increase.</w:t>
      </w:r>
      <w:r>
        <w:rPr>
          <w:rFonts w:ascii="Arial" w:cs="Arial" w:eastAsia="Arial" w:hAnsi="Arial"/>
          <w:sz w:val="18"/>
          <w:szCs w:val="18"/>
          <w:color w:val="auto"/>
        </w:rPr>
        <w:t xml:space="preserve"> Each Lender or prospective lender shall notify the Administrative Agent within such time period whether or not it agrees to increase its Commitment and, if so, in the case of an existing Lender, whether by an amount equal to, greater than, or less than its Applicable Percentage of such requested increase. Any Lender not responding within such time period shall be deemed to have declined to increase its Commitment.</w:t>
      </w:r>
    </w:p>
    <w:p>
      <w:pPr>
        <w:spacing w:after="0" w:line="78" w:lineRule="exact"/>
        <w:rPr>
          <w:rFonts w:ascii="Arial" w:cs="Arial" w:eastAsia="Arial" w:hAnsi="Arial"/>
          <w:sz w:val="18"/>
          <w:szCs w:val="18"/>
          <w:color w:val="auto"/>
        </w:rPr>
      </w:pPr>
    </w:p>
    <w:p>
      <w:pPr>
        <w:ind w:firstLine="436"/>
        <w:spacing w:after="0" w:line="296" w:lineRule="auto"/>
        <w:tabs>
          <w:tab w:leader="none" w:pos="695"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Effective Date and Allocations</w:t>
      </w:r>
      <w:r>
        <w:rPr>
          <w:rFonts w:ascii="Arial" w:cs="Arial" w:eastAsia="Arial" w:hAnsi="Arial"/>
          <w:sz w:val="16"/>
          <w:szCs w:val="16"/>
          <w:color w:val="auto"/>
        </w:rPr>
        <w:t>. If the Aggregate Commitments are increased in accordance with this Section, the Administrative Agent and the Company shall determine the effective date (the “</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and the final allocation of such increase. The Administrative Agent shall promptly notify the Company and the Lenders of the final allocation of such increase and the Increase Effective Date. As of the Increase Effective Date, the Credit Agreement shall be amended to reflect the incremental Commitments of the Lenders or other Persons providing such incremental Commitments and the joinder to the Credit Agreement of any Eligible Assignees providing such incremental Commitments.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70" w:name="page71"/>
    <w:bookmarkEnd w:id="70"/>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amendment shall be executed and delivered by the Administrative Agent, the Loan Parties and each Lender and Eligible Assignee providing such incremental Revolving Credit Commitments without the consent of any other party. Such amendment shall be in form and substance reasonably satisfactory to the Administrative Agent.</w:t>
      </w:r>
    </w:p>
    <w:p>
      <w:pPr>
        <w:spacing w:after="0" w:line="184" w:lineRule="exact"/>
        <w:rPr>
          <w:sz w:val="20"/>
          <w:szCs w:val="20"/>
          <w:color w:val="auto"/>
        </w:rPr>
      </w:pPr>
    </w:p>
    <w:p>
      <w:pPr>
        <w:ind w:right="240" w:firstLine="436"/>
        <w:spacing w:after="0" w:line="277" w:lineRule="auto"/>
        <w:tabs>
          <w:tab w:leader="none" w:pos="68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 xml:space="preserve"> As a condition precedent to such increase, and in addition to the other requirements set forth in this </w:t>
      </w:r>
      <w:r>
        <w:rPr>
          <w:rFonts w:ascii="Arial" w:cs="Arial" w:eastAsia="Arial" w:hAnsi="Arial"/>
          <w:sz w:val="18"/>
          <w:szCs w:val="18"/>
          <w:u w:val="single" w:color="auto"/>
          <w:color w:val="auto"/>
        </w:rPr>
        <w:t>Section 2.15</w:t>
      </w:r>
      <w:r>
        <w:rPr>
          <w:rFonts w:ascii="Arial" w:cs="Arial" w:eastAsia="Arial" w:hAnsi="Arial"/>
          <w:sz w:val="18"/>
          <w:szCs w:val="18"/>
          <w:color w:val="auto"/>
        </w:rPr>
        <w:t>, the following conditions precedent shall be satisfied:</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Aggregate Commitments shall not exceed $3,250,000,000 without the consent of the Required Lenders;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the Increase Effective Date;</w:t>
      </w:r>
    </w:p>
    <w:p>
      <w:pPr>
        <w:spacing w:after="0" w:line="117" w:lineRule="exact"/>
        <w:rPr>
          <w:rFonts w:ascii="Arial" w:cs="Arial" w:eastAsia="Arial" w:hAnsi="Arial"/>
          <w:sz w:val="18"/>
          <w:szCs w:val="18"/>
          <w:color w:val="auto"/>
        </w:rPr>
      </w:pPr>
    </w:p>
    <w:p>
      <w:pPr>
        <w:ind w:left="440" w:right="220" w:firstLine="419"/>
        <w:spacing w:after="0" w:line="259" w:lineRule="auto"/>
        <w:tabs>
          <w:tab w:leader="none" w:pos="1178"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the other Loan Documents shall be true and correct (A) in the case of the representations and warranties qualified as to materiality, in all respects and (B) otherwise, in all material respects, on and as of the Increase Effective Date, except to the extent that such representations and warranties specifically refer to an earlier date, in which case they shall be true and correct as of such earlier date;</w:t>
      </w:r>
    </w:p>
    <w:p>
      <w:pPr>
        <w:spacing w:after="0" w:line="78" w:lineRule="exact"/>
        <w:rPr>
          <w:rFonts w:ascii="Arial" w:cs="Arial" w:eastAsia="Arial" w:hAnsi="Arial"/>
          <w:sz w:val="18"/>
          <w:szCs w:val="18"/>
          <w:color w:val="auto"/>
        </w:rPr>
      </w:pPr>
    </w:p>
    <w:p>
      <w:pPr>
        <w:ind w:left="440" w:firstLine="419"/>
        <w:spacing w:after="0" w:line="301" w:lineRule="auto"/>
        <w:tabs>
          <w:tab w:leader="none" w:pos="1168"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Administrative Agent shall have received (A) additional Commitments in a corresponding amount of such requested increase from either existing Lenders and/or one or more other institutions that qualify as Eligible Assignees (it being understood and agreed that no existing Lender shall be required to provide an additional Commitment) and (B) documentation from each institution providing an additional Commitment evidencing its additional Commitment and its obligations under this Agreement in form and substance acceptable to the Administrative Agent;</w:t>
      </w:r>
    </w:p>
    <w:p>
      <w:pPr>
        <w:spacing w:after="0" w:line="49" w:lineRule="exact"/>
        <w:rPr>
          <w:rFonts w:ascii="Arial" w:cs="Arial" w:eastAsia="Arial" w:hAnsi="Arial"/>
          <w:sz w:val="16"/>
          <w:szCs w:val="16"/>
          <w:color w:val="auto"/>
        </w:rPr>
      </w:pPr>
    </w:p>
    <w:p>
      <w:pPr>
        <w:ind w:left="440" w:firstLine="419"/>
        <w:spacing w:after="0" w:line="311" w:lineRule="auto"/>
        <w:tabs>
          <w:tab w:leader="none" w:pos="1118"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from the Company as well as all documents (including resolutions of the board of directors of the Company) it may reasonably request relating to the corporate or other necessary authority for such increase in the Aggregate Commitments, and any other matters relevant thereto, all in form and substance reasonably satisfactory to the Administrative Agent; and</w:t>
      </w:r>
    </w:p>
    <w:p>
      <w:pPr>
        <w:spacing w:after="0" w:line="40" w:lineRule="exact"/>
        <w:rPr>
          <w:rFonts w:ascii="Arial" w:cs="Arial" w:eastAsia="Arial" w:hAnsi="Arial"/>
          <w:sz w:val="16"/>
          <w:szCs w:val="16"/>
          <w:color w:val="auto"/>
        </w:rPr>
      </w:pPr>
    </w:p>
    <w:p>
      <w:pPr>
        <w:ind w:left="440" w:firstLine="419"/>
        <w:spacing w:after="0" w:line="259" w:lineRule="auto"/>
        <w:tabs>
          <w:tab w:leader="none" w:pos="1168"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if any Loans are outstanding at the time of the increase in the Aggregate Commitments, the Borrowers shall, if applicable, prepay one or more existing Committed Loans (such prepayment to be subject to </w:t>
      </w:r>
      <w:r>
        <w:rPr>
          <w:rFonts w:ascii="Arial" w:cs="Arial" w:eastAsia="Arial" w:hAnsi="Arial"/>
          <w:sz w:val="18"/>
          <w:szCs w:val="18"/>
          <w:u w:val="single" w:color="auto"/>
          <w:color w:val="auto"/>
        </w:rPr>
        <w:t>Section 3.05</w:t>
      </w:r>
      <w:r>
        <w:rPr>
          <w:rFonts w:ascii="Arial" w:cs="Arial" w:eastAsia="Arial" w:hAnsi="Arial"/>
          <w:sz w:val="18"/>
          <w:szCs w:val="18"/>
          <w:color w:val="auto"/>
        </w:rPr>
        <w:t>) in an amount necessary such that after giving effect to the increase in the Aggregate Commitments, each Lender will hold its pro rata share (based on its Applicable Percentage of the increased Aggregate Commitments) of outstanding Loans.</w:t>
      </w:r>
    </w:p>
    <w:p>
      <w:pPr>
        <w:spacing w:after="0" w:line="78" w:lineRule="exact"/>
        <w:rPr>
          <w:rFonts w:ascii="Arial" w:cs="Arial" w:eastAsia="Arial" w:hAnsi="Arial"/>
          <w:sz w:val="18"/>
          <w:szCs w:val="18"/>
          <w:color w:val="auto"/>
        </w:rPr>
      </w:pPr>
    </w:p>
    <w:p>
      <w:pPr>
        <w:ind w:left="660" w:hanging="22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b w:val="1"/>
          <w:bCs w:val="1"/>
          <w:u w:val="single" w:color="auto"/>
          <w:color w:val="auto"/>
        </w:rPr>
        <w:t>Cash Collateral</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36"/>
        <w:spacing w:after="0" w:line="254" w:lineRule="auto"/>
        <w:tabs>
          <w:tab w:leader="none" w:pos="68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xml:space="preserve">. If (i) an L/C Issuer has honored any full or partial drawing request under any Letter of Credit and such drawing has resulted in an L/C Borrowing, (ii) as of the Letter of Credit Expiration Date, any L/C Obligation for any reason remains outstanding, (iii) the Company shall be required to provide Cash Collateral pursuant to </w:t>
      </w:r>
      <w:r>
        <w:rPr>
          <w:rFonts w:ascii="Arial" w:cs="Arial" w:eastAsia="Arial" w:hAnsi="Arial"/>
          <w:sz w:val="18"/>
          <w:szCs w:val="18"/>
          <w:u w:val="single" w:color="auto"/>
          <w:color w:val="auto"/>
        </w:rPr>
        <w:t>Section 8.02(c)</w:t>
      </w:r>
      <w:r>
        <w:rPr>
          <w:rFonts w:ascii="Arial" w:cs="Arial" w:eastAsia="Arial" w:hAnsi="Arial"/>
          <w:sz w:val="18"/>
          <w:szCs w:val="18"/>
          <w:color w:val="auto"/>
        </w:rPr>
        <w:t xml:space="preserve">, or (iv) there shall exist a Defaulting Lender and there is Fronting Exposure, the Company shall immediately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or within three Business Days (in all other cases) following any request by the Administrative Agent or the applicable L/C Issuer, provide Cash Collateral in an amount not less than the applicable Minimum Collateral Amount (determined in the case of Cash Collateral provided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after giving effect to </w:t>
      </w:r>
      <w:r>
        <w:rPr>
          <w:rFonts w:ascii="Arial" w:cs="Arial" w:eastAsia="Arial" w:hAnsi="Arial"/>
          <w:sz w:val="18"/>
          <w:szCs w:val="18"/>
          <w:u w:val="single" w:color="auto"/>
          <w:color w:val="auto"/>
        </w:rPr>
        <w:t>Section 2.17(a)(iv)</w:t>
      </w:r>
      <w:r>
        <w:rPr>
          <w:rFonts w:ascii="Arial" w:cs="Arial" w:eastAsia="Arial" w:hAnsi="Arial"/>
          <w:sz w:val="18"/>
          <w:szCs w:val="18"/>
          <w:color w:val="auto"/>
        </w:rPr>
        <w:t xml:space="preserve"> and any Cash Collateral provided by the Defaulting Lender).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71" w:name="page72"/>
    <w:bookmarkEnd w:id="71"/>
    <w:p>
      <w:pPr>
        <w:ind w:firstLine="436"/>
        <w:spacing w:after="0" w:line="269" w:lineRule="auto"/>
        <w:tabs>
          <w:tab w:leader="none" w:pos="695"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 of Security Interest.</w:t>
      </w:r>
      <w:r>
        <w:rPr>
          <w:rFonts w:ascii="Arial" w:cs="Arial" w:eastAsia="Arial" w:hAnsi="Arial"/>
          <w:sz w:val="17"/>
          <w:szCs w:val="17"/>
          <w:color w:val="auto"/>
        </w:rPr>
        <w:t xml:space="preserve"> (i) The Company shall grant (and shall subject to the control of) the Administrative Agent, for the benefit of the Administrative Agent, the L/C Issuers and the Lenders, and shall agree to maintain, and (ii) to the extent provided by any Defaulting Lender, such Defaulting Lender hereby grants (and subjects to the control of) the Administrative Agent for the benefit of the Administrative Agent, the L/C Issuers and the Lenders, and agrees to maintain, in each case,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2.16(c)</w:t>
      </w:r>
      <w:r>
        <w:rPr>
          <w:rFonts w:ascii="Arial" w:cs="Arial" w:eastAsia="Arial" w:hAnsi="Arial"/>
          <w:sz w:val="17"/>
          <w:szCs w:val="17"/>
          <w:color w:val="auto"/>
        </w:rPr>
        <w:t>. If at any time the Administrative Agent determines that Cash Collateral is subject to any right or claim of any Person other than the Administrative Agent or an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70" w:lineRule="exact"/>
        <w:rPr>
          <w:rFonts w:ascii="Arial" w:cs="Arial" w:eastAsia="Arial" w:hAnsi="Arial"/>
          <w:sz w:val="17"/>
          <w:szCs w:val="17"/>
          <w:color w:val="auto"/>
        </w:rPr>
      </w:pPr>
    </w:p>
    <w:p>
      <w:pPr>
        <w:ind w:right="20" w:firstLine="436"/>
        <w:spacing w:after="0" w:line="301" w:lineRule="auto"/>
        <w:tabs>
          <w:tab w:leader="none" w:pos="68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Notwithstanding anything to the contrary contained in this Agreement, Cash Collateral provided under any of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2.17 or </w:t>
      </w:r>
      <w:r>
        <w:rPr>
          <w:rFonts w:ascii="Arial" w:cs="Arial" w:eastAsia="Arial" w:hAnsi="Arial"/>
          <w:sz w:val="16"/>
          <w:szCs w:val="16"/>
          <w:u w:val="single" w:color="auto"/>
          <w:color w:val="auto"/>
        </w:rPr>
        <w:t>8.02</w:t>
      </w:r>
      <w:r>
        <w:rPr>
          <w:rFonts w:ascii="Arial" w:cs="Arial" w:eastAsia="Arial" w:hAnsi="Arial"/>
          <w:sz w:val="16"/>
          <w:szCs w:val="16"/>
          <w:color w:val="auto"/>
        </w:rPr>
        <w:t xml:space="preserve"> in respect of Letters of Credit shall be held and applied in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49" w:lineRule="exact"/>
        <w:rPr>
          <w:rFonts w:ascii="Arial" w:cs="Arial" w:eastAsia="Arial" w:hAnsi="Arial"/>
          <w:sz w:val="16"/>
          <w:szCs w:val="16"/>
          <w:color w:val="auto"/>
        </w:rPr>
      </w:pPr>
    </w:p>
    <w:p>
      <w:pPr>
        <w:ind w:right="20" w:firstLine="436"/>
        <w:spacing w:after="0" w:line="291" w:lineRule="auto"/>
        <w:tabs>
          <w:tab w:leader="none" w:pos="69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10.06(b)(vi)</w:t>
      </w:r>
      <w:r>
        <w:rPr>
          <w:rFonts w:ascii="Arial" w:cs="Arial" w:eastAsia="Arial" w:hAnsi="Arial"/>
          <w:sz w:val="16"/>
          <w:szCs w:val="16"/>
          <w:color w:val="auto"/>
        </w:rPr>
        <w:t xml:space="preserve">) or (ii) the determination by the Administrative Agent and the applicable L/C Issuer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such L/C Issuer may agree that Cash Collateral shall not be released but instead held to support future anticipated Fronting Exposure or other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b w:val="1"/>
          <w:bCs w:val="1"/>
          <w:u w:val="single" w:color="auto"/>
          <w:color w:val="auto"/>
        </w:rPr>
        <w:t>Defaulting Lenders</w:t>
      </w:r>
      <w:r>
        <w:rPr>
          <w:rFonts w:ascii="Arial" w:cs="Arial" w:eastAsia="Arial" w:hAnsi="Arial"/>
          <w:sz w:val="18"/>
          <w:szCs w:val="18"/>
          <w:b w:val="1"/>
          <w:bCs w:val="1"/>
          <w:color w:val="auto"/>
        </w:rPr>
        <w:t>.</w:t>
      </w:r>
    </w:p>
    <w:p>
      <w:pPr>
        <w:spacing w:after="0" w:line="121" w:lineRule="exact"/>
        <w:rPr>
          <w:sz w:val="20"/>
          <w:szCs w:val="20"/>
          <w:color w:val="auto"/>
        </w:rPr>
      </w:pPr>
    </w:p>
    <w:p>
      <w:pPr>
        <w:ind w:right="220" w:firstLine="436"/>
        <w:spacing w:after="0" w:line="277" w:lineRule="auto"/>
        <w:tabs>
          <w:tab w:leader="none" w:pos="685"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Notwithstanding anything to the contrary contained in this Agreement, if any Lender becomes a Defaulting Lender, then, until such time as that Lender is no longer a Defaulting Lender, to the extent permitted by applicable Law:</w:t>
      </w:r>
    </w:p>
    <w:p>
      <w:pPr>
        <w:spacing w:after="0" w:line="62" w:lineRule="exact"/>
        <w:rPr>
          <w:rFonts w:ascii="Arial" w:cs="Arial" w:eastAsia="Arial" w:hAnsi="Arial"/>
          <w:sz w:val="18"/>
          <w:szCs w:val="18"/>
          <w:color w:val="auto"/>
        </w:rPr>
      </w:pPr>
    </w:p>
    <w:p>
      <w:pPr>
        <w:ind w:left="440" w:right="260" w:firstLine="419"/>
        <w:spacing w:after="0" w:line="277" w:lineRule="auto"/>
        <w:tabs>
          <w:tab w:leader="none" w:pos="1078"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Waivers and Amendment.</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4" w:right="479" w:bottom="1440" w:gutter="0" w:footer="0" w:header="0"/>
        </w:sectPr>
      </w:pPr>
    </w:p>
    <w:bookmarkStart w:id="72" w:name="page73"/>
    <w:bookmarkEnd w:id="72"/>
    <w:p>
      <w:pPr>
        <w:ind w:firstLine="419"/>
        <w:spacing w:after="0" w:line="284" w:lineRule="auto"/>
        <w:tabs>
          <w:tab w:leader="none" w:pos="688"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Lender Waterfall.</w:t>
      </w:r>
      <w:r>
        <w:rPr>
          <w:rFonts w:ascii="Arial" w:cs="Arial" w:eastAsia="Arial" w:hAnsi="Arial"/>
          <w:sz w:val="16"/>
          <w:szCs w:val="16"/>
          <w:color w:val="auto"/>
        </w:rPr>
        <w:t xml:space="preserve"> Any payment of principal, interest, fees or other amount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an L/C Issuer or the Swing 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Cash Collateralize an L/C Issuer’s Fronting Exposure with respect to such Defaulting Lender in accordance with </w:t>
      </w:r>
      <w:r>
        <w:rPr>
          <w:rFonts w:ascii="Arial" w:cs="Arial" w:eastAsia="Arial" w:hAnsi="Arial"/>
          <w:sz w:val="16"/>
          <w:szCs w:val="16"/>
          <w:u w:val="single" w:color="auto"/>
          <w:color w:val="auto"/>
        </w:rPr>
        <w:t>Section 2.16 fourth,</w:t>
      </w:r>
      <w:r>
        <w:rPr>
          <w:rFonts w:ascii="Arial" w:cs="Arial" w:eastAsia="Arial" w:hAnsi="Arial"/>
          <w:sz w:val="16"/>
          <w:szCs w:val="16"/>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Company, to be held in a deposit account and released pro rata in order to (x) satisfy such Defaulting Lender’s potential future funding obligations with respect to Committed Loans under this Agreement and (y) Cash Collateralize an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the L/C Issuers or the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so long as no Default or Event of Default exists, to the payment of any amounts owing to any Borrower as a result of any judgment of a court of competent jurisdiction obtained by such Borrower against that Defaulting Lender as a result of that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the pay the Loans of, and L/C Obligations owed to, all Non-Defaulting Lenders on a pro rata basis prior to being applied to the payment of any Loans of, or L/C Obligations owed to, such Defaulting Lender until such time as all Committed Loans and funded and unfunded participations in L/C Obligations and Swing Line Loans are held by the Lenders pro rata in accordance with the Commitments hereunder without giving effect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2.17(a)(ii)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282" w:lineRule="exact"/>
        <w:rPr>
          <w:rFonts w:ascii="Arial" w:cs="Arial" w:eastAsia="Arial" w:hAnsi="Arial"/>
          <w:sz w:val="16"/>
          <w:szCs w:val="16"/>
          <w:color w:val="auto"/>
        </w:rPr>
      </w:pPr>
    </w:p>
    <w:p>
      <w:pPr>
        <w:ind w:left="740" w:hanging="321"/>
        <w:spacing w:after="0"/>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Certain Fees.</w:t>
      </w:r>
    </w:p>
    <w:p>
      <w:pPr>
        <w:spacing w:after="0" w:line="117" w:lineRule="exact"/>
        <w:rPr>
          <w:rFonts w:ascii="Arial" w:cs="Arial" w:eastAsia="Arial" w:hAnsi="Arial"/>
          <w:sz w:val="18"/>
          <w:szCs w:val="18"/>
          <w:color w:val="auto"/>
        </w:rPr>
      </w:pPr>
    </w:p>
    <w:p>
      <w:pPr>
        <w:ind w:left="540" w:right="20" w:firstLine="408"/>
        <w:spacing w:after="0" w:line="291" w:lineRule="auto"/>
        <w:tabs>
          <w:tab w:leader="none" w:pos="1236" w:val="left"/>
        </w:tabs>
        <w:numPr>
          <w:ilvl w:val="2"/>
          <w:numId w:val="77"/>
        </w:numPr>
        <w:rPr>
          <w:rFonts w:ascii="Arial" w:cs="Arial" w:eastAsia="Arial" w:hAnsi="Arial"/>
          <w:sz w:val="16"/>
          <w:szCs w:val="16"/>
          <w:color w:val="auto"/>
        </w:rPr>
      </w:pPr>
      <w:r>
        <w:rPr>
          <w:rFonts w:ascii="Arial" w:cs="Arial" w:eastAsia="Arial" w:hAnsi="Arial"/>
          <w:sz w:val="16"/>
          <w:szCs w:val="16"/>
          <w:color w:val="auto"/>
        </w:rPr>
        <w:t xml:space="preserve">Each Defaulting Lender shall be entitled to receive fees payable under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for any period during which that Lender is a Defaulting Lender only to extent allocable to the sum of (1) the outstanding principal amount of the Committed Loans funded by it, and</w:t>
      </w:r>
    </w:p>
    <w:p>
      <w:pPr>
        <w:ind w:left="800" w:hanging="253"/>
        <w:spacing w:after="0"/>
        <w:tabs>
          <w:tab w:leader="none" w:pos="8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its Applicable Percentage of the stated amount of Letters of Credit for which it has provided Cash Collateral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125" w:lineRule="exact"/>
        <w:rPr>
          <w:rFonts w:ascii="Arial" w:cs="Arial" w:eastAsia="Arial" w:hAnsi="Arial"/>
          <w:sz w:val="16"/>
          <w:szCs w:val="16"/>
          <w:color w:val="auto"/>
        </w:rPr>
      </w:pPr>
    </w:p>
    <w:p>
      <w:pPr>
        <w:ind w:left="540" w:right="80" w:firstLine="408"/>
        <w:spacing w:after="0" w:line="263" w:lineRule="auto"/>
        <w:tabs>
          <w:tab w:leader="none" w:pos="1226" w:val="left"/>
        </w:tabs>
        <w:numPr>
          <w:ilvl w:val="2"/>
          <w:numId w:val="78"/>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60"/>
          </w:cols>
          <w:pgMar w:left="880" w:top="274" w:right="459" w:bottom="1440" w:gutter="0" w:footer="0" w:header="0"/>
        </w:sectPr>
      </w:pPr>
    </w:p>
    <w:bookmarkStart w:id="73" w:name="page74"/>
    <w:bookmarkEnd w:id="73"/>
    <w:p>
      <w:pPr>
        <w:ind w:left="920" w:firstLine="408"/>
        <w:spacing w:after="0" w:line="254" w:lineRule="auto"/>
        <w:tabs>
          <w:tab w:leader="none" w:pos="1606" w:val="left"/>
        </w:tabs>
        <w:numPr>
          <w:ilvl w:val="2"/>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or any Letter of Credit Fee not required to be paid to any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the Company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below, (y) pay to each L/C Issuer and the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86" w:lineRule="exact"/>
        <w:rPr>
          <w:rFonts w:ascii="Arial" w:cs="Arial" w:eastAsia="Arial" w:hAnsi="Arial"/>
          <w:sz w:val="18"/>
          <w:szCs w:val="18"/>
          <w:color w:val="auto"/>
        </w:rPr>
      </w:pPr>
    </w:p>
    <w:p>
      <w:pPr>
        <w:ind w:left="920" w:right="40" w:firstLine="408"/>
        <w:spacing w:after="0" w:line="288" w:lineRule="auto"/>
        <w:tabs>
          <w:tab w:leader="none" w:pos="1615" w:val="left"/>
        </w:tabs>
        <w:numPr>
          <w:ilvl w:val="2"/>
          <w:numId w:val="79"/>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are satisfied at the time of such reallocation, or are subsequently satisfied, in which event such reallocation shall occur when such conditions are satisfied (and, unless the Company shall have otherwise notified the Administrative Agent at such time, the Company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Arial" w:cs="Arial" w:eastAsia="Arial" w:hAnsi="Arial"/>
          <w:sz w:val="16"/>
          <w:szCs w:val="16"/>
          <w:u w:val="single" w:color="auto"/>
          <w:color w:val="auto"/>
        </w:rPr>
        <w:t>Section 10.21</w:t>
      </w:r>
      <w:r>
        <w:rPr>
          <w:rFonts w:ascii="Arial" w:cs="Arial" w:eastAsia="Arial" w:hAnsi="Arial"/>
          <w:sz w:val="16"/>
          <w:szCs w:val="16"/>
          <w:color w:val="auto"/>
        </w:rPr>
        <w:t>, no reallocation hereunder shall constitute a waiver or release of any claim of any party hereunder against a Defaulting Lender arising from that Lender having become a Defaulting Lender, including any claim of the Company or a Non-Defaulting Lender as a result of such Non-Defaulting Lender’s increased exposure following such reallocation.</w:t>
      </w:r>
    </w:p>
    <w:p>
      <w:pPr>
        <w:spacing w:after="0" w:line="60" w:lineRule="exact"/>
        <w:rPr>
          <w:rFonts w:ascii="Arial" w:cs="Arial" w:eastAsia="Arial" w:hAnsi="Arial"/>
          <w:sz w:val="16"/>
          <w:szCs w:val="16"/>
          <w:color w:val="auto"/>
        </w:rPr>
      </w:pPr>
    </w:p>
    <w:p>
      <w:pPr>
        <w:ind w:left="380" w:right="140" w:firstLine="419"/>
        <w:spacing w:after="0" w:line="259" w:lineRule="auto"/>
        <w:tabs>
          <w:tab w:leader="none" w:pos="1108"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Company shall, without prejudice to any right or remedy available to it hereunder or under applicable Law, (x)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prepay Swing Line Loans in any amount equal to the Swing Line Lender’s Fronting Exposure and (y)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Cash Collateralize the L/C Issuers’ Fronting Exposure in accordance with the procedures set forth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60" w:right="40" w:firstLine="436"/>
        <w:spacing w:after="0" w:line="269" w:lineRule="auto"/>
        <w:tabs>
          <w:tab w:leader="none" w:pos="635"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Company, the Administrative Agent, the Swing Line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7"/>
          <w:szCs w:val="17"/>
          <w:u w:val="single" w:color="auto"/>
          <w:color w:val="auto"/>
        </w:rPr>
        <w:t>Section 2.17(a)(iv)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any Borrower while that Lender was a Defaulting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00"/>
          </w:cols>
          <w:pgMar w:left="500" w:top="274" w:right="49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2.18 </w:t>
      </w:r>
      <w:r>
        <w:rPr>
          <w:rFonts w:ascii="Arial" w:cs="Arial" w:eastAsia="Arial" w:hAnsi="Arial"/>
          <w:sz w:val="18"/>
          <w:szCs w:val="18"/>
          <w:b w:val="1"/>
          <w:bCs w:val="1"/>
          <w:u w:val="single" w:color="auto"/>
          <w:color w:val="auto"/>
        </w:rPr>
        <w:t>Designated Borrowers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36"/>
        <w:spacing w:after="0" w:line="284" w:lineRule="auto"/>
        <w:tabs>
          <w:tab w:leader="none" w:pos="685"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Designated Borrowers.</w:t>
      </w:r>
      <w:r>
        <w:rPr>
          <w:rFonts w:ascii="Arial" w:cs="Arial" w:eastAsia="Arial" w:hAnsi="Arial"/>
          <w:sz w:val="16"/>
          <w:szCs w:val="16"/>
          <w:color w:val="auto"/>
        </w:rPr>
        <w:t xml:space="preserve"> The Company may at any time, upon not less than fifteen Business Days’ notice from the Company to the Administrative Agent (or such shorter period as may be agreed by the Administrative Agent in its sole discretion), request to designate any wholly-owned Subsidiary of the Company (an “</w:t>
      </w:r>
      <w:r>
        <w:rPr>
          <w:rFonts w:ascii="Arial" w:cs="Arial" w:eastAsia="Arial" w:hAnsi="Arial"/>
          <w:sz w:val="16"/>
          <w:szCs w:val="16"/>
          <w:u w:val="single" w:color="auto"/>
          <w:color w:val="auto"/>
        </w:rPr>
        <w:t>Applicant Borrower</w:t>
      </w:r>
      <w:r>
        <w:rPr>
          <w:rFonts w:ascii="Arial" w:cs="Arial" w:eastAsia="Arial" w:hAnsi="Arial"/>
          <w:sz w:val="16"/>
          <w:szCs w:val="16"/>
          <w:color w:val="auto"/>
        </w:rPr>
        <w:t xml:space="preserve">”) as a Designated Borrower to receive Committed Loans hereunder by delivering to the Administrative Agent (which shall promptly deliver counterparts thereof to each Lender) a duly executed notice and agreement in substantially the form of </w:t>
      </w:r>
      <w:r>
        <w:rPr>
          <w:rFonts w:ascii="Arial" w:cs="Arial" w:eastAsia="Arial" w:hAnsi="Arial"/>
          <w:sz w:val="16"/>
          <w:szCs w:val="16"/>
          <w:u w:val="single" w:color="auto"/>
          <w:color w:val="auto"/>
        </w:rPr>
        <w:t>EXHIBIT 2.18(a)</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Designated Borrower Request and Assumption Agreement</w:t>
      </w:r>
      <w:r>
        <w:rPr>
          <w:rFonts w:ascii="Arial" w:cs="Arial" w:eastAsia="Arial" w:hAnsi="Arial"/>
          <w:sz w:val="16"/>
          <w:szCs w:val="16"/>
          <w:color w:val="auto"/>
        </w:rPr>
        <w:t xml:space="preserve">”). The parties hereto acknowledge and agree that, prior to any Applicant Borrower becoming a Designated Borrower hereunder and being entitled to utilize the credit facilities provided for herein (i) the Administrative Agent and each Lender must agree to such Applicant Borrower (other than any Applicant Borrower organized under the laws of Ireland, but subject to the other requirements of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 becoming a Designated Borrower, (ii) the Administrative Agent and each Lender shall have received the Company Guaranty and such supporting resolutions, incumbency certificates, opinions of counsel and other documents or information, in form, content and scope reasonably satisfactory to the Administrative Agent, as may be required by the Administrative Agent, and Notes signed by such Applicant Borrower to the extent any Lender so requires and (iii) (A) upon the reasonable request of any Lender, the Applicant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the Beneficial Ownership Regulation and (B) any Applicant Borrower that qualifies as a “legal entity customer” under the Beneficial Ownership Regulation shall have delivered, to each Lender that so requests, a Beneficial Ownership Certification in relation to such Applicant Borrower (the requirements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(ii)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hereof, the “</w:t>
      </w:r>
      <w:r>
        <w:rPr>
          <w:rFonts w:ascii="Arial" w:cs="Arial" w:eastAsia="Arial" w:hAnsi="Arial"/>
          <w:sz w:val="16"/>
          <w:szCs w:val="16"/>
          <w:u w:val="single" w:color="auto"/>
          <w:color w:val="auto"/>
        </w:rPr>
        <w:t>Designated Borrower Requirements</w:t>
      </w:r>
      <w:r>
        <w:rPr>
          <w:rFonts w:ascii="Arial" w:cs="Arial" w:eastAsia="Arial" w:hAnsi="Arial"/>
          <w:sz w:val="16"/>
          <w:szCs w:val="16"/>
          <w:color w:val="auto"/>
        </w:rPr>
        <w:t xml:space="preserve">”). If the Designated Borrower Requirements are met, the Administrative Agent shall send a notice in substantially the form of </w:t>
      </w:r>
      <w:r>
        <w:rPr>
          <w:rFonts w:ascii="Arial" w:cs="Arial" w:eastAsia="Arial" w:hAnsi="Arial"/>
          <w:sz w:val="16"/>
          <w:szCs w:val="16"/>
          <w:u w:val="single" w:color="auto"/>
          <w:color w:val="auto"/>
        </w:rPr>
        <w:t>EXHIBIT 2.18(b)</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Designated Borrower Notice</w:t>
      </w:r>
      <w:r>
        <w:rPr>
          <w:rFonts w:ascii="Arial" w:cs="Arial" w:eastAsia="Arial" w:hAnsi="Arial"/>
          <w:sz w:val="16"/>
          <w:szCs w:val="16"/>
          <w:color w:val="auto"/>
        </w:rPr>
        <w:t xml:space="preserve">”) to the Company and the Lenders specifying the effective date upon which the Applicant Borrower shall constitute a Designated Borrower for purposes hereof, whereupon each of the Lenders agrees to permit such Designated Borrower to receive Committed Loans hereunder, on the terms and conditions set forth herein, and each of the parties agrees that such Designated Borrower otherwise shall be a Borrower for all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Committed Loan Notice may be submitted by or on behalf of such Designated Borrower until the date five (5) Business Days after such effective date.</w:t>
      </w:r>
    </w:p>
    <w:p>
      <w:pPr>
        <w:spacing w:after="0" w:line="71" w:lineRule="exact"/>
        <w:rPr>
          <w:rFonts w:ascii="Arial" w:cs="Arial" w:eastAsia="Arial" w:hAnsi="Arial"/>
          <w:sz w:val="16"/>
          <w:szCs w:val="16"/>
          <w:color w:val="auto"/>
        </w:rPr>
      </w:pPr>
    </w:p>
    <w:p>
      <w:pPr>
        <w:jc w:val="both"/>
        <w:ind w:right="40" w:firstLine="436"/>
        <w:spacing w:after="0" w:line="259"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Obligations</w:t>
      </w:r>
      <w:r>
        <w:rPr>
          <w:rFonts w:ascii="Arial" w:cs="Arial" w:eastAsia="Arial" w:hAnsi="Arial"/>
          <w:sz w:val="18"/>
          <w:szCs w:val="18"/>
          <w:color w:val="auto"/>
        </w:rPr>
        <w:t>. The Company shall guarantee in favor of the Administrative Agent and the Lenders the Obligations of any Designated Borrowers in the form of a Company Guaranty. The Obligations of the Company and each of the Designated Borrowers shall be several and not joint in nature. For the avoidance of doubt, the Obligations owed by a Designated Borrower that is a Foreign Subsidiary shall be several and not joint with the Obligations of the Company or of any Designated Borrower.</w:t>
      </w:r>
    </w:p>
    <w:p>
      <w:pPr>
        <w:spacing w:after="0" w:line="78" w:lineRule="exact"/>
        <w:rPr>
          <w:rFonts w:ascii="Arial" w:cs="Arial" w:eastAsia="Arial" w:hAnsi="Arial"/>
          <w:sz w:val="18"/>
          <w:szCs w:val="18"/>
          <w:color w:val="auto"/>
        </w:rPr>
      </w:pPr>
    </w:p>
    <w:p>
      <w:pPr>
        <w:ind w:firstLine="436"/>
        <w:spacing w:after="0" w:line="293" w:lineRule="auto"/>
        <w:tabs>
          <w:tab w:leader="none" w:pos="685"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Appointment</w:t>
      </w:r>
      <w:r>
        <w:rPr>
          <w:rFonts w:ascii="Arial" w:cs="Arial" w:eastAsia="Arial" w:hAnsi="Arial"/>
          <w:sz w:val="16"/>
          <w:szCs w:val="16"/>
          <w:color w:val="auto"/>
        </w:rPr>
        <w:t xml:space="preserve">. Each Subsidiary of the Company that is or becomes a “Designated Borrower” pursuant to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hereby irrevocably appoints the Company to act as its agent for all purposes of this Agreement and the other Loan Documents and agrees that (i) the Company may execute such documents on behalf of such Designated Borrower as the Company deems appropriate in its sole discretion and each Designated Borrower shall be obligated by all of the terms of any such document executed on its behalf, (ii) any notice or communication delivered by the Administrative Agent or the Lender to the Company shall be deemed delivered to each Designated Borrower and (iii) the Administrative Agent or the Lenders may accept, and be permitted to rely on, any document, instrument or agreement executed by the Company on behalf of each of the Loan Parties.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b w:val="1"/>
          <w:bCs w:val="1"/>
          <w:u w:val="single" w:color="auto"/>
          <w:color w:val="auto"/>
        </w:rPr>
        <w:t>Sustainability Adjustments</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436"/>
        <w:spacing w:after="0" w:line="259" w:lineRule="auto"/>
        <w:tabs>
          <w:tab w:leader="none" w:pos="6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Following the date on which the Company provides a Pricing Certificate in respect of its then most recently ended Annual Period, (i) the Applicable Rate for purposes of calculating interest on the Loans and the Letter of Credit Fee shall be increased or decreased (or neither increased nor decreased), as applicable, pursuant to the Sustainability Margin Adjustment as set forth in such Pricing Certificate and (ii) the Applicable Rate for the Facility Fee shall be increased or decreased (or neither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0" w:right="459" w:bottom="1440" w:gutter="0" w:footer="0" w:header="0"/>
        </w:sectPr>
      </w:pPr>
    </w:p>
    <w:bookmarkStart w:id="75" w:name="page76"/>
    <w:bookmarkEnd w:id="75"/>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increased nor decreased), as applicable, pursuant to the Sustainability Fee Adjustment as set forth in such Pricing Certificate. For purposes of the foregoing, (A) each of the Sustainability Margin Adjustment and the Sustainability Fee Adjustment shall be determined as of the 5th Business Day following receipt by the Administrative Agent of a Pricing Certificate delivered pursuant to </w:t>
      </w:r>
      <w:r>
        <w:rPr>
          <w:rFonts w:ascii="Arial" w:cs="Arial" w:eastAsia="Arial" w:hAnsi="Arial"/>
          <w:sz w:val="17"/>
          <w:szCs w:val="17"/>
          <w:u w:val="single" w:color="auto"/>
          <w:color w:val="auto"/>
        </w:rPr>
        <w:t>Section 6.01(c)</w:t>
      </w:r>
      <w:r>
        <w:rPr>
          <w:rFonts w:ascii="Arial" w:cs="Arial" w:eastAsia="Arial" w:hAnsi="Arial"/>
          <w:sz w:val="17"/>
          <w:szCs w:val="17"/>
          <w:color w:val="auto"/>
        </w:rPr>
        <w:t xml:space="preserve"> based upon the KPI Metrics set forth in such Pricing Certificate and the calculations of the Sustainability Margin Adjustment and the Sustainability Fee Adjustment calculations, as applicable, therein (such Business Day, the “</w:t>
      </w:r>
      <w:r>
        <w:rPr>
          <w:rFonts w:ascii="Arial" w:cs="Arial" w:eastAsia="Arial" w:hAnsi="Arial"/>
          <w:sz w:val="17"/>
          <w:szCs w:val="17"/>
          <w:u w:val="single" w:color="auto"/>
          <w:color w:val="auto"/>
        </w:rPr>
        <w:t>Sustainability Pricing Adjustment Date</w:t>
      </w:r>
      <w:r>
        <w:rPr>
          <w:rFonts w:ascii="Arial" w:cs="Arial" w:eastAsia="Arial" w:hAnsi="Arial"/>
          <w:sz w:val="17"/>
          <w:szCs w:val="17"/>
          <w:color w:val="auto"/>
        </w:rPr>
        <w:t xml:space="preserve">”) and (B) each change in the Applicable Rate resulting from a Pricing Certificate shall be effective during the period commencing on and including the applicable Sustainability Pricing Adjustment Date and ending on the date immediately preceding the next Sustainability Pricing Adjustment Date (or, in the case of non-delivery of a Pricing Certificate, the last day such Pricing Certificate could have been delivered pursuant to </w:t>
      </w:r>
      <w:r>
        <w:rPr>
          <w:rFonts w:ascii="Arial" w:cs="Arial" w:eastAsia="Arial" w:hAnsi="Arial"/>
          <w:sz w:val="17"/>
          <w:szCs w:val="17"/>
          <w:u w:val="single" w:color="auto"/>
          <w:color w:val="auto"/>
        </w:rPr>
        <w:t>Section 6.01(c)</w:t>
      </w:r>
      <w:r>
        <w:rPr>
          <w:rFonts w:ascii="Arial" w:cs="Arial" w:eastAsia="Arial" w:hAnsi="Arial"/>
          <w:sz w:val="17"/>
          <w:szCs w:val="17"/>
          <w:color w:val="auto"/>
        </w:rPr>
        <w:t>).</w:t>
      </w:r>
    </w:p>
    <w:p>
      <w:pPr>
        <w:spacing w:after="0" w:line="70" w:lineRule="exact"/>
        <w:rPr>
          <w:sz w:val="20"/>
          <w:szCs w:val="20"/>
          <w:color w:val="auto"/>
        </w:rPr>
      </w:pPr>
    </w:p>
    <w:p>
      <w:pPr>
        <w:ind w:firstLine="436"/>
        <w:spacing w:after="0" w:line="272" w:lineRule="auto"/>
        <w:tabs>
          <w:tab w:leader="none" w:pos="695" w:val="left"/>
        </w:tabs>
        <w:numPr>
          <w:ilvl w:val="0"/>
          <w:numId w:val="84"/>
        </w:numPr>
        <w:rPr>
          <w:rFonts w:ascii="Arial" w:cs="Arial" w:eastAsia="Arial" w:hAnsi="Arial"/>
          <w:sz w:val="17"/>
          <w:szCs w:val="17"/>
          <w:color w:val="auto"/>
        </w:rPr>
      </w:pPr>
      <w:r>
        <w:rPr>
          <w:rFonts w:ascii="Arial" w:cs="Arial" w:eastAsia="Arial" w:hAnsi="Arial"/>
          <w:sz w:val="17"/>
          <w:szCs w:val="17"/>
          <w:color w:val="auto"/>
        </w:rPr>
        <w:t>For the avoidance of doubt, only one Pricing Certificate may be delivered in respect of any Annual Period, and that the Applicable Rate for the Loans and the Letter of Credit Fee will not be reduced or increased pursuant to this Section 2.19 by more than 4.5 basis points (such limit, the “</w:t>
      </w:r>
      <w:r>
        <w:rPr>
          <w:rFonts w:ascii="Arial" w:cs="Arial" w:eastAsia="Arial" w:hAnsi="Arial"/>
          <w:sz w:val="17"/>
          <w:szCs w:val="17"/>
          <w:u w:val="single" w:color="auto"/>
          <w:color w:val="auto"/>
        </w:rPr>
        <w:t>Maximum Margin Adjustment</w:t>
      </w:r>
      <w:r>
        <w:rPr>
          <w:rFonts w:ascii="Arial" w:cs="Arial" w:eastAsia="Arial" w:hAnsi="Arial"/>
          <w:sz w:val="17"/>
          <w:szCs w:val="17"/>
          <w:color w:val="auto"/>
        </w:rPr>
        <w:t>”), and the Applicable Rate for the Facility Fee will never be reduced or increased by more than 0.5 basis points, in each case pursuant to the Sustainability Margin Adjustment or the Sustainability Fee Adjustment, as applicable, in respect of any Annual Period (such limit, the “Maximum Facility Fee Adjustment”). For the avoidance of doubt, any adjustment to the Applicable Rate for the Loans and the Letter of Credit Fee, and/or the Applicable Rate for the Facility Fee by reason of meeting one or several KPI Metrics in any year shall not be cumulative year-over-year. Each applicable adjustment shall only apply until the date on which the next adjustment is due to take place.</w:t>
      </w:r>
    </w:p>
    <w:p>
      <w:pPr>
        <w:spacing w:after="0" w:line="69" w:lineRule="exact"/>
        <w:rPr>
          <w:rFonts w:ascii="Arial" w:cs="Arial" w:eastAsia="Arial" w:hAnsi="Arial"/>
          <w:sz w:val="17"/>
          <w:szCs w:val="17"/>
          <w:color w:val="auto"/>
        </w:rPr>
      </w:pPr>
    </w:p>
    <w:p>
      <w:pPr>
        <w:ind w:right="80" w:firstLine="436"/>
        <w:spacing w:after="0" w:line="259" w:lineRule="auto"/>
        <w:tabs>
          <w:tab w:leader="none" w:pos="6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If no such Pricing Certificate is delivered by the Company within the period set forth in </w:t>
      </w:r>
      <w:r>
        <w:rPr>
          <w:rFonts w:ascii="Arial" w:cs="Arial" w:eastAsia="Arial" w:hAnsi="Arial"/>
          <w:sz w:val="18"/>
          <w:szCs w:val="18"/>
          <w:u w:val="single" w:color="auto"/>
          <w:color w:val="auto"/>
        </w:rPr>
        <w:t>Section 6.01(c)</w:t>
      </w:r>
      <w:r>
        <w:rPr>
          <w:rFonts w:ascii="Arial" w:cs="Arial" w:eastAsia="Arial" w:hAnsi="Arial"/>
          <w:sz w:val="18"/>
          <w:szCs w:val="18"/>
          <w:color w:val="auto"/>
        </w:rPr>
        <w:t xml:space="preserve">, the Sustainability Margin Adjustment will be positive 4.5 basis points and the Sustainability Fee Adjustment will be positive 0.5 basis points commencing on the last day such Pricing Certificate could have been delivered pursuant to the terms of </w:t>
      </w:r>
      <w:r>
        <w:rPr>
          <w:rFonts w:ascii="Arial" w:cs="Arial" w:eastAsia="Arial" w:hAnsi="Arial"/>
          <w:sz w:val="18"/>
          <w:szCs w:val="18"/>
          <w:u w:val="single" w:color="auto"/>
          <w:color w:val="auto"/>
        </w:rPr>
        <w:t>Section 6.01(c)</w:t>
      </w:r>
      <w:r>
        <w:rPr>
          <w:rFonts w:ascii="Arial" w:cs="Arial" w:eastAsia="Arial" w:hAnsi="Arial"/>
          <w:sz w:val="18"/>
          <w:szCs w:val="18"/>
          <w:color w:val="auto"/>
        </w:rPr>
        <w:t xml:space="preserve"> and continuing until the Company delivers a Pricing Certificate to the Administrative Agent.</w:t>
      </w:r>
    </w:p>
    <w:p>
      <w:pPr>
        <w:spacing w:after="0" w:line="78" w:lineRule="exact"/>
        <w:rPr>
          <w:rFonts w:ascii="Arial" w:cs="Arial" w:eastAsia="Arial" w:hAnsi="Arial"/>
          <w:sz w:val="18"/>
          <w:szCs w:val="18"/>
          <w:color w:val="auto"/>
        </w:rPr>
      </w:pPr>
    </w:p>
    <w:p>
      <w:pPr>
        <w:ind w:firstLine="436"/>
        <w:spacing w:after="0" w:line="268" w:lineRule="auto"/>
        <w:tabs>
          <w:tab w:leader="none" w:pos="695"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(i)(A) any of the Company or any Lender becomes aware of any material inaccuracy in the Sustainability Margin Adjustment, the Sustainability Fee Adjustment or the KPI Metrics as reported on the applicable Pricing Certificate (a “</w:t>
      </w:r>
      <w:r>
        <w:rPr>
          <w:rFonts w:ascii="Arial" w:cs="Arial" w:eastAsia="Arial" w:hAnsi="Arial"/>
          <w:sz w:val="17"/>
          <w:szCs w:val="17"/>
          <w:u w:val="single" w:color="auto"/>
          <w:color w:val="auto"/>
        </w:rPr>
        <w:t>Pricing Certificate Inaccuracy</w:t>
      </w:r>
      <w:r>
        <w:rPr>
          <w:rFonts w:ascii="Arial" w:cs="Arial" w:eastAsia="Arial" w:hAnsi="Arial"/>
          <w:sz w:val="17"/>
          <w:szCs w:val="17"/>
          <w:color w:val="auto"/>
        </w:rPr>
        <w:t>”) and, not later than 10 Business Days after obtaining knowledge thereof delivers a written notice to the Administrative Agent describing such Pricing Certificate Inaccuracy in reasonable detail (who shall furnish a copy to each of the Lenders and the Company) or (B) the Company and the Required Lenders agree that there was a Pricing Certificate Inaccuracy at the time of delivery of the relevant Pricing Certificate and (ii) a proper calculation of the Sustainability Margin Adjustment, the Sustainability Fee Adjustment or the KPI Metrics would have resulted in an increase in the Applicable Rate for the Loans and the Letter of Credit Fee, and the Applicable Rate for the Facility Fee for such period, then the Company shall be obligated to pay to the Administrative Agent for the account of the Lenders, promptly on demand by the Administrative Agent (or, after the occurrence of an actual or deemed entry of an order for relief with respect to the Company under any Debtor Relief Law, automatically and without further action by the Administrative Agent or any Lender), but in no event more than 10 Business Days after the Company has received written notice of, or has agreed in writing that there was, a Pricing Certificate Inaccuracy, an amount equal to: the excess of (x) the amount of interest and fees that would have been payable for such period at the rate giving effect to the proper Sustainability Fee Adjustment or Sustainability Margin Adjustment, as applicable over (y) the amount of interest and fees actually paid for such period (the “</w:t>
      </w:r>
      <w:r>
        <w:rPr>
          <w:rFonts w:ascii="Arial" w:cs="Arial" w:eastAsia="Arial" w:hAnsi="Arial"/>
          <w:sz w:val="17"/>
          <w:szCs w:val="17"/>
          <w:u w:val="single" w:color="auto"/>
          <w:color w:val="auto"/>
        </w:rPr>
        <w:t>True-Up Amount</w:t>
      </w:r>
      <w:r>
        <w:rPr>
          <w:rFonts w:ascii="Arial" w:cs="Arial" w:eastAsia="Arial" w:hAnsi="Arial"/>
          <w:sz w:val="17"/>
          <w:szCs w:val="17"/>
          <w:color w:val="auto"/>
        </w:rPr>
        <w:t>”). If the Company becomes aware of any Pricing Certificate Inaccuracy and, in connection therewith, if a proper calculation of the Sustainability Margin Adjustment, the Sustainability Fee Adjustment or the KPI Metrics would have resulted in a decrease in the Applicable Rate for the Loans and the Letter of Credit Fee, and the Applicable Rate for the Facility Fee for such period, then, upon receipt by the Administrative Agent of notice from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76" w:name="page77"/>
    <w:bookmarkEnd w:id="76"/>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of such Pricing Certificate Inaccuracy (which notice shall include corrections to the calculations of the Sustainability Rate Adjustment, the Sustainability Fee Adjustment or the KPI Metrics, as applicable), commencing on the Business Day following receipt by the Administrative Agent of such notice, the Applicable Rate for the Loans and the Letter of Credit Fee, and the Applicable Rate for purpose of calculating interest on the Facility Fee shall be adjusted to reflect the corrected calculations of the Sustainability Rate Adjustment, the Sustainability Fee Adjustment or the KPI Metrics, as applicable.</w:t>
      </w:r>
    </w:p>
    <w:p>
      <w:pPr>
        <w:spacing w:after="0" w:line="80" w:lineRule="exact"/>
        <w:rPr>
          <w:sz w:val="20"/>
          <w:szCs w:val="20"/>
          <w:color w:val="auto"/>
        </w:rPr>
      </w:pPr>
    </w:p>
    <w:p>
      <w:pPr>
        <w:ind w:left="4" w:right="80" w:firstLine="436"/>
        <w:spacing w:after="0" w:line="284" w:lineRule="auto"/>
        <w:tabs>
          <w:tab w:leader="none" w:pos="689"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no Pricing Certificate Inaccuracy shall constitute a Default or Event of Default under this Agreement, so long as the Company complies with the terms of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with respect to such Pricing Certificate Inaccuracy. Notwithstanding anything to the contrary herein, unless such amounts shall be due upon the occurrence of an actual or deemed entry of an order for relief with respect to the Company under any Debtor Relief Law, (i) any additional amounts required to be paid pursuant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shall not be due and payable until a written demand is made for such payment by the Administrative Agent in accordance with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(ii) any nonpayment of such additional amounts prior to such demand for payment by Administrative Agent shall not constitute a Default (whether retroactively or otherwise), and</w:t>
      </w:r>
    </w:p>
    <w:p>
      <w:pPr>
        <w:spacing w:after="0" w:line="4" w:lineRule="exact"/>
        <w:rPr>
          <w:rFonts w:ascii="Arial" w:cs="Arial" w:eastAsia="Arial" w:hAnsi="Arial"/>
          <w:sz w:val="16"/>
          <w:szCs w:val="16"/>
          <w:color w:val="auto"/>
        </w:rPr>
      </w:pPr>
    </w:p>
    <w:p>
      <w:pPr>
        <w:ind w:left="4" w:hanging="4"/>
        <w:spacing w:after="0" w:line="255" w:lineRule="auto"/>
        <w:tabs>
          <w:tab w:leader="none" w:pos="319"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none of such additional amounts shall be deemed overdue prior to such a demand or shall accrue interest at the Default Rate prior to such a demand. In the event the Company fails to comply with the terms of this </w:t>
      </w:r>
      <w:r>
        <w:rPr>
          <w:rFonts w:ascii="Arial" w:cs="Arial" w:eastAsia="Arial" w:hAnsi="Arial"/>
          <w:sz w:val="18"/>
          <w:szCs w:val="18"/>
          <w:u w:val="single" w:color="auto"/>
          <w:color w:val="auto"/>
        </w:rPr>
        <w:t>Section 2.19</w:t>
      </w:r>
      <w:r>
        <w:rPr>
          <w:rFonts w:ascii="Arial" w:cs="Arial" w:eastAsia="Arial" w:hAnsi="Arial"/>
          <w:sz w:val="18"/>
          <w:szCs w:val="18"/>
          <w:color w:val="auto"/>
        </w:rPr>
        <w:t>, the Lenders’ sole recourse with respect to such non-compliance shall be limited to the True-Up Amount.</w:t>
      </w:r>
    </w:p>
    <w:p>
      <w:pPr>
        <w:spacing w:after="0" w:line="81" w:lineRule="exact"/>
        <w:rPr>
          <w:rFonts w:ascii="Arial" w:cs="Arial" w:eastAsia="Arial" w:hAnsi="Arial"/>
          <w:sz w:val="18"/>
          <w:szCs w:val="18"/>
          <w:color w:val="auto"/>
        </w:rPr>
      </w:pPr>
    </w:p>
    <w:p>
      <w:pPr>
        <w:ind w:left="4" w:firstLine="436"/>
        <w:spacing w:after="0" w:line="259" w:lineRule="auto"/>
        <w:tabs>
          <w:tab w:leader="none" w:pos="669"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Administrative Agent shall not have any responsibility for (or liability in respect of) reviewing, auditing or otherwise evaluating any calculation by the Company of any Sustainability Fee Adjustment or any Sustainability Margin Adjustment (or any of the data or computations that are part of or related to any such calculation) set forth in any KPI Metrics Report or Pricing Certificate (and the Administrative Agent may rely conclusively on any such certificate, without further inquiry).</w:t>
      </w:r>
    </w:p>
    <w:p>
      <w:pPr>
        <w:spacing w:after="0" w:line="3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3.01 </w:t>
      </w: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40" w:firstLine="436"/>
        <w:spacing w:after="0" w:line="255" w:lineRule="auto"/>
        <w:tabs>
          <w:tab w:leader="none" w:pos="689"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 xml:space="preserve">. (3) Any and all payments by or on account of any obligation of any Borrower under any Loan Document shall be made without deduction or withholding for any Taxes, except as required by applicable Laws. If any applicable Laws (as determined in the good faith discretion of the Administrative Agent or the applicable Borrower, as applicable) require the deduction or withholding of any Tax from any such payment by the Administrative Agent or the applicable Borrower, then the Administrative Agent or the applicable Borrower shall be entitled to make such deduction or withholding, upon the basis of the information and documentation to be delivered pursuant to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below.</w:t>
      </w:r>
    </w:p>
    <w:p>
      <w:pPr>
        <w:spacing w:after="0" w:line="84" w:lineRule="exact"/>
        <w:rPr>
          <w:rFonts w:ascii="Arial" w:cs="Arial" w:eastAsia="Arial" w:hAnsi="Arial"/>
          <w:sz w:val="18"/>
          <w:szCs w:val="18"/>
          <w:color w:val="auto"/>
        </w:rPr>
      </w:pPr>
    </w:p>
    <w:p>
      <w:pPr>
        <w:ind w:left="444" w:firstLine="419"/>
        <w:spacing w:after="0" w:line="290" w:lineRule="auto"/>
        <w:tabs>
          <w:tab w:leader="none" w:pos="1082"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If any Borrower or the Administrative Agent shall be required by applicable Law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below, (B) the Administrative Agent shall timely pay the full amount withheld or deducted to the relevant Governmental Authority in accordance with applicable Law, and (C) to the extent that the withholding or deduction is made on account of Indemnified Taxes, the sum payable by the applicable Borrower shall be increased as necessary so that after any required withholding or the making of all required deductions (including deductions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applicable Recipient receives an amount equal to the sum it would have received had no such withholding or deduction of Indemnified Taxes been made.</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4"/>
          </w:cols>
          <w:pgMar w:left="436" w:top="274" w:right="479" w:bottom="1440" w:gutter="0" w:footer="0" w:header="0"/>
        </w:sectPr>
      </w:pPr>
    </w:p>
    <w:bookmarkStart w:id="77" w:name="page78"/>
    <w:bookmarkEnd w:id="77"/>
    <w:p>
      <w:pPr>
        <w:ind w:right="120" w:firstLine="436"/>
        <w:spacing w:after="0" w:line="263"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Other Taxes by the Borrowers.</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the Borrowers shall timely pay to the relevant Governmental Authority in accordance with applicable Law, or at the option of the Administrative Agent timely reimburse it for the payment of, any Other Taxes.</w:t>
      </w:r>
    </w:p>
    <w:p>
      <w:pPr>
        <w:spacing w:after="0" w:line="75" w:lineRule="exact"/>
        <w:rPr>
          <w:rFonts w:ascii="Arial" w:cs="Arial" w:eastAsia="Arial" w:hAnsi="Arial"/>
          <w:sz w:val="18"/>
          <w:szCs w:val="18"/>
          <w:color w:val="auto"/>
        </w:rPr>
      </w:pPr>
    </w:p>
    <w:p>
      <w:pPr>
        <w:ind w:firstLine="436"/>
        <w:spacing w:after="0" w:line="283" w:lineRule="auto"/>
        <w:tabs>
          <w:tab w:leader="none" w:pos="68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(4) The Borrowers shall, and do hereby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payable or paid by such Recipient or required to be withheld or deducted from a payment to such Recipient, and any penalties, interest and reasonable expenses arising therefrom or with respect thereto, other than penalties, interest or reasonable expenses arising from the gross negligence or willful misconduct on the part of the Recipient as determined by a court of competent jurisdiction by final and nonappealable judgment, whether or not such Indemnified Taxes were correctly or legally imposed or asserted by the relevant Governmental Authority. A certificate as to the amount of such payment or liability delivered to the Company by a Lender or an L/C Issuer (with a copy to the Administrative Agent), or by the Administrative Agent on its own behalf or on behalf of a Lender or an L/C Issuer, shall be conclusive absent manifest error. The Borrowers shall, and do hereby indemnify the Administrative Agent, and shall make payment in respect thereof within 10 days after demand therefor, for any amount which a Lender or an L/C Issuer for any reason fails to pay indefeasibly to the Administrative Agent as required pursuant to</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3.01(c)(ii)</w:t>
      </w:r>
      <w:r>
        <w:rPr>
          <w:rFonts w:ascii="Arial" w:cs="Arial" w:eastAsia="Arial" w:hAnsi="Arial"/>
          <w:sz w:val="18"/>
          <w:szCs w:val="18"/>
          <w:color w:val="auto"/>
        </w:rPr>
        <w:t xml:space="preserve"> below.</w:t>
      </w:r>
    </w:p>
    <w:p>
      <w:pPr>
        <w:spacing w:after="0" w:line="102" w:lineRule="exact"/>
        <w:rPr>
          <w:rFonts w:ascii="Arial" w:cs="Arial" w:eastAsia="Arial" w:hAnsi="Arial"/>
          <w:sz w:val="16"/>
          <w:szCs w:val="16"/>
          <w:color w:val="auto"/>
        </w:rPr>
      </w:pPr>
    </w:p>
    <w:p>
      <w:pPr>
        <w:ind w:left="440" w:firstLine="419"/>
        <w:spacing w:after="0" w:line="287" w:lineRule="auto"/>
        <w:tabs>
          <w:tab w:leader="none" w:pos="1078"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Each Lender and each L/C Issuer shall, and does hereby, severally indemnify, and shall make payment in respect thereof within 10 days after demand therefor, (x) the Administrative Agent against any Indemnified Taxes attributable to such Lender or such L/C Issuer (but only to the extent that no Borrower has already indemnified the Administrative Agent for such Indemnified Taxes and without limiting the obligation of the Borrowers to do so), (y) the Administrative Agent against any Taxes attributable to such Lender’s failure to comply with the provisions of </w:t>
      </w:r>
      <w:r>
        <w:rPr>
          <w:rFonts w:ascii="Arial" w:cs="Arial" w:eastAsia="Arial" w:hAnsi="Arial"/>
          <w:sz w:val="16"/>
          <w:szCs w:val="16"/>
          <w:u w:val="single" w:color="auto"/>
          <w:color w:val="auto"/>
        </w:rPr>
        <w:t>Section 10.06(d)</w:t>
      </w:r>
      <w:r>
        <w:rPr>
          <w:rFonts w:ascii="Arial" w:cs="Arial" w:eastAsia="Arial" w:hAnsi="Arial"/>
          <w:sz w:val="16"/>
          <w:szCs w:val="16"/>
          <w:color w:val="auto"/>
        </w:rPr>
        <w:t xml:space="preserve"> relating to the maintenance of a Participant Register and (z) the Administrative Agent and the Borrowers, as applicable, against any Excluded Taxes attributable to such Lender or such L/C Issuer, in each case, that are payable or paid by the Administrative Agent or any Borrower in connection with any Loan Document, and any penalties, interest and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L/C Issuer, as the case may be, under this Agreement or any other Loan Document against any amount due to the Administrative Agent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right="80" w:firstLine="436"/>
        <w:spacing w:after="0" w:line="275" w:lineRule="auto"/>
        <w:tabs>
          <w:tab w:leader="none" w:pos="69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Evidence of Payments.</w:t>
      </w:r>
      <w:r>
        <w:rPr>
          <w:rFonts w:ascii="Arial" w:cs="Arial" w:eastAsia="Arial" w:hAnsi="Arial"/>
          <w:sz w:val="17"/>
          <w:szCs w:val="17"/>
          <w:color w:val="auto"/>
        </w:rPr>
        <w:t xml:space="preserve"> Upon request by a Borrower or the Administrative Agent, as the case may be, after any payment of Taxes by such Borrower or by the Administrative Agent to a Governmental Authority as provided in this </w:t>
      </w:r>
      <w:r>
        <w:rPr>
          <w:rFonts w:ascii="Arial" w:cs="Arial" w:eastAsia="Arial" w:hAnsi="Arial"/>
          <w:sz w:val="17"/>
          <w:szCs w:val="17"/>
          <w:u w:val="single" w:color="auto"/>
          <w:color w:val="auto"/>
        </w:rPr>
        <w:t>Section 3.01</w:t>
      </w:r>
      <w:r>
        <w:rPr>
          <w:rFonts w:ascii="Arial" w:cs="Arial" w:eastAsia="Arial" w:hAnsi="Arial"/>
          <w:sz w:val="17"/>
          <w:szCs w:val="17"/>
          <w:color w:val="auto"/>
        </w:rPr>
        <w:t>, such Borrower shall deliver to the Administrative Agent or the Administrative Agent shall deliver to such Borrower, as the case may be, the original or a certified copy of a receipt issued by such Governmental Authority evidencing such payment, a copy of any return required by Laws to report such payment or other evidence of such payment reasonably satisfactory to the requesting Borrower or the Administrative Agent, as the case may be.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40" w:top="274" w:right="479" w:bottom="1440" w:gutter="0" w:footer="0" w:header="0"/>
        </w:sectPr>
      </w:pPr>
    </w:p>
    <w:bookmarkStart w:id="78" w:name="page79"/>
    <w:bookmarkEnd w:id="78"/>
    <w:p>
      <w:pPr>
        <w:ind w:left="-20" w:right="20" w:firstLine="436"/>
        <w:spacing w:after="0" w:line="288" w:lineRule="auto"/>
        <w:tabs>
          <w:tab w:leader="none" w:pos="66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Status of Lenders; Tax Documentation.</w:t>
      </w:r>
      <w:r>
        <w:rPr>
          <w:rFonts w:ascii="Arial" w:cs="Arial" w:eastAsia="Arial" w:hAnsi="Arial"/>
          <w:sz w:val="16"/>
          <w:szCs w:val="16"/>
          <w:color w:val="auto"/>
        </w:rPr>
        <w:t xml:space="preserve"> (5)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3.01(e)(i)(A)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(i)(B)</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0" w:lineRule="exact"/>
        <w:rPr>
          <w:rFonts w:ascii="Arial" w:cs="Arial" w:eastAsia="Arial" w:hAnsi="Arial"/>
          <w:sz w:val="16"/>
          <w:szCs w:val="16"/>
          <w:color w:val="auto"/>
        </w:rPr>
      </w:pPr>
    </w:p>
    <w:p>
      <w:pPr>
        <w:ind w:left="1060" w:hanging="221"/>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is a U.S. Person:</w:t>
      </w:r>
    </w:p>
    <w:p>
      <w:pPr>
        <w:spacing w:after="0" w:line="117" w:lineRule="exact"/>
        <w:rPr>
          <w:rFonts w:ascii="Arial" w:cs="Arial" w:eastAsia="Arial" w:hAnsi="Arial"/>
          <w:sz w:val="18"/>
          <w:szCs w:val="18"/>
          <w:color w:val="auto"/>
        </w:rPr>
      </w:pPr>
    </w:p>
    <w:p>
      <w:pPr>
        <w:ind w:left="960" w:firstLine="408"/>
        <w:spacing w:after="0" w:line="259" w:lineRule="auto"/>
        <w:tabs>
          <w:tab w:leader="none" w:pos="1656"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originals of IRS Form W-9 certifying that such Lender is exempt from U.S. federal backup withholding Tax;</w:t>
      </w:r>
    </w:p>
    <w:p>
      <w:pPr>
        <w:spacing w:after="0" w:line="78" w:lineRule="exact"/>
        <w:rPr>
          <w:rFonts w:ascii="Arial" w:cs="Arial" w:eastAsia="Arial" w:hAnsi="Arial"/>
          <w:sz w:val="18"/>
          <w:szCs w:val="18"/>
          <w:color w:val="auto"/>
        </w:rPr>
      </w:pPr>
    </w:p>
    <w:p>
      <w:pPr>
        <w:ind w:left="960" w:right="300" w:firstLine="408"/>
        <w:spacing w:after="0" w:line="259" w:lineRule="auto"/>
        <w:tabs>
          <w:tab w:leader="none" w:pos="1646"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78" w:lineRule="exact"/>
        <w:rPr>
          <w:rFonts w:ascii="Arial" w:cs="Arial" w:eastAsia="Arial" w:hAnsi="Arial"/>
          <w:sz w:val="18"/>
          <w:szCs w:val="18"/>
          <w:color w:val="auto"/>
        </w:rPr>
      </w:pPr>
    </w:p>
    <w:p>
      <w:pPr>
        <w:ind w:left="1400" w:right="160" w:firstLine="391"/>
        <w:spacing w:after="0" w:line="255" w:lineRule="auto"/>
        <w:tabs>
          <w:tab w:leader="none" w:pos="2038" w:val="left"/>
        </w:tabs>
        <w:numPr>
          <w:ilvl w:val="3"/>
          <w:numId w:val="89"/>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originals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84" w:lineRule="exact"/>
        <w:rPr>
          <w:rFonts w:ascii="Arial" w:cs="Arial" w:eastAsia="Arial" w:hAnsi="Arial"/>
          <w:sz w:val="18"/>
          <w:szCs w:val="18"/>
          <w:color w:val="auto"/>
        </w:rPr>
      </w:pPr>
    </w:p>
    <w:p>
      <w:pPr>
        <w:ind w:left="2040" w:hanging="249"/>
        <w:spacing w:after="0"/>
        <w:tabs>
          <w:tab w:leader="none" w:pos="2040" w:val="left"/>
        </w:tabs>
        <w:numPr>
          <w:ilvl w:val="3"/>
          <w:numId w:val="89"/>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117" w:lineRule="exact"/>
        <w:rPr>
          <w:rFonts w:ascii="Arial" w:cs="Arial" w:eastAsia="Arial" w:hAnsi="Arial"/>
          <w:sz w:val="18"/>
          <w:szCs w:val="18"/>
          <w:color w:val="auto"/>
        </w:rPr>
      </w:pPr>
    </w:p>
    <w:p>
      <w:pPr>
        <w:ind w:left="1400" w:right="160" w:firstLine="391"/>
        <w:spacing w:after="0" w:line="296" w:lineRule="auto"/>
        <w:tabs>
          <w:tab w:leader="none" w:pos="2038" w:val="left"/>
        </w:tabs>
        <w:numPr>
          <w:ilvl w:val="3"/>
          <w:numId w:val="89"/>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3.01(a)</w:t>
      </w:r>
      <w:r>
        <w:rPr>
          <w:rFonts w:ascii="Arial" w:cs="Arial" w:eastAsia="Arial" w:hAnsi="Arial"/>
          <w:sz w:val="16"/>
          <w:szCs w:val="16"/>
          <w:color w:val="auto"/>
        </w:rPr>
        <w:t xml:space="preserve"> to the effect that such Foreign Lender is not a “bank” within the meaning of Section 881(c)(3)(A) of the Code, a “10 percent shareholder” of the applicable Borrower within the meaning of Section 881(c)(3)(B) of the Code, or a “controlled foreign corporation” described in Section 881(c)(3)(C) of the Code (a “</w:t>
      </w:r>
      <w:r>
        <w:rPr>
          <w:rFonts w:ascii="Arial" w:cs="Arial" w:eastAsia="Arial" w:hAnsi="Arial"/>
          <w:sz w:val="16"/>
          <w:szCs w:val="16"/>
          <w:u w:val="single" w:color="auto"/>
          <w:color w:val="auto"/>
        </w:rPr>
        <w:t>U.S. 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 and (y) executed originals of IRS Form W-8BEN or IRS Form W-8BEN-E, as applicable; 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60" w:top="274" w:right="459" w:bottom="1440" w:gutter="0" w:footer="0" w:header="0"/>
        </w:sectPr>
      </w:pPr>
    </w:p>
    <w:bookmarkStart w:id="79" w:name="page80"/>
    <w:bookmarkEnd w:id="79"/>
    <w:p>
      <w:pPr>
        <w:ind w:left="980" w:right="160" w:firstLine="391"/>
        <w:spacing w:after="0" w:line="273" w:lineRule="auto"/>
        <w:tabs>
          <w:tab w:leader="none" w:pos="1618" w:val="left"/>
        </w:tabs>
        <w:numPr>
          <w:ilvl w:val="2"/>
          <w:numId w:val="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a Foreign Lender is not the beneficial owner, executed originals of IRS Form W-8IMY, accompanied by IRS Form W-8ECI, IRS Form W-8BEN or IRS Form W-8BEN-E, as applicable, a U.S. Tax Compliance Certificate substantially in the form of </w:t>
      </w:r>
      <w:r>
        <w:rPr>
          <w:rFonts w:ascii="Arial" w:cs="Arial" w:eastAsia="Arial" w:hAnsi="Arial"/>
          <w:sz w:val="17"/>
          <w:szCs w:val="17"/>
          <w:u w:val="single" w:color="auto"/>
          <w:color w:val="auto"/>
        </w:rPr>
        <w:t>Exhibit 3.01(b)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3.01(c)</w:t>
      </w:r>
      <w:r>
        <w:rPr>
          <w:rFonts w:ascii="Arial" w:cs="Arial" w:eastAsia="Arial" w:hAnsi="Arial"/>
          <w:sz w:val="17"/>
          <w:szCs w:val="17"/>
          <w:color w:val="auto"/>
        </w:rPr>
        <w:t xml:space="preserve">,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7"/>
          <w:szCs w:val="17"/>
          <w:u w:val="single" w:color="auto"/>
          <w:color w:val="auto"/>
        </w:rPr>
        <w:t>Exhibit 3.01(d)</w:t>
      </w:r>
      <w:r>
        <w:rPr>
          <w:rFonts w:ascii="Arial" w:cs="Arial" w:eastAsia="Arial" w:hAnsi="Arial"/>
          <w:sz w:val="17"/>
          <w:szCs w:val="17"/>
          <w:color w:val="auto"/>
        </w:rPr>
        <w:t xml:space="preserve"> on behalf of each such direct and indirect partner;</w:t>
      </w:r>
    </w:p>
    <w:p>
      <w:pPr>
        <w:spacing w:after="0" w:line="69" w:lineRule="exact"/>
        <w:rPr>
          <w:rFonts w:ascii="Arial" w:cs="Arial" w:eastAsia="Arial" w:hAnsi="Arial"/>
          <w:sz w:val="17"/>
          <w:szCs w:val="17"/>
          <w:color w:val="auto"/>
        </w:rPr>
      </w:pPr>
    </w:p>
    <w:p>
      <w:pPr>
        <w:ind w:left="540" w:right="80" w:firstLine="408"/>
        <w:spacing w:after="0" w:line="273" w:lineRule="auto"/>
        <w:tabs>
          <w:tab w:leader="none" w:pos="1226" w:val="left"/>
        </w:tabs>
        <w:numPr>
          <w:ilvl w:val="1"/>
          <w:numId w:val="91"/>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69" w:lineRule="exact"/>
        <w:rPr>
          <w:rFonts w:ascii="Arial" w:cs="Arial" w:eastAsia="Arial" w:hAnsi="Arial"/>
          <w:sz w:val="17"/>
          <w:szCs w:val="17"/>
          <w:color w:val="auto"/>
        </w:rPr>
      </w:pPr>
    </w:p>
    <w:p>
      <w:pPr>
        <w:ind w:left="540" w:firstLine="408"/>
        <w:spacing w:after="0" w:line="270" w:lineRule="auto"/>
        <w:tabs>
          <w:tab w:leader="none" w:pos="1236"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7"/>
          <w:szCs w:val="17"/>
          <w:u w:val="single" w:color="auto"/>
          <w:color w:val="auto"/>
        </w:rPr>
        <w:t>clause (D)</w:t>
      </w:r>
      <w:r>
        <w:rPr>
          <w:rFonts w:ascii="Arial" w:cs="Arial" w:eastAsia="Arial" w:hAnsi="Arial"/>
          <w:sz w:val="17"/>
          <w:szCs w:val="17"/>
          <w:color w:val="auto"/>
        </w:rPr>
        <w:t>, “FATCA” shall include any amendments made to FATCA after the Closing Date.</w:t>
      </w:r>
    </w:p>
    <w:p>
      <w:pPr>
        <w:spacing w:after="0" w:line="72" w:lineRule="exact"/>
        <w:rPr>
          <w:rFonts w:ascii="Arial" w:cs="Arial" w:eastAsia="Arial" w:hAnsi="Arial"/>
          <w:sz w:val="17"/>
          <w:szCs w:val="17"/>
          <w:color w:val="auto"/>
        </w:rPr>
      </w:pPr>
    </w:p>
    <w:p>
      <w:pPr>
        <w:ind w:right="600" w:firstLine="419"/>
        <w:spacing w:after="0" w:line="277" w:lineRule="auto"/>
        <w:tabs>
          <w:tab w:leader="none" w:pos="688"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is organized under the laws of Ireland or a political subdivision thereof:</w:t>
      </w:r>
    </w:p>
    <w:p>
      <w:pPr>
        <w:spacing w:after="0" w:line="62" w:lineRule="exact"/>
        <w:rPr>
          <w:rFonts w:ascii="Arial" w:cs="Arial" w:eastAsia="Arial" w:hAnsi="Arial"/>
          <w:sz w:val="18"/>
          <w:szCs w:val="18"/>
          <w:color w:val="auto"/>
        </w:rPr>
      </w:pPr>
    </w:p>
    <w:p>
      <w:pPr>
        <w:ind w:left="540" w:firstLine="408"/>
        <w:spacing w:after="0" w:line="277" w:lineRule="auto"/>
        <w:tabs>
          <w:tab w:leader="none" w:pos="1236"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Lender shall deliver to such Borrower, upon the request of such Borrower or the Administrative Agent, a representation and warranty that it is</w:t>
      </w:r>
    </w:p>
    <w:p>
      <w:pPr>
        <w:spacing w:after="0" w:line="62" w:lineRule="exact"/>
        <w:rPr>
          <w:rFonts w:ascii="Arial" w:cs="Arial" w:eastAsia="Arial" w:hAnsi="Arial"/>
          <w:sz w:val="18"/>
          <w:szCs w:val="18"/>
          <w:color w:val="auto"/>
        </w:rPr>
      </w:pPr>
    </w:p>
    <w:p>
      <w:pPr>
        <w:ind w:left="1620" w:hanging="249"/>
        <w:spacing w:after="0"/>
        <w:tabs>
          <w:tab w:leader="none" w:pos="1620" w:val="left"/>
        </w:tabs>
        <w:numPr>
          <w:ilvl w:val="2"/>
          <w:numId w:val="92"/>
        </w:numPr>
        <w:rPr>
          <w:rFonts w:ascii="Arial" w:cs="Arial" w:eastAsia="Arial" w:hAnsi="Arial"/>
          <w:sz w:val="18"/>
          <w:szCs w:val="18"/>
          <w:color w:val="auto"/>
        </w:rPr>
      </w:pPr>
      <w:r>
        <w:rPr>
          <w:rFonts w:ascii="Arial" w:cs="Arial" w:eastAsia="Arial" w:hAnsi="Arial"/>
          <w:sz w:val="18"/>
          <w:szCs w:val="18"/>
          <w:color w:val="auto"/>
        </w:rPr>
        <w:t>a Qualifying Lender (other than a Treaty Lender);</w:t>
      </w:r>
    </w:p>
    <w:p>
      <w:pPr>
        <w:spacing w:after="0" w:line="117" w:lineRule="exact"/>
        <w:rPr>
          <w:rFonts w:ascii="Arial" w:cs="Arial" w:eastAsia="Arial" w:hAnsi="Arial"/>
          <w:sz w:val="18"/>
          <w:szCs w:val="18"/>
          <w:color w:val="auto"/>
        </w:rPr>
      </w:pPr>
    </w:p>
    <w:p>
      <w:pPr>
        <w:ind w:left="1620" w:hanging="249"/>
        <w:spacing w:after="0"/>
        <w:tabs>
          <w:tab w:leader="none" w:pos="1620" w:val="left"/>
        </w:tabs>
        <w:numPr>
          <w:ilvl w:val="2"/>
          <w:numId w:val="92"/>
        </w:numPr>
        <w:rPr>
          <w:rFonts w:ascii="Arial" w:cs="Arial" w:eastAsia="Arial" w:hAnsi="Arial"/>
          <w:sz w:val="18"/>
          <w:szCs w:val="18"/>
          <w:color w:val="auto"/>
        </w:rPr>
      </w:pPr>
      <w:r>
        <w:rPr>
          <w:rFonts w:ascii="Arial" w:cs="Arial" w:eastAsia="Arial" w:hAnsi="Arial"/>
          <w:sz w:val="18"/>
          <w:szCs w:val="18"/>
          <w:color w:val="auto"/>
        </w:rPr>
        <w:t>a Treaty Lender; or</w:t>
      </w:r>
    </w:p>
    <w:p>
      <w:pPr>
        <w:spacing w:after="0" w:line="117" w:lineRule="exact"/>
        <w:rPr>
          <w:rFonts w:ascii="Arial" w:cs="Arial" w:eastAsia="Arial" w:hAnsi="Arial"/>
          <w:sz w:val="18"/>
          <w:szCs w:val="18"/>
          <w:color w:val="auto"/>
        </w:rPr>
      </w:pPr>
    </w:p>
    <w:p>
      <w:pPr>
        <w:ind w:left="1620" w:hanging="249"/>
        <w:spacing w:after="0"/>
        <w:tabs>
          <w:tab w:leader="none" w:pos="1620" w:val="left"/>
        </w:tabs>
        <w:numPr>
          <w:ilvl w:val="2"/>
          <w:numId w:val="92"/>
        </w:numPr>
        <w:rPr>
          <w:rFonts w:ascii="Arial" w:cs="Arial" w:eastAsia="Arial" w:hAnsi="Arial"/>
          <w:sz w:val="18"/>
          <w:szCs w:val="18"/>
          <w:color w:val="auto"/>
        </w:rPr>
      </w:pPr>
      <w:r>
        <w:rPr>
          <w:rFonts w:ascii="Arial" w:cs="Arial" w:eastAsia="Arial" w:hAnsi="Arial"/>
          <w:sz w:val="18"/>
          <w:szCs w:val="18"/>
          <w:color w:val="auto"/>
        </w:rPr>
        <w:t>not a Qualifying Lender;</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540"/>
          </w:cols>
          <w:pgMar w:left="880" w:top="274" w:right="479" w:bottom="1440" w:gutter="0" w:footer="0" w:header="0"/>
        </w:sectPr>
      </w:pPr>
    </w:p>
    <w:bookmarkStart w:id="80" w:name="page81"/>
    <w:bookmarkEnd w:id="80"/>
    <w:p>
      <w:pPr>
        <w:ind w:left="980" w:right="300" w:firstLine="408"/>
        <w:spacing w:after="0" w:line="342" w:lineRule="auto"/>
        <w:tabs>
          <w:tab w:leader="none" w:pos="1666" w:val="left"/>
        </w:tabs>
        <w:numPr>
          <w:ilvl w:val="0"/>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Lender shall promptly notify such Borrower in writing if it becomes aware that there has been a change in its status as a Qualifying Lender since the date such Lender provided the representation or warranty described in paragraph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above; and</w:t>
      </w:r>
    </w:p>
    <w:p>
      <w:pPr>
        <w:spacing w:after="0" w:line="15" w:lineRule="exact"/>
        <w:rPr>
          <w:rFonts w:ascii="Arial" w:cs="Arial" w:eastAsia="Arial" w:hAnsi="Arial"/>
          <w:sz w:val="16"/>
          <w:szCs w:val="16"/>
          <w:color w:val="auto"/>
        </w:rPr>
      </w:pPr>
    </w:p>
    <w:p>
      <w:pPr>
        <w:ind w:left="980" w:right="20" w:firstLine="408"/>
        <w:spacing w:after="0" w:line="263" w:lineRule="auto"/>
        <w:tabs>
          <w:tab w:leader="none" w:pos="1666"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following a request from such Borrower, each Lender shall as soon as reasonably practicable provide such information to such Borrower as may be required for the Borrower to comply with its obligations under sections 891A, 891E, 891F and 891G of the TCA (and any regulations made pursuant to those sections).</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76" w:lineRule="exact"/>
        <w:rPr>
          <w:sz w:val="20"/>
          <w:szCs w:val="20"/>
          <w:color w:val="auto"/>
        </w:rPr>
      </w:pPr>
    </w:p>
    <w:p>
      <w:pPr>
        <w:ind w:firstLine="436"/>
        <w:spacing w:after="0" w:line="267" w:lineRule="auto"/>
        <w:tabs>
          <w:tab w:leader="none" w:pos="665"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Unless required by applicable Laws, at no time shall the Administrative Agent have any obligation to file for or otherwise pursue on behalf of a Lender or an L/C Issuer, or have any obligation to pay to any Lender or L/C Issuer, any refund of Taxes withheld or deducted from funds paid for the account of such Lender or L/C Issuer, as the case may be. If any Recipient determines, in its sole discretion exercised in good faith, that it has received a refund of any Taxes as to which it has been indemnified by a Borrower or with respect to which a Borrower has paid additional amounts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it shall pay to such Borrower an amount equal to such refund (but only to the extent of indemnity payments made, or additional amounts paid, by such Borrower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Borrower, upon the request of the Recipient, agrees to repay the amount paid over to such Borrower (plus any penalties, interest or other charges imposed by the relevant Governmental Authority, other than any penalties, interest, or other charges attributable to the gross negligence or willful misconduct on the part of the Recipient as determined by a court of competent jurisdiction by final and nonappealable judgment) to the Recipient in the event the Recipient is required to repay such refund to such Governmental Authority. Notwithstanding anything to the contrary in this subsection, in no event will the applicable Recipient be required to pay any amount to a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Company or any other Person.</w:t>
      </w:r>
    </w:p>
    <w:p>
      <w:pPr>
        <w:spacing w:after="0" w:line="83" w:lineRule="exact"/>
        <w:rPr>
          <w:rFonts w:ascii="Arial" w:cs="Arial" w:eastAsia="Arial" w:hAnsi="Arial"/>
          <w:sz w:val="17"/>
          <w:szCs w:val="17"/>
          <w:color w:val="auto"/>
        </w:rPr>
      </w:pPr>
    </w:p>
    <w:p>
      <w:pPr>
        <w:ind w:right="400" w:firstLine="436"/>
        <w:spacing w:after="0" w:line="263"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term “applicable Law” or “applicable Laws” includes FATCA.</w:t>
      </w:r>
    </w:p>
    <w:p>
      <w:pPr>
        <w:spacing w:after="0" w:line="117" w:lineRule="exact"/>
        <w:rPr>
          <w:rFonts w:ascii="Arial" w:cs="Arial" w:eastAsia="Arial" w:hAnsi="Arial"/>
          <w:sz w:val="18"/>
          <w:szCs w:val="18"/>
          <w:color w:val="auto"/>
        </w:rPr>
      </w:pPr>
    </w:p>
    <w:p>
      <w:pPr>
        <w:ind w:right="560" w:firstLine="436"/>
        <w:spacing w:after="0" w:line="263"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FATCA.</w:t>
      </w:r>
      <w:r>
        <w:rPr>
          <w:rFonts w:ascii="Arial" w:cs="Arial" w:eastAsia="Arial" w:hAnsi="Arial"/>
          <w:sz w:val="18"/>
          <w:szCs w:val="18"/>
          <w:color w:val="auto"/>
        </w:rPr>
        <w:t xml:space="preserve"> For purposes of determining withholding Taxes imposed under FATCA, from and after the Closing Date, the Company and the Administrative Agent shall treat (and the Lenders hereby authorize the Administrative Agent to treat) this Agreement as not qualifying as a “grandfathered obligation” within the meaning of Treasury Regulation Section 1.1471-2(b)(2)(i).</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4" w:right="479" w:bottom="1440" w:gutter="0" w:footer="0" w:header="0"/>
        </w:sectPr>
      </w:pPr>
    </w:p>
    <w:bookmarkStart w:id="81" w:name="page82"/>
    <w:bookmarkEnd w:id="8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3.02 </w:t>
      </w:r>
      <w:r>
        <w:rPr>
          <w:rFonts w:ascii="Arial" w:cs="Arial" w:eastAsia="Arial" w:hAnsi="Arial"/>
          <w:sz w:val="18"/>
          <w:szCs w:val="18"/>
          <w:b w:val="1"/>
          <w:bCs w:val="1"/>
          <w:u w:val="single" w:color="auto"/>
          <w:color w:val="auto"/>
        </w:rPr>
        <w:t>Illegality</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36"/>
        <w:spacing w:after="0" w:line="283" w:lineRule="auto"/>
        <w:tabs>
          <w:tab w:leader="none" w:pos="689" w:val="left"/>
        </w:tabs>
        <w:numPr>
          <w:ilvl w:val="1"/>
          <w:numId w:val="95"/>
        </w:numPr>
        <w:rPr>
          <w:rFonts w:ascii="Arial" w:cs="Arial" w:eastAsia="Arial" w:hAnsi="Arial"/>
          <w:sz w:val="16"/>
          <w:szCs w:val="16"/>
          <w:color w:val="auto"/>
        </w:rPr>
      </w:pPr>
      <w:r>
        <w:rPr>
          <w:rFonts w:ascii="Arial" w:cs="Arial" w:eastAsia="Arial" w:hAnsi="Arial"/>
          <w:sz w:val="16"/>
          <w:szCs w:val="16"/>
          <w:color w:val="auto"/>
        </w:rPr>
        <w:t>If any Lender determines that any Law has made it unlawful, or that any Governmental Authority has asserted that it is unlawful, for any Lender or its applicable Lending Office to make, maintain or fund Committed Loans whose interest is determined by reference to a Relevant Rate, or to determine or charge interest rates based upon a Relevant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make or continue Eurocurrency Rate Loans and/or Alternative Currency Loans in the affected currency or currencies or, in the case of Eurocurrency Rate Loans in Dollars, to convert Base Rate Committed Loans to Eurocurrency Rate Loans shall be suspended and (ii) if such notice asserts the illegality of such Lender making or maintaining Base Rate Committed Loans the interest rate on which is determined by reference to the Eurocurrency Rate component of the Base Rate, the interest rate on which Base Rate Committed Loans of such Lender shall, if necessary to avoid such illegality, be determined by the Administrative Agent without reference to the Eurocurrency Rate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in full or, if applicable and such Loans are denominated in Dollars, convert all such Eurocurrency Rate Loans of such Lender to Base Rate Committed Loans (the interest rate on which Base Rate Committed Loans of such Lender shall, if necessary to avoid such illegality, be determined by the Administrative Agent without reference to the Eurocurrency Rate component of the Base Rate),</w:t>
      </w:r>
    </w:p>
    <w:p>
      <w:pPr>
        <w:spacing w:after="0" w:line="1" w:lineRule="exact"/>
        <w:rPr>
          <w:rFonts w:ascii="Arial" w:cs="Arial" w:eastAsia="Arial" w:hAnsi="Arial"/>
          <w:sz w:val="16"/>
          <w:szCs w:val="16"/>
          <w:color w:val="auto"/>
        </w:rPr>
      </w:pPr>
    </w:p>
    <w:p>
      <w:pPr>
        <w:ind w:left="4" w:right="40" w:hanging="4"/>
        <w:spacing w:after="0" w:line="268" w:lineRule="auto"/>
        <w:tabs>
          <w:tab w:leader="none" w:pos="259" w:val="left"/>
        </w:tabs>
        <w:numPr>
          <w:ilvl w:val="0"/>
          <w:numId w:val="96"/>
        </w:numPr>
        <w:rPr>
          <w:rFonts w:ascii="Arial" w:cs="Arial" w:eastAsia="Arial" w:hAnsi="Arial"/>
          <w:sz w:val="17"/>
          <w:szCs w:val="17"/>
          <w:color w:val="auto"/>
        </w:rPr>
      </w:pPr>
      <w:r>
        <w:rPr>
          <w:rFonts w:ascii="Arial" w:cs="Arial" w:eastAsia="Arial" w:hAnsi="Arial"/>
          <w:sz w:val="17"/>
          <w:szCs w:val="17"/>
          <w:color w:val="auto"/>
        </w:rPr>
        <w:t>immediately, in the case of an Alternative Currency Daily Rate Loan, or (y) on the last day of the applicable Interest Period, in the case of a a Eurocurrency Rate Loan or an Alternative Currency Term Rate Loan, if such Lender may lawfully continue to maintain such Eurocurrency Rate Loans or Alternative Currency Term Rate Loan to such day, or immediately, if such Lender may not lawfully continue to maintain such Eurocurrency Rate Loans or Alternative Currency Term Rate Loan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applicable Borrower shall also pay accrued interest on the amount so prepaid or converted.</w:t>
      </w:r>
    </w:p>
    <w:p>
      <w:pPr>
        <w:spacing w:after="0" w:line="75" w:lineRule="exact"/>
        <w:rPr>
          <w:rFonts w:ascii="Arial" w:cs="Arial" w:eastAsia="Arial" w:hAnsi="Arial"/>
          <w:sz w:val="17"/>
          <w:szCs w:val="17"/>
          <w:color w:val="auto"/>
        </w:rPr>
      </w:pPr>
    </w:p>
    <w:p>
      <w:pPr>
        <w:ind w:left="4" w:right="20" w:firstLine="436"/>
        <w:spacing w:after="0" w:line="268" w:lineRule="auto"/>
        <w:tabs>
          <w:tab w:leader="none" w:pos="699" w:val="left"/>
        </w:tabs>
        <w:numPr>
          <w:ilvl w:val="1"/>
          <w:numId w:val="96"/>
        </w:numPr>
        <w:rPr>
          <w:rFonts w:ascii="Arial" w:cs="Arial" w:eastAsia="Arial" w:hAnsi="Arial"/>
          <w:sz w:val="17"/>
          <w:szCs w:val="17"/>
          <w:color w:val="auto"/>
        </w:rPr>
      </w:pPr>
      <w:r>
        <w:rPr>
          <w:rFonts w:ascii="Arial" w:cs="Arial" w:eastAsia="Arial" w:hAnsi="Arial"/>
          <w:sz w:val="17"/>
          <w:szCs w:val="17"/>
          <w:color w:val="auto"/>
        </w:rPr>
        <w:t>If, in any applicable jurisdiction, the Administrative Agent, any L/C Issuer or any Lender determines that any Law has made it unlawful, or that any Governmental Authority has asserted that it is unlawful, for the Administrative Agent, any L/C Issuer or any Lender to (i) perform any of its obligations hereunder or under any other Loan Document, (ii) to fund or maintain its participation in any Loan or Letter of Credit or (iii) issue, make, maintain, fund or charge interest or fees, in each case, with respect to any Credit Extension to any Designated Borrower who is organized under the laws of a jurisdiction other than the United States, a State thereof or the District of Columbia such Person shall promptly notify the Administrative Agent, then, upon the Administrative Agent notifying the Company, and until such notice by such Person is revoked, any obligation of such Person to issue, make, maintain, fund or charge interest or fees with respect to any such Credit Extension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(B) to the extent applicable to an L/C Issuer, Cash Collateralize that portion of applicable L/C Obligations comprised of the aggregate undrawn amount of Letters of Credit to the extent not otherwise Cash Collateralized and (C) take all reasonable actions requested by such Person to mitigate or avoid such illegality.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4"/>
          </w:cols>
          <w:pgMar w:left="436" w:top="270" w:right="459" w:bottom="1440" w:gutter="0" w:footer="0" w:header="0"/>
        </w:sectPr>
      </w:pPr>
    </w:p>
    <w:bookmarkStart w:id="82" w:name="page83"/>
    <w:bookmarkEnd w:id="8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3.03 </w:t>
      </w:r>
      <w:r>
        <w:rPr>
          <w:rFonts w:ascii="Arial" w:cs="Arial" w:eastAsia="Arial" w:hAnsi="Arial"/>
          <w:sz w:val="18"/>
          <w:szCs w:val="18"/>
          <w:b w:val="1"/>
          <w:bCs w:val="1"/>
          <w:u w:val="single" w:color="auto"/>
          <w:color w:val="auto"/>
        </w:rPr>
        <w:t>Inability to Determine Rates</w:t>
      </w:r>
      <w:r>
        <w:rPr>
          <w:rFonts w:ascii="Arial" w:cs="Arial" w:eastAsia="Arial" w:hAnsi="Arial"/>
          <w:sz w:val="18"/>
          <w:szCs w:val="18"/>
          <w:b w:val="1"/>
          <w:bCs w:val="1"/>
          <w:color w:val="auto"/>
        </w:rPr>
        <w:t>.</w:t>
      </w:r>
    </w:p>
    <w:p>
      <w:pPr>
        <w:spacing w:after="0" w:line="121" w:lineRule="exact"/>
        <w:rPr>
          <w:sz w:val="20"/>
          <w:szCs w:val="20"/>
          <w:color w:val="auto"/>
        </w:rPr>
      </w:pPr>
    </w:p>
    <w:p>
      <w:pPr>
        <w:ind w:left="684" w:hanging="244"/>
        <w:spacing w:after="0"/>
        <w:tabs>
          <w:tab w:leader="none" w:pos="684" w:val="left"/>
        </w:tabs>
        <w:numPr>
          <w:ilvl w:val="1"/>
          <w:numId w:val="97"/>
        </w:numPr>
        <w:rPr>
          <w:rFonts w:ascii="Arial" w:cs="Arial" w:eastAsia="Arial" w:hAnsi="Arial"/>
          <w:sz w:val="17"/>
          <w:szCs w:val="17"/>
          <w:color w:val="auto"/>
        </w:rPr>
      </w:pPr>
      <w:r>
        <w:rPr>
          <w:rFonts w:ascii="Arial" w:cs="Arial" w:eastAsia="Arial" w:hAnsi="Arial"/>
          <w:sz w:val="17"/>
          <w:szCs w:val="17"/>
          <w:color w:val="auto"/>
        </w:rPr>
        <w:t>If in connection with any request for a Eurocurrency Rate Loan, an Alternative Currency Loan or a conversion to or continuation thereof,</w:t>
      </w:r>
    </w:p>
    <w:p>
      <w:pPr>
        <w:spacing w:after="0" w:line="34" w:lineRule="exact"/>
        <w:rPr>
          <w:rFonts w:ascii="Arial" w:cs="Arial" w:eastAsia="Arial" w:hAnsi="Arial"/>
          <w:sz w:val="17"/>
          <w:szCs w:val="17"/>
          <w:color w:val="auto"/>
        </w:rPr>
      </w:pPr>
    </w:p>
    <w:p>
      <w:pPr>
        <w:ind w:left="4" w:hanging="4"/>
        <w:spacing w:after="0" w:line="283" w:lineRule="auto"/>
        <w:tabs>
          <w:tab w:leader="none" w:pos="219"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the Administrative Agent determines (which determination shall be conclusive absent manifest error) that (A) deposits (whether in Dollars or an Alternative Currency) are not being offered to banks in the applicable offshore interbank market for such currency for the applicable amount and Interest Period or determination date(s), as applicable of such Eurocurrency Rate Loan and/or Alternative Currency Loan (in each case with respect to this </w:t>
      </w:r>
      <w:r>
        <w:rPr>
          <w:rFonts w:ascii="Arial" w:cs="Arial" w:eastAsia="Arial" w:hAnsi="Arial"/>
          <w:sz w:val="16"/>
          <w:szCs w:val="16"/>
          <w:u w:val="single" w:color="auto"/>
          <w:color w:val="auto"/>
        </w:rPr>
        <w:t>clause (A)</w:t>
      </w:r>
      <w:r>
        <w:rPr>
          <w:rFonts w:ascii="Arial" w:cs="Arial" w:eastAsia="Arial" w:hAnsi="Arial"/>
          <w:sz w:val="16"/>
          <w:szCs w:val="16"/>
          <w:color w:val="auto"/>
        </w:rPr>
        <w:t>, “</w:t>
      </w:r>
      <w:r>
        <w:rPr>
          <w:rFonts w:ascii="Arial" w:cs="Arial" w:eastAsia="Arial" w:hAnsi="Arial"/>
          <w:sz w:val="16"/>
          <w:szCs w:val="16"/>
          <w:u w:val="single" w:color="auto"/>
          <w:color w:val="auto"/>
        </w:rPr>
        <w:t>Impacted Loans</w:t>
      </w:r>
      <w:r>
        <w:rPr>
          <w:rFonts w:ascii="Arial" w:cs="Arial" w:eastAsia="Arial" w:hAnsi="Arial"/>
          <w:sz w:val="16"/>
          <w:szCs w:val="16"/>
          <w:color w:val="auto"/>
        </w:rPr>
        <w:t xml:space="preserve">”), (B) adequate and reasonable means do not exist for determining the Relevant Rate for any determination date(s) or any requested Interest Period with respect to a proposed Eurocurrency Rate Loan (whether denominated in Dollars or an Alternative Currency) and/or Alternative Currency Loan, as applicable or in connection with an existing or proposed Base Rate Loan or (C) a fundamental change has occurred in the foreign exchange or interbank markets with respect to such Agreed Currency (including, without limitation, changes in national or international financial, political or economic conditions or currency exchange rates or exchange controls) which has had an effect on the determination of the Eurocurrency Rate, Alternative Currency Daily Rate and/or Alternative Currency Term Rate, or (ii) the Administrative Agent or the Required Lenders determine that for any reason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Company and each Lender. Thereafter, (x) the obligation of the Lenders to make or maintain Loans in the affected currency or currencies shall be suspended (to the extent of the affected Eurocurrency Rate Loans, Alternative Currency Loans or Interest Periods or determination date(s), as applicable),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Lenders revokes such notice. Upon receipt of such notice, the Company may revoke any pending request for a Borrowing of, conversion to or continuation of Eurocurrency Rate Loans and/or Alternative Currency Loans, as applicable in the affected currency or currencies (to the extent of the affected Eurocurrency Rate Loans, Alternative Currency Loans or Interest Periods or determination date(s), as applicable) or, failing that, will be deemed to have converted such request into a request for a Committed Borrowing of Base Rate Loans in Dollars in the amount specified therein, and (A) any outstanding Eurocurrency Rate Loans shall be deemed to have been converted to Base Rate Loans immediately and (B) any outstanding affected Alternative Currency Loans, at the Company’s election, shall either (1) be converted into a Committed Borrowing of Base Rate Loans denominated in Dollars in the Dollar Equivalent of the amount of such outstanding Alternative Currency Loan immediately or (2) be prepaid in full (x) immediately, in the case of an Alternative Currency Daily Rate Loan or (y) by the last day of the current Interest Period for the applicable Eurocurrency Rate Loan or Alternative Currency Term Rate Loan, in the case of an Alternative Currency Term Rate Loan or a Eurocurrency Rate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election is made by the Company by the date that is three Business Days after receipt by the Company of such notice, the Company shall be deemed to have elected clause (1) above.</w:t>
      </w:r>
    </w:p>
    <w:p>
      <w:pPr>
        <w:spacing w:after="0" w:line="285" w:lineRule="exact"/>
        <w:rPr>
          <w:rFonts w:ascii="Arial" w:cs="Arial" w:eastAsia="Arial" w:hAnsi="Arial"/>
          <w:sz w:val="16"/>
          <w:szCs w:val="16"/>
          <w:color w:val="auto"/>
        </w:rPr>
      </w:pPr>
    </w:p>
    <w:p>
      <w:pPr>
        <w:ind w:left="4" w:right="100" w:firstLine="436"/>
        <w:spacing w:after="0" w:line="257" w:lineRule="auto"/>
        <w:tabs>
          <w:tab w:leader="none" w:pos="699"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the Administrative Agent has made the determination described in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Administrative Agent, in consultation with the Company and the Required Lenders, may establish an alternative interest rate for the Impacted Loans, in which case, such alternative rate of interest shall apply with respect to the Impacted Loans until (1) the Administrative Agent revokes the notice delivered with respect to the Impacted Loans under the first sentence of this </w:t>
      </w:r>
      <w:r>
        <w:rPr>
          <w:rFonts w:ascii="Arial" w:cs="Arial" w:eastAsia="Arial" w:hAnsi="Arial"/>
          <w:sz w:val="18"/>
          <w:szCs w:val="18"/>
          <w:u w:val="single" w:color="auto"/>
          <w:color w:val="auto"/>
        </w:rPr>
        <w:t>Section 3.03</w:t>
      </w:r>
      <w:r>
        <w:rPr>
          <w:rFonts w:ascii="Arial" w:cs="Arial" w:eastAsia="Arial" w:hAnsi="Arial"/>
          <w:sz w:val="18"/>
          <w:szCs w:val="18"/>
          <w:color w:val="auto"/>
        </w:rPr>
        <w:t>, (2) the Administrative Agent or the Required Lenders notify the Administrative Agent and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4"/>
          </w:cols>
          <w:pgMar w:left="436" w:top="270" w:right="439" w:bottom="1440" w:gutter="0" w:footer="0" w:header="0"/>
        </w:sectPr>
      </w:pPr>
    </w:p>
    <w:bookmarkStart w:id="83" w:name="page84"/>
    <w:bookmarkEnd w:id="83"/>
    <w:p>
      <w:pPr>
        <w:ind w:left="4"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 Notwithstanding anything to the contrary herein or in any other Loan Document:</w:t>
      </w:r>
    </w:p>
    <w:p>
      <w:pPr>
        <w:spacing w:after="0" w:line="117" w:lineRule="exact"/>
        <w:rPr>
          <w:sz w:val="20"/>
          <w:szCs w:val="20"/>
          <w:color w:val="auto"/>
        </w:rPr>
      </w:pPr>
    </w:p>
    <w:p>
      <w:pPr>
        <w:ind w:left="4" w:right="60" w:firstLine="436"/>
        <w:spacing w:after="0" w:line="286" w:lineRule="auto"/>
        <w:tabs>
          <w:tab w:leader="none" w:pos="659" w:val="left"/>
        </w:tabs>
        <w:numPr>
          <w:ilvl w:val="1"/>
          <w:numId w:val="99"/>
        </w:numPr>
        <w:rPr>
          <w:rFonts w:ascii="Arial" w:cs="Arial" w:eastAsia="Arial" w:hAnsi="Arial"/>
          <w:sz w:val="16"/>
          <w:szCs w:val="16"/>
          <w:color w:val="auto"/>
        </w:rPr>
      </w:pPr>
      <w:r>
        <w:rPr>
          <w:rFonts w:ascii="Arial" w:cs="Arial" w:eastAsia="Arial" w:hAnsi="Arial"/>
          <w:sz w:val="16"/>
          <w:szCs w:val="16"/>
          <w:color w:val="auto"/>
        </w:rPr>
        <w:t>On March 5, 2021 the Financial Conduct Authority (“</w:t>
      </w:r>
      <w:r>
        <w:rPr>
          <w:rFonts w:ascii="Arial" w:cs="Arial" w:eastAsia="Arial" w:hAnsi="Arial"/>
          <w:sz w:val="16"/>
          <w:szCs w:val="16"/>
          <w:u w:val="single" w:color="auto"/>
          <w:color w:val="auto"/>
        </w:rPr>
        <w:t>FCA</w:t>
      </w:r>
      <w:r>
        <w:rPr>
          <w:rFonts w:ascii="Arial" w:cs="Arial" w:eastAsia="Arial" w:hAnsi="Arial"/>
          <w:sz w:val="16"/>
          <w:szCs w:val="16"/>
          <w:color w:val="auto"/>
        </w:rPr>
        <w:t>”), the regulatory supervisor of LIBOR’s administrator (“</w:t>
      </w:r>
      <w:r>
        <w:rPr>
          <w:rFonts w:ascii="Arial" w:cs="Arial" w:eastAsia="Arial" w:hAnsi="Arial"/>
          <w:sz w:val="16"/>
          <w:szCs w:val="16"/>
          <w:u w:val="single" w:color="auto"/>
          <w:color w:val="auto"/>
        </w:rPr>
        <w:t>IBA</w:t>
      </w:r>
      <w:r>
        <w:rPr>
          <w:rFonts w:ascii="Arial" w:cs="Arial" w:eastAsia="Arial" w:hAnsi="Arial"/>
          <w:sz w:val="16"/>
          <w:szCs w:val="16"/>
          <w:color w:val="auto"/>
        </w:rPr>
        <w:t>”), announced in a public statement the future cessation or loss of representativeness of overnight/Spot Next, 1-week, 1-month, 2-month, 3-month, 6-month and 12- 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w:t>
      </w:r>
    </w:p>
    <w:p>
      <w:pPr>
        <w:spacing w:after="0" w:line="1" w:lineRule="exact"/>
        <w:rPr>
          <w:rFonts w:ascii="Arial" w:cs="Arial" w:eastAsia="Arial" w:hAnsi="Arial"/>
          <w:sz w:val="16"/>
          <w:szCs w:val="16"/>
          <w:color w:val="auto"/>
        </w:rPr>
      </w:pPr>
    </w:p>
    <w:p>
      <w:pPr>
        <w:ind w:left="4" w:right="100" w:hanging="4"/>
        <w:spacing w:after="0" w:line="295" w:lineRule="auto"/>
        <w:tabs>
          <w:tab w:leader="none" w:pos="28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monthly basis.</w:t>
      </w:r>
    </w:p>
    <w:p>
      <w:pPr>
        <w:spacing w:after="0" w:line="53" w:lineRule="exact"/>
        <w:rPr>
          <w:rFonts w:ascii="Arial" w:cs="Arial" w:eastAsia="Arial" w:hAnsi="Arial"/>
          <w:sz w:val="16"/>
          <w:szCs w:val="16"/>
          <w:color w:val="auto"/>
        </w:rPr>
      </w:pPr>
    </w:p>
    <w:p>
      <w:pPr>
        <w:ind w:left="4" w:firstLine="436"/>
        <w:spacing w:after="0" w:line="270" w:lineRule="auto"/>
        <w:tabs>
          <w:tab w:leader="none" w:pos="709" w:val="left"/>
        </w:tabs>
        <w:numPr>
          <w:ilvl w:val="1"/>
          <w:numId w:val="100"/>
        </w:numPr>
        <w:rPr>
          <w:rFonts w:ascii="Arial" w:cs="Arial" w:eastAsia="Arial" w:hAnsi="Arial"/>
          <w:sz w:val="17"/>
          <w:szCs w:val="17"/>
          <w:color w:val="auto"/>
        </w:rPr>
      </w:pPr>
      <w:r>
        <w:rPr>
          <w:rFonts w:ascii="Arial" w:cs="Arial" w:eastAsia="Arial" w:hAnsi="Arial"/>
          <w:sz w:val="17"/>
          <w:szCs w:val="17"/>
          <w:color w:val="auto"/>
        </w:rPr>
        <w:t xml:space="preserve">(x) 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in the event that the then-current Benchmark at the time of such Benchmark Transition Event is not a SOFR-based rate, the Benchmark Replacement therefor shall be determined in accordance with clause (1) of the definition of Benchmark Replacement unless the Administrative Agent determines that neither of such alternative rates is available.</w:t>
      </w:r>
    </w:p>
    <w:p>
      <w:pPr>
        <w:spacing w:after="0" w:line="73" w:lineRule="exact"/>
        <w:rPr>
          <w:sz w:val="20"/>
          <w:szCs w:val="20"/>
          <w:color w:val="auto"/>
        </w:rPr>
      </w:pPr>
    </w:p>
    <w:p>
      <w:pPr>
        <w:ind w:left="4" w:right="40" w:firstLine="436"/>
        <w:spacing w:after="0" w:line="263" w:lineRule="auto"/>
        <w:tabs>
          <w:tab w:leader="none" w:pos="69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76" w:lineRule="exact"/>
        <w:rPr>
          <w:sz w:val="20"/>
          <w:szCs w:val="20"/>
          <w:color w:val="auto"/>
        </w:rPr>
      </w:pPr>
    </w:p>
    <w:p>
      <w:pPr>
        <w:ind w:left="4" w:right="20" w:firstLine="436"/>
        <w:spacing w:after="0" w:line="271" w:lineRule="auto"/>
        <w:tabs>
          <w:tab w:leader="none" w:pos="759"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4"/>
          </w:cols>
          <w:pgMar w:left="436" w:top="274" w:right="479" w:bottom="1440" w:gutter="0" w:footer="0" w:header="0"/>
        </w:sectPr>
      </w:pPr>
    </w:p>
    <w:bookmarkStart w:id="84" w:name="page85"/>
    <w:bookmarkEnd w:id="84"/>
    <w:p>
      <w:pPr>
        <w:ind w:left="4" w:firstLine="436"/>
        <w:spacing w:after="0" w:line="259" w:lineRule="auto"/>
        <w:tabs>
          <w:tab w:leader="none" w:pos="749" w:val="left"/>
        </w:tabs>
        <w:numPr>
          <w:ilvl w:val="1"/>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78" w:lineRule="exact"/>
        <w:rPr>
          <w:rFonts w:ascii="Arial" w:cs="Arial" w:eastAsia="Arial" w:hAnsi="Arial"/>
          <w:sz w:val="18"/>
          <w:szCs w:val="18"/>
          <w:color w:val="auto"/>
        </w:rPr>
      </w:pPr>
    </w:p>
    <w:p>
      <w:pPr>
        <w:ind w:left="704" w:hanging="264"/>
        <w:spacing w:after="0"/>
        <w:tabs>
          <w:tab w:leader="none" w:pos="70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Administrative Agent will promptly notify the Borrower and the Lenders of (A) the implementation of any Benchmark Replacement and</w:t>
      </w:r>
    </w:p>
    <w:p>
      <w:pPr>
        <w:spacing w:after="0" w:line="46" w:lineRule="exact"/>
        <w:rPr>
          <w:rFonts w:ascii="Arial" w:cs="Arial" w:eastAsia="Arial" w:hAnsi="Arial"/>
          <w:sz w:val="16"/>
          <w:szCs w:val="16"/>
          <w:color w:val="auto"/>
        </w:rPr>
      </w:pPr>
    </w:p>
    <w:p>
      <w:pPr>
        <w:ind w:left="4" w:right="320" w:hanging="4"/>
        <w:spacing w:after="0" w:line="253" w:lineRule="auto"/>
        <w:tabs>
          <w:tab w:leader="none" w:pos="28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effectiveness of any Benchmark Replacement Conforming Changes. Any determination, decision or election that may be made by the Administrative Agent pursuant to this Section 3.03(c),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 3.03(c).</w:t>
      </w:r>
    </w:p>
    <w:p>
      <w:pPr>
        <w:spacing w:after="0" w:line="82" w:lineRule="exact"/>
        <w:rPr>
          <w:rFonts w:ascii="Arial" w:cs="Arial" w:eastAsia="Arial" w:hAnsi="Arial"/>
          <w:sz w:val="18"/>
          <w:szCs w:val="18"/>
          <w:color w:val="auto"/>
        </w:rPr>
      </w:pPr>
    </w:p>
    <w:p>
      <w:pPr>
        <w:ind w:left="4" w:right="20" w:firstLine="436"/>
        <w:spacing w:after="0" w:line="259" w:lineRule="auto"/>
        <w:tabs>
          <w:tab w:leader="none" w:pos="74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3.04 </w:t>
      </w:r>
      <w:r>
        <w:rPr>
          <w:rFonts w:ascii="Arial" w:cs="Arial" w:eastAsia="Arial" w:hAnsi="Arial"/>
          <w:sz w:val="18"/>
          <w:szCs w:val="18"/>
          <w:b w:val="1"/>
          <w:bCs w:val="1"/>
          <w:u w:val="single" w:color="auto"/>
          <w:color w:val="auto"/>
        </w:rPr>
        <w:t>Increased Costs; Reserves on Eurocurrency Rate Loans</w:t>
      </w:r>
      <w:r>
        <w:rPr>
          <w:rFonts w:ascii="Arial" w:cs="Arial" w:eastAsia="Arial" w:hAnsi="Arial"/>
          <w:sz w:val="18"/>
          <w:szCs w:val="18"/>
          <w:b w:val="1"/>
          <w:bCs w:val="1"/>
          <w:color w:val="auto"/>
        </w:rPr>
        <w:t>.</w:t>
      </w:r>
    </w:p>
    <w:p>
      <w:pPr>
        <w:spacing w:after="0" w:line="121" w:lineRule="exact"/>
        <w:rPr>
          <w:sz w:val="20"/>
          <w:szCs w:val="20"/>
          <w:color w:val="auto"/>
        </w:rPr>
      </w:pPr>
    </w:p>
    <w:p>
      <w:pPr>
        <w:ind w:left="684" w:hanging="244"/>
        <w:spacing w:after="0"/>
        <w:tabs>
          <w:tab w:leader="none" w:pos="68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xml:space="preserve"> If any Change in Law shall:</w:t>
      </w:r>
    </w:p>
    <w:p>
      <w:pPr>
        <w:spacing w:after="0" w:line="117" w:lineRule="exact"/>
        <w:rPr>
          <w:rFonts w:ascii="Arial" w:cs="Arial" w:eastAsia="Arial" w:hAnsi="Arial"/>
          <w:sz w:val="18"/>
          <w:szCs w:val="18"/>
          <w:color w:val="auto"/>
        </w:rPr>
      </w:pPr>
    </w:p>
    <w:p>
      <w:pPr>
        <w:ind w:left="444" w:right="100" w:firstLine="419"/>
        <w:spacing w:after="0" w:line="263" w:lineRule="auto"/>
        <w:tabs>
          <w:tab w:leader="none" w:pos="108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Eurocurrency Rate) or any L/C Issuer;</w:t>
      </w:r>
    </w:p>
    <w:p>
      <w:pPr>
        <w:spacing w:after="0" w:line="75" w:lineRule="exact"/>
        <w:rPr>
          <w:rFonts w:ascii="Arial" w:cs="Arial" w:eastAsia="Arial" w:hAnsi="Arial"/>
          <w:sz w:val="18"/>
          <w:szCs w:val="18"/>
          <w:color w:val="auto"/>
        </w:rPr>
      </w:pPr>
    </w:p>
    <w:p>
      <w:pPr>
        <w:ind w:left="444" w:right="160" w:firstLine="419"/>
        <w:spacing w:after="0" w:line="263" w:lineRule="auto"/>
        <w:tabs>
          <w:tab w:leader="none" w:pos="113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and (B) the imposition of, or any change in the rate of, any Excluded Tax) on its loans, loan principal, letters of credit, commitments, or other obligations, or its deposits, reserves, other liabilities or capital attributable thereto; or</w:t>
      </w:r>
    </w:p>
    <w:p>
      <w:pPr>
        <w:spacing w:after="0" w:line="75" w:lineRule="exact"/>
        <w:rPr>
          <w:rFonts w:ascii="Arial" w:cs="Arial" w:eastAsia="Arial" w:hAnsi="Arial"/>
          <w:sz w:val="18"/>
          <w:szCs w:val="18"/>
          <w:color w:val="auto"/>
        </w:rPr>
      </w:pPr>
    </w:p>
    <w:p>
      <w:pPr>
        <w:ind w:left="444" w:right="120" w:firstLine="419"/>
        <w:spacing w:after="0" w:line="342" w:lineRule="auto"/>
        <w:tabs>
          <w:tab w:leader="none" w:pos="118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impose on any Lender or any L/C Issuer or the London interbank market any other condition, cost or expense affecting this Agreement or Eurocurrency Rate Loans and/or Alternative Currency Loans made by such Lender or any Letter of Credit or participation therein;</w:t>
      </w:r>
    </w:p>
    <w:p>
      <w:pPr>
        <w:spacing w:after="0" w:line="124" w:lineRule="exact"/>
        <w:rPr>
          <w:sz w:val="20"/>
          <w:szCs w:val="20"/>
          <w:color w:val="auto"/>
        </w:rPr>
      </w:pPr>
    </w:p>
    <w:p>
      <w:pPr>
        <w:ind w:left="4" w:right="40"/>
        <w:spacing w:after="0" w:line="254"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Eurocurrency Rate Loan, Alternative Currency Loans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then, upon request of such Lender or such L/C Issuer, the Company will pay (or cause the applicable Designated Borrower to pay) to such Lender or L/C Issuer, as the case may be, such additional amount or amounts as will compensate such Lender or L/C Issuer, as the case may be, for such additional costs incurred or reduction suffered.</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4"/>
          </w:cols>
          <w:pgMar w:left="436" w:top="274" w:right="459" w:bottom="1440" w:gutter="0" w:footer="0" w:header="0"/>
        </w:sectPr>
      </w:pPr>
    </w:p>
    <w:bookmarkStart w:id="85" w:name="page86"/>
    <w:bookmarkEnd w:id="85"/>
    <w:p>
      <w:pPr>
        <w:ind w:left="4" w:right="20" w:firstLine="436"/>
        <w:spacing w:after="0" w:line="289" w:lineRule="auto"/>
        <w:tabs>
          <w:tab w:leader="none" w:pos="699"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Requirements.</w:t>
      </w:r>
      <w:r>
        <w:rPr>
          <w:rFonts w:ascii="Arial" w:cs="Arial" w:eastAsia="Arial" w:hAnsi="Arial"/>
          <w:sz w:val="16"/>
          <w:szCs w:val="16"/>
          <w:color w:val="auto"/>
        </w:rPr>
        <w:t xml:space="preserve"> If any Lender or any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L/C Issuer or such Lender’s or L/C Issuer’s holding company would have achieved but for such Change in Law (taking into consideration such Lender’s or L/C Issuer’s policies and the policies of such Lender’s or L/C Issuer’s holding company, if any, with respect to capital adequacy and liquidity), then from time to time the Company will pay (or cause the applicable Designated Borrower to pay) to such Lender or L/C Issuer, as the case may be, such additional amount or amounts as will compensate such Lender or L/C Issuer or such Lender’s or L/C Issuer’s holding company for any such reduction suffered.</w:t>
      </w:r>
    </w:p>
    <w:p>
      <w:pPr>
        <w:spacing w:after="0" w:line="58" w:lineRule="exact"/>
        <w:rPr>
          <w:rFonts w:ascii="Arial" w:cs="Arial" w:eastAsia="Arial" w:hAnsi="Arial"/>
          <w:sz w:val="16"/>
          <w:szCs w:val="16"/>
          <w:color w:val="auto"/>
        </w:rPr>
      </w:pPr>
    </w:p>
    <w:p>
      <w:pPr>
        <w:ind w:left="4" w:right="40" w:firstLine="436"/>
        <w:spacing w:after="0" w:line="279" w:lineRule="auto"/>
        <w:tabs>
          <w:tab w:leader="none" w:pos="689"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xml:space="preserve"> A certificate of a Lender or an L/C Issuer setting forth the amount or amounts necessary to compensate such Lender or such L/C Issuer or its holding company, as the case may be, as specified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and delivered to the Company shall be conclusive absent manifest error. The Company shall pay (or cause the applicable Designated Borrower to pay) such Lender or L/C Issuer, as the case may be, the amount shown as due on any such certificate within 10 days after receipt thereof.</w:t>
      </w:r>
    </w:p>
    <w:p>
      <w:pPr>
        <w:spacing w:after="0" w:line="63" w:lineRule="exact"/>
        <w:rPr>
          <w:rFonts w:ascii="Arial" w:cs="Arial" w:eastAsia="Arial" w:hAnsi="Arial"/>
          <w:sz w:val="17"/>
          <w:szCs w:val="17"/>
          <w:color w:val="auto"/>
        </w:rPr>
      </w:pPr>
    </w:p>
    <w:p>
      <w:pPr>
        <w:ind w:left="4" w:right="100" w:firstLine="436"/>
        <w:spacing w:after="0" w:line="272" w:lineRule="auto"/>
        <w:tabs>
          <w:tab w:leader="none" w:pos="699"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or any L/C Issuer to demand compensation pursuant to the foregoing provisions of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shall not constitute a waiver of such Lender’s or L/C Issuer’s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Borrower shall be required to compensate a Lender or an L/C Issuer pursuant to the foregoing provisions of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for any increased costs incurred or reductions suffered more than six months prior to the date that such Lender or L/C Issuer, as the case may be, notifies the Company of the Change in Law giving rise to such increased costs or reductions and of such Lender’s or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69" w:lineRule="exact"/>
        <w:rPr>
          <w:rFonts w:ascii="Arial" w:cs="Arial" w:eastAsia="Arial" w:hAnsi="Arial"/>
          <w:sz w:val="17"/>
          <w:szCs w:val="17"/>
          <w:color w:val="auto"/>
        </w:rPr>
      </w:pPr>
    </w:p>
    <w:p>
      <w:pPr>
        <w:ind w:left="4" w:firstLine="436"/>
        <w:spacing w:after="0" w:line="286" w:lineRule="auto"/>
        <w:tabs>
          <w:tab w:leader="none" w:pos="689"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Additional Reserve Requirements</w:t>
      </w:r>
      <w:r>
        <w:rPr>
          <w:rFonts w:ascii="Arial" w:cs="Arial" w:eastAsia="Arial" w:hAnsi="Arial"/>
          <w:sz w:val="16"/>
          <w:szCs w:val="16"/>
          <w:color w:val="auto"/>
        </w:rPr>
        <w:t>. The Company shall pay (or cause the applicable Designated Borrower to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and</w:t>
      </w:r>
    </w:p>
    <w:p>
      <w:pPr>
        <w:spacing w:after="0" w:line="1" w:lineRule="exact"/>
        <w:rPr>
          <w:rFonts w:ascii="Arial" w:cs="Arial" w:eastAsia="Arial" w:hAnsi="Arial"/>
          <w:sz w:val="16"/>
          <w:szCs w:val="16"/>
          <w:color w:val="auto"/>
        </w:rPr>
      </w:pPr>
    </w:p>
    <w:p>
      <w:pPr>
        <w:ind w:left="4" w:right="20" w:hanging="4"/>
        <w:spacing w:after="0" w:line="288" w:lineRule="auto"/>
        <w:tabs>
          <w:tab w:leader="none" w:pos="26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provided the Company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4"/>
          </w:cols>
          <w:pgMar w:left="436" w:top="274"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3.05 </w:t>
      </w:r>
      <w:r>
        <w:rPr>
          <w:rFonts w:ascii="Arial" w:cs="Arial" w:eastAsia="Arial" w:hAnsi="Arial"/>
          <w:sz w:val="18"/>
          <w:szCs w:val="18"/>
          <w:b w:val="1"/>
          <w:bCs w:val="1"/>
          <w:u w:val="single" w:color="auto"/>
          <w:color w:val="auto"/>
        </w:rPr>
        <w:t>Compensation for Losses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Upon demand of any Lender (with a copy to the Administrative Agent) from time to time, the Company shall promptly compensate (or cause the applicable Designated Borrower to compensate) such Lender for and hold such Lender harmless from any loss, cost or expense (but not loss of anticipated profits or margin) incurred by it as a result of:</w:t>
      </w:r>
    </w:p>
    <w:p>
      <w:pPr>
        <w:spacing w:after="0" w:line="76" w:lineRule="exact"/>
        <w:rPr>
          <w:sz w:val="20"/>
          <w:szCs w:val="20"/>
          <w:color w:val="auto"/>
        </w:rPr>
      </w:pPr>
    </w:p>
    <w:p>
      <w:pPr>
        <w:ind w:right="160" w:firstLine="436"/>
        <w:spacing w:after="0" w:line="342" w:lineRule="auto"/>
        <w:tabs>
          <w:tab w:leader="none" w:pos="68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continuation, conversion, payment or prepayment of any Loan other than a Base Rate or Alternative Currency Daily Rate Loan on a day other than the last day of the Interest Period for such Loan (whether voluntary, mandatory, automatic, by reason of acceleration, or otherwise);</w:t>
      </w:r>
    </w:p>
    <w:p>
      <w:pPr>
        <w:spacing w:after="0" w:line="15" w:lineRule="exact"/>
        <w:rPr>
          <w:rFonts w:ascii="Arial" w:cs="Arial" w:eastAsia="Arial" w:hAnsi="Arial"/>
          <w:sz w:val="16"/>
          <w:szCs w:val="16"/>
          <w:color w:val="auto"/>
        </w:rPr>
      </w:pPr>
    </w:p>
    <w:p>
      <w:pPr>
        <w:jc w:val="both"/>
        <w:ind w:right="260" w:firstLine="436"/>
        <w:spacing w:after="0" w:line="263" w:lineRule="auto"/>
        <w:tabs>
          <w:tab w:leader="none" w:pos="6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failure by any Borrower (for a reason other than the failure of such Lender to make a Loan) to prepay, borrow, continue or convert any Loan other than a Base Rate Loan on the date or in the amount notified by the Company or the applicable Designated Borrower (whether or not such notice may be withdrawn in accordance herewith);</w:t>
      </w:r>
    </w:p>
    <w:p>
      <w:pPr>
        <w:spacing w:after="0" w:line="75" w:lineRule="exact"/>
        <w:rPr>
          <w:rFonts w:ascii="Arial" w:cs="Arial" w:eastAsia="Arial" w:hAnsi="Arial"/>
          <w:sz w:val="18"/>
          <w:szCs w:val="18"/>
          <w:color w:val="auto"/>
        </w:rPr>
      </w:pPr>
    </w:p>
    <w:p>
      <w:pPr>
        <w:ind w:firstLine="436"/>
        <w:spacing w:after="0" w:line="277" w:lineRule="auto"/>
        <w:tabs>
          <w:tab w:leader="none" w:pos="68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any assignment of a Eurocurrency Rate Loan or an Alternative Currency Term Rate Loan on a day other than the last day of the Interest Period therefor as a result of a request by the Company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failure by any Borrower to make payment of any Loan or drawing under any Letter of Credit (or interest due thereon) denominated in an Alternative Currency on its scheduled due date or any payment thereof in a different currency;</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including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Company shall also pay (or cause the applicable Designated Borrower to pay) any customary administrative fees charged by such Lender in connection with the foregoing.</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For purposes of calculating amounts payable by the Company (or the applicable Designated Borrower)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each Lender shall be deemed to have funded (x) each Eurocurrency Rate Loan made by it at the Eurocurrency Rate for such Loan by a matching deposit or other borrowing in the offshore interbank market for such currency for a comparable amount and for a comparable period, whether or not such Eurocurrency Rate Loan was in fact so funded and (y) each Alternative Currency Term Rate Loan made by it at the Alternative Currency Term Rate for such Loan by a matching deposit or other borrowing in the offshore interbank market for such currency for a comparable amount and for a comparable period, whether or not such Alternative Currency Term Rate Loan was in fact so funded. A certificate of a Lender setting forth the amount or amounts necessary to compensate such Lender as specified in this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delivered to the applicable Borrower shall be conclusive absent manifest error.</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3.06 </w:t>
      </w:r>
      <w:r>
        <w:rPr>
          <w:rFonts w:ascii="Arial" w:cs="Arial" w:eastAsia="Arial" w:hAnsi="Arial"/>
          <w:sz w:val="18"/>
          <w:szCs w:val="18"/>
          <w:b w:val="1"/>
          <w:bCs w:val="1"/>
          <w:u w:val="single" w:color="auto"/>
          <w:color w:val="auto"/>
        </w:rPr>
        <w:t>Mitigation Obligations; Replacement of Lenders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36"/>
        <w:spacing w:after="0" w:line="273" w:lineRule="auto"/>
        <w:tabs>
          <w:tab w:leader="none" w:pos="685"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any Borrower is required to pay any Indemnified Taxes or additional amounts to any Lender, any L/C Issuer or any Governmental Authority for the account of any Lender or any L/C Issuer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at the request of such Borrower, such Lender or such L/C Issuer shall, as applicable, use reasonable efforts to designate a different Lending Office for funding or booking its Loans or Letters of Credit hereunder or to assign its rights and obligations hereunder to another of its offices, branches or affiliates, if, in the judgment of such Lender or L/C Issuer, such designation or assignment (i) would eliminate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as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0"/>
          </w:cols>
          <w:pgMar w:left="440" w:top="270" w:right="499" w:bottom="1440" w:gutter="0" w:footer="0" w:header="0"/>
        </w:sectPr>
      </w:pPr>
    </w:p>
    <w:bookmarkStart w:id="87" w:name="page88"/>
    <w:bookmarkEnd w:id="87"/>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or L/C Issuer, as the case may be, to any unreimbursed cost or expense and would not otherwise be disadvantageous to such Lender or L/C Issuer, as the case may be. The Company hereby agrees to pay (or cause the applicable Designated Borrower to pay) all reasonable costs and expenses incurred by any Lender or any L/C Issuer in connection with any such designation or assignment.</w:t>
      </w:r>
    </w:p>
    <w:p>
      <w:pPr>
        <w:spacing w:after="0" w:line="63" w:lineRule="exact"/>
        <w:rPr>
          <w:sz w:val="20"/>
          <w:szCs w:val="20"/>
          <w:color w:val="auto"/>
        </w:rPr>
      </w:pPr>
    </w:p>
    <w:p>
      <w:pPr>
        <w:ind w:firstLine="436"/>
        <w:spacing w:after="0" w:line="257"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any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shall have delivered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in each case, such Lender has declined or is unable to designate a different Lending Office or to assign its rights and obligations to another of its offices, branches or Affiliates, in each case,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then the Company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3.07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w:t>
      </w:r>
    </w:p>
    <w:p>
      <w:pPr>
        <w:spacing w:after="0" w:line="121"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 xml:space="preserve">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other Obligations hereunder and resignation of the Administrative Agent.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4.01 </w:t>
      </w:r>
      <w:r>
        <w:rPr>
          <w:rFonts w:ascii="Arial" w:cs="Arial" w:eastAsia="Arial" w:hAnsi="Arial"/>
          <w:sz w:val="18"/>
          <w:szCs w:val="18"/>
          <w:b w:val="1"/>
          <w:bCs w:val="1"/>
          <w:u w:val="single" w:color="auto"/>
          <w:color w:val="auto"/>
        </w:rPr>
        <w:t>Conditions to Effectiveness</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shall be effective upon satisfaction of the following conditions precedent:</w:t>
      </w:r>
    </w:p>
    <w:p>
      <w:pPr>
        <w:spacing w:after="0" w:line="117" w:lineRule="exact"/>
        <w:rPr>
          <w:sz w:val="20"/>
          <w:szCs w:val="20"/>
          <w:color w:val="auto"/>
        </w:rPr>
      </w:pPr>
    </w:p>
    <w:p>
      <w:pPr>
        <w:ind w:right="340" w:firstLine="436"/>
        <w:spacing w:after="0" w:line="342" w:lineRule="auto"/>
        <w:tabs>
          <w:tab w:leader="none" w:pos="68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Loan Documents</w:t>
      </w:r>
      <w:r>
        <w:rPr>
          <w:rFonts w:ascii="Arial" w:cs="Arial" w:eastAsia="Arial" w:hAnsi="Arial"/>
          <w:sz w:val="16"/>
          <w:szCs w:val="16"/>
          <w:color w:val="auto"/>
        </w:rPr>
        <w:t>. Receipt by the Administrative Agent of executed counterparts of this Agreement, and any Notes in favor of each Lender requesting Notes, each properly executed by a Responsible Officer of each Loan Party and, in the case of this Agreement, by each Lender.</w:t>
      </w:r>
    </w:p>
    <w:p>
      <w:pPr>
        <w:spacing w:after="0" w:line="15" w:lineRule="exact"/>
        <w:rPr>
          <w:rFonts w:ascii="Arial" w:cs="Arial" w:eastAsia="Arial" w:hAnsi="Arial"/>
          <w:sz w:val="16"/>
          <w:szCs w:val="16"/>
          <w:color w:val="auto"/>
        </w:rPr>
      </w:pPr>
    </w:p>
    <w:p>
      <w:pPr>
        <w:ind w:right="300" w:firstLine="436"/>
        <w:spacing w:after="0" w:line="342" w:lineRule="auto"/>
        <w:tabs>
          <w:tab w:leader="none" w:pos="69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Opinions of Counsel</w:t>
      </w:r>
      <w:r>
        <w:rPr>
          <w:rFonts w:ascii="Arial" w:cs="Arial" w:eastAsia="Arial" w:hAnsi="Arial"/>
          <w:sz w:val="16"/>
          <w:szCs w:val="16"/>
          <w:color w:val="auto"/>
        </w:rPr>
        <w:t>. Receipt by the Administrative Agent of favorable opinions of legal counsel to the Borrowers, addressed to the Administrative Agent and each Lender, dated as of the Closing Date, and in form and substance reasonably satisfactory to the Administrative Agent.</w:t>
      </w:r>
    </w:p>
    <w:p>
      <w:pPr>
        <w:spacing w:after="0" w:line="15" w:lineRule="exact"/>
        <w:rPr>
          <w:rFonts w:ascii="Arial" w:cs="Arial" w:eastAsia="Arial" w:hAnsi="Arial"/>
          <w:sz w:val="16"/>
          <w:szCs w:val="16"/>
          <w:color w:val="auto"/>
        </w:rPr>
      </w:pPr>
    </w:p>
    <w:p>
      <w:pPr>
        <w:ind w:right="800" w:firstLine="436"/>
        <w:spacing w:after="0" w:line="277" w:lineRule="auto"/>
        <w:tabs>
          <w:tab w:leader="none" w:pos="685"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There shall not have occurred since October 31, 2020, any event or condition that has had or could be reasonably expected, either individually or in the aggregate, to have a Material Adverse Effect.</w:t>
      </w:r>
    </w:p>
    <w:p>
      <w:pPr>
        <w:spacing w:after="0" w:line="62" w:lineRule="exact"/>
        <w:rPr>
          <w:rFonts w:ascii="Arial" w:cs="Arial" w:eastAsia="Arial" w:hAnsi="Arial"/>
          <w:sz w:val="18"/>
          <w:szCs w:val="18"/>
          <w:color w:val="auto"/>
        </w:rPr>
      </w:pPr>
    </w:p>
    <w:p>
      <w:pPr>
        <w:ind w:right="800" w:firstLine="436"/>
        <w:spacing w:after="0" w:line="277"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Organization Documents, Resolutions, Etc</w:t>
      </w:r>
      <w:r>
        <w:rPr>
          <w:rFonts w:ascii="Arial" w:cs="Arial" w:eastAsia="Arial" w:hAnsi="Arial"/>
          <w:sz w:val="18"/>
          <w:szCs w:val="18"/>
          <w:color w:val="auto"/>
        </w:rPr>
        <w:t>. Receipt by the Administrative Agent of the following, in form and substance reasonably satisfactory to the Administrative Agent:</w:t>
      </w:r>
    </w:p>
    <w:p>
      <w:pPr>
        <w:spacing w:after="0" w:line="62" w:lineRule="exact"/>
        <w:rPr>
          <w:rFonts w:ascii="Arial" w:cs="Arial" w:eastAsia="Arial" w:hAnsi="Arial"/>
          <w:sz w:val="18"/>
          <w:szCs w:val="18"/>
          <w:color w:val="auto"/>
        </w:rPr>
      </w:pPr>
    </w:p>
    <w:p>
      <w:pPr>
        <w:ind w:left="440" w:right="160" w:firstLine="419"/>
        <w:spacing w:after="0" w:line="263" w:lineRule="auto"/>
        <w:tabs>
          <w:tab w:leader="none" w:pos="107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copies of the certificate of incorporation of each Loan Party certified to be true and complete as of a recent date by the appropriate Governmental Authority of the state of its incorporation and the bylaws of each Loan Party certified by a secretary or assistant secretary of Loan Party to be true and correct as of the Closing Date;</w:t>
      </w:r>
    </w:p>
    <w:p>
      <w:pPr>
        <w:spacing w:after="0" w:line="75" w:lineRule="exact"/>
        <w:rPr>
          <w:rFonts w:ascii="Arial" w:cs="Arial" w:eastAsia="Arial" w:hAnsi="Arial"/>
          <w:sz w:val="18"/>
          <w:szCs w:val="18"/>
          <w:color w:val="auto"/>
        </w:rPr>
      </w:pPr>
    </w:p>
    <w:p>
      <w:pPr>
        <w:jc w:val="both"/>
        <w:ind w:left="440" w:right="240" w:firstLine="419"/>
        <w:spacing w:after="0" w:line="311" w:lineRule="auto"/>
        <w:tabs>
          <w:tab w:leader="none" w:pos="1128"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88" w:name="page89"/>
    <w:bookmarkEnd w:id="88"/>
    <w:p>
      <w:pPr>
        <w:jc w:val="both"/>
        <w:ind w:left="440" w:right="620" w:firstLine="419"/>
        <w:spacing w:after="0" w:line="342" w:lineRule="auto"/>
        <w:tabs>
          <w:tab w:leader="none" w:pos="1178" w:val="left"/>
        </w:tabs>
        <w:numPr>
          <w:ilvl w:val="1"/>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documents and certifications as the Administrative Agent may reasonably require to evidence that such Loan Party is duly organized or formed, and is validly existing, in good standing and qualified to engage in business in its state of organization or formation.</w:t>
      </w:r>
    </w:p>
    <w:p>
      <w:pPr>
        <w:spacing w:after="0" w:line="15" w:lineRule="exact"/>
        <w:rPr>
          <w:rFonts w:ascii="Arial" w:cs="Arial" w:eastAsia="Arial" w:hAnsi="Arial"/>
          <w:sz w:val="16"/>
          <w:szCs w:val="16"/>
          <w:color w:val="auto"/>
        </w:rPr>
      </w:pPr>
    </w:p>
    <w:p>
      <w:pPr>
        <w:ind w:firstLine="436"/>
        <w:spacing w:after="0" w:line="263" w:lineRule="auto"/>
        <w:tabs>
          <w:tab w:leader="none" w:pos="68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Officer’s Closing Certificate</w:t>
      </w:r>
      <w:r>
        <w:rPr>
          <w:rFonts w:ascii="Arial" w:cs="Arial" w:eastAsia="Arial" w:hAnsi="Arial"/>
          <w:sz w:val="18"/>
          <w:szCs w:val="18"/>
          <w:color w:val="auto"/>
        </w:rPr>
        <w:t xml:space="preserve">. Receipt by the Administrative Agent of a certificate signed by a Responsible Officer of each Borrower certifying that the conditions specified in </w:t>
      </w:r>
      <w:r>
        <w:rPr>
          <w:rFonts w:ascii="Arial" w:cs="Arial" w:eastAsia="Arial" w:hAnsi="Arial"/>
          <w:sz w:val="18"/>
          <w:szCs w:val="18"/>
          <w:u w:val="single" w:color="auto"/>
          <w:color w:val="auto"/>
        </w:rPr>
        <w:t>Section 4.01(c)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(but without giving effect to the parenthetical therein) and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have been satisfied.</w:t>
      </w:r>
    </w:p>
    <w:p>
      <w:pPr>
        <w:spacing w:after="0" w:line="75" w:lineRule="exact"/>
        <w:rPr>
          <w:rFonts w:ascii="Arial" w:cs="Arial" w:eastAsia="Arial" w:hAnsi="Arial"/>
          <w:sz w:val="18"/>
          <w:szCs w:val="18"/>
          <w:color w:val="auto"/>
        </w:rPr>
      </w:pPr>
    </w:p>
    <w:p>
      <w:pPr>
        <w:ind w:right="120" w:firstLine="436"/>
        <w:spacing w:after="0" w:line="259" w:lineRule="auto"/>
        <w:tabs>
          <w:tab w:leader="none" w:pos="66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No Pending Action</w:t>
      </w:r>
      <w:r>
        <w:rPr>
          <w:rFonts w:ascii="Arial" w:cs="Arial" w:eastAsia="Arial" w:hAnsi="Arial"/>
          <w:sz w:val="18"/>
          <w:szCs w:val="18"/>
          <w:color w:val="auto"/>
        </w:rPr>
        <w:t>. There shall be no actions, suits or proceedings pending (of which the Company or any of its Subsidiaries has received notice) or, to the knowledge of the Company, expressly threatened in writing, at law, in 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pacing w:after="0" w:line="78" w:lineRule="exact"/>
        <w:rPr>
          <w:rFonts w:ascii="Arial" w:cs="Arial" w:eastAsia="Arial" w:hAnsi="Arial"/>
          <w:sz w:val="18"/>
          <w:szCs w:val="18"/>
          <w:color w:val="auto"/>
        </w:rPr>
      </w:pPr>
    </w:p>
    <w:p>
      <w:pPr>
        <w:ind w:right="100" w:firstLine="436"/>
        <w:spacing w:after="0" w:line="296" w:lineRule="auto"/>
        <w:tabs>
          <w:tab w:leader="none" w:pos="695"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KYC; Beneficial Ownership Certification</w:t>
      </w:r>
      <w:r>
        <w:rPr>
          <w:rFonts w:ascii="Arial" w:cs="Arial" w:eastAsia="Arial" w:hAnsi="Arial"/>
          <w:sz w:val="16"/>
          <w:szCs w:val="16"/>
          <w:color w:val="auto"/>
        </w:rPr>
        <w:t>. (i) Upon the reasonable request of any Lender,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five days prior to the Closing Date and (ii) at least two days prior to the Closing Date, any Loan Party that qualifies as a “legal entity customer” under the Beneficial Ownership Regulation shall have delivered, to each Lender that so requests, a Beneficial Ownership Certification in relation to such Loan Party.</w:t>
      </w:r>
    </w:p>
    <w:p>
      <w:pPr>
        <w:spacing w:after="0" w:line="53" w:lineRule="exact"/>
        <w:rPr>
          <w:rFonts w:ascii="Arial" w:cs="Arial" w:eastAsia="Arial" w:hAnsi="Arial"/>
          <w:sz w:val="16"/>
          <w:szCs w:val="16"/>
          <w:color w:val="auto"/>
        </w:rPr>
      </w:pPr>
    </w:p>
    <w:p>
      <w:pPr>
        <w:ind w:left="700" w:hanging="264"/>
        <w:spacing w:after="0"/>
        <w:tabs>
          <w:tab w:leader="none" w:pos="70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Fees</w:t>
      </w:r>
      <w:r>
        <w:rPr>
          <w:rFonts w:ascii="Arial" w:cs="Arial" w:eastAsia="Arial" w:hAnsi="Arial"/>
          <w:sz w:val="17"/>
          <w:szCs w:val="17"/>
          <w:color w:val="auto"/>
        </w:rPr>
        <w:t>. Receipt by the Administrative Agent, the Arrangers and the Lenders of any fees required to be paid on or before the Closing Date.</w:t>
      </w:r>
    </w:p>
    <w:p>
      <w:pPr>
        <w:spacing w:after="0" w:line="128" w:lineRule="exact"/>
        <w:rPr>
          <w:rFonts w:ascii="Arial" w:cs="Arial" w:eastAsia="Arial" w:hAnsi="Arial"/>
          <w:sz w:val="17"/>
          <w:szCs w:val="17"/>
          <w:color w:val="auto"/>
        </w:rPr>
      </w:pPr>
    </w:p>
    <w:p>
      <w:pPr>
        <w:ind w:firstLine="436"/>
        <w:spacing w:after="0" w:line="255"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Attorney Costs</w:t>
      </w:r>
      <w:r>
        <w:rPr>
          <w:rFonts w:ascii="Arial" w:cs="Arial" w:eastAsia="Arial" w:hAnsi="Arial"/>
          <w:sz w:val="18"/>
          <w:szCs w:val="18"/>
          <w:color w:val="auto"/>
        </w:rPr>
        <w:t>. Unless waived by the Administrative Agent, the Company shall have paid all reasonable fees, charges and disbursements of counsel to the Administrative Agent (directly to such counsel if requested by the Administrative Agent) required to be paid by the Company pursuant to the Loan Documents to the extent invoiced at least two (2) Business Days prior to or on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estimate shall not thereafter preclude a final settling of accounts between the Company and the Administrative Agent).</w:t>
      </w:r>
    </w:p>
    <w:p>
      <w:pPr>
        <w:spacing w:after="0" w:line="192"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4.02 </w:t>
      </w:r>
      <w:r>
        <w:rPr>
          <w:rFonts w:ascii="Arial" w:cs="Arial" w:eastAsia="Arial" w:hAnsi="Arial"/>
          <w:sz w:val="18"/>
          <w:szCs w:val="18"/>
          <w:b w:val="1"/>
          <w:bCs w:val="1"/>
          <w:u w:val="single" w:color="auto"/>
          <w:color w:val="auto"/>
        </w:rPr>
        <w:t>Conditions to all Credit Extensions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obligation of each Lender to honor any Request for Credit Extension (other than a Committed Loan Notice requesting only a conversion of Committed Loans to the other Type, or a continuation of Eurocurrency Rate Loans or Alternative Currency Term Rate Loans) is subject to the following conditions precedent: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440" w:top="274" w:right="499" w:bottom="1440" w:gutter="0" w:footer="0" w:header="0"/>
        </w:sectPr>
      </w:pPr>
    </w:p>
    <w:bookmarkStart w:id="89" w:name="page90"/>
    <w:bookmarkEnd w:id="89"/>
    <w:p>
      <w:pPr>
        <w:ind w:left="684" w:hanging="244"/>
        <w:spacing w:after="0"/>
        <w:tabs>
          <w:tab w:leader="none" w:pos="684" w:val="left"/>
        </w:tabs>
        <w:numPr>
          <w:ilvl w:val="1"/>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representations and warranties of (i) the Borrowers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(other than, after the Closing Date, </w:t>
      </w:r>
      <w:r>
        <w:rPr>
          <w:rFonts w:ascii="Arial" w:cs="Arial" w:eastAsia="Arial" w:hAnsi="Arial"/>
          <w:sz w:val="16"/>
          <w:szCs w:val="16"/>
          <w:u w:val="single" w:color="auto"/>
          <w:color w:val="auto"/>
        </w:rPr>
        <w:t>Sections 5.05(b)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5.06</w:t>
      </w:r>
      <w:r>
        <w:rPr>
          <w:rFonts w:ascii="Arial" w:cs="Arial" w:eastAsia="Arial" w:hAnsi="Arial"/>
          <w:sz w:val="16"/>
          <w:szCs w:val="16"/>
          <w:color w:val="auto"/>
        </w:rPr>
        <w:t>) and</w:t>
      </w:r>
    </w:p>
    <w:p>
      <w:pPr>
        <w:spacing w:after="0" w:line="46" w:lineRule="exact"/>
        <w:rPr>
          <w:rFonts w:ascii="Arial" w:cs="Arial" w:eastAsia="Arial" w:hAnsi="Arial"/>
          <w:sz w:val="16"/>
          <w:szCs w:val="16"/>
          <w:color w:val="auto"/>
        </w:rPr>
      </w:pPr>
    </w:p>
    <w:p>
      <w:pPr>
        <w:ind w:left="4" w:right="80" w:hanging="4"/>
        <w:spacing w:after="0" w:line="292" w:lineRule="auto"/>
        <w:tabs>
          <w:tab w:leader="none" w:pos="26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each Loan Party contained in each other Loan Document or in any document furnished at any time under or in connection herewith or therewith, shall be true and correct (A) in the case of the representations and warranties qualified as to materiality, in all respects and (B) otherwise, in all material respects on and as of the date of the Credit Extension requested thereby, except (x) to the extent that such representations and warranties specifically refer to an earlier date, in which case they shall be true and correct as of such earlier date and (y) that for purposes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 5.05(a)</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704" w:hanging="264"/>
        <w:spacing w:after="0"/>
        <w:tabs>
          <w:tab w:leader="none" w:pos="70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the application of the proceeds thereof.</w:t>
      </w:r>
    </w:p>
    <w:p>
      <w:pPr>
        <w:spacing w:after="0" w:line="117" w:lineRule="exact"/>
        <w:rPr>
          <w:rFonts w:ascii="Arial" w:cs="Arial" w:eastAsia="Arial" w:hAnsi="Arial"/>
          <w:sz w:val="18"/>
          <w:szCs w:val="18"/>
          <w:color w:val="auto"/>
        </w:rPr>
      </w:pPr>
    </w:p>
    <w:p>
      <w:pPr>
        <w:ind w:left="4" w:right="440" w:firstLine="436"/>
        <w:spacing w:after="0" w:line="277" w:lineRule="auto"/>
        <w:tabs>
          <w:tab w:leader="none" w:pos="68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Administrative Agent and, if applicable, the applicable L/C Issuer or the Swing Line Lender shall have received a Request for Credit Extension in accordance with the requirements hereof</w:t>
      </w:r>
    </w:p>
    <w:p>
      <w:pPr>
        <w:spacing w:after="0" w:line="62" w:lineRule="exact"/>
        <w:rPr>
          <w:rFonts w:ascii="Arial" w:cs="Arial" w:eastAsia="Arial" w:hAnsi="Arial"/>
          <w:sz w:val="18"/>
          <w:szCs w:val="18"/>
          <w:color w:val="auto"/>
        </w:rPr>
      </w:pPr>
    </w:p>
    <w:p>
      <w:pPr>
        <w:ind w:left="4" w:right="800" w:firstLine="436"/>
        <w:spacing w:after="0" w:line="277" w:lineRule="auto"/>
        <w:tabs>
          <w:tab w:leader="none" w:pos="69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If the applicable Borrower is a Designated Borrower, then the conditions of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as to the designation of such Borrower as a Designated Borrower shall have been met to the reasonable satisfaction of the Administrative Agent.</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the case of a Credit Extension to be denominated in an Alternative Currency, such currency remains an Eligible Currency.</w:t>
      </w:r>
    </w:p>
    <w:p>
      <w:pPr>
        <w:spacing w:after="0" w:line="225" w:lineRule="exact"/>
        <w:rPr>
          <w:sz w:val="20"/>
          <w:szCs w:val="20"/>
          <w:color w:val="auto"/>
        </w:rPr>
      </w:pPr>
    </w:p>
    <w:p>
      <w:pPr>
        <w:jc w:val="both"/>
        <w:ind w:left="4" w:right="80" w:firstLine="440"/>
        <w:spacing w:after="0" w:line="311" w:lineRule="auto"/>
        <w:rPr>
          <w:sz w:val="20"/>
          <w:szCs w:val="20"/>
          <w:color w:val="auto"/>
        </w:rPr>
      </w:pPr>
      <w:r>
        <w:rPr>
          <w:rFonts w:ascii="Arial" w:cs="Arial" w:eastAsia="Arial" w:hAnsi="Arial"/>
          <w:sz w:val="16"/>
          <w:szCs w:val="16"/>
          <w:color w:val="auto"/>
        </w:rPr>
        <w:t xml:space="preserve">Each Request for Credit Extension (other than a Committed Loan Notice requesting only a conversion of Committed Loans to the other Type or a continuation of Eurocurrency Rate Loans or Alternative Currency Term Rate Loans) submitted by the Company shall be deemed to be a representation and warranty that the conditions specified in </w:t>
      </w:r>
      <w:r>
        <w:rPr>
          <w:rFonts w:ascii="Arial" w:cs="Arial" w:eastAsia="Arial" w:hAnsi="Arial"/>
          <w:sz w:val="16"/>
          <w:szCs w:val="16"/>
          <w:u w:val="single" w:color="auto"/>
          <w:color w:val="auto"/>
        </w:rPr>
        <w:t>Sections 4.02(a)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have been satisfied on and as of the date of the applicable Credit Extension.</w:t>
      </w:r>
    </w:p>
    <w:p>
      <w:pPr>
        <w:spacing w:after="0" w:line="145" w:lineRule="exact"/>
        <w:rPr>
          <w:sz w:val="20"/>
          <w:szCs w:val="20"/>
          <w:color w:val="auto"/>
        </w:rPr>
      </w:pPr>
    </w:p>
    <w:p>
      <w:pPr>
        <w:ind w:left="4" w:right="480"/>
        <w:spacing w:after="0" w:line="282" w:lineRule="auto"/>
        <w:rPr>
          <w:sz w:val="20"/>
          <w:szCs w:val="20"/>
          <w:color w:val="auto"/>
        </w:rPr>
      </w:pPr>
      <w:r>
        <w:rPr>
          <w:rFonts w:ascii="Arial" w:cs="Arial" w:eastAsia="Arial" w:hAnsi="Arial"/>
          <w:sz w:val="18"/>
          <w:szCs w:val="18"/>
          <w:b w:val="1"/>
          <w:bCs w:val="1"/>
          <w:color w:val="auto"/>
        </w:rPr>
        <w:t xml:space="preserve">4.03 </w:t>
      </w:r>
      <w:r>
        <w:rPr>
          <w:rFonts w:ascii="Arial" w:cs="Arial" w:eastAsia="Arial" w:hAnsi="Arial"/>
          <w:sz w:val="18"/>
          <w:szCs w:val="18"/>
          <w:b w:val="1"/>
          <w:bCs w:val="1"/>
          <w:u w:val="single" w:color="auto"/>
          <w:color w:val="auto"/>
        </w:rPr>
        <w:t>Conditions to Full Availability</w:t>
      </w:r>
      <w:r>
        <w:rPr>
          <w:rFonts w:ascii="Arial" w:cs="Arial" w:eastAsia="Arial" w:hAnsi="Arial"/>
          <w:sz w:val="18"/>
          <w:szCs w:val="18"/>
          <w:color w:val="auto"/>
        </w:rPr>
        <w:t>. The increase of the availability from the Interim Availability to the Full Availability on the Full Availability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Date is subject to the following conditions precedent as of such date:</w:t>
      </w:r>
    </w:p>
    <w:p>
      <w:pPr>
        <w:spacing w:after="0" w:line="58" w:lineRule="exact"/>
        <w:rPr>
          <w:sz w:val="20"/>
          <w:szCs w:val="20"/>
          <w:color w:val="auto"/>
        </w:rPr>
      </w:pPr>
    </w:p>
    <w:p>
      <w:pPr>
        <w:ind w:left="1244" w:hanging="253"/>
        <w:spacing w:after="0"/>
        <w:tabs>
          <w:tab w:leader="none" w:pos="124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Closing Date shall have occurred.</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Maxim Acquisition shall have been consummated on or prior to the Full Availability Expiration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4"/>
          </w:cols>
          <w:pgMar w:left="436" w:top="274" w:right="459" w:bottom="1440" w:gutter="0" w:footer="0" w:header="0"/>
        </w:sectPr>
      </w:pPr>
    </w:p>
    <w:bookmarkStart w:id="90" w:name="page91"/>
    <w:bookmarkEnd w:id="9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ind w:left="3784"/>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Borrower represents and warrants to the Administrative Agent and the Lenders that:</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5.01 </w:t>
      </w:r>
      <w:r>
        <w:rPr>
          <w:rFonts w:ascii="Arial" w:cs="Arial" w:eastAsia="Arial" w:hAnsi="Arial"/>
          <w:sz w:val="18"/>
          <w:szCs w:val="18"/>
          <w:b w:val="1"/>
          <w:bCs w:val="1"/>
          <w:u w:val="single" w:color="auto"/>
          <w:color w:val="auto"/>
        </w:rPr>
        <w:t>Existence, Qualification and Power</w:t>
      </w:r>
      <w:r>
        <w:rPr>
          <w:rFonts w:ascii="Arial" w:cs="Arial" w:eastAsia="Arial" w:hAnsi="Arial"/>
          <w:sz w:val="18"/>
          <w:szCs w:val="18"/>
          <w:b w:val="1"/>
          <w:bCs w:val="1"/>
          <w:color w:val="auto"/>
        </w:rPr>
        <w:t>.</w:t>
      </w:r>
    </w:p>
    <w:p>
      <w:pPr>
        <w:spacing w:after="0" w:line="121"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Each Loan Party (a) is duly organized or formed, validly existing and, as applicable, in good standing under the Laws of the jurisdiction of its incorporation or organization, (b) has all requisite power and authority and all requisite governmental licenses, authorizations, consents and approvals to</w:t>
      </w:r>
    </w:p>
    <w:p>
      <w:pPr>
        <w:ind w:left="4" w:right="100" w:hanging="4"/>
        <w:spacing w:after="0" w:line="295" w:lineRule="auto"/>
        <w:tabs>
          <w:tab w:leader="none" w:pos="21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own or lease its assets and carry on its business in which it is currently engaged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6"/>
          <w:szCs w:val="16"/>
          <w:u w:val="single" w:color="auto"/>
          <w:color w:val="auto"/>
        </w:rPr>
        <w:t>clause (b)(i)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to the extent that failure to do so would not reasonably be expected to have a Material Adverse Effect.</w:t>
      </w:r>
    </w:p>
    <w:p>
      <w:pPr>
        <w:spacing w:after="0" w:line="30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5.02 </w:t>
      </w:r>
      <w:r>
        <w:rPr>
          <w:rFonts w:ascii="Arial" w:cs="Arial" w:eastAsia="Arial" w:hAnsi="Arial"/>
          <w:sz w:val="18"/>
          <w:szCs w:val="18"/>
          <w:b w:val="1"/>
          <w:bCs w:val="1"/>
          <w:u w:val="single" w:color="auto"/>
          <w:color w:val="auto"/>
        </w:rPr>
        <w:t>Authorization; No Contravention</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80" w:firstLine="440"/>
        <w:spacing w:after="0" w:line="291" w:lineRule="auto"/>
        <w:rPr>
          <w:sz w:val="20"/>
          <w:szCs w:val="20"/>
          <w:color w:val="auto"/>
        </w:rPr>
      </w:pPr>
      <w:r>
        <w:rPr>
          <w:rFonts w:ascii="Arial" w:cs="Arial" w:eastAsia="Arial" w:hAnsi="Arial"/>
          <w:sz w:val="16"/>
          <w:szCs w:val="16"/>
          <w:color w:val="auto"/>
        </w:rPr>
        <w:t>The execution, delivery and performance by each Loan Party of each Loan Document to which it is a party have been duly authorized by all necessary corporate or other organizational action, and do not and will not (a) contravene the terms of any of such Person’s Organization Documents;</w:t>
      </w:r>
    </w:p>
    <w:p>
      <w:pPr>
        <w:ind w:left="4" w:hanging="4"/>
        <w:spacing w:after="0" w:line="253" w:lineRule="auto"/>
        <w:tabs>
          <w:tab w:leader="none" w:pos="25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conflict with or result in any breach or contravention of, or the creation of any Lien under, or require any payment to be made under (i) any material Contractual Obligation to which such Person is a party or affecting such Person or the properties such Person or any of its Subsidiaries or (ii) any order, injunction, writ or decree of any Governmental Authority or any arbitral award to which such Person or any of its Subsidiaries or their properties are subject; or (c) violate any Law, except, in each case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to the extent that such matters, individually or in the aggregate, would not reasonably be expected to have a Material Adverse Effect.</w:t>
      </w:r>
    </w:p>
    <w:p>
      <w:pPr>
        <w:spacing w:after="0" w:line="33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5.03 </w:t>
      </w:r>
      <w:r>
        <w:rPr>
          <w:rFonts w:ascii="Arial" w:cs="Arial" w:eastAsia="Arial" w:hAnsi="Arial"/>
          <w:sz w:val="18"/>
          <w:szCs w:val="18"/>
          <w:b w:val="1"/>
          <w:bCs w:val="1"/>
          <w:u w:val="single" w:color="auto"/>
          <w:color w:val="auto"/>
        </w:rPr>
        <w:t>Governmental Authorization; Other Consents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any Borrower of this Agreement or any other Loan Party of any other Loan Document to which it is a party.</w:t>
      </w:r>
    </w:p>
    <w:p>
      <w:pPr>
        <w:spacing w:after="0" w:line="3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5.04 </w:t>
      </w: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This Agreement has been, and each other Loan Document, when delivered hereunder, will have been, duly executed and delivered by each Loan Party that is a party thereto. This Agreement constitutes, and each other Loan Document when so delivered will constitute, a valid and binding obligation of such Loan Party, enforceable against each Loan Party that is party thereto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3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5.05 </w:t>
      </w:r>
      <w:r>
        <w:rPr>
          <w:rFonts w:ascii="Arial" w:cs="Arial" w:eastAsia="Arial" w:hAnsi="Arial"/>
          <w:sz w:val="18"/>
          <w:szCs w:val="18"/>
          <w:b w:val="1"/>
          <w:bCs w:val="1"/>
          <w:u w:val="single" w:color="auto"/>
          <w:color w:val="auto"/>
        </w:rPr>
        <w:t>Financial Statements; No Material Adverse Effect</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00" w:firstLine="436"/>
        <w:spacing w:after="0" w:line="275" w:lineRule="auto"/>
        <w:tabs>
          <w:tab w:leader="none" w:pos="68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Audited Financial Statements and the Unaudited Financial Statements (i) were prepared in accordance with GAAP, consistently applied throughout the periods covered thereby, except as otherwise expressly noted therein and (ii) fairly present in all material respects the financial condition of the Company and its Subsidiaries as of the date thereof and their results of operations and cash flows for the periods covered thereby in accordance with GAAP consistently applied throughout the periods covered thereby, except as otherwise expressly noted therein, subject to normal year-end audit adjustments and the absence of certain footnotes in the case of the Unaudited Financial Statements.</w:t>
      </w:r>
    </w:p>
    <w:p>
      <w:pPr>
        <w:spacing w:after="0" w:line="68" w:lineRule="exact"/>
        <w:rPr>
          <w:rFonts w:ascii="Arial" w:cs="Arial" w:eastAsia="Arial" w:hAnsi="Arial"/>
          <w:sz w:val="17"/>
          <w:szCs w:val="17"/>
          <w:color w:val="auto"/>
        </w:rPr>
      </w:pPr>
    </w:p>
    <w:p>
      <w:pPr>
        <w:ind w:left="4" w:right="280" w:firstLine="436"/>
        <w:spacing w:after="0" w:line="277" w:lineRule="auto"/>
        <w:tabs>
          <w:tab w:leader="none" w:pos="69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4"/>
          </w:cols>
          <w:pgMar w:left="436" w:top="270"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5.06 </w:t>
      </w: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0" w:firstLine="440"/>
        <w:spacing w:after="0" w:line="301" w:lineRule="auto"/>
        <w:rPr>
          <w:sz w:val="20"/>
          <w:szCs w:val="20"/>
          <w:color w:val="auto"/>
        </w:rPr>
      </w:pPr>
      <w:r>
        <w:rPr>
          <w:rFonts w:ascii="Arial" w:cs="Arial" w:eastAsia="Arial" w:hAnsi="Arial"/>
          <w:sz w:val="16"/>
          <w:szCs w:val="16"/>
          <w:color w:val="auto"/>
        </w:rPr>
        <w:t>There are no actions, suits, proceedings, claims or disputes pending or, to the knowledge of any Borrower, threatened or contemplated, at law, in equity, in arbitration or before any Governmental Authority, by or against any Loan Party or any of its Subsidiaries or against any of their properties or revenues that (a) could reasonably be expected to affect the legality, validity or enforceability of this Agreement or any other Loan Document, or any of the transactions contemplated hereby, or (b) either individually or in the aggregate would reasonably be expected to have a Material Adverse Effect.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5.07 </w:t>
      </w:r>
      <w:r>
        <w:rPr>
          <w:rFonts w:ascii="Arial" w:cs="Arial" w:eastAsia="Arial" w:hAnsi="Arial"/>
          <w:sz w:val="18"/>
          <w:szCs w:val="18"/>
          <w:b w:val="1"/>
          <w:bCs w:val="1"/>
          <w:u w:val="single" w:color="auto"/>
          <w:color w:val="auto"/>
        </w:rPr>
        <w:t>No Default</w:t>
      </w:r>
      <w:r>
        <w:rPr>
          <w:rFonts w:ascii="Arial" w:cs="Arial" w:eastAsia="Arial" w:hAnsi="Arial"/>
          <w:sz w:val="18"/>
          <w:szCs w:val="18"/>
          <w:b w:val="1"/>
          <w:bCs w:val="1"/>
          <w:color w:val="auto"/>
        </w:rPr>
        <w:t>.</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No Default has occurred and is continuing or would result from the consummation of the transactions contemplated by this Agreement or any other Loan Document.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5.08 </w:t>
      </w:r>
      <w:r>
        <w:rPr>
          <w:rFonts w:ascii="Arial" w:cs="Arial" w:eastAsia="Arial" w:hAnsi="Arial"/>
          <w:sz w:val="18"/>
          <w:szCs w:val="18"/>
          <w:b w:val="1"/>
          <w:bCs w:val="1"/>
          <w:u w:val="single" w:color="auto"/>
          <w:color w:val="auto"/>
        </w:rPr>
        <w:t>Ownership of Property; Liens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No property of any Loan Party or any of its Subsidiaries is subject to Liens, other than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5.09 </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properties of each Loan Party and its Subsidiaries are insured with insurance companies not Affiliates of such Loan Party (and, to such Loan Party’s knowledge, such insurance companies are financially sound and reputable), in such amounts, with such deductibles and covering such risks as are customarily carried by companies engaged in similar businesses and owning similar properties in localities where the applicable Loan Party or Subsidiary operates.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Each Loan Party and its Subsidiaries have (a) filed all federal, state and other material Tax returns and reports required to be filed, and (b) paid all federal, state and other material Taxes, assessments, fees and other governmental charges levied or imposed upon them or their properties, income or assets otherwise due and payable, except those which are (i) being contested in good faith by appropriate proceedings diligently conducted and for which adequate reserves have been provided in accordance with GAAP or (ii) would not reasonably be expected to have a Material Adverse Effect.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b w:val="1"/>
          <w:bCs w:val="1"/>
          <w:u w:val="single" w:color="auto"/>
          <w:color w:val="auto"/>
        </w:rPr>
        <w:t>ERISA Compliance</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would not reasonably be expected to have a Material Adverse Effect:</w:t>
      </w:r>
    </w:p>
    <w:p>
      <w:pPr>
        <w:spacing w:after="0" w:line="117" w:lineRule="exact"/>
        <w:rPr>
          <w:sz w:val="20"/>
          <w:szCs w:val="20"/>
          <w:color w:val="auto"/>
        </w:rPr>
      </w:pPr>
    </w:p>
    <w:p>
      <w:pPr>
        <w:ind w:right="20" w:firstLine="436"/>
        <w:spacing w:after="0" w:line="296" w:lineRule="auto"/>
        <w:tabs>
          <w:tab w:leader="none" w:pos="68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Loan Parties, nothing has occurred that would prevent, or cause the loss of, such Tax-qualified status.</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40"/>
          </w:cols>
          <w:pgMar w:left="440" w:top="270" w:right="519" w:bottom="1440" w:gutter="0" w:footer="0" w:header="0"/>
        </w:sectPr>
      </w:pPr>
    </w:p>
    <w:bookmarkStart w:id="92" w:name="page93"/>
    <w:bookmarkEnd w:id="92"/>
    <w:p>
      <w:pPr>
        <w:ind w:right="180" w:firstLine="436"/>
        <w:spacing w:after="0" w:line="342" w:lineRule="auto"/>
        <w:tabs>
          <w:tab w:leader="none" w:pos="695" w:val="left"/>
        </w:tabs>
        <w:numPr>
          <w:ilvl w:val="0"/>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pending or, to the knowledge of the Loan Parties, threatened claims, actions or lawsuits, or action by any Governmental Authority, with respect to any Plan. There has been no prohibited transaction or violation of the fiduciary responsibility rules with respect to any Plan.</w:t>
      </w:r>
    </w:p>
    <w:p>
      <w:pPr>
        <w:spacing w:after="0" w:line="15" w:lineRule="exact"/>
        <w:rPr>
          <w:rFonts w:ascii="Arial" w:cs="Arial" w:eastAsia="Arial" w:hAnsi="Arial"/>
          <w:sz w:val="16"/>
          <w:szCs w:val="16"/>
          <w:color w:val="auto"/>
        </w:rPr>
      </w:pPr>
    </w:p>
    <w:p>
      <w:pPr>
        <w:ind w:right="20" w:firstLine="436"/>
        <w:spacing w:after="0" w:line="287" w:lineRule="auto"/>
        <w:tabs>
          <w:tab w:leader="none" w:pos="68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 No ERISA Event has occurred and neither the Company nor any ERISA Affiliate is aware of any fact, event or circumstance that could reasonably be expected to constitute or result in an ERISA Event with respect to any Pension Plan; (ii) the Company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sixty percent (60%) or higher and neither the Company nor any ERISA Affiliate knows of any facts or circumstances that could reasonably be expected to cause the funding target attainment percentage for any such plan to drop below sixty percent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is reasonably likely to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63" w:lineRule="exact"/>
        <w:rPr>
          <w:rFonts w:ascii="Arial" w:cs="Arial" w:eastAsia="Arial" w:hAnsi="Arial"/>
          <w:sz w:val="16"/>
          <w:szCs w:val="16"/>
          <w:color w:val="auto"/>
        </w:rPr>
      </w:pPr>
    </w:p>
    <w:p>
      <w:pPr>
        <w:ind w:right="20" w:firstLine="436"/>
        <w:spacing w:after="0" w:line="263"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Neither any Borrower nor any ERISA Affiliate maintains or contributes to, or has any unsatisfied obligation to contribute to, or liability under, any active or terminated Pension Plan other than (A) on the Closing Date, those listed on </w:t>
      </w:r>
      <w:r>
        <w:rPr>
          <w:rFonts w:ascii="Arial" w:cs="Arial" w:eastAsia="Arial" w:hAnsi="Arial"/>
          <w:sz w:val="18"/>
          <w:szCs w:val="18"/>
          <w:u w:val="single" w:color="auto"/>
          <w:color w:val="auto"/>
        </w:rPr>
        <w:t>Schedule 5.12(d)</w:t>
      </w:r>
      <w:r>
        <w:rPr>
          <w:rFonts w:ascii="Arial" w:cs="Arial" w:eastAsia="Arial" w:hAnsi="Arial"/>
          <w:sz w:val="18"/>
          <w:szCs w:val="18"/>
          <w:color w:val="auto"/>
        </w:rPr>
        <w:t xml:space="preserve"> hereto and (B) thereafter, Pension Plans not otherwise prohibited by this Agreement.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5.13 </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5.14 </w:t>
      </w:r>
      <w:r>
        <w:rPr>
          <w:rFonts w:ascii="Arial" w:cs="Arial" w:eastAsia="Arial" w:hAnsi="Arial"/>
          <w:sz w:val="18"/>
          <w:szCs w:val="18"/>
          <w:b w:val="1"/>
          <w:bCs w:val="1"/>
          <w:u w:val="single" w:color="auto"/>
          <w:color w:val="auto"/>
        </w:rPr>
        <w:t>Margin Regulations; Investment Company Act</w:t>
      </w:r>
      <w:r>
        <w:rPr>
          <w:rFonts w:ascii="Arial" w:cs="Arial" w:eastAsia="Arial" w:hAnsi="Arial"/>
          <w:sz w:val="18"/>
          <w:szCs w:val="18"/>
          <w:b w:val="1"/>
          <w:bCs w:val="1"/>
          <w:color w:val="auto"/>
        </w:rPr>
        <w:t>.</w:t>
      </w:r>
    </w:p>
    <w:p>
      <w:pPr>
        <w:spacing w:after="0" w:line="121" w:lineRule="exact"/>
        <w:rPr>
          <w:sz w:val="20"/>
          <w:szCs w:val="20"/>
          <w:color w:val="auto"/>
        </w:rPr>
      </w:pPr>
    </w:p>
    <w:p>
      <w:pPr>
        <w:ind w:right="340" w:firstLine="436"/>
        <w:spacing w:after="0" w:line="259" w:lineRule="auto"/>
        <w:tabs>
          <w:tab w:leader="none" w:pos="68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Borrower is engaged and does not intend to engage, principally or as one of its important activities, in the business of purchasing or carrying margin stock (within the meaning of Regulation U issued by the FRB) in violation of Regulation U, or extending credit for the purpose of purchasing or carrying margin stock. The making of Credit Extensions hereunder and the use of the proceeds thereof will not result in a violation of Regulation U.</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None of the Loan Parties is or is required to be registered as an “investment company” under the Investment Company Act of 1940.</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5.15 </w:t>
      </w:r>
      <w:r>
        <w:rPr>
          <w:rFonts w:ascii="Arial" w:cs="Arial" w:eastAsia="Arial" w:hAnsi="Arial"/>
          <w:sz w:val="18"/>
          <w:szCs w:val="18"/>
          <w:b w:val="1"/>
          <w:bCs w:val="1"/>
          <w:u w:val="single" w:color="auto"/>
          <w:color w:val="auto"/>
        </w:rPr>
        <w:t>Disclosure</w:t>
      </w:r>
      <w:r>
        <w:rPr>
          <w:rFonts w:ascii="Arial" w:cs="Arial" w:eastAsia="Arial" w:hAnsi="Arial"/>
          <w:sz w:val="18"/>
          <w:szCs w:val="18"/>
          <w:b w:val="1"/>
          <w:bCs w:val="1"/>
          <w:color w:val="auto"/>
        </w:rPr>
        <w:t>.</w:t>
      </w:r>
    </w:p>
    <w:p>
      <w:pPr>
        <w:spacing w:after="0" w:line="121" w:lineRule="exact"/>
        <w:rPr>
          <w:sz w:val="20"/>
          <w:szCs w:val="20"/>
          <w:color w:val="auto"/>
        </w:rPr>
      </w:pPr>
    </w:p>
    <w:p>
      <w:pPr>
        <w:ind w:firstLine="436"/>
        <w:spacing w:after="0" w:line="296" w:lineRule="auto"/>
        <w:tabs>
          <w:tab w:leader="none" w:pos="68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when taken together with the information contained in the annual, quarterly and current reports theretofore publicly filed by the Company with the SEC, contains, as of the date of such report, financial statement, certificate or other information, any material misstatement of fact or omits to state any material</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80"/>
          </w:cols>
          <w:pgMar w:left="440" w:top="274" w:right="479" w:bottom="1440" w:gutter="0" w:footer="0" w:header="0"/>
        </w:sectPr>
      </w:pPr>
    </w:p>
    <w:bookmarkStart w:id="93" w:name="page94"/>
    <w:bookmarkEnd w:id="93"/>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the Company represents only that such information was prepared in good faith based upon assumptions believed to be reasonable at the time, it being recognized by the Lenders that such projections and other forward-looking statements are as to future events and are not to be viewed as facts and that actual results during the period or periods covered by any such projections or other forward-looking statements may differ significantly from the projected results and such differences may be material.</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 As of the Closing Date, the information included in any Beneficial Ownership Certification, if applicable, is true and correct in all respects.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5.16 </w:t>
      </w:r>
      <w:r>
        <w:rPr>
          <w:rFonts w:ascii="Arial" w:cs="Arial" w:eastAsia="Arial" w:hAnsi="Arial"/>
          <w:sz w:val="18"/>
          <w:szCs w:val="18"/>
          <w:b w:val="1"/>
          <w:bCs w:val="1"/>
          <w:u w:val="single" w:color="auto"/>
          <w:color w:val="auto"/>
        </w:rPr>
        <w:t>Compliance with Laws</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Each Loan Party and each Subsidiary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5.17 </w:t>
      </w:r>
      <w:r>
        <w:rPr>
          <w:rFonts w:ascii="Arial" w:cs="Arial" w:eastAsia="Arial" w:hAnsi="Arial"/>
          <w:sz w:val="18"/>
          <w:szCs w:val="18"/>
          <w:b w:val="1"/>
          <w:bCs w:val="1"/>
          <w:u w:val="single" w:color="auto"/>
          <w:color w:val="auto"/>
        </w:rPr>
        <w:t>Taxpayer Identification Number</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The true and correct U.S. taxpayer identification number, or, in the case of any non-U.S. Loan Party that does not have a U.S. taxpayer identification number, its unique identification number issued to it by the jurisdiction of its incorporation or organization, of each Loan Party is set forth on </w:t>
      </w:r>
      <w:r>
        <w:rPr>
          <w:rFonts w:ascii="Arial" w:cs="Arial" w:eastAsia="Arial" w:hAnsi="Arial"/>
          <w:sz w:val="18"/>
          <w:szCs w:val="18"/>
          <w:u w:val="single" w:color="auto"/>
          <w:color w:val="auto"/>
        </w:rPr>
        <w:t>Schedule 5.17</w:t>
      </w:r>
      <w:r>
        <w:rPr>
          <w:rFonts w:ascii="Arial" w:cs="Arial" w:eastAsia="Arial" w:hAnsi="Arial"/>
          <w:sz w:val="18"/>
          <w:szCs w:val="18"/>
          <w:color w:val="auto"/>
        </w:rPr>
        <w: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5.18 </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5.19 </w:t>
      </w:r>
      <w:r>
        <w:rPr>
          <w:rFonts w:ascii="Arial" w:cs="Arial" w:eastAsia="Arial" w:hAnsi="Arial"/>
          <w:sz w:val="18"/>
          <w:szCs w:val="18"/>
          <w:b w:val="1"/>
          <w:bCs w:val="1"/>
          <w:u w:val="single" w:color="auto"/>
          <w:color w:val="auto"/>
        </w:rPr>
        <w:t>Sanctions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0" w:firstLine="436"/>
        <w:spacing w:after="0" w:line="259" w:lineRule="auto"/>
        <w:tabs>
          <w:tab w:leader="none" w:pos="68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Loan Party nor any Subsidiary, nor, to the knowledge of the Loan Parties and their Subsidiaries, any director, officer or employee thereof, is an individual or entity that is, or is owned or controlled by any individuals or entities that are, (i) currently the subject of any Sanctions, (ii) included on OFAC’s List of Specially Designated Nationals or Her Majesty’s Treasury’s Consolidated List of Financial Sanctions Targets and the Investment Ban List or (iii) located, organized or resident in a Designated Jurisdiction.</w:t>
      </w:r>
    </w:p>
    <w:p>
      <w:pPr>
        <w:spacing w:after="0" w:line="78" w:lineRule="exact"/>
        <w:rPr>
          <w:rFonts w:ascii="Arial" w:cs="Arial" w:eastAsia="Arial" w:hAnsi="Arial"/>
          <w:sz w:val="18"/>
          <w:szCs w:val="18"/>
          <w:color w:val="auto"/>
        </w:rPr>
      </w:pPr>
    </w:p>
    <w:p>
      <w:pPr>
        <w:ind w:right="120" w:firstLine="436"/>
        <w:spacing w:after="0" w:line="275" w:lineRule="auto"/>
        <w:tabs>
          <w:tab w:leader="none" w:pos="69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No Loan, nor the proceeds from any Loan, has been or will be used by any Borrower, directly or indirectly, to lend, contribute, provide or has been or will be otherwise made available to fund any activity or business in any Designated Jurisdiction, or, to the knowledge of the Loan Parties, to fund any activity or business of any Person located, organized or residing in any Designated Jurisdiction or who is the subject of any Sanctions, or, to the knowledge of any Borrower, in any other manner that, in each case, will result in any violation by any Person (including any Lender, any Arranger, the Administrative Agent, any L/C Issuer or the Swing Line Lender) of Sanctions.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5.20 </w:t>
      </w:r>
      <w:r>
        <w:rPr>
          <w:rFonts w:ascii="Arial" w:cs="Arial" w:eastAsia="Arial" w:hAnsi="Arial"/>
          <w:sz w:val="18"/>
          <w:szCs w:val="18"/>
          <w:b w:val="1"/>
          <w:bCs w:val="1"/>
          <w:u w:val="single" w:color="auto"/>
          <w:color w:val="auto"/>
        </w:rPr>
        <w:t>Anti-Corruption Laws</w:t>
      </w:r>
      <w:r>
        <w:rPr>
          <w:rFonts w:ascii="Arial" w:cs="Arial" w:eastAsia="Arial" w:hAnsi="Arial"/>
          <w:sz w:val="18"/>
          <w:szCs w:val="18"/>
          <w:b w:val="1"/>
          <w:bCs w:val="1"/>
          <w:color w:val="auto"/>
        </w:rPr>
        <w:t>.</w:t>
      </w:r>
    </w:p>
    <w:p>
      <w:pPr>
        <w:spacing w:after="0" w:line="121" w:lineRule="exact"/>
        <w:rPr>
          <w:sz w:val="20"/>
          <w:szCs w:val="20"/>
          <w:color w:val="auto"/>
        </w:rPr>
      </w:pPr>
    </w:p>
    <w:p>
      <w:pPr>
        <w:ind w:firstLine="436"/>
        <w:spacing w:after="0" w:line="286" w:lineRule="auto"/>
        <w:tabs>
          <w:tab w:leader="none" w:pos="68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Loan Parties and their Subsidiaries are in compliance in all material respects with the United States Foreign Corrupt Practices Act of 1977, the UK Bribery Act 2010 and other applicable anti-corruption legislation in other jurisdictions (“</w:t>
      </w:r>
      <w:r>
        <w:rPr>
          <w:rFonts w:ascii="Arial" w:cs="Arial" w:eastAsia="Arial" w:hAnsi="Arial"/>
          <w:sz w:val="17"/>
          <w:szCs w:val="17"/>
          <w:u w:val="single" w:color="auto"/>
          <w:color w:val="auto"/>
        </w:rPr>
        <w:t>Anti-Corruption Laws</w:t>
      </w:r>
      <w:r>
        <w:rPr>
          <w:rFonts w:ascii="Arial" w:cs="Arial" w:eastAsia="Arial" w:hAnsi="Arial"/>
          <w:sz w:val="17"/>
          <w:szCs w:val="17"/>
          <w:color w:val="auto"/>
        </w:rPr>
        <w:t>”) and have instituted and maintain policies and procedures reasonably designed to promote and achieve compliance with Anti-Corruption Laws.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94" w:name="page95"/>
    <w:bookmarkEnd w:id="94"/>
    <w:p>
      <w:pPr>
        <w:ind w:right="100" w:firstLine="436"/>
        <w:spacing w:after="0" w:line="308" w:lineRule="auto"/>
        <w:tabs>
          <w:tab w:leader="none" w:pos="695" w:val="left"/>
        </w:tabs>
        <w:numPr>
          <w:ilvl w:val="0"/>
          <w:numId w:val="1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Loan, nor the proceeds from any Loan, has been used by any Borrower, directly or indirectly, in furtherance of an offer, payment, promise to pay, or authorization of the payment or giving of money, or anything else of value, to any Person in violation of Anti-Corruption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5.21 </w:t>
      </w:r>
      <w:r>
        <w:rPr>
          <w:rFonts w:ascii="Arial" w:cs="Arial" w:eastAsia="Arial" w:hAnsi="Arial"/>
          <w:sz w:val="18"/>
          <w:szCs w:val="18"/>
          <w:b w:val="1"/>
          <w:bCs w:val="1"/>
          <w:u w:val="single" w:color="auto"/>
          <w:color w:val="auto"/>
        </w:rPr>
        <w:t>Affected Financial Institutions</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Loan Party is an Affected Financial Institution.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AFFIRMATIVE COVENANTS</w:t>
      </w:r>
    </w:p>
    <w:p>
      <w:pPr>
        <w:spacing w:after="0" w:line="229"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or any Letter of Credit shall remain outstanding, each Borrower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6.03</w:t>
      </w:r>
      <w:r>
        <w:rPr>
          <w:rFonts w:ascii="Arial" w:cs="Arial" w:eastAsia="Arial" w:hAnsi="Arial"/>
          <w:sz w:val="18"/>
          <w:szCs w:val="18"/>
          <w:color w:val="auto"/>
        </w:rPr>
        <w:t>) cause each Subsidiary to:</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6.01 </w:t>
      </w:r>
      <w:r>
        <w:rPr>
          <w:rFonts w:ascii="Arial" w:cs="Arial" w:eastAsia="Arial" w:hAnsi="Arial"/>
          <w:sz w:val="18"/>
          <w:szCs w:val="18"/>
          <w:b w:val="1"/>
          <w:bCs w:val="1"/>
          <w:u w:val="single" w:color="auto"/>
          <w:color w:val="auto"/>
        </w:rPr>
        <w:t>Financial Statements</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Deliver to the Administrative Agent (for delivery to each Lender):</w:t>
      </w:r>
    </w:p>
    <w:p>
      <w:pPr>
        <w:spacing w:after="0" w:line="117" w:lineRule="exact"/>
        <w:rPr>
          <w:sz w:val="20"/>
          <w:szCs w:val="20"/>
          <w:color w:val="auto"/>
        </w:rPr>
      </w:pPr>
    </w:p>
    <w:p>
      <w:pPr>
        <w:ind w:right="60" w:firstLine="436"/>
        <w:spacing w:after="0" w:line="293" w:lineRule="auto"/>
        <w:tabs>
          <w:tab w:leader="none" w:pos="68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as soon as made publicly available, but in any event within 90 days after the end of each fiscal year of the Company, a consolidated balance sheet of the Company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audited and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56" w:lineRule="exact"/>
        <w:rPr>
          <w:rFonts w:ascii="Arial" w:cs="Arial" w:eastAsia="Arial" w:hAnsi="Arial"/>
          <w:sz w:val="16"/>
          <w:szCs w:val="16"/>
          <w:color w:val="auto"/>
        </w:rPr>
      </w:pPr>
    </w:p>
    <w:p>
      <w:pPr>
        <w:ind w:right="120" w:firstLine="436"/>
        <w:spacing w:after="0" w:line="291" w:lineRule="auto"/>
        <w:tabs>
          <w:tab w:leader="none" w:pos="69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as soon as made publicly available, but in any event within 45 days after the end of each of the first three fiscal quarters of each fiscal year of the Company, a consolidated balance sheet of the Company and its Subsidiaries as at the end of such fiscal quarter, and the related consolidated statements of income or operations, shareholders’ equity and cash flows for such fiscal quarter and for the portion of the Company’s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Company as fairly presenting in all material respects the financial condition, results of operations and cash flows of the Company and its Subsidiaries in accordance with GAAP, subject only to normal year-end audit adjustments and the absence of footnotes;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 to any information contained in materials furnished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the Company shall not be separately required to furnish such information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and</w:t>
      </w:r>
    </w:p>
    <w:p>
      <w:pPr>
        <w:spacing w:after="0" w:line="62" w:lineRule="exact"/>
        <w:rPr>
          <w:sz w:val="20"/>
          <w:szCs w:val="20"/>
          <w:color w:val="auto"/>
        </w:rPr>
      </w:pPr>
    </w:p>
    <w:p>
      <w:pPr>
        <w:ind w:right="40" w:firstLine="436"/>
        <w:spacing w:after="0" w:line="273" w:lineRule="auto"/>
        <w:tabs>
          <w:tab w:leader="none" w:pos="68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as soon as available and in any event within 150 days following the end of each calendar year of the Company (commencing with the calendar year ending December 31, 2021), a Pricing Certificate for the most recently-ended Annual Period for each KPI Metric; </w:t>
      </w:r>
      <w:r>
        <w:rPr>
          <w:rFonts w:ascii="Arial" w:cs="Arial" w:eastAsia="Arial" w:hAnsi="Arial"/>
          <w:sz w:val="17"/>
          <w:szCs w:val="17"/>
          <w:u w:val="single" w:color="auto"/>
          <w:color w:val="auto"/>
        </w:rPr>
        <w:t>provided</w:t>
      </w:r>
      <w:r>
        <w:rPr>
          <w:rFonts w:ascii="Arial" w:cs="Arial" w:eastAsia="Arial" w:hAnsi="Arial"/>
          <w:sz w:val="17"/>
          <w:szCs w:val="17"/>
          <w:color w:val="auto"/>
        </w:rPr>
        <w:t>, that, in any fiscal year the Company may elect not to deliver a Pricing Certificate, and such election shall not constitute a Default or Event of Default (but such failure to so deliver a Pricing Certificate by the end of such 150-day period shall result in the Sustainability Fee Adjustment and the Sustainability Margin Adjustment being applied subject to the terms and conditions set forth in Section 2.19). Failure of the Company to deliver a Pricing Certificate shall be deemed an election of the Company to not deliver a Pricing Certificate for such period.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40" w:top="274" w:right="4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6.02 </w:t>
      </w:r>
      <w:r>
        <w:rPr>
          <w:rFonts w:ascii="Arial" w:cs="Arial" w:eastAsia="Arial" w:hAnsi="Arial"/>
          <w:sz w:val="18"/>
          <w:szCs w:val="18"/>
          <w:b w:val="1"/>
          <w:bCs w:val="1"/>
          <w:u w:val="single" w:color="auto"/>
          <w:color w:val="auto"/>
        </w:rPr>
        <w:t>Certificates; Other Information</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Deliver to the Administrative Agent (for delivery to each Lender):</w:t>
      </w:r>
    </w:p>
    <w:p>
      <w:pPr>
        <w:spacing w:after="0" w:line="117" w:lineRule="exact"/>
        <w:rPr>
          <w:sz w:val="20"/>
          <w:szCs w:val="20"/>
          <w:color w:val="auto"/>
        </w:rPr>
      </w:pPr>
    </w:p>
    <w:p>
      <w:pPr>
        <w:ind w:right="380" w:firstLine="436"/>
        <w:spacing w:after="0" w:line="277" w:lineRule="auto"/>
        <w:tabs>
          <w:tab w:leader="none" w:pos="6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the chief executive officer, chief financial officer, treasurer or controller of the Company;</w:t>
      </w:r>
    </w:p>
    <w:p>
      <w:pPr>
        <w:spacing w:after="0" w:line="62" w:lineRule="exact"/>
        <w:rPr>
          <w:rFonts w:ascii="Arial" w:cs="Arial" w:eastAsia="Arial" w:hAnsi="Arial"/>
          <w:sz w:val="18"/>
          <w:szCs w:val="18"/>
          <w:color w:val="auto"/>
        </w:rPr>
      </w:pPr>
    </w:p>
    <w:p>
      <w:pPr>
        <w:jc w:val="both"/>
        <w:ind w:right="80" w:firstLine="436"/>
        <w:spacing w:after="0" w:line="259" w:lineRule="auto"/>
        <w:tabs>
          <w:tab w:leader="none" w:pos="6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that are not otherwise required to be delivered to the Administrative Agent and each Lender pursuant hereto;</w:t>
      </w:r>
    </w:p>
    <w:p>
      <w:pPr>
        <w:spacing w:after="0" w:line="78" w:lineRule="exact"/>
        <w:rPr>
          <w:rFonts w:ascii="Arial" w:cs="Arial" w:eastAsia="Arial" w:hAnsi="Arial"/>
          <w:sz w:val="18"/>
          <w:szCs w:val="18"/>
          <w:color w:val="auto"/>
        </w:rPr>
      </w:pPr>
    </w:p>
    <w:p>
      <w:pPr>
        <w:jc w:val="both"/>
        <w:ind w:right="200" w:firstLine="436"/>
        <w:spacing w:after="0" w:line="263" w:lineRule="auto"/>
        <w:tabs>
          <w:tab w:leader="none" w:pos="6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promptly after the furnishing thereof, copies of any statement or report furnished to any holder of debt securities or loans of the Company or any of its Subsidiaries pursuant to the terms of any indenture, loan or credit or similar agreement that are not otherwise required to be furnished to the Administrative Agent and each Lender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any other clause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100" w:firstLine="436"/>
        <w:spacing w:after="0" w:line="311" w:lineRule="auto"/>
        <w:tabs>
          <w:tab w:leader="none" w:pos="69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promptly, and in any event within five Business Days after receipt thereof by the Company or any of its Subsidiaries, copies of each notice or other correspondence received from the SEC (or comparable agency in any applicable non-U.S. jurisdiction) concerning any investigation or possible investigation or other inquiry by such agency regarding financial or other operational results of the Company or any of its Subsidiaries;</w:t>
      </w:r>
    </w:p>
    <w:p>
      <w:pPr>
        <w:spacing w:after="0" w:line="40" w:lineRule="exact"/>
        <w:rPr>
          <w:rFonts w:ascii="Arial" w:cs="Arial" w:eastAsia="Arial" w:hAnsi="Arial"/>
          <w:sz w:val="16"/>
          <w:szCs w:val="16"/>
          <w:color w:val="auto"/>
        </w:rPr>
      </w:pPr>
    </w:p>
    <w:p>
      <w:pPr>
        <w:ind w:right="60" w:firstLine="436"/>
        <w:spacing w:after="0" w:line="263" w:lineRule="auto"/>
        <w:tabs>
          <w:tab w:leader="none" w:pos="6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promptly following any request therefor, such information and documentation as may be reasonably requested by the Administrative Agent or any Lender for purposes of compliance with applicable “know your customer” and anti-money-laundering rules and regulations, including, without limitation, the PATRIOT Act and the Beneficial Ownership Regulation; and</w:t>
      </w:r>
    </w:p>
    <w:p>
      <w:pPr>
        <w:spacing w:after="0" w:line="75" w:lineRule="exact"/>
        <w:rPr>
          <w:rFonts w:ascii="Arial" w:cs="Arial" w:eastAsia="Arial" w:hAnsi="Arial"/>
          <w:sz w:val="18"/>
          <w:szCs w:val="18"/>
          <w:color w:val="auto"/>
        </w:rPr>
      </w:pPr>
    </w:p>
    <w:p>
      <w:pPr>
        <w:ind w:right="520" w:firstLine="436"/>
        <w:spacing w:after="0" w:line="342" w:lineRule="auto"/>
        <w:tabs>
          <w:tab w:leader="none" w:pos="66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promptly, such additional information regarding the business, financial or corporate affairs of the Company or any of its Subsidiaries, or compliance with the terms of the Loan Documents, as the Administrative Agent or any Lender may from time to time reasonably request.</w:t>
      </w:r>
    </w:p>
    <w:p>
      <w:pPr>
        <w:spacing w:after="0" w:line="12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6"/>
          <w:szCs w:val="16"/>
          <w:u w:val="single" w:color="auto"/>
          <w:color w:val="auto"/>
        </w:rPr>
        <w:t>Schedule 10.02</w:t>
      </w:r>
      <w:r>
        <w:rPr>
          <w:rFonts w:ascii="Arial" w:cs="Arial" w:eastAsia="Arial" w:hAnsi="Arial"/>
          <w:sz w:val="16"/>
          <w:szCs w:val="16"/>
          <w:color w:val="auto"/>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deliver paper copies of such documents to the Administrative Agent or any Lender that requests the Company to deliver such paper copies until a written request to cease delivering paper copies is given by the Administrative Agent or such Lender and (ii) the Company shall notify the Administrative Agent (by facsimile or electronic mail) of the posting of any such documents and provide to the Administrative Agent by electronic mail electronic versions (</w:t>
      </w:r>
      <w:r>
        <w:rPr>
          <w:rFonts w:ascii="Arial" w:cs="Arial" w:eastAsia="Arial" w:hAnsi="Arial"/>
          <w:sz w:val="16"/>
          <w:szCs w:val="16"/>
          <w:u w:val="single" w:color="auto"/>
          <w:color w:val="auto"/>
        </w:rPr>
        <w:t>i.e.</w:t>
      </w:r>
      <w:r>
        <w:rPr>
          <w:rFonts w:ascii="Arial" w:cs="Arial" w:eastAsia="Arial" w:hAnsi="Arial"/>
          <w:sz w:val="16"/>
          <w:szCs w:val="16"/>
          <w:color w:val="auto"/>
        </w:rPr>
        <w:t>, soft copies) of such documents.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440" w:top="270" w:right="479" w:bottom="1440" w:gutter="0" w:footer="0" w:header="0"/>
        </w:sectPr>
      </w:pPr>
    </w:p>
    <w:bookmarkStart w:id="96" w:name="page97"/>
    <w:bookmarkEnd w:id="96"/>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Borrower hereby acknowledges that (a) the Administrative Agent and/or the Arrangers may, but shall not be obligated to, make available to the Lenders and the L/C Issuers materials and/or information provided by or on behalf of such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Debt Domain, Syndtrak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any of the Borrowers or their Affiliates, or the respective securities of any of the foregoing, and who may be engaged in investment and other market- 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the L/C Issuers and the Lenders to treat such Borrower Materials as not containing any material non-public information (although it may be sensitive and proprietary) with respect to the Company, any of its Subsidiaries or their respective securities of any of the foregoing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10.07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the Company shall not be under any obligation to mark any Borrower Materials “PUBLIC.”</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6.03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Promptly notify the Administrative Agent (for delivery to each Lender):</w:t>
      </w:r>
    </w:p>
    <w:p>
      <w:pPr>
        <w:spacing w:after="0" w:line="117" w:lineRule="exact"/>
        <w:rPr>
          <w:sz w:val="20"/>
          <w:szCs w:val="20"/>
          <w:color w:val="auto"/>
        </w:rPr>
      </w:pPr>
    </w:p>
    <w:p>
      <w:pPr>
        <w:ind w:left="680" w:hanging="244"/>
        <w:spacing w:after="0"/>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of the occurrence of any Default of which a Responsible Officer of any Loan Party has knowledge;</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of any announcement by Moody’s or S&amp;P of any change in a Debt Rating;</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of the occurrence of any ERISA Event;</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of any material change in accounting policies or financial reporting practices by the Company or any Subsidiary; and</w:t>
      </w:r>
    </w:p>
    <w:p>
      <w:pPr>
        <w:spacing w:after="0" w:line="117" w:lineRule="exact"/>
        <w:rPr>
          <w:rFonts w:ascii="Arial" w:cs="Arial" w:eastAsia="Arial" w:hAnsi="Arial"/>
          <w:sz w:val="18"/>
          <w:szCs w:val="18"/>
          <w:color w:val="auto"/>
        </w:rPr>
      </w:pPr>
    </w:p>
    <w:p>
      <w:pPr>
        <w:ind w:right="160" w:firstLine="436"/>
        <w:spacing w:after="0" w:line="263" w:lineRule="auto"/>
        <w:tabs>
          <w:tab w:leader="none" w:pos="6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of any material action, suit, dispute, litigation, investigation, proceeding or suspension involving any Loan Party or any Subsidiary and any Governmental Authority, including any of the foregoing related to any Environmental Law or Environmental Liability, of which a Responsible Officer of any Loan Party has knowledge.</w:t>
      </w:r>
    </w:p>
    <w:p>
      <w:pPr>
        <w:spacing w:after="0" w:line="184"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 xml:space="preserve">Each notice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6.03(b)</w:t>
      </w:r>
      <w:r>
        <w:rPr>
          <w:rFonts w:ascii="Arial" w:cs="Arial" w:eastAsia="Arial" w:hAnsi="Arial"/>
          <w:sz w:val="16"/>
          <w:szCs w:val="16"/>
          <w:color w:val="auto"/>
        </w:rPr>
        <w:t>) shall (i) be accompanied by a statement of a Responsible Officer of the Company setting forth details of the occurrence referred to therein and stating what action the Company has taken and proposes to take with respect thereto and (ii) describe with particularity any and all provisions of this Agreement and any other Loan Document that have been breached.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6.04 </w:t>
      </w:r>
      <w:r>
        <w:rPr>
          <w:rFonts w:ascii="Arial" w:cs="Arial" w:eastAsia="Arial" w:hAnsi="Arial"/>
          <w:sz w:val="18"/>
          <w:szCs w:val="18"/>
          <w:b w:val="1"/>
          <w:bCs w:val="1"/>
          <w:u w:val="single" w:color="auto"/>
          <w:color w:val="auto"/>
        </w:rPr>
        <w:t>Payment of Obligations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Pay and discharge, as the same shall become due and payable (subject to any grace periods and tax extensions), all Tax liabilities, assessments and governmental charges or levies upon it or its properties or assets, except (a) to the extent that the same are being contested in good faith by appropriate proceedings diligently conducted and adequate reserves in accordance with GAAP are being maintained by the Company or such Subsidiary, or (b) where any failure to do so could not reasonably be expected to result in a Material Adverse Effect.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6.05 </w:t>
      </w:r>
      <w:r>
        <w:rPr>
          <w:rFonts w:ascii="Arial" w:cs="Arial" w:eastAsia="Arial" w:hAnsi="Arial"/>
          <w:sz w:val="18"/>
          <w:szCs w:val="18"/>
          <w:b w:val="1"/>
          <w:bCs w:val="1"/>
          <w:u w:val="single" w:color="auto"/>
          <w:color w:val="auto"/>
        </w:rPr>
        <w:t>Preservation of Existence, Etc</w:t>
      </w:r>
      <w:r>
        <w:rPr>
          <w:rFonts w:ascii="Arial" w:cs="Arial" w:eastAsia="Arial" w:hAnsi="Arial"/>
          <w:sz w:val="18"/>
          <w:szCs w:val="18"/>
          <w:b w:val="1"/>
          <w:bCs w:val="1"/>
          <w:color w:val="auto"/>
        </w:rPr>
        <w:t>.</w:t>
      </w:r>
    </w:p>
    <w:p>
      <w:pPr>
        <w:spacing w:after="0" w:line="121" w:lineRule="exact"/>
        <w:rPr>
          <w:sz w:val="20"/>
          <w:szCs w:val="20"/>
          <w:color w:val="auto"/>
        </w:rPr>
      </w:pPr>
    </w:p>
    <w:p>
      <w:pPr>
        <w:ind w:firstLine="436"/>
        <w:spacing w:after="0" w:line="293" w:lineRule="auto"/>
        <w:tabs>
          <w:tab w:leader="none" w:pos="68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Preserve, renew and maintain in full force and effect its legal existence and good standing under the Laws of the jurisdiction of its organization except in a transaction permitted by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and except in the case of Subsidiaries (other than any Borrower) where the failure to do so would not, individually or in the aggregate, reasonably be expected to have a Material Adverse Effect; (b) take all reasonable action to maintain all rights, privileges, permits, licenses and franchises necessary or desirable in the normal conduct of its business, except to the extent that failure to do so would not reasonably be expected to have a Material Adverse Effect; and (c) preserve or renew all of its registered copyrights, patents, trademarks, trade names and service marks, the non-preservation of which would have or be reasonably expected to have a Material Adverse Effect.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6.06 </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6.07 </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6.08 </w:t>
      </w:r>
      <w:r>
        <w:rPr>
          <w:rFonts w:ascii="Arial" w:cs="Arial" w:eastAsia="Arial" w:hAnsi="Arial"/>
          <w:sz w:val="18"/>
          <w:szCs w:val="18"/>
          <w:b w:val="1"/>
          <w:bCs w:val="1"/>
          <w:u w:val="single" w:color="auto"/>
          <w:color w:val="auto"/>
        </w:rPr>
        <w:t>Compliance with Laws</w:t>
      </w:r>
      <w:r>
        <w:rPr>
          <w:rFonts w:ascii="Arial" w:cs="Arial" w:eastAsia="Arial" w:hAnsi="Arial"/>
          <w:sz w:val="18"/>
          <w:szCs w:val="18"/>
          <w:b w:val="1"/>
          <w:bCs w:val="1"/>
          <w:color w:val="auto"/>
        </w:rPr>
        <w:t>.</w:t>
      </w:r>
    </w:p>
    <w:p>
      <w:pPr>
        <w:spacing w:after="0" w:line="121" w:lineRule="exact"/>
        <w:rPr>
          <w:sz w:val="20"/>
          <w:szCs w:val="20"/>
          <w:color w:val="auto"/>
        </w:rPr>
      </w:pPr>
    </w:p>
    <w:p>
      <w:pPr>
        <w:ind w:right="500" w:firstLine="440"/>
        <w:spacing w:after="0" w:line="259" w:lineRule="auto"/>
        <w:rPr>
          <w:sz w:val="20"/>
          <w:szCs w:val="20"/>
          <w:color w:val="auto"/>
        </w:rPr>
      </w:pPr>
      <w:r>
        <w:rPr>
          <w:rFonts w:ascii="Arial" w:cs="Arial" w:eastAsia="Arial" w:hAnsi="Arial"/>
          <w:sz w:val="18"/>
          <w:szCs w:val="18"/>
          <w:color w:val="auto"/>
        </w:rPr>
        <w:t>Comply in all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6.09 </w:t>
      </w:r>
      <w:r>
        <w:rPr>
          <w:rFonts w:ascii="Arial" w:cs="Arial" w:eastAsia="Arial" w:hAnsi="Arial"/>
          <w:sz w:val="18"/>
          <w:szCs w:val="18"/>
          <w:b w:val="1"/>
          <w:bCs w:val="1"/>
          <w:u w:val="single" w:color="auto"/>
          <w:color w:val="auto"/>
        </w:rPr>
        <w:t>Books and Records</w:t>
      </w:r>
      <w:r>
        <w:rPr>
          <w:rFonts w:ascii="Arial" w:cs="Arial" w:eastAsia="Arial" w:hAnsi="Arial"/>
          <w:sz w:val="18"/>
          <w:szCs w:val="18"/>
          <w:b w:val="1"/>
          <w:bCs w:val="1"/>
          <w:color w:val="auto"/>
        </w:rPr>
        <w:t>.</w:t>
      </w:r>
    </w:p>
    <w:p>
      <w:pPr>
        <w:spacing w:after="0" w:line="121" w:lineRule="exact"/>
        <w:rPr>
          <w:sz w:val="20"/>
          <w:szCs w:val="20"/>
          <w:color w:val="auto"/>
        </w:rPr>
      </w:pPr>
    </w:p>
    <w:p>
      <w:pPr>
        <w:ind w:right="240" w:firstLine="436"/>
        <w:spacing w:after="0" w:line="342" w:lineRule="auto"/>
        <w:tabs>
          <w:tab w:leader="none" w:pos="68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Maintain proper books of record and account, in which full, true and correct entries in conformity in all material respects with GAAP consistently applied shall be made of all financial transactions and matters involving the assets and business of such Borrower or its Subsidiaries, and</w:t>
      </w:r>
    </w:p>
    <w:p>
      <w:pPr>
        <w:spacing w:after="0" w:line="15" w:lineRule="exact"/>
        <w:rPr>
          <w:rFonts w:ascii="Arial" w:cs="Arial" w:eastAsia="Arial" w:hAnsi="Arial"/>
          <w:sz w:val="16"/>
          <w:szCs w:val="16"/>
          <w:color w:val="auto"/>
        </w:rPr>
      </w:pPr>
    </w:p>
    <w:p>
      <w:pPr>
        <w:ind w:right="340" w:firstLine="436"/>
        <w:spacing w:after="0" w:line="277"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maintain such books of record and account in material conformity with all applicable requirements of any Governmental Authority having regulatory jurisdiction over such Borrower or its Subsidiaries, as the case may be.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u w:val="single" w:color="auto"/>
          <w:color w:val="auto"/>
        </w:rPr>
        <w:t>Inspection Rights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If any Event of Default occurs and is continuing, permit representatives and independent contractors of the Administrative Agent or any Lender to visit and inspect any of its properties, to examine its corporate, financial and operating records, and make copies thereof or abstracts therefrom, and to discuss its affairs, finances and accounts with its directors, officers, and independent public accountants, at such reasonable times during normal business hours and as often as may be reasonably desired, upon reasonable advance notice to the Company and all at the expense of the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0"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6.11  </w:t>
      </w:r>
      <w:r>
        <w:rPr>
          <w:rFonts w:ascii="Arial" w:cs="Arial" w:eastAsia="Arial" w:hAnsi="Arial"/>
          <w:sz w:val="18"/>
          <w:szCs w:val="18"/>
          <w:b w:val="1"/>
          <w:bCs w:val="1"/>
          <w:u w:val="single" w:color="auto"/>
          <w:color w:val="auto"/>
        </w:rPr>
        <w:t>Use of Proceeds</w:t>
      </w:r>
      <w:r>
        <w:rPr>
          <w:rFonts w:ascii="Arial" w:cs="Arial" w:eastAsia="Arial" w:hAnsi="Arial"/>
          <w:sz w:val="18"/>
          <w:szCs w:val="18"/>
          <w:b w:val="1"/>
          <w:bCs w:val="1"/>
          <w:color w:val="auto"/>
        </w:rPr>
        <w:t>.</w:t>
      </w:r>
    </w:p>
    <w:p>
      <w:pPr>
        <w:spacing w:after="0" w:line="12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Use the proceeds of the Credit Extensions (a) to repay existing Indebtedness and (b) for stock repurchases, acquisitions, capital expenditures, working capital and other lawful corporate purposes.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b w:val="1"/>
          <w:bCs w:val="1"/>
          <w:u w:val="single" w:color="auto"/>
          <w:color w:val="auto"/>
        </w:rPr>
        <w:t>Anti-Corruption Laws.</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Conduct its businesses in all material respects in compliance with the Anti-Corruption Laws and maintain policies and procedures reasonably designed to promote and achieve compliance by such Borrower and its Subsidiaries with such Laws.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NEGATIVE COVENANTS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So long as any Lender shall have any Commitment hereunder, any Loan or other Obligation hereunder shall remain unpaid or unsatisfied, or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shall remain outstanding:</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7.01 </w:t>
      </w:r>
      <w:r>
        <w:rPr>
          <w:rFonts w:ascii="Arial" w:cs="Arial" w:eastAsia="Arial" w:hAnsi="Arial"/>
          <w:sz w:val="18"/>
          <w:szCs w:val="18"/>
          <w:b w:val="1"/>
          <w:bCs w:val="1"/>
          <w:u w:val="single" w:color="auto"/>
          <w:color w:val="auto"/>
        </w:rPr>
        <w:t>Liens</w:t>
      </w:r>
      <w:r>
        <w:rPr>
          <w:rFonts w:ascii="Arial" w:cs="Arial" w:eastAsia="Arial" w:hAnsi="Arial"/>
          <w:sz w:val="18"/>
          <w:szCs w:val="18"/>
          <w:b w:val="1"/>
          <w:bCs w:val="1"/>
          <w:color w:val="auto"/>
        </w:rPr>
        <w:t>.</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No Borrower shall, nor shall it permit any Subsidiary to, directly or indirectly, create, incur, assume or suffer to exist any Lien upon any of its property, assets or revenues, whether now owned or hereafter acquired, other than the following:</w:t>
      </w:r>
    </w:p>
    <w:p>
      <w:pPr>
        <w:spacing w:after="0" w:line="62" w:lineRule="exact"/>
        <w:rPr>
          <w:sz w:val="20"/>
          <w:szCs w:val="20"/>
          <w:color w:val="auto"/>
        </w:rPr>
      </w:pPr>
    </w:p>
    <w:p>
      <w:pPr>
        <w:ind w:right="20" w:firstLine="436"/>
        <w:spacing w:after="0" w:line="259" w:lineRule="auto"/>
        <w:tabs>
          <w:tab w:leader="none" w:pos="68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 Liens created pursuant to any Loan Document and (ii) (A) Liens existing on the Closing Date and set forth on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and (B) Liens that are renewals or extensions of the Liens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Liens referred to in this </w:t>
      </w:r>
      <w:r>
        <w:rPr>
          <w:rFonts w:ascii="Arial" w:cs="Arial" w:eastAsia="Arial" w:hAnsi="Arial"/>
          <w:sz w:val="18"/>
          <w:szCs w:val="18"/>
          <w:u w:val="single" w:color="auto"/>
          <w:color w:val="auto"/>
        </w:rPr>
        <w:t>clause (ii)</w:t>
      </w:r>
      <w:r>
        <w:rPr>
          <w:rFonts w:ascii="Arial" w:cs="Arial" w:eastAsia="Arial" w:hAnsi="Arial"/>
          <w:sz w:val="18"/>
          <w:szCs w:val="18"/>
          <w:color w:val="auto"/>
        </w:rPr>
        <w:t>, (1) the property covered thereby is not changed, (2) the amount secured or benefited thereby is not increased and (3) the direct or any contingent obligor with respect thereto is not changed;</w:t>
      </w:r>
    </w:p>
    <w:p>
      <w:pPr>
        <w:spacing w:after="0" w:line="78" w:lineRule="exact"/>
        <w:rPr>
          <w:rFonts w:ascii="Arial" w:cs="Arial" w:eastAsia="Arial" w:hAnsi="Arial"/>
          <w:sz w:val="18"/>
          <w:szCs w:val="18"/>
          <w:color w:val="auto"/>
        </w:rPr>
      </w:pPr>
    </w:p>
    <w:p>
      <w:pPr>
        <w:ind w:right="480" w:firstLine="436"/>
        <w:spacing w:after="0" w:line="308" w:lineRule="auto"/>
        <w:tabs>
          <w:tab w:leader="none" w:pos="69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38" w:lineRule="exact"/>
        <w:rPr>
          <w:rFonts w:ascii="Arial" w:cs="Arial" w:eastAsia="Arial" w:hAnsi="Arial"/>
          <w:sz w:val="17"/>
          <w:szCs w:val="17"/>
          <w:color w:val="auto"/>
        </w:rPr>
      </w:pPr>
    </w:p>
    <w:p>
      <w:pPr>
        <w:ind w:firstLine="436"/>
        <w:spacing w:after="0" w:line="263" w:lineRule="auto"/>
        <w:tabs>
          <w:tab w:leader="none" w:pos="68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spacing w:after="0" w:line="75" w:lineRule="exact"/>
        <w:rPr>
          <w:rFonts w:ascii="Arial" w:cs="Arial" w:eastAsia="Arial" w:hAnsi="Arial"/>
          <w:sz w:val="18"/>
          <w:szCs w:val="18"/>
          <w:color w:val="auto"/>
        </w:rPr>
      </w:pPr>
    </w:p>
    <w:p>
      <w:pPr>
        <w:ind w:right="180" w:firstLine="436"/>
        <w:spacing w:after="0" w:line="277" w:lineRule="auto"/>
        <w:tabs>
          <w:tab w:leader="none" w:pos="6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62" w:lineRule="exact"/>
        <w:rPr>
          <w:rFonts w:ascii="Arial" w:cs="Arial" w:eastAsia="Arial" w:hAnsi="Arial"/>
          <w:sz w:val="18"/>
          <w:szCs w:val="18"/>
          <w:color w:val="auto"/>
        </w:rPr>
      </w:pPr>
    </w:p>
    <w:p>
      <w:pPr>
        <w:ind w:right="120" w:firstLine="436"/>
        <w:spacing w:after="0" w:line="263" w:lineRule="auto"/>
        <w:tabs>
          <w:tab w:leader="none" w:pos="68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statutory obligations, surety and appeal bonds, performance bonds and other obligations of a like nature (other than Indebtedness) incurred in the ordinary course of business, including deposits securing reimbursement obligations under commercial letters of credit that do not constitute Indebtedness;</w:t>
      </w:r>
    </w:p>
    <w:p>
      <w:pPr>
        <w:spacing w:after="0" w:line="75" w:lineRule="exact"/>
        <w:rPr>
          <w:rFonts w:ascii="Arial" w:cs="Arial" w:eastAsia="Arial" w:hAnsi="Arial"/>
          <w:sz w:val="18"/>
          <w:szCs w:val="18"/>
          <w:color w:val="auto"/>
        </w:rPr>
      </w:pPr>
    </w:p>
    <w:p>
      <w:pPr>
        <w:ind w:right="60" w:firstLine="436"/>
        <w:spacing w:after="0" w:line="263" w:lineRule="auto"/>
        <w:tabs>
          <w:tab w:leader="none" w:pos="66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20"/>
          </w:cols>
          <w:pgMar w:left="440" w:top="270" w:right="539" w:bottom="1440" w:gutter="0" w:footer="0" w:header="0"/>
        </w:sectPr>
      </w:pPr>
    </w:p>
    <w:bookmarkStart w:id="99" w:name="page100"/>
    <w:bookmarkEnd w:id="99"/>
    <w:p>
      <w:pPr>
        <w:ind w:right="340" w:firstLine="436"/>
        <w:spacing w:after="0" w:line="277"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securing judgments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 xml:space="preserve"> or securing appeal or other surety bonds related to such judgments;</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precautionary UCC filings in respect of operating leases;</w:t>
      </w:r>
    </w:p>
    <w:p>
      <w:pPr>
        <w:spacing w:after="0" w:line="117" w:lineRule="exact"/>
        <w:rPr>
          <w:rFonts w:ascii="Arial" w:cs="Arial" w:eastAsia="Arial" w:hAnsi="Arial"/>
          <w:sz w:val="18"/>
          <w:szCs w:val="18"/>
          <w:color w:val="auto"/>
        </w:rPr>
      </w:pPr>
    </w:p>
    <w:p>
      <w:pPr>
        <w:ind w:right="180" w:firstLine="436"/>
        <w:spacing w:after="0" w:line="308" w:lineRule="auto"/>
        <w:tabs>
          <w:tab w:leader="none" w:pos="65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leases, licenses, subleases or sublicenses granted to others in the ordinary course of business which do not (i) interfere in any material respect with the business of the Company or the Company and its Subsidiaries taken as a whole or (ii) secure any Indebtedness;</w:t>
      </w:r>
    </w:p>
    <w:p>
      <w:pPr>
        <w:spacing w:after="0" w:line="38" w:lineRule="exact"/>
        <w:rPr>
          <w:rFonts w:ascii="Arial" w:cs="Arial" w:eastAsia="Arial" w:hAnsi="Arial"/>
          <w:sz w:val="17"/>
          <w:szCs w:val="17"/>
          <w:color w:val="auto"/>
        </w:rPr>
      </w:pPr>
    </w:p>
    <w:p>
      <w:pPr>
        <w:ind w:left="660" w:hanging="224"/>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Liens securing Swap Contracts permitted under </w:t>
      </w:r>
      <w:r>
        <w:rPr>
          <w:rFonts w:ascii="Arial" w:cs="Arial" w:eastAsia="Arial" w:hAnsi="Arial"/>
          <w:sz w:val="18"/>
          <w:szCs w:val="18"/>
          <w:u w:val="single" w:color="auto"/>
          <w:color w:val="auto"/>
        </w:rPr>
        <w:t>Section 7.02(e)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436"/>
        <w:spacing w:after="0" w:line="277"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Liens in favor of a lessor under any lease (other than a capital lease) entered into by the Company or any Subsidiary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at any time encumber any property other than the assets so leased;</w:t>
      </w:r>
    </w:p>
    <w:p>
      <w:pPr>
        <w:spacing w:after="0" w:line="62" w:lineRule="exact"/>
        <w:rPr>
          <w:rFonts w:ascii="Arial" w:cs="Arial" w:eastAsia="Arial" w:hAnsi="Arial"/>
          <w:sz w:val="18"/>
          <w:szCs w:val="18"/>
          <w:color w:val="auto"/>
        </w:rPr>
      </w:pPr>
    </w:p>
    <w:p>
      <w:pPr>
        <w:jc w:val="both"/>
        <w:ind w:right="80" w:firstLine="436"/>
        <w:spacing w:after="0" w:line="263"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7.02(f)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75" w:lineRule="exact"/>
        <w:rPr>
          <w:rFonts w:ascii="Arial" w:cs="Arial" w:eastAsia="Arial" w:hAnsi="Arial"/>
          <w:sz w:val="18"/>
          <w:szCs w:val="18"/>
          <w:color w:val="auto"/>
        </w:rPr>
      </w:pPr>
    </w:p>
    <w:p>
      <w:pPr>
        <w:jc w:val="both"/>
        <w:ind w:right="60" w:firstLine="436"/>
        <w:spacing w:after="0" w:line="259" w:lineRule="auto"/>
        <w:tabs>
          <w:tab w:leader="none" w:pos="74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 Liens on assets of any Person acquired by the Company or any of its Subsidiaries after the Closing Date in a transaction permitted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in existence on the date of such acquisition and not created in anticipation thereof, and (ii) Liens that are any renewals or extensions of Liens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under this </w:t>
      </w:r>
      <w:r>
        <w:rPr>
          <w:rFonts w:ascii="Arial" w:cs="Arial" w:eastAsia="Arial" w:hAnsi="Arial"/>
          <w:sz w:val="18"/>
          <w:szCs w:val="18"/>
          <w:u w:val="single" w:color="auto"/>
          <w:color w:val="auto"/>
        </w:rPr>
        <w:t>clause (m)</w:t>
      </w:r>
      <w:r>
        <w:rPr>
          <w:rFonts w:ascii="Arial" w:cs="Arial" w:eastAsia="Arial" w:hAnsi="Arial"/>
          <w:sz w:val="18"/>
          <w:szCs w:val="18"/>
          <w:color w:val="auto"/>
        </w:rPr>
        <w:t>, that (A) the property covered thereby is not changed and (B) the amount secured or benefitted thereby is not increased; and</w:t>
      </w:r>
    </w:p>
    <w:p>
      <w:pPr>
        <w:spacing w:after="0" w:line="78" w:lineRule="exact"/>
        <w:rPr>
          <w:rFonts w:ascii="Arial" w:cs="Arial" w:eastAsia="Arial" w:hAnsi="Arial"/>
          <w:sz w:val="18"/>
          <w:szCs w:val="18"/>
          <w:color w:val="auto"/>
        </w:rPr>
      </w:pPr>
    </w:p>
    <w:p>
      <w:pPr>
        <w:ind w:right="600" w:firstLine="436"/>
        <w:spacing w:after="0" w:line="277"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other Liens securing Indebtedness of the Company and its Subsidiaries in an aggregate principal amount not to exceed, at any one time outstanding, the greater of (i) $750,000,000 and (ii) 5% of Consolidated Tangible Assets.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7.02 </w:t>
      </w:r>
      <w:r>
        <w:rPr>
          <w:rFonts w:ascii="Arial" w:cs="Arial" w:eastAsia="Arial" w:hAnsi="Arial"/>
          <w:sz w:val="18"/>
          <w:szCs w:val="18"/>
          <w:b w:val="1"/>
          <w:bCs w:val="1"/>
          <w:u w:val="single" w:color="auto"/>
          <w:color w:val="auto"/>
        </w:rPr>
        <w:t>Indebtedness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Company will not permit its Subsidiaries that are not Subsidiary Guarantors, directly or indirectly, to create, assume or incur any Indebtedness except for the following:</w:t>
      </w:r>
    </w:p>
    <w:p>
      <w:pPr>
        <w:spacing w:after="0" w:line="62" w:lineRule="exact"/>
        <w:rPr>
          <w:sz w:val="20"/>
          <w:szCs w:val="20"/>
          <w:color w:val="auto"/>
        </w:rPr>
      </w:pPr>
    </w:p>
    <w:p>
      <w:pPr>
        <w:ind w:left="680" w:hanging="244"/>
        <w:spacing w:after="0"/>
        <w:tabs>
          <w:tab w:leader="none" w:pos="6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Indebtedness created under the Loan Documents;</w:t>
      </w:r>
    </w:p>
    <w:p>
      <w:pPr>
        <w:spacing w:after="0" w:line="117"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and set forth on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and extensions, renewals and replacements of any such Indebtedness in a principal amount not in excess of that outstanding as of the Closing Date plus amounts equal to a reasonable premium or other reasonable amounts paid and fees and expenses reasonably incurred in connection with such financing;</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Indebtedness of any Subsidiary to the Company or any other Subsidiary;</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Guarantees by any Subsidiary of Indebtedness of any other Subsidiary permitted hereunder;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100" w:name="page101"/>
    <w:bookmarkEnd w:id="100"/>
    <w:p>
      <w:pPr>
        <w:ind w:right="300" w:firstLine="436"/>
        <w:spacing w:after="0" w:line="259" w:lineRule="auto"/>
        <w:tabs>
          <w:tab w:leader="none" w:pos="6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obligations (contingent or otherwise) of any Subsidiary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obligations are (or were) entered into by such Subsidiary in the ordinary course of business for the purpose of directly mitigating risks associated with liabilities, commitments, investments, assets, or property held or reasonably anticipated by such Subsidiary, or changes in the value of securities issued by such Subsidiary, and not for purposes of speculation or taking a “market view”;</w:t>
      </w:r>
    </w:p>
    <w:p>
      <w:pPr>
        <w:spacing w:after="0" w:line="78" w:lineRule="exact"/>
        <w:rPr>
          <w:rFonts w:ascii="Arial" w:cs="Arial" w:eastAsia="Arial" w:hAnsi="Arial"/>
          <w:sz w:val="18"/>
          <w:szCs w:val="18"/>
          <w:color w:val="auto"/>
        </w:rPr>
      </w:pPr>
    </w:p>
    <w:p>
      <w:pPr>
        <w:ind w:right="720" w:firstLine="436"/>
        <w:spacing w:after="0" w:line="277" w:lineRule="auto"/>
        <w:tabs>
          <w:tab w:leader="none" w:pos="66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Indebtedness in respect of capital leases, Synthetic Lease Obligations and purchase money obligations for fixed or capital assets in an aggregate amount not to exceed, at any one time, $500,000,000;</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Indebtedness incurred or assumed in connection with the any Qualified Acquisition, including the Maxim Acquisition and any refinancing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102" w:lineRule="exact"/>
        <w:rPr>
          <w:rFonts w:ascii="Arial" w:cs="Arial" w:eastAsia="Arial" w:hAnsi="Arial"/>
          <w:sz w:val="17"/>
          <w:szCs w:val="17"/>
          <w:color w:val="auto"/>
        </w:rPr>
      </w:pPr>
    </w:p>
    <w:p>
      <w:pPr>
        <w:ind w:left="700" w:hanging="264"/>
        <w:spacing w:after="0"/>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Indebtedness of any Finance Subsidiary; and</w:t>
      </w:r>
    </w:p>
    <w:p>
      <w:pPr>
        <w:spacing w:after="0" w:line="117" w:lineRule="exact"/>
        <w:rPr>
          <w:rFonts w:ascii="Arial" w:cs="Arial" w:eastAsia="Arial" w:hAnsi="Arial"/>
          <w:sz w:val="18"/>
          <w:szCs w:val="18"/>
          <w:color w:val="auto"/>
        </w:rPr>
      </w:pPr>
    </w:p>
    <w:p>
      <w:pPr>
        <w:ind w:right="120" w:firstLine="436"/>
        <w:spacing w:after="0" w:line="277"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other Indebtedness in an aggregate principal amount not to exceed, at any one time outstanding, the greater of (i) $2,000,000,000 and (ii) 15% of Consolidated Tangible Assets.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7.03 </w:t>
      </w:r>
      <w:r>
        <w:rPr>
          <w:rFonts w:ascii="Arial" w:cs="Arial" w:eastAsia="Arial" w:hAnsi="Arial"/>
          <w:sz w:val="18"/>
          <w:szCs w:val="18"/>
          <w:b w:val="1"/>
          <w:bCs w:val="1"/>
          <w:u w:val="single" w:color="auto"/>
          <w:color w:val="auto"/>
        </w:rPr>
        <w:t>Fundamental Changes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36"/>
        <w:spacing w:after="0" w:line="277" w:lineRule="auto"/>
        <w:tabs>
          <w:tab w:leader="none" w:pos="68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shall not, nor shall it permit any Subsidiary to, directly or indirectly, merge, dissolve, liquidate, consolidate or amalgamate with or into another Person, except that:</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 xml:space="preserve">(A) the Company may merge with another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the continuing or surviving Person, and (B) any</w:t>
      </w:r>
    </w:p>
    <w:p>
      <w:pPr>
        <w:spacing w:after="0" w:line="34" w:lineRule="exact"/>
        <w:rPr>
          <w:rFonts w:ascii="Arial" w:cs="Arial" w:eastAsia="Arial" w:hAnsi="Arial"/>
          <w:sz w:val="17"/>
          <w:szCs w:val="17"/>
          <w:color w:val="auto"/>
        </w:rPr>
      </w:pPr>
    </w:p>
    <w:p>
      <w:pPr>
        <w:ind w:left="440" w:right="20"/>
        <w:spacing w:after="0" w:line="260" w:lineRule="auto"/>
        <w:rPr>
          <w:rFonts w:ascii="Arial" w:cs="Arial" w:eastAsia="Arial" w:hAnsi="Arial"/>
          <w:sz w:val="17"/>
          <w:szCs w:val="17"/>
          <w:color w:val="auto"/>
        </w:rPr>
      </w:pPr>
      <w:r>
        <w:rPr>
          <w:rFonts w:ascii="Arial" w:cs="Arial" w:eastAsia="Arial" w:hAnsi="Arial"/>
          <w:sz w:val="18"/>
          <w:szCs w:val="18"/>
          <w:color w:val="auto"/>
        </w:rPr>
        <w:t>Designated Borrower may merge, consolidate or amalgamate with another Person, provided that the Company or such Designated Borrower is the continuing or surviving Person; and</w:t>
      </w:r>
    </w:p>
    <w:p>
      <w:pPr>
        <w:spacing w:after="0" w:line="77" w:lineRule="exact"/>
        <w:rPr>
          <w:rFonts w:ascii="Arial" w:cs="Arial" w:eastAsia="Arial" w:hAnsi="Arial"/>
          <w:sz w:val="17"/>
          <w:szCs w:val="17"/>
          <w:color w:val="auto"/>
        </w:rPr>
      </w:pPr>
    </w:p>
    <w:p>
      <w:pPr>
        <w:ind w:left="440" w:right="200" w:firstLine="419"/>
        <w:spacing w:after="0" w:line="259" w:lineRule="auto"/>
        <w:tabs>
          <w:tab w:leader="none" w:pos="112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Subsidiary (other than a Designated Borrower) may merge, consolidate, amalgamate, liquidate or dissolve if such merger, consolidation, amalgamation, liquidation or dissolution does not cause or is not reasonably expected to cause a Material Adverse Effect and, for the avoidance of doubt, to the extent not involving a merger, consolidation, amalgamation, liquidation or dissolution not otherwise permitted by this clause, may change its jurisdiction of organization and/or tax residence.</w:t>
      </w:r>
    </w:p>
    <w:p>
      <w:pPr>
        <w:spacing w:after="0" w:line="78" w:lineRule="exact"/>
        <w:rPr>
          <w:rFonts w:ascii="Arial" w:cs="Arial" w:eastAsia="Arial" w:hAnsi="Arial"/>
          <w:sz w:val="18"/>
          <w:szCs w:val="18"/>
          <w:color w:val="auto"/>
        </w:rPr>
      </w:pPr>
    </w:p>
    <w:p>
      <w:pPr>
        <w:ind w:right="360" w:firstLine="436"/>
        <w:spacing w:after="0" w:line="277" w:lineRule="auto"/>
        <w:tabs>
          <w:tab w:leader="none" w:pos="69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shall not, nor shall it permit any Subsidiary to, directly or indirectly, Dispose of (whether in one transaction or in a series of transactions) all or substantially all of the assets of the Company and its Subsidiaries, taken as a whole.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7.04 </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7.05 </w:t>
      </w:r>
      <w:r>
        <w:rPr>
          <w:rFonts w:ascii="Arial" w:cs="Arial" w:eastAsia="Arial" w:hAnsi="Arial"/>
          <w:sz w:val="18"/>
          <w:szCs w:val="18"/>
          <w:b w:val="1"/>
          <w:bCs w:val="1"/>
          <w:u w:val="single" w:color="auto"/>
          <w:color w:val="auto"/>
        </w:rPr>
        <w:t>Use of Proceeds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The Company shall not, nor shall it permit any Subsidiary to, directly or indirectly, use the proceeds of any Credit Extension, whether directly or indirectly, except in accordance with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and in no event shall any Credit Extension, whether immediately, incidentally or ultimately, be used to purchase or carry margin stock (within the meaning of Regulation U of the FRB) or to extend credit to others for the purpose of purchasing or carrying margin stock or to refund indebtedness originally incurred for such purpose, in each case, to the extent such action would violate Regulation U.</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7.06 </w:t>
      </w:r>
      <w:r>
        <w:rPr>
          <w:rFonts w:ascii="Arial" w:cs="Arial" w:eastAsia="Arial" w:hAnsi="Arial"/>
          <w:sz w:val="18"/>
          <w:szCs w:val="18"/>
          <w:b w:val="1"/>
          <w:bCs w:val="1"/>
          <w:u w:val="single" w:color="auto"/>
          <w:color w:val="auto"/>
        </w:rPr>
        <w:t>Fiscal Year</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shall not, directly or indirectly, change its fiscal year.</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7.07 </w:t>
      </w:r>
      <w:r>
        <w:rPr>
          <w:rFonts w:ascii="Arial" w:cs="Arial" w:eastAsia="Arial" w:hAnsi="Arial"/>
          <w:sz w:val="18"/>
          <w:szCs w:val="18"/>
          <w:b w:val="1"/>
          <w:bCs w:val="1"/>
          <w:u w:val="single" w:color="auto"/>
          <w:color w:val="auto"/>
        </w:rPr>
        <w:t>Financial Covenant</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The Company shall not permit the Consolidated Leverage Ratio, as at the end of any fiscal quarter of the Company, commencing with the first fiscal quarter ending after the Closing Date, to be greater than 3.50 to 1.00 for any fiscal quarter;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Company or any of its Subsidiaries consummates a Qualified Acquisition, the Company may elect, up to two (2) times during the term of this Agreement, by written notice delivered to the Administrative Agent, to increase the maximum Consolidated Leverage Ratio permitted at the end of the fiscal quarter in which such Qualified Acquisition shall have been consummated and at the end of each of the three consecutive fiscal quarters thereafter to 4.00 to 1.00 (the period during which any such increase in the maximum permitted Consolidated Leverage Ratio shall be in effect, a “</w:t>
      </w:r>
      <w:r>
        <w:rPr>
          <w:rFonts w:ascii="Arial" w:cs="Arial" w:eastAsia="Arial" w:hAnsi="Arial"/>
          <w:sz w:val="17"/>
          <w:szCs w:val="17"/>
          <w:u w:val="single" w:color="auto"/>
          <w:color w:val="auto"/>
        </w:rPr>
        <w:t>Leverage Increase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following any such election, prior to giving effect to the second Leverage Increase Period pursuant to the immediately preceding proviso, the Consolidated Leverage Ratio shall have been 3.50 to 1.00 for at least two consecutive fiscal quarters subsequent to the Company’s first election to increase the maximum Consolidated Leverage Ratio pursuant to this </w:t>
      </w:r>
      <w:r>
        <w:rPr>
          <w:rFonts w:ascii="Arial" w:cs="Arial" w:eastAsia="Arial" w:hAnsi="Arial"/>
          <w:sz w:val="17"/>
          <w:szCs w:val="17"/>
          <w:u w:val="single" w:color="auto"/>
          <w:color w:val="auto"/>
        </w:rPr>
        <w:t>Section 7.07</w:t>
      </w:r>
      <w:r>
        <w:rPr>
          <w:rFonts w:ascii="Arial" w:cs="Arial" w:eastAsia="Arial" w:hAnsi="Arial"/>
          <w:sz w:val="17"/>
          <w:szCs w:val="17"/>
          <w:color w:val="auto"/>
        </w:rPr>
        <w: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7.08 </w:t>
      </w:r>
      <w:r>
        <w:rPr>
          <w:rFonts w:ascii="Arial" w:cs="Arial" w:eastAsia="Arial" w:hAnsi="Arial"/>
          <w:sz w:val="18"/>
          <w:szCs w:val="18"/>
          <w:b w:val="1"/>
          <w:bCs w:val="1"/>
          <w:u w:val="single" w:color="auto"/>
          <w:color w:val="auto"/>
        </w:rPr>
        <w:t>Sanctions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 Borrower shall, directly or, to the knowledge of such Borrower, indirectly, use the proceeds of any Credit Extension, or lend, contribute or otherwise make available such proceeds to any Subsidiary, joint venture partner or other Person, to fund any activities of or business with any Person, or in any Designated Jurisdiction, that, at the time of such funding, is the subject of Sanctions, in each case in any manner that will result in a violation by any Person (including any Person participating in the transaction, whether as Lender, Arranger, Administrative Agent, L/C Issuer, Swing Line Lender, or otherwise) of Sanctions.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7.09 </w:t>
      </w:r>
      <w:r>
        <w:rPr>
          <w:rFonts w:ascii="Arial" w:cs="Arial" w:eastAsia="Arial" w:hAnsi="Arial"/>
          <w:sz w:val="18"/>
          <w:szCs w:val="18"/>
          <w:b w:val="1"/>
          <w:bCs w:val="1"/>
          <w:u w:val="single" w:color="auto"/>
          <w:color w:val="auto"/>
        </w:rPr>
        <w:t>Anti-Corruption Laws</w:t>
      </w:r>
      <w:r>
        <w:rPr>
          <w:rFonts w:ascii="Arial" w:cs="Arial" w:eastAsia="Arial" w:hAnsi="Arial"/>
          <w:sz w:val="18"/>
          <w:szCs w:val="18"/>
          <w:b w:val="1"/>
          <w:bCs w:val="1"/>
          <w:color w:val="auto"/>
        </w:rPr>
        <w:t>.</w:t>
      </w:r>
    </w:p>
    <w:p>
      <w:pPr>
        <w:spacing w:after="0" w:line="12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No Borrower shall, nor shall it permit any Subsidiary to, directly or, to the knowledge of the such Borrower, indirectly use the proceeds of any Credit Extension for any purpose which would breach the Anti-Corruption Laws.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8.01 </w:t>
      </w:r>
      <w:r>
        <w:rPr>
          <w:rFonts w:ascii="Arial" w:cs="Arial" w:eastAsia="Arial" w:hAnsi="Arial"/>
          <w:sz w:val="18"/>
          <w:szCs w:val="18"/>
          <w:b w:val="1"/>
          <w:bCs w:val="1"/>
          <w:u w:val="single" w:color="auto"/>
          <w:color w:val="auto"/>
        </w:rPr>
        <w:t>Events of Default</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 following shall constitute an Event of Default:</w:t>
      </w:r>
    </w:p>
    <w:p>
      <w:pPr>
        <w:spacing w:after="0" w:line="117" w:lineRule="exact"/>
        <w:rPr>
          <w:sz w:val="20"/>
          <w:szCs w:val="20"/>
          <w:color w:val="auto"/>
        </w:rPr>
      </w:pPr>
    </w:p>
    <w:p>
      <w:pPr>
        <w:ind w:right="80" w:firstLine="436"/>
        <w:spacing w:after="0" w:line="259" w:lineRule="auto"/>
        <w:tabs>
          <w:tab w:leader="none" w:pos="68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xml:space="preserve"> Any Borrower or any other Loan Party fails to pay (i) when and as required to be paid herein and in the currency required hereunder, any amount of principal of any Loan or any L/C Obligation, (ii) within five days after the same becomes due, any interest on any Loan or on any L/C Obligation, or any fee due hereunder, or (iii) within five days after the same becomes due, any other amount payable hereunder or under any other Loan Document; or</w:t>
      </w:r>
    </w:p>
    <w:p>
      <w:pPr>
        <w:spacing w:after="0" w:line="78"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Any Borrower fails to perform or observe any term, covenant or agreement contained in any of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0" w:right="459" w:bottom="1440" w:gutter="0" w:footer="0" w:header="0"/>
        </w:sectPr>
      </w:pPr>
    </w:p>
    <w:bookmarkStart w:id="102" w:name="page103"/>
    <w:bookmarkEnd w:id="102"/>
    <w:p>
      <w:pPr>
        <w:jc w:val="both"/>
        <w:ind w:left="4" w:right="620" w:firstLine="436"/>
        <w:spacing w:after="0" w:line="263" w:lineRule="auto"/>
        <w:tabs>
          <w:tab w:leader="none" w:pos="689"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Defaults.</w:t>
      </w:r>
      <w:r>
        <w:rPr>
          <w:rFonts w:ascii="Arial" w:cs="Arial" w:eastAsia="Arial" w:hAnsi="Arial"/>
          <w:sz w:val="18"/>
          <w:szCs w:val="18"/>
          <w:color w:val="auto"/>
        </w:rPr>
        <w:t xml:space="preserve"> Any Loan Party fails to perform or observe any other covenant or agreement (not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contained in any Loan Document on its part to be performed or observed and such failure continues for 30 days after written notice of default is provided by the Administrative Agent; or</w:t>
      </w:r>
    </w:p>
    <w:p>
      <w:pPr>
        <w:spacing w:after="0" w:line="75" w:lineRule="exact"/>
        <w:rPr>
          <w:rFonts w:ascii="Arial" w:cs="Arial" w:eastAsia="Arial" w:hAnsi="Arial"/>
          <w:sz w:val="18"/>
          <w:szCs w:val="18"/>
          <w:color w:val="auto"/>
        </w:rPr>
      </w:pPr>
    </w:p>
    <w:p>
      <w:pPr>
        <w:ind w:left="4" w:firstLine="436"/>
        <w:spacing w:after="0" w:line="263" w:lineRule="auto"/>
        <w:tabs>
          <w:tab w:leader="none" w:pos="699"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Any representation, warranty or certification made or deemed made by or on behalf of any Loan Party herein, in any other Loan Document, or in any document delivered in connection herewith or therewith shall be incorrect or misleading in any material respect when made or deemed made; or</w:t>
      </w:r>
    </w:p>
    <w:p>
      <w:pPr>
        <w:spacing w:after="0" w:line="75" w:lineRule="exact"/>
        <w:rPr>
          <w:rFonts w:ascii="Arial" w:cs="Arial" w:eastAsia="Arial" w:hAnsi="Arial"/>
          <w:sz w:val="18"/>
          <w:szCs w:val="18"/>
          <w:color w:val="auto"/>
        </w:rPr>
      </w:pPr>
    </w:p>
    <w:p>
      <w:pPr>
        <w:ind w:left="4" w:right="60" w:firstLine="436"/>
        <w:spacing w:after="0" w:line="283" w:lineRule="auto"/>
        <w:tabs>
          <w:tab w:leader="none" w:pos="689"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xml:space="preserve"> Any Loan Party or any Material Subsidiary (i)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amounts owing to all creditors under any combined or syndicated credit arrangement) of more than the Threshold Amount or (ii) fails to observe or perform any other agreement or condition relating to any such Indebtedness or Guarantee having an aggregate principal amount (including amounts owing to all creditors under any combined or syndicated credit arrangement) of more than the Threshold Amount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prior to its stated maturity, or such Guarantee to become payable or cash collateral in respect thereof to be demanded;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not apply to</w:t>
      </w:r>
    </w:p>
    <w:p>
      <w:pPr>
        <w:spacing w:after="0" w:line="4" w:lineRule="exact"/>
        <w:rPr>
          <w:rFonts w:ascii="Arial" w:cs="Arial" w:eastAsia="Arial" w:hAnsi="Arial"/>
          <w:sz w:val="16"/>
          <w:szCs w:val="16"/>
          <w:color w:val="auto"/>
        </w:rPr>
      </w:pPr>
    </w:p>
    <w:p>
      <w:pPr>
        <w:ind w:left="4" w:right="40" w:hanging="4"/>
        <w:spacing w:after="0" w:line="284" w:lineRule="auto"/>
        <w:tabs>
          <w:tab w:leader="none" w:pos="29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any repurchase, prepayment, defeasance or redemption, or any offer therefor, of any Indebtedness of any Person acquired by the Company or any Subsidiary required to be made solely as a result of a “change of control” of such Person as a result of the consummation of such acquisition, (B) any mandatory prepayment of any bridge financing required to be made with the proceeds of any other Indebtedness incurred by the Company or any Subsidiary or the proceeds of any Dispositions of assets or issuance of Equity Interests consummated by the Company or any Subsidiary, (C) any repurchase, prepayment, defeasance or redemption, or any offer therefor, of any Indebtedness of the Company or any Subsidiary incurred to finance, in whole or in part, an acquisition and any related transactions required to be made pursuant to a “special mandatory redemption” provision (or other similar provision) as a result of such acquisition not having been consummated, (D) any secured Indebtedness becoming due as a result of the voluntary sale or transfer of the assets securing such Indebtedness, (E) any Indebtedness becoming due as a result of a voluntary refinancing thereof permitted hereunder, (F) in the event that a lender under any revolving loan facility becomes a “defaulting lender” (as defined therein), a prepayment or cash collateralization by such Loan Party or such Material Subsidiary of any unreallocated portion of such defaulting lender’s outstanding swing line loans under any such revolving loan facility, and (G) for the avoidance of any doubt, any right of a holder or holders of any Indebtedness that is convertible into Equity Interests (1) to require the repurchase, repayment or redemption of such Indebtedness on a predetermined date provided in the definitive documentation governing such Indebtedness, (2) to require an offer to repurchase, repay or redeem such Indebtedness on such date or the delivery of a notice with respect thereto or (3) to convert such Indebtedness into Equity Interests, together with any cash settlement thereof, in each case under this </w:t>
      </w:r>
      <w:r>
        <w:rPr>
          <w:rFonts w:ascii="Arial" w:cs="Arial" w:eastAsia="Arial" w:hAnsi="Arial"/>
          <w:sz w:val="16"/>
          <w:szCs w:val="16"/>
          <w:u w:val="single" w:color="auto"/>
          <w:color w:val="auto"/>
        </w:rPr>
        <w:t>clause (G)</w:t>
      </w:r>
      <w:r>
        <w:rPr>
          <w:rFonts w:ascii="Arial" w:cs="Arial" w:eastAsia="Arial" w:hAnsi="Arial"/>
          <w:sz w:val="16"/>
          <w:szCs w:val="16"/>
          <w:color w:val="auto"/>
        </w:rPr>
        <w:t>, so long as such right (other than the right to convert such Indebtedness into Equity Interests of the Borrower, settled solely in such Equity Interests and cash in lieu of fractional shares thereof) does not result from any “change of control”, “fundamental change” or a similar event (however defined) under the definitive documentation governing such Indebtedness; or</w:t>
      </w:r>
    </w:p>
    <w:p>
      <w:pPr>
        <w:spacing w:after="0" w:line="10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64"/>
          </w:cols>
          <w:pgMar w:left="436" w:top="274" w:right="499" w:bottom="1440" w:gutter="0" w:footer="0" w:header="0"/>
        </w:sectPr>
      </w:pPr>
    </w:p>
    <w:bookmarkStart w:id="103" w:name="page104"/>
    <w:bookmarkEnd w:id="103"/>
    <w:p>
      <w:pPr>
        <w:ind w:right="20" w:firstLine="436"/>
        <w:spacing w:after="0" w:line="254" w:lineRule="auto"/>
        <w:tabs>
          <w:tab w:leader="none" w:pos="66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Insolvency Proceedings, Etc.</w:t>
      </w:r>
      <w:r>
        <w:rPr>
          <w:rFonts w:ascii="Arial" w:cs="Arial" w:eastAsia="Arial" w:hAnsi="Arial"/>
          <w:sz w:val="18"/>
          <w:szCs w:val="18"/>
          <w:color w:val="auto"/>
        </w:rPr>
        <w:t xml:space="preserve"> Any Loan Party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86" w:lineRule="exact"/>
        <w:rPr>
          <w:rFonts w:ascii="Arial" w:cs="Arial" w:eastAsia="Arial" w:hAnsi="Arial"/>
          <w:sz w:val="18"/>
          <w:szCs w:val="18"/>
          <w:color w:val="auto"/>
        </w:rPr>
      </w:pPr>
    </w:p>
    <w:p>
      <w:pPr>
        <w:ind w:firstLine="436"/>
        <w:spacing w:after="0" w:line="263" w:lineRule="auto"/>
        <w:tabs>
          <w:tab w:leader="none" w:pos="69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Attachment.</w:t>
      </w:r>
      <w:r>
        <w:rPr>
          <w:rFonts w:ascii="Arial" w:cs="Arial" w:eastAsia="Arial" w:hAnsi="Arial"/>
          <w:sz w:val="18"/>
          <w:szCs w:val="18"/>
          <w:color w:val="auto"/>
        </w:rPr>
        <w:t xml:space="preserve"> Any writ or warrant of attachment or execution or similar process to secure a claim exceeding the Threshold Amount is issued or levied against all or any material part of the property of any Loan Party or any Material Subsidiary and is not released, vacated or fully bonded within 30 days after its issue or levy; or</w:t>
      </w:r>
    </w:p>
    <w:p>
      <w:pPr>
        <w:spacing w:after="0" w:line="75" w:lineRule="exact"/>
        <w:rPr>
          <w:rFonts w:ascii="Arial" w:cs="Arial" w:eastAsia="Arial" w:hAnsi="Arial"/>
          <w:sz w:val="18"/>
          <w:szCs w:val="18"/>
          <w:color w:val="auto"/>
        </w:rPr>
      </w:pPr>
    </w:p>
    <w:p>
      <w:pPr>
        <w:ind w:right="280" w:firstLine="436"/>
        <w:spacing w:after="0" w:line="301" w:lineRule="auto"/>
        <w:tabs>
          <w:tab w:leader="none" w:pos="695"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xml:space="preserve"> There is entered against any Loan Party or any Material Subsidiary one or more final judgments or orders for the payment of money in an aggregate amount (as to all such judgments or orders) exceeding the Threshold Amount (to the extent not covered by independent third-party insurance as to which the insurer does not dispute coverage) and there is a period of 30 consecutive days during which such judgment is not satisfied or discharged or a stay of enforcement of such judgment, by reason of a pending appeal or otherwise, is not in effect; or</w:t>
      </w:r>
    </w:p>
    <w:p>
      <w:pPr>
        <w:spacing w:after="0" w:line="49" w:lineRule="exact"/>
        <w:rPr>
          <w:rFonts w:ascii="Arial" w:cs="Arial" w:eastAsia="Arial" w:hAnsi="Arial"/>
          <w:sz w:val="16"/>
          <w:szCs w:val="16"/>
          <w:color w:val="auto"/>
        </w:rPr>
      </w:pPr>
    </w:p>
    <w:p>
      <w:pPr>
        <w:ind w:right="180" w:firstLine="436"/>
        <w:spacing w:after="0" w:line="259" w:lineRule="auto"/>
        <w:tabs>
          <w:tab w:leader="none" w:pos="65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xml:space="preserve"> (i) An ERISA Event occurs with respect to a Pension Plan which has resulted or would reasonably be expected to result in a Material Adverse Effect or (ii) the Company or any ERISA Affiliate fails to pay when due, after the expiration of any applicable grace period, any installment payment with respect to its withdrawal liability under Section 4201 of ERISA under a Multiemployer Plan, which non-payment would reasonably be expected to result in a Material Adverse Effect; or</w:t>
      </w:r>
    </w:p>
    <w:p>
      <w:pPr>
        <w:spacing w:after="0" w:line="78" w:lineRule="exact"/>
        <w:rPr>
          <w:rFonts w:ascii="Arial" w:cs="Arial" w:eastAsia="Arial" w:hAnsi="Arial"/>
          <w:sz w:val="18"/>
          <w:szCs w:val="18"/>
          <w:color w:val="auto"/>
        </w:rPr>
      </w:pPr>
    </w:p>
    <w:p>
      <w:pPr>
        <w:jc w:val="both"/>
        <w:ind w:right="140" w:firstLine="436"/>
        <w:spacing w:after="0" w:line="279" w:lineRule="auto"/>
        <w:tabs>
          <w:tab w:leader="none" w:pos="655"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Invalidity of Loan Documents.</w:t>
      </w:r>
      <w:r>
        <w:rPr>
          <w:rFonts w:ascii="Arial" w:cs="Arial" w:eastAsia="Arial" w:hAnsi="Arial"/>
          <w:sz w:val="17"/>
          <w:szCs w:val="17"/>
          <w:color w:val="auto"/>
        </w:rPr>
        <w:t xml:space="preserve"> Any material provision of any Loan Document, at any time after its execution and delivery and for any reason other than as expressly permitted hereunder or thereunder or satisfaction in full of all the Obligations, ceases to be in full force and effect; or any Loan Party or any Subsidiary contests in any manner the validity or enforceability of any Loan Document; or any Loan Party denies that it has any or further liability or obligation under any Loan Document, or purports to revoke, terminate or rescind any Loan Document; or</w:t>
      </w:r>
    </w:p>
    <w:p>
      <w:pPr>
        <w:spacing w:after="0" w:line="63" w:lineRule="exact"/>
        <w:rPr>
          <w:rFonts w:ascii="Arial" w:cs="Arial" w:eastAsia="Arial" w:hAnsi="Arial"/>
          <w:sz w:val="17"/>
          <w:szCs w:val="17"/>
          <w:color w:val="auto"/>
        </w:rPr>
      </w:pPr>
    </w:p>
    <w:p>
      <w:pPr>
        <w:ind w:left="700" w:hanging="264"/>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8.02 </w:t>
      </w:r>
      <w:r>
        <w:rPr>
          <w:rFonts w:ascii="Arial" w:cs="Arial" w:eastAsia="Arial" w:hAnsi="Arial"/>
          <w:sz w:val="18"/>
          <w:szCs w:val="18"/>
          <w:b w:val="1"/>
          <w:bCs w:val="1"/>
          <w:u w:val="single" w:color="auto"/>
          <w:color w:val="auto"/>
        </w:rPr>
        <w:t>Remedies Upon Event of Default</w:t>
      </w:r>
      <w:r>
        <w:rPr>
          <w:rFonts w:ascii="Arial" w:cs="Arial" w:eastAsia="Arial" w:hAnsi="Arial"/>
          <w:sz w:val="18"/>
          <w:szCs w:val="18"/>
          <w:b w:val="1"/>
          <w:bCs w:val="1"/>
          <w:color w:val="auto"/>
        </w:rPr>
        <w:t>.</w:t>
      </w:r>
    </w:p>
    <w:p>
      <w:pPr>
        <w:spacing w:after="0" w:line="12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 Required Lenders, take any or all of the following actions:</w:t>
      </w:r>
    </w:p>
    <w:p>
      <w:pPr>
        <w:spacing w:after="0" w:line="62" w:lineRule="exact"/>
        <w:rPr>
          <w:sz w:val="20"/>
          <w:szCs w:val="20"/>
          <w:color w:val="auto"/>
        </w:rPr>
      </w:pPr>
    </w:p>
    <w:p>
      <w:pPr>
        <w:ind w:right="320" w:firstLine="436"/>
        <w:spacing w:after="0" w:line="277" w:lineRule="auto"/>
        <w:tabs>
          <w:tab w:leader="none" w:pos="68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declare the Commitment of each Lender and any obligation of the L/C Issuers to make L/C Credit Extensions to be terminated, whereupon such Commitments and obligation shall be terminated;</w:t>
      </w:r>
    </w:p>
    <w:p>
      <w:pPr>
        <w:spacing w:after="0" w:line="62" w:lineRule="exact"/>
        <w:rPr>
          <w:rFonts w:ascii="Arial" w:cs="Arial" w:eastAsia="Arial" w:hAnsi="Arial"/>
          <w:sz w:val="18"/>
          <w:szCs w:val="18"/>
          <w:color w:val="auto"/>
        </w:rPr>
      </w:pPr>
    </w:p>
    <w:p>
      <w:pPr>
        <w:jc w:val="both"/>
        <w:ind w:right="120" w:firstLine="436"/>
        <w:spacing w:after="0" w:line="263" w:lineRule="auto"/>
        <w:tabs>
          <w:tab w:leader="none" w:pos="6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Loan Parties;</w:t>
      </w:r>
    </w:p>
    <w:p>
      <w:pPr>
        <w:spacing w:after="0" w:line="75" w:lineRule="exact"/>
        <w:rPr>
          <w:rFonts w:ascii="Arial" w:cs="Arial" w:eastAsia="Arial" w:hAnsi="Arial"/>
          <w:sz w:val="18"/>
          <w:szCs w:val="18"/>
          <w:color w:val="auto"/>
        </w:rPr>
      </w:pPr>
    </w:p>
    <w:p>
      <w:pPr>
        <w:ind w:right="640" w:firstLine="436"/>
        <w:spacing w:after="0" w:line="277" w:lineRule="auto"/>
        <w:tabs>
          <w:tab w:leader="none" w:pos="68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require that the Company Cash Collateralize the L/C Obligations (in an amount equal to the Minimum Collateral Amount with respect thereto);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04" w:name="page105"/>
    <w:bookmarkEnd w:id="104"/>
    <w:p>
      <w:pPr>
        <w:ind w:firstLine="436"/>
        <w:spacing w:after="0" w:line="254"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exercise on behalf of itself, the Lenders and the L/C Issuers all rights and remedies available to it, the Lenders and the L/C Issuers under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any Borrower under Debtor Relief Laws,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presentment, demand, protest or other notice of any kind, all of which are hereby expressly waived by the Borrowers, and without further act of the Administrative Agent or any Lender.</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8.03 </w:t>
      </w:r>
      <w:r>
        <w:rPr>
          <w:rFonts w:ascii="Arial" w:cs="Arial" w:eastAsia="Arial" w:hAnsi="Arial"/>
          <w:sz w:val="18"/>
          <w:szCs w:val="18"/>
          <w:b w:val="1"/>
          <w:bCs w:val="1"/>
          <w:u w:val="single" w:color="auto"/>
          <w:color w:val="auto"/>
        </w:rPr>
        <w:t>Application of Funds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any amounts received on account of the Obligations shall be applied by the Administrative Agent in the following order:</w:t>
      </w:r>
    </w:p>
    <w:p>
      <w:pPr>
        <w:spacing w:after="0" w:line="184"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18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8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ratably among the Lenders and the L/C Issuers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and L/C Borrowings, ratably among the Lenders and the L/C Issuers,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70"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Administrative Agent for the account of the L/C Issuers and the Lenders, to Cash Collateralize that portion of L/C Obligations comprised of the aggregate undrawn amount of Letters of Credit;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xml:space="preserve"> the balance, if any, after all of the Obligations have been indefeasibly paid in full, to the Company or as otherwise required by Law.</w:t>
      </w:r>
    </w:p>
    <w:p>
      <w:pPr>
        <w:spacing w:after="0" w:line="23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amounts used to Cash Collateralize the aggregate undrawn amount of Letters of Credit pursuant to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9.01 </w:t>
      </w:r>
      <w:r>
        <w:rPr>
          <w:rFonts w:ascii="Arial" w:cs="Arial" w:eastAsia="Arial" w:hAnsi="Arial"/>
          <w:sz w:val="18"/>
          <w:szCs w:val="18"/>
          <w:b w:val="1"/>
          <w:bCs w:val="1"/>
          <w:u w:val="single" w:color="auto"/>
          <w:color w:val="auto"/>
        </w:rPr>
        <w:t>Appointment and Authority</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 xml:space="preserve">Each of the Lenders and the L/C Issuers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other than with respect to the Company’s consent rights in </w:t>
      </w:r>
      <w:r>
        <w:rPr>
          <w:rFonts w:ascii="Arial" w:cs="Arial" w:eastAsia="Arial" w:hAnsi="Arial"/>
          <w:sz w:val="18"/>
          <w:szCs w:val="18"/>
          <w:u w:val="single" w:color="auto"/>
          <w:color w:val="auto"/>
        </w:rPr>
        <w:t>Section 9.06</w:t>
      </w:r>
      <w:r>
        <w:rPr>
          <w:rFonts w:ascii="Arial" w:cs="Arial" w:eastAsia="Arial" w:hAnsi="Arial"/>
          <w:sz w:val="18"/>
          <w:szCs w:val="18"/>
          <w:color w:val="auto"/>
        </w:rPr>
        <w:t>, solely for the benefit of the Administrative Agent, the Lenders and the L/C Issuers, and, except for such consent rights, no Borrower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9.02 </w:t>
      </w:r>
      <w:r>
        <w:rPr>
          <w:rFonts w:ascii="Arial" w:cs="Arial" w:eastAsia="Arial" w:hAnsi="Arial"/>
          <w:sz w:val="18"/>
          <w:szCs w:val="18"/>
          <w:b w:val="1"/>
          <w:bCs w:val="1"/>
          <w:u w:val="single" w:color="auto"/>
          <w:color w:val="auto"/>
        </w:rPr>
        <w:t>Rights as a Lender</w:t>
      </w:r>
      <w:r>
        <w:rPr>
          <w:rFonts w:ascii="Arial" w:cs="Arial" w:eastAsia="Arial" w:hAnsi="Arial"/>
          <w:sz w:val="18"/>
          <w:szCs w:val="18"/>
          <w:b w:val="1"/>
          <w:bCs w:val="1"/>
          <w:color w:val="auto"/>
        </w:rPr>
        <w:t>.</w:t>
      </w:r>
    </w:p>
    <w:p>
      <w:pPr>
        <w:spacing w:after="0" w:line="121"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9.03 </w:t>
      </w:r>
      <w:r>
        <w:rPr>
          <w:rFonts w:ascii="Arial" w:cs="Arial" w:eastAsia="Arial" w:hAnsi="Arial"/>
          <w:sz w:val="18"/>
          <w:szCs w:val="18"/>
          <w:b w:val="1"/>
          <w:bCs w:val="1"/>
          <w:u w:val="single" w:color="auto"/>
          <w:color w:val="auto"/>
        </w:rPr>
        <w:t>Exculpatory Provisions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38" w:lineRule="exact"/>
        <w:rPr>
          <w:sz w:val="20"/>
          <w:szCs w:val="20"/>
          <w:color w:val="auto"/>
        </w:rPr>
      </w:pPr>
    </w:p>
    <w:p>
      <w:pPr>
        <w:ind w:left="680" w:hanging="244"/>
        <w:spacing w:after="0"/>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17" w:lineRule="exact"/>
        <w:rPr>
          <w:rFonts w:ascii="Arial" w:cs="Arial" w:eastAsia="Arial" w:hAnsi="Arial"/>
          <w:sz w:val="18"/>
          <w:szCs w:val="18"/>
          <w:color w:val="auto"/>
        </w:rPr>
      </w:pPr>
    </w:p>
    <w:p>
      <w:pPr>
        <w:ind w:right="20" w:firstLine="436"/>
        <w:spacing w:after="0" w:line="272" w:lineRule="auto"/>
        <w:tabs>
          <w:tab w:leader="none" w:pos="69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or the other documents executed or delivered in connection therewith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0" w:right="459" w:bottom="1440" w:gutter="0" w:footer="0" w:header="0"/>
        </w:sectPr>
      </w:pPr>
    </w:p>
    <w:bookmarkStart w:id="106" w:name="page107"/>
    <w:bookmarkEnd w:id="106"/>
    <w:p>
      <w:pPr>
        <w:ind w:right="40" w:firstLine="436"/>
        <w:spacing w:after="0" w:line="263" w:lineRule="auto"/>
        <w:tabs>
          <w:tab w:leader="none" w:pos="685"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w:t>
      </w:r>
    </w:p>
    <w:p>
      <w:pPr>
        <w:spacing w:after="0" w:line="18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The Administrative Agent shall not be liable to any Lender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as determined by a court of competent jurisdiction by final and non- appealable judgment. The Administrative Agent shall be deemed not to have knowledge of any Default unless and until notice describing such Default is given in writing to the Administrative Agent by the Company, a Lender or an L/C Issuer.</w:t>
      </w:r>
    </w:p>
    <w:p>
      <w:pPr>
        <w:spacing w:after="0" w:line="19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9.04 </w:t>
      </w:r>
      <w:r>
        <w:rPr>
          <w:rFonts w:ascii="Arial" w:cs="Arial" w:eastAsia="Arial" w:hAnsi="Arial"/>
          <w:sz w:val="18"/>
          <w:szCs w:val="18"/>
          <w:b w:val="1"/>
          <w:bCs w:val="1"/>
          <w:u w:val="single" w:color="auto"/>
          <w:color w:val="auto"/>
        </w:rPr>
        <w:t>Reliance by Administrative Agent</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40"/>
        <w:spacing w:after="0" w:line="288"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9.05 </w:t>
      </w:r>
      <w:r>
        <w:rPr>
          <w:rFonts w:ascii="Arial" w:cs="Arial" w:eastAsia="Arial" w:hAnsi="Arial"/>
          <w:sz w:val="18"/>
          <w:szCs w:val="18"/>
          <w:b w:val="1"/>
          <w:bCs w:val="1"/>
          <w:u w:val="single" w:color="auto"/>
          <w:color w:val="auto"/>
        </w:rPr>
        <w:t>Delegation of Duties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The Administrative Agent may perform any and all of its duties and exercise its rights and powers hereunder or under any other Loan Document or the other documents executed or delivered in connection therewith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apply to any such sub-agent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9.06 </w:t>
      </w:r>
      <w:r>
        <w:rPr>
          <w:rFonts w:ascii="Arial" w:cs="Arial" w:eastAsia="Arial" w:hAnsi="Arial"/>
          <w:sz w:val="18"/>
          <w:szCs w:val="18"/>
          <w:b w:val="1"/>
          <w:bCs w:val="1"/>
          <w:u w:val="single" w:color="auto"/>
          <w:color w:val="auto"/>
        </w:rPr>
        <w:t>Resignation of Administrative Agent</w:t>
      </w:r>
      <w:r>
        <w:rPr>
          <w:rFonts w:ascii="Arial" w:cs="Arial" w:eastAsia="Arial" w:hAnsi="Arial"/>
          <w:sz w:val="18"/>
          <w:szCs w:val="18"/>
          <w:b w:val="1"/>
          <w:bCs w:val="1"/>
          <w:color w:val="auto"/>
        </w:rPr>
        <w:t>.</w:t>
      </w:r>
    </w:p>
    <w:p>
      <w:pPr>
        <w:spacing w:after="0" w:line="121" w:lineRule="exact"/>
        <w:rPr>
          <w:sz w:val="20"/>
          <w:szCs w:val="20"/>
          <w:color w:val="auto"/>
        </w:rPr>
      </w:pPr>
    </w:p>
    <w:p>
      <w:pPr>
        <w:ind w:firstLine="436"/>
        <w:spacing w:after="0" w:line="289" w:lineRule="auto"/>
        <w:tabs>
          <w:tab w:leader="none" w:pos="68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Administrative Agent may at any time give notice of its resignation to the Lenders, the L/C Issuers and the Company. Upon receipt of any such notice of resignation, the Required Lenders shall have the right (with the consent of the Company not to be unreasonably withheld), to appoint a successor, which shall be a bank with an office in the United States, or an Affiliate of any such bank with an office in the United States. If no such successor shall have been appointed by the Required Lenders and shall have accepted such appointment within 30 days after the retiring Administrative Agent gives notice of its resignation (or such earlier day as shall be agreed by the Required Lenders and the Company) (the “</w:t>
      </w:r>
      <w:r>
        <w:rPr>
          <w:rFonts w:ascii="Arial" w:cs="Arial" w:eastAsia="Arial" w:hAnsi="Arial"/>
          <w:sz w:val="16"/>
          <w:szCs w:val="16"/>
          <w:u w:val="single" w:color="auto"/>
          <w:color w:val="auto"/>
        </w:rPr>
        <w:t>Resignation 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then the retiring Administrative Agent may (but shall not be obligated to), on behalf of the Lenders and the L/C Issuers, appoint a successor Administrative Agent meeting the qualifications set forth above (with the consent of the Company not to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Company, the Lenders and the L/C Issuers that no qualifying Person has accepted such appointment, then, whether or not a successor has been appointed, such resignation shall become effective in accordance with such notice on the Resignation Effective Date.</w:t>
      </w:r>
    </w:p>
    <w:p>
      <w:pPr>
        <w:spacing w:after="0" w:line="58" w:lineRule="exact"/>
        <w:rPr>
          <w:rFonts w:ascii="Arial" w:cs="Arial" w:eastAsia="Arial" w:hAnsi="Arial"/>
          <w:sz w:val="16"/>
          <w:szCs w:val="16"/>
          <w:color w:val="auto"/>
        </w:rPr>
      </w:pPr>
    </w:p>
    <w:p>
      <w:pPr>
        <w:ind w:right="100" w:firstLine="436"/>
        <w:spacing w:after="0" w:line="296" w:lineRule="auto"/>
        <w:tabs>
          <w:tab w:leader="none" w:pos="69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If the Person serving as Administrative Agent is a Defaulting Lender pursuant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the definition thereof, the Required Lenders may, to the extent permitted by applicable Law, by notice in writing to the Company and such Person, remove such Person as the Administrative Agent and, in consultation with the Company, appoint a successor. If no such successor shall have been appointed by the Required Lenders and shall have accepted such appointment within 30 days (or such earlier day as shall be agreed by the Required Lenders and the Company) (the “</w:t>
      </w:r>
      <w:r>
        <w:rPr>
          <w:rFonts w:ascii="Arial" w:cs="Arial" w:eastAsia="Arial" w:hAnsi="Arial"/>
          <w:sz w:val="16"/>
          <w:szCs w:val="16"/>
          <w:u w:val="single" w:color="auto"/>
          <w:color w:val="auto"/>
        </w:rPr>
        <w:t>Removal 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then such removal shall nonetheless become effective in accordance with such notice on the Removal Effective Date.</w:t>
      </w:r>
    </w:p>
    <w:p>
      <w:pPr>
        <w:spacing w:after="0" w:line="53" w:lineRule="exact"/>
        <w:rPr>
          <w:rFonts w:ascii="Arial" w:cs="Arial" w:eastAsia="Arial" w:hAnsi="Arial"/>
          <w:sz w:val="16"/>
          <w:szCs w:val="16"/>
          <w:color w:val="auto"/>
        </w:rPr>
      </w:pPr>
    </w:p>
    <w:p>
      <w:pPr>
        <w:ind w:firstLine="436"/>
        <w:spacing w:after="0" w:line="286" w:lineRule="auto"/>
        <w:tabs>
          <w:tab w:leader="none" w:pos="68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6"/>
          <w:szCs w:val="16"/>
          <w:u w:val="single" w:color="auto"/>
          <w:color w:val="auto"/>
        </w:rPr>
        <w:t>Section 3.01(g)</w:t>
      </w:r>
      <w:r>
        <w:rPr>
          <w:rFonts w:ascii="Arial" w:cs="Arial" w:eastAsia="Arial" w:hAnsi="Arial"/>
          <w:sz w:val="16"/>
          <w:szCs w:val="16"/>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Arial" w:cs="Arial" w:eastAsia="Arial" w:hAnsi="Arial"/>
          <w:sz w:val="16"/>
          <w:szCs w:val="16"/>
          <w:u w:val="single" w:color="auto"/>
          <w:color w:val="auto"/>
        </w:rPr>
        <w:t>Section 9.06</w:t>
      </w:r>
      <w:r>
        <w:rPr>
          <w:rFonts w:ascii="Arial" w:cs="Arial" w:eastAsia="Arial" w:hAnsi="Arial"/>
          <w:sz w:val="16"/>
          <w:szCs w:val="16"/>
          <w:color w:val="auto"/>
        </w:rPr>
        <w:t xml:space="preserve">).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continue in effect for the benefit of such retiring or removed Administrative Agent, its subagents and their respective Related Parties in respect of any actions taken or omitted to be taken by any of them while the retiring Administrative Agent was acting as Administrative Agent.</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Any resignation by or removal of Bank of America as Administrative Agent pursuant to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also constitute its resignation or removal as L/C Issuer and Swing Line Lender. If Bank of America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0" w:right="459" w:bottom="1440" w:gutter="0" w:footer="0" w:header="0"/>
        </w:sectPr>
      </w:pPr>
    </w:p>
    <w:bookmarkStart w:id="108" w:name="page109"/>
    <w:bookmarkEnd w:id="10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resigns as L/C Issuer, it shall retain all the rights, powers, privileges and duties of an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7"/>
          <w:szCs w:val="17"/>
          <w:u w:val="single" w:color="auto"/>
          <w:color w:val="auto"/>
        </w:rPr>
        <w:t>Section 2.04(c)</w:t>
      </w:r>
      <w:r>
        <w:rPr>
          <w:rFonts w:ascii="Arial" w:cs="Arial" w:eastAsia="Arial" w:hAnsi="Arial"/>
          <w:sz w:val="17"/>
          <w:szCs w:val="17"/>
          <w:color w:val="auto"/>
        </w:rPr>
        <w:t>. Upon the appointment by the Company of a successor L/C Issuer or Swing Line Lender hereunder (which successor shall in all cases be a Lender other than a Defaulting Lender and shall consent to such appointment),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9.07 </w:t>
      </w:r>
      <w:r>
        <w:rPr>
          <w:rFonts w:ascii="Arial" w:cs="Arial" w:eastAsia="Arial" w:hAnsi="Arial"/>
          <w:sz w:val="18"/>
          <w:szCs w:val="18"/>
          <w:b w:val="1"/>
          <w:bCs w:val="1"/>
          <w:u w:val="single" w:color="auto"/>
          <w:color w:val="auto"/>
        </w:rPr>
        <w:t>Non-Reliance on Administrative Agent and Other Lenders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Each Lender and each L/C Issuer acknowledges that it has, independently and without reliance upon the Administrative Agent, the Sustainability Structuring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 the Sustainability Structuring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9.08 </w:t>
      </w:r>
      <w:r>
        <w:rPr>
          <w:rFonts w:ascii="Arial" w:cs="Arial" w:eastAsia="Arial" w:hAnsi="Arial"/>
          <w:sz w:val="18"/>
          <w:szCs w:val="18"/>
          <w:b w:val="1"/>
          <w:bCs w:val="1"/>
          <w:u w:val="single" w:color="auto"/>
          <w:color w:val="auto"/>
        </w:rPr>
        <w:t>No Other Duties, Etc</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Anything herein to the contrary notwithstanding, none of the arrangers, bookrunners, syndication agents, co-documentation agents or co-agents named on the cover page of this Agreement shall have any powers, duties or responsibilities under this Agreement or any of the other Loan Documents, except in its capacity, as applicable, as the Administrative Agent, a Lender or an L/C Issuer hereunder.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9.09 </w:t>
      </w:r>
      <w:r>
        <w:rPr>
          <w:rFonts w:ascii="Arial" w:cs="Arial" w:eastAsia="Arial" w:hAnsi="Arial"/>
          <w:sz w:val="18"/>
          <w:szCs w:val="18"/>
          <w:b w:val="1"/>
          <w:bCs w:val="1"/>
          <w:u w:val="single" w:color="auto"/>
          <w:color w:val="auto"/>
        </w:rPr>
        <w:t>Administrative Agent May File Proofs of Claim</w:t>
      </w:r>
      <w:r>
        <w:rPr>
          <w:rFonts w:ascii="Arial" w:cs="Arial" w:eastAsia="Arial" w:hAnsi="Arial"/>
          <w:sz w:val="18"/>
          <w:szCs w:val="18"/>
          <w:b w:val="1"/>
          <w:bCs w:val="1"/>
          <w:color w:val="auto"/>
        </w:rPr>
        <w:t>.</w:t>
      </w:r>
    </w:p>
    <w:p>
      <w:pPr>
        <w:spacing w:after="0" w:line="121" w:lineRule="exact"/>
        <w:rPr>
          <w:sz w:val="20"/>
          <w:szCs w:val="20"/>
          <w:color w:val="auto"/>
        </w:rPr>
      </w:pPr>
    </w:p>
    <w:p>
      <w:pPr>
        <w:ind w:right="440" w:firstLine="440"/>
        <w:spacing w:after="0" w:line="259" w:lineRule="auto"/>
        <w:rPr>
          <w:sz w:val="20"/>
          <w:szCs w:val="20"/>
          <w:color w:val="auto"/>
        </w:rPr>
      </w:pPr>
      <w:r>
        <w:rPr>
          <w:rFonts w:ascii="Arial" w:cs="Arial" w:eastAsia="Arial" w:hAnsi="Arial"/>
          <w:sz w:val="18"/>
          <w:szCs w:val="18"/>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79" w:lineRule="exact"/>
        <w:rPr>
          <w:sz w:val="20"/>
          <w:szCs w:val="20"/>
          <w:color w:val="auto"/>
        </w:rPr>
      </w:pPr>
    </w:p>
    <w:p>
      <w:pPr>
        <w:ind w:right="100" w:firstLine="436"/>
        <w:spacing w:after="0" w:line="296" w:lineRule="auto"/>
        <w:tabs>
          <w:tab w:leader="none" w:pos="68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6"/>
          <w:szCs w:val="16"/>
          <w:u w:val="single" w:color="auto"/>
          <w:color w:val="auto"/>
        </w:rPr>
        <w:t>Sections 2.03(h)</w:t>
      </w:r>
      <w:r>
        <w:rPr>
          <w:rFonts w:ascii="Arial" w:cs="Arial" w:eastAsia="Arial" w:hAnsi="Arial"/>
          <w:sz w:val="16"/>
          <w:szCs w:val="16"/>
          <w:color w:val="auto"/>
        </w:rPr>
        <w:t xml:space="preserve"> and (i), 2.09 and </w:t>
      </w:r>
      <w:r>
        <w:rPr>
          <w:rFonts w:ascii="Arial" w:cs="Arial" w:eastAsia="Arial" w:hAnsi="Arial"/>
          <w:sz w:val="16"/>
          <w:szCs w:val="16"/>
          <w:u w:val="single" w:color="auto"/>
          <w:color w:val="auto"/>
        </w:rPr>
        <w:t>10.04</w:t>
      </w:r>
      <w:r>
        <w:rPr>
          <w:rFonts w:ascii="Arial" w:cs="Arial" w:eastAsia="Arial" w:hAnsi="Arial"/>
          <w:sz w:val="16"/>
          <w:szCs w:val="16"/>
          <w:color w:val="auto"/>
        </w:rPr>
        <w:t>) allowed in such judicial proceeding;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274" w:right="459" w:bottom="1440" w:gutter="0" w:footer="0" w:header="0"/>
        </w:sectPr>
      </w:pPr>
    </w:p>
    <w:bookmarkStart w:id="109" w:name="page110"/>
    <w:bookmarkEnd w:id="10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to collect and receive any monies or other property payable or deliverable on any such claims and to distribute the same;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88" w:lineRule="exact"/>
        <w:rPr>
          <w:sz w:val="20"/>
          <w:szCs w:val="20"/>
          <w:color w:val="auto"/>
        </w:rPr>
      </w:pPr>
    </w:p>
    <w:p>
      <w:pPr>
        <w:jc w:val="both"/>
        <w:ind w:right="260" w:firstLine="440"/>
        <w:spacing w:after="0" w:line="311" w:lineRule="auto"/>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L/C Issuer, or to authorize the Administrative Agent to vote in respect of the claim of any Lender or L/C Issuer in any such proceeding.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9.10 </w:t>
      </w:r>
      <w:r>
        <w:rPr>
          <w:rFonts w:ascii="Arial" w:cs="Arial" w:eastAsia="Arial" w:hAnsi="Arial"/>
          <w:sz w:val="18"/>
          <w:szCs w:val="18"/>
          <w:b w:val="1"/>
          <w:bCs w:val="1"/>
          <w:u w:val="single" w:color="auto"/>
          <w:color w:val="auto"/>
        </w:rPr>
        <w:t>ERISA Matters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40" w:firstLine="436"/>
        <w:spacing w:after="0" w:line="311" w:lineRule="auto"/>
        <w:tabs>
          <w:tab w:leader="none" w:pos="68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at least one of the following is and will be true:</w:t>
      </w:r>
    </w:p>
    <w:p>
      <w:pPr>
        <w:spacing w:after="0" w:line="40" w:lineRule="exact"/>
        <w:rPr>
          <w:rFonts w:ascii="Arial" w:cs="Arial" w:eastAsia="Arial" w:hAnsi="Arial"/>
          <w:sz w:val="16"/>
          <w:szCs w:val="16"/>
          <w:color w:val="auto"/>
        </w:rPr>
      </w:pPr>
    </w:p>
    <w:p>
      <w:pPr>
        <w:ind w:left="440" w:firstLine="419"/>
        <w:spacing w:after="0" w:line="263" w:lineRule="auto"/>
        <w:tabs>
          <w:tab w:leader="none" w:pos="107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5" w:lineRule="exact"/>
        <w:rPr>
          <w:rFonts w:ascii="Arial" w:cs="Arial" w:eastAsia="Arial" w:hAnsi="Arial"/>
          <w:sz w:val="18"/>
          <w:szCs w:val="18"/>
          <w:color w:val="auto"/>
        </w:rPr>
      </w:pPr>
    </w:p>
    <w:p>
      <w:pPr>
        <w:ind w:left="440" w:right="180" w:firstLine="419"/>
        <w:spacing w:after="0" w:line="273" w:lineRule="auto"/>
        <w:tabs>
          <w:tab w:leader="none" w:pos="1128"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or</w:t>
      </w:r>
    </w:p>
    <w:p>
      <w:pPr>
        <w:spacing w:after="0" w:line="69" w:lineRule="exact"/>
        <w:rPr>
          <w:rFonts w:ascii="Arial" w:cs="Arial" w:eastAsia="Arial" w:hAnsi="Arial"/>
          <w:sz w:val="17"/>
          <w:szCs w:val="17"/>
          <w:color w:val="auto"/>
        </w:rPr>
      </w:pPr>
    </w:p>
    <w:p>
      <w:pPr>
        <w:ind w:left="440" w:right="160" w:firstLine="419"/>
        <w:spacing w:after="0" w:line="254" w:lineRule="auto"/>
        <w:tabs>
          <w:tab w:leader="none" w:pos="117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110" w:name="page111"/>
    <w:bookmarkEnd w:id="110"/>
    <w:p>
      <w:pPr>
        <w:ind w:left="4" w:firstLine="436"/>
        <w:spacing w:after="0" w:line="291" w:lineRule="auto"/>
        <w:tabs>
          <w:tab w:leader="none" w:pos="699" w:val="left"/>
        </w:tabs>
        <w:numPr>
          <w:ilvl w:val="1"/>
          <w:numId w:val="1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unless either (1) sub-clause (i)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is true with respect to a Lender or (2) a Lender has provided another representation, warranty and covenant in accordance with sub-clause (iv)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such Lender further</w:t>
      </w:r>
    </w:p>
    <w:p>
      <w:pPr>
        <w:ind w:left="4" w:right="60" w:hanging="4"/>
        <w:spacing w:after="0" w:line="270" w:lineRule="auto"/>
        <w:tabs>
          <w:tab w:leader="none" w:pos="25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-1000125</wp:posOffset>
            </wp:positionV>
            <wp:extent cx="6470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54" w:lineRule="exact"/>
        <w:rPr>
          <w:sz w:val="20"/>
          <w:szCs w:val="20"/>
          <w:color w:val="auto"/>
        </w:rPr>
      </w:pPr>
    </w:p>
    <w:p>
      <w:pPr>
        <w:ind w:left="4"/>
        <w:spacing w:after="0" w:line="270" w:lineRule="auto"/>
        <w:rPr>
          <w:sz w:val="20"/>
          <w:szCs w:val="20"/>
          <w:color w:val="auto"/>
        </w:rPr>
      </w:pPr>
      <w:r>
        <w:rPr>
          <w:rFonts w:ascii="Arial" w:cs="Arial" w:eastAsia="Arial" w:hAnsi="Arial"/>
          <w:sz w:val="17"/>
          <w:szCs w:val="17"/>
          <w:b w:val="1"/>
          <w:bCs w:val="1"/>
          <w:color w:val="auto"/>
        </w:rPr>
        <w:t xml:space="preserve">9.11 </w:t>
      </w:r>
      <w:r>
        <w:rPr>
          <w:rFonts w:ascii="Arial" w:cs="Arial" w:eastAsia="Arial" w:hAnsi="Arial"/>
          <w:sz w:val="17"/>
          <w:szCs w:val="17"/>
          <w:b w:val="1"/>
          <w:bCs w:val="1"/>
          <w:u w:val="single" w:color="auto"/>
          <w:color w:val="auto"/>
        </w:rPr>
        <w:t>Recovery of Erroneous Payments</w:t>
      </w:r>
      <w:r>
        <w:rPr>
          <w:rFonts w:ascii="Arial" w:cs="Arial" w:eastAsia="Arial" w:hAnsi="Arial"/>
          <w:sz w:val="17"/>
          <w:szCs w:val="17"/>
          <w:color w:val="auto"/>
        </w:rPr>
        <w:t>. Without limitation of any other provision in this Agreement, if at any time the Administrative Agent makes a</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hereunder in error to any Lender, whether or not in respect of an Obligation due and owing by any Borrower at such time, where such payment is a Rescindable Amount, then in any such event, each Lender receiving a Rescindable Amount severally agrees to repay to the Administrative Agent forthwith on demand the Rescindable Amount received by such Lender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10.01 </w:t>
      </w:r>
      <w:r>
        <w:rPr>
          <w:rFonts w:ascii="Arial" w:cs="Arial" w:eastAsia="Arial" w:hAnsi="Arial"/>
          <w:sz w:val="18"/>
          <w:szCs w:val="18"/>
          <w:b w:val="1"/>
          <w:bCs w:val="1"/>
          <w:u w:val="single" w:color="auto"/>
          <w:color w:val="auto"/>
        </w:rPr>
        <w:t>Amendments, Etc</w:t>
      </w:r>
      <w:r>
        <w:rPr>
          <w:rFonts w:ascii="Arial" w:cs="Arial" w:eastAsia="Arial" w:hAnsi="Arial"/>
          <w:sz w:val="18"/>
          <w:szCs w:val="18"/>
          <w:color w:val="auto"/>
        </w:rPr>
        <w:t>.</w:t>
      </w:r>
    </w:p>
    <w:p>
      <w:pPr>
        <w:spacing w:after="0" w:line="121" w:lineRule="exact"/>
        <w:rPr>
          <w:sz w:val="20"/>
          <w:szCs w:val="20"/>
          <w:color w:val="auto"/>
        </w:rPr>
      </w:pPr>
    </w:p>
    <w:p>
      <w:pPr>
        <w:jc w:val="both"/>
        <w:ind w:left="4" w:right="100" w:firstLine="440"/>
        <w:spacing w:after="0" w:line="301" w:lineRule="auto"/>
        <w:rPr>
          <w:sz w:val="20"/>
          <w:szCs w:val="20"/>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3.03(c)</w:t>
      </w:r>
      <w:r>
        <w:rPr>
          <w:rFonts w:ascii="Arial" w:cs="Arial" w:eastAsia="Arial" w:hAnsi="Arial"/>
          <w:sz w:val="16"/>
          <w:szCs w:val="16"/>
          <w:color w:val="auto"/>
        </w:rPr>
        <w:t xml:space="preserve">, no amendment or waiver of any provision of this Agreement or any other Loan Document, and no consent to any departure by the Company or any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amendment, waiver or consent shall:</w:t>
      </w:r>
    </w:p>
    <w:p>
      <w:pPr>
        <w:spacing w:after="0" w:line="49" w:lineRule="exact"/>
        <w:rPr>
          <w:sz w:val="20"/>
          <w:szCs w:val="20"/>
          <w:color w:val="auto"/>
        </w:rPr>
      </w:pPr>
    </w:p>
    <w:p>
      <w:pPr>
        <w:ind w:left="4" w:right="520" w:firstLine="436"/>
        <w:spacing w:after="0" w:line="279" w:lineRule="auto"/>
        <w:tabs>
          <w:tab w:leader="none" w:pos="689"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(i) extend or increase the Interim Availability, the Full Availability and/or the Commitment of any Lender (or reinstate any Commitment terminated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without the written consent of such Lender (it being understood and agreed that a waiver of any condition precedent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or of any Default or a mandatory reduction in Commitments, if any, is not considered an extension or increase in Interim Availability, the Full Availability or Commitments of any Lender);</w:t>
      </w:r>
    </w:p>
    <w:p>
      <w:pPr>
        <w:spacing w:after="0" w:line="63" w:lineRule="exact"/>
        <w:rPr>
          <w:rFonts w:ascii="Arial" w:cs="Arial" w:eastAsia="Arial" w:hAnsi="Arial"/>
          <w:sz w:val="17"/>
          <w:szCs w:val="17"/>
          <w:color w:val="auto"/>
        </w:rPr>
      </w:pPr>
    </w:p>
    <w:p>
      <w:pPr>
        <w:ind w:left="444" w:right="140" w:firstLine="419"/>
        <w:spacing w:after="0" w:line="259" w:lineRule="auto"/>
        <w:tabs>
          <w:tab w:leader="none" w:pos="1132"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or any scheduled or mandatory reduction of the Aggregate Commitments hereunder or under any other Loan Document, if any</w:t>
      </w:r>
      <w:r>
        <w:rPr>
          <w:rFonts w:ascii="Arial" w:cs="Arial" w:eastAsia="Arial" w:hAnsi="Arial"/>
          <w:sz w:val="18"/>
          <w:szCs w:val="18"/>
          <w:b w:val="1"/>
          <w:bCs w:val="1"/>
          <w:color w:val="auto"/>
        </w:rPr>
        <w:t>,</w:t>
      </w:r>
      <w:r>
        <w:rPr>
          <w:rFonts w:ascii="Arial" w:cs="Arial" w:eastAsia="Arial" w:hAnsi="Arial"/>
          <w:sz w:val="18"/>
          <w:szCs w:val="18"/>
          <w:color w:val="auto"/>
        </w:rPr>
        <w:t xml:space="preserve"> without the written consent of each Lender entitled to receive such payment or whose Commitments are to be reduced;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4"/>
          </w:cols>
          <w:pgMar w:left="436" w:top="274" w:right="459" w:bottom="1440" w:gutter="0" w:footer="0" w:header="0"/>
        </w:sectPr>
      </w:pPr>
    </w:p>
    <w:bookmarkStart w:id="111" w:name="page112"/>
    <w:bookmarkEnd w:id="111"/>
    <w:p>
      <w:pPr>
        <w:ind w:left="440" w:firstLine="419"/>
        <w:spacing w:after="0" w:line="257" w:lineRule="auto"/>
        <w:tabs>
          <w:tab w:leader="none" w:pos="1178" w:val="left"/>
        </w:tabs>
        <w:numPr>
          <w:ilvl w:val="1"/>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reduce the principal of, or the rate of interest specified herein on, any Loan or L/C Borrowing, or (subject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final proviso to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any fees or other amounts payable hereunder or under any other Loan Document without the written consent of each Lender entitled to receive such payment of principal, interest, fees or other amounts;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Required Lenders shall be necessary to amend the definition of “Default Rate” or to waive any obligation of any Borrower to pay interest or Letter of Credit Fees at the Default Rate;</w:t>
      </w:r>
    </w:p>
    <w:p>
      <w:pPr>
        <w:spacing w:after="0" w:line="79" w:lineRule="exact"/>
        <w:rPr>
          <w:rFonts w:ascii="Arial" w:cs="Arial" w:eastAsia="Arial" w:hAnsi="Arial"/>
          <w:sz w:val="18"/>
          <w:szCs w:val="18"/>
          <w:color w:val="auto"/>
        </w:rPr>
      </w:pPr>
    </w:p>
    <w:p>
      <w:pPr>
        <w:ind w:left="440" w:right="140" w:firstLine="419"/>
        <w:spacing w:after="0" w:line="277" w:lineRule="auto"/>
        <w:tabs>
          <w:tab w:leader="none" w:pos="116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pro rata sharing of payments required thereby without the written consent of each Lender;</w:t>
      </w:r>
    </w:p>
    <w:p>
      <w:pPr>
        <w:spacing w:after="0" w:line="62"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change any provision of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75" w:lineRule="exact"/>
        <w:rPr>
          <w:rFonts w:ascii="Arial" w:cs="Arial" w:eastAsia="Arial" w:hAnsi="Arial"/>
          <w:sz w:val="18"/>
          <w:szCs w:val="18"/>
          <w:color w:val="auto"/>
        </w:rPr>
      </w:pPr>
    </w:p>
    <w:p>
      <w:pPr>
        <w:ind w:left="1160" w:hanging="301"/>
        <w:spacing w:after="0"/>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change the definition of “Letter of Credit Expiration Date” to extend the date set forth therein;</w:t>
      </w:r>
    </w:p>
    <w:p>
      <w:pPr>
        <w:spacing w:after="0" w:line="117" w:lineRule="exact"/>
        <w:rPr>
          <w:rFonts w:ascii="Arial" w:cs="Arial" w:eastAsia="Arial" w:hAnsi="Arial"/>
          <w:sz w:val="18"/>
          <w:szCs w:val="18"/>
          <w:color w:val="auto"/>
        </w:rPr>
      </w:pPr>
    </w:p>
    <w:p>
      <w:pPr>
        <w:ind w:left="1220" w:hanging="361"/>
        <w:spacing w:after="0"/>
        <w:tabs>
          <w:tab w:leader="none" w:pos="122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amend </w:t>
      </w:r>
      <w:r>
        <w:rPr>
          <w:rFonts w:ascii="Arial" w:cs="Arial" w:eastAsia="Arial" w:hAnsi="Arial"/>
          <w:sz w:val="17"/>
          <w:szCs w:val="17"/>
          <w:u w:val="single" w:color="auto"/>
          <w:color w:val="auto"/>
        </w:rPr>
        <w:t>Section 1.08</w:t>
      </w:r>
      <w:r>
        <w:rPr>
          <w:rFonts w:ascii="Arial" w:cs="Arial" w:eastAsia="Arial" w:hAnsi="Arial"/>
          <w:sz w:val="17"/>
          <w:szCs w:val="17"/>
          <w:color w:val="auto"/>
        </w:rPr>
        <w:t xml:space="preserve"> or the definition of “Alternative Currency” without the written consent of each Lender directly affected thereby;</w:t>
      </w:r>
    </w:p>
    <w:p>
      <w:pPr>
        <w:spacing w:after="0" w:line="128" w:lineRule="exact"/>
        <w:rPr>
          <w:rFonts w:ascii="Arial" w:cs="Arial" w:eastAsia="Arial" w:hAnsi="Arial"/>
          <w:sz w:val="17"/>
          <w:szCs w:val="17"/>
          <w:color w:val="auto"/>
        </w:rPr>
      </w:pPr>
    </w:p>
    <w:p>
      <w:pPr>
        <w:ind w:left="1260" w:hanging="401"/>
        <w:spacing w:after="0"/>
        <w:tabs>
          <w:tab w:leader="none" w:pos="12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release the Company from its obligations under the Company Guaranty; or</w:t>
      </w:r>
    </w:p>
    <w:p>
      <w:pPr>
        <w:spacing w:after="0" w:line="117" w:lineRule="exact"/>
        <w:rPr>
          <w:rFonts w:ascii="Arial" w:cs="Arial" w:eastAsia="Arial" w:hAnsi="Arial"/>
          <w:sz w:val="18"/>
          <w:szCs w:val="18"/>
          <w:color w:val="auto"/>
        </w:rPr>
      </w:pPr>
    </w:p>
    <w:p>
      <w:pPr>
        <w:ind w:right="300" w:firstLine="436"/>
        <w:spacing w:after="0" w:line="277" w:lineRule="auto"/>
        <w:tabs>
          <w:tab w:leader="none" w:pos="6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unless also signed by the applicable L/C Issuer, affect the rights or duties of such L/C Issuer under this Agreement or any Issuer Document relating to any Letter of Credit issued or to be issued by it;</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unless also signed by the Swing Line Lender, affect the rights or duties of the Swing Line Lender under this Agreement; and</w:t>
      </w:r>
    </w:p>
    <w:p>
      <w:pPr>
        <w:spacing w:after="0" w:line="117" w:lineRule="exact"/>
        <w:rPr>
          <w:rFonts w:ascii="Arial" w:cs="Arial" w:eastAsia="Arial" w:hAnsi="Arial"/>
          <w:sz w:val="18"/>
          <w:szCs w:val="18"/>
          <w:color w:val="auto"/>
        </w:rPr>
      </w:pPr>
    </w:p>
    <w:p>
      <w:pPr>
        <w:ind w:firstLine="436"/>
        <w:spacing w:after="0" w:line="277" w:lineRule="auto"/>
        <w:tabs>
          <w:tab w:leader="none" w:pos="6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unless also signed by the Administrative Agent, affect the rights or duties of the Administrative Agent under this Agreement or any other Loan Document;</w:t>
      </w:r>
    </w:p>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anything to the contrary herein, (i) the Fee Letters may be amended, or rights or privileges thereunder waived, in a writing executed only by the parties thereto, (ii)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 (iii)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(iv) the definition of “L/C Commitment” may be amended by the Company, the Administrative Agent and each L/C Issuer to reflect the L/C Commitments of the L/C Issuers in effect from time to time, (v) the definition of “Alternative Currency” or “Alternative Currency Daily Rate” or “Alternative Currency Term Rate” or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may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80"/>
          </w:cols>
          <w:pgMar w:left="440" w:top="274" w:right="479" w:bottom="1440" w:gutter="0" w:footer="0" w:header="0"/>
        </w:sectPr>
      </w:pPr>
    </w:p>
    <w:bookmarkStart w:id="112" w:name="page113"/>
    <w:bookmarkEnd w:id="112"/>
    <w:p>
      <w:pPr>
        <w:jc w:val="both"/>
        <w:ind w:right="3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amended solely to add additional currency options and the applicable interest rate with respect thereto, in each case solely to the extent permitted pursuant to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and (vi) the Required Lenders shall determine whether or not to allow a Borrower to use cash collateral in the context of a bankruptcy or insolvency proceeding and such determination shall be binding on all of the Lenders.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10.02 </w:t>
      </w:r>
      <w:r>
        <w:rPr>
          <w:rFonts w:ascii="Arial" w:cs="Arial" w:eastAsia="Arial" w:hAnsi="Arial"/>
          <w:sz w:val="18"/>
          <w:szCs w:val="18"/>
          <w:b w:val="1"/>
          <w:bCs w:val="1"/>
          <w:u w:val="single" w:color="auto"/>
          <w:color w:val="auto"/>
        </w:rPr>
        <w:t>Notices; Effectiveness; Electronic Communication</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436"/>
        <w:spacing w:after="0" w:line="279" w:lineRule="auto"/>
        <w:tabs>
          <w:tab w:leader="none" w:pos="685"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xml:space="preserve"> Except in the case of notices and other communications expressly permitted to be given by telephone (and except as provided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63" w:lineRule="exact"/>
        <w:rPr>
          <w:rFonts w:ascii="Arial" w:cs="Arial" w:eastAsia="Arial" w:hAnsi="Arial"/>
          <w:sz w:val="17"/>
          <w:szCs w:val="17"/>
          <w:color w:val="auto"/>
        </w:rPr>
      </w:pPr>
    </w:p>
    <w:p>
      <w:pPr>
        <w:ind w:left="440" w:right="160" w:firstLine="419"/>
        <w:spacing w:after="0" w:line="277" w:lineRule="auto"/>
        <w:tabs>
          <w:tab w:leader="none" w:pos="107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if to any Borrower, the Administrative Agent, an L/C Issuer or the Swing Line Lender, to the address, facsimile number, electronic mail address or telephone number specified for such Person on Schedule 10.02; and</w:t>
      </w:r>
    </w:p>
    <w:p>
      <w:pPr>
        <w:spacing w:after="0" w:line="62" w:lineRule="exact"/>
        <w:rPr>
          <w:rFonts w:ascii="Arial" w:cs="Arial" w:eastAsia="Arial" w:hAnsi="Arial"/>
          <w:sz w:val="18"/>
          <w:szCs w:val="18"/>
          <w:color w:val="auto"/>
        </w:rPr>
      </w:pPr>
    </w:p>
    <w:p>
      <w:pPr>
        <w:ind w:left="440" w:right="400" w:firstLine="419"/>
        <w:spacing w:after="0" w:line="277" w:lineRule="auto"/>
        <w:tabs>
          <w:tab w:leader="none" w:pos="112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in its Administrative Questionnaire.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such notices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clause (b)</w:t>
      </w:r>
      <w:r>
        <w:rPr>
          <w:rFonts w:ascii="Arial" w:cs="Arial" w:eastAsia="Arial" w:hAnsi="Arial"/>
          <w:sz w:val="18"/>
          <w:szCs w:val="18"/>
          <w:color w:val="auto"/>
        </w:rPr>
        <w:t>.</w:t>
      </w:r>
    </w:p>
    <w:p>
      <w:pPr>
        <w:spacing w:after="0" w:line="80" w:lineRule="exact"/>
        <w:rPr>
          <w:sz w:val="20"/>
          <w:szCs w:val="20"/>
          <w:color w:val="auto"/>
        </w:rPr>
      </w:pPr>
    </w:p>
    <w:p>
      <w:pPr>
        <w:ind w:firstLine="436"/>
        <w:spacing w:after="0" w:line="254" w:lineRule="auto"/>
        <w:tabs>
          <w:tab w:leader="none" w:pos="695"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L/C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L/C Issuer, as applicable, has notified the Administrative Agent that it is incapable of receiving notices under such Article by electronic communication. The Administrative Agent, the L/C Issuers, the Swing Line Lender or the Company may each,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440" w:top="274" w:right="459" w:bottom="1440" w:gutter="0" w:footer="0" w:header="0"/>
        </w:sectPr>
      </w:pPr>
    </w:p>
    <w:bookmarkStart w:id="113" w:name="page114"/>
    <w:bookmarkEnd w:id="113"/>
    <w:p>
      <w:pPr>
        <w:ind w:right="60" w:firstLine="436"/>
        <w:spacing w:after="0" w:line="287" w:lineRule="auto"/>
        <w:tabs>
          <w:tab w:leader="none" w:pos="685"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Platform.</w:t>
      </w:r>
      <w:r>
        <w:rPr>
          <w:rFonts w:ascii="Arial" w:cs="Arial" w:eastAsia="Arial" w:hAnsi="Arial"/>
          <w:sz w:val="16"/>
          <w:szCs w:val="16"/>
          <w:color w:val="auto"/>
        </w:rPr>
        <w:t xml:space="preserve">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xml:space="preserve">”) have any liability to any Borrower, any Lender, any L/C Issuer or any other Person for losses, claims, damages, liabilities or expenses of any kind (whether in tort, contract or otherwise) arising out of any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Agent Party have any liability to any Borrower, any Lender, any L/C Issuer or any other Person for indirect, special, incidental, consequential or punitive damages (as opposed to direct or actual damages).</w:t>
      </w:r>
    </w:p>
    <w:p>
      <w:pPr>
        <w:spacing w:after="0" w:line="59" w:lineRule="exact"/>
        <w:rPr>
          <w:rFonts w:ascii="Arial" w:cs="Arial" w:eastAsia="Arial" w:hAnsi="Arial"/>
          <w:sz w:val="16"/>
          <w:szCs w:val="16"/>
          <w:color w:val="auto"/>
        </w:rPr>
      </w:pPr>
    </w:p>
    <w:p>
      <w:pPr>
        <w:ind w:right="60" w:firstLine="436"/>
        <w:spacing w:after="0" w:line="287" w:lineRule="auto"/>
        <w:tabs>
          <w:tab w:leader="none" w:pos="695"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xml:space="preserve"> Each of the Borrowers, the Administrative Agent, any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Issuers and the Swing Line Lender. In addition, each Lender agrees to notify the Administrative Agent from time to time as required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63" w:lineRule="exact"/>
        <w:rPr>
          <w:rFonts w:ascii="Arial" w:cs="Arial" w:eastAsia="Arial" w:hAnsi="Arial"/>
          <w:sz w:val="16"/>
          <w:szCs w:val="16"/>
          <w:color w:val="auto"/>
        </w:rPr>
      </w:pPr>
    </w:p>
    <w:p>
      <w:pPr>
        <w:ind w:right="20" w:firstLine="436"/>
        <w:spacing w:after="0" w:line="271" w:lineRule="auto"/>
        <w:tabs>
          <w:tab w:leader="none" w:pos="685"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L/C Issuers and Lenders</w:t>
      </w:r>
      <w:r>
        <w:rPr>
          <w:rFonts w:ascii="Arial" w:cs="Arial" w:eastAsia="Arial" w:hAnsi="Arial"/>
          <w:sz w:val="17"/>
          <w:szCs w:val="17"/>
          <w:color w:val="auto"/>
        </w:rPr>
        <w:t>. The Administrative Agent, the L/C Issuers and the Lenders shall be entitled to rely and act upon any notices (including telephonic or electronic Committed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the Sustainability Structuring Agent, each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10.03 </w:t>
      </w:r>
      <w:r>
        <w:rPr>
          <w:rFonts w:ascii="Arial" w:cs="Arial" w:eastAsia="Arial" w:hAnsi="Arial"/>
          <w:sz w:val="18"/>
          <w:szCs w:val="18"/>
          <w:b w:val="1"/>
          <w:bCs w:val="1"/>
          <w:u w:val="single" w:color="auto"/>
          <w:color w:val="auto"/>
        </w:rPr>
        <w:t>No Waiver; Cumulative Remedies; Enforcement</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80"/>
          </w:cols>
          <w:pgMar w:left="440" w:top="274" w:right="479" w:bottom="1440" w:gutter="0" w:footer="0" w:header="0"/>
        </w:sectPr>
      </w:pPr>
    </w:p>
    <w:bookmarkStart w:id="114" w:name="page115"/>
    <w:bookmarkEnd w:id="114"/>
    <w:p>
      <w:pPr>
        <w:jc w:val="both"/>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 or privilege hereunder preclude any other or further exercise thereof or the exercise of any other right, remedy, power or privilege. The rights, remedies, powers and privileges provided hereunder and provided under each other Loan Document are cumulative and not exclusive of any rights, remedies, powers and privileges provided by law.</w:t>
      </w:r>
    </w:p>
    <w:p>
      <w:pPr>
        <w:spacing w:after="0" w:line="184"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and the L/C Issuers;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(c)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preceding proviso and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10.04 </w:t>
      </w:r>
      <w:r>
        <w:rPr>
          <w:rFonts w:ascii="Arial" w:cs="Arial" w:eastAsia="Arial" w:hAnsi="Arial"/>
          <w:sz w:val="18"/>
          <w:szCs w:val="18"/>
          <w:b w:val="1"/>
          <w:bCs w:val="1"/>
          <w:u w:val="single" w:color="auto"/>
          <w:color w:val="auto"/>
        </w:rPr>
        <w:t>Expenses; Indemnity; Damage Waiver</w:t>
      </w:r>
      <w:r>
        <w:rPr>
          <w:rFonts w:ascii="Arial" w:cs="Arial" w:eastAsia="Arial" w:hAnsi="Arial"/>
          <w:sz w:val="18"/>
          <w:szCs w:val="18"/>
          <w:color w:val="auto"/>
        </w:rPr>
        <w:t>.</w:t>
      </w:r>
    </w:p>
    <w:p>
      <w:pPr>
        <w:spacing w:after="0" w:line="121" w:lineRule="exact"/>
        <w:rPr>
          <w:sz w:val="20"/>
          <w:szCs w:val="20"/>
          <w:color w:val="auto"/>
        </w:rPr>
      </w:pPr>
    </w:p>
    <w:p>
      <w:pPr>
        <w:ind w:right="80" w:firstLine="436"/>
        <w:spacing w:after="0" w:line="269" w:lineRule="auto"/>
        <w:tabs>
          <w:tab w:leader="none" w:pos="685"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xml:space="preserve"> The Company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L/C Issuer in connection with the issuance, amendment, renewal or extension of any Letter of Credit or any demand for payment thereunder and (iii) after and during the continuation of an Event of Default, all out-of-pocket expenses incurred by the Administrative Agent, any Lender or any L/C Issuer in connection with the enforcement or protection of its rights (A) in connection with this Agreement and the other Loan Documents, including its rights under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or (B) in connection with the Loans made or Letters of Credit issued hereunder, including all such out-of-pocket expenses incurred during any workout, restructuring or negotiations in respect of such Loans or Letters of Credit (including, with respect to </w:t>
      </w:r>
      <w:r>
        <w:rPr>
          <w:rFonts w:ascii="Arial" w:cs="Arial" w:eastAsia="Arial" w:hAnsi="Arial"/>
          <w:sz w:val="17"/>
          <w:szCs w:val="17"/>
          <w:u w:val="single" w:color="auto"/>
          <w:color w:val="auto"/>
        </w:rPr>
        <w:t>clause (iii)</w:t>
      </w:r>
      <w:r>
        <w:rPr>
          <w:rFonts w:ascii="Arial" w:cs="Arial" w:eastAsia="Arial" w:hAnsi="Arial"/>
          <w:sz w:val="17"/>
          <w:szCs w:val="17"/>
          <w:color w:val="auto"/>
        </w:rPr>
        <w:t>, the reasonable fees, charges and disbursements of any counsel for the Administrative Agent, any Lender or any L/C Issuer).</w:t>
      </w:r>
    </w:p>
    <w:p>
      <w:pPr>
        <w:spacing w:after="0" w:line="73" w:lineRule="exact"/>
        <w:rPr>
          <w:rFonts w:ascii="Arial" w:cs="Arial" w:eastAsia="Arial" w:hAnsi="Arial"/>
          <w:sz w:val="17"/>
          <w:szCs w:val="17"/>
          <w:color w:val="auto"/>
        </w:rPr>
      </w:pPr>
    </w:p>
    <w:p>
      <w:pPr>
        <w:ind w:right="20" w:firstLine="436"/>
        <w:spacing w:after="0" w:line="254" w:lineRule="auto"/>
        <w:tabs>
          <w:tab w:leader="none" w:pos="695"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Indemnification by the Company.</w:t>
      </w:r>
      <w:r>
        <w:rPr>
          <w:rFonts w:ascii="Arial" w:cs="Arial" w:eastAsia="Arial" w:hAnsi="Arial"/>
          <w:sz w:val="18"/>
          <w:szCs w:val="18"/>
          <w:color w:val="auto"/>
        </w:rPr>
        <w:t xml:space="preserve"> The Company shall indemnify the Administrative Agent (and any sub-agent thereof), the Sustainability Structuring Agent, each Lender and each L/C Issuer,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Company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440" w:top="274" w:right="459" w:bottom="1440" w:gutter="0" w:footer="0" w:header="0"/>
        </w:sectPr>
      </w:pPr>
    </w:p>
    <w:bookmarkStart w:id="115" w:name="page116"/>
    <w:bookmarkEnd w:id="115"/>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currently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Company or any other Loan Party against an Indemnitee for material breach in bad faith of such Indemnitee’s obligations hereunder or under any other Loan Document, if the Company or such other Loan Party has obtained a final and nonappealable judgment in its favor on such claim as determined by a court of competent jurisdiction, or</w:t>
      </w:r>
    </w:p>
    <w:p>
      <w:pPr>
        <w:spacing w:after="0" w:line="3" w:lineRule="exact"/>
        <w:rPr>
          <w:sz w:val="20"/>
          <w:szCs w:val="20"/>
          <w:color w:val="auto"/>
        </w:rPr>
      </w:pPr>
    </w:p>
    <w:p>
      <w:pPr>
        <w:ind w:left="4" w:right="80" w:hanging="4"/>
        <w:spacing w:after="0" w:line="253" w:lineRule="auto"/>
        <w:tabs>
          <w:tab w:leader="none" w:pos="24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arise out of, or in connection with, any investigation, litigation, proceeding or claim that does not involve an act or omission by the Company or any other Loan Party or any of its Affiliates and that is brought by an Indemnitee against any other Indemnitee (other than claims against any Indemnitee in its capacity, or in fulfilling its role, as an agent, arranger, bookrunner or other title holder in respect of this Agreement).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shall not apply with respect to Taxes other than any Taxes that represent losses, claims, damages or liabilities arising from any non-Tax claim.</w:t>
      </w:r>
    </w:p>
    <w:p>
      <w:pPr>
        <w:spacing w:after="0" w:line="82" w:lineRule="exact"/>
        <w:rPr>
          <w:rFonts w:ascii="Arial" w:cs="Arial" w:eastAsia="Arial" w:hAnsi="Arial"/>
          <w:sz w:val="18"/>
          <w:szCs w:val="18"/>
          <w:color w:val="auto"/>
        </w:rPr>
      </w:pPr>
    </w:p>
    <w:p>
      <w:pPr>
        <w:ind w:left="684" w:hanging="244"/>
        <w:spacing w:after="0"/>
        <w:tabs>
          <w:tab w:leader="none" w:pos="684"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Company for any reason fails to indefeasibly pay any amount required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w:t>
      </w:r>
    </w:p>
    <w:p>
      <w:pPr>
        <w:spacing w:after="0" w:line="46" w:lineRule="exact"/>
        <w:rPr>
          <w:rFonts w:ascii="Arial" w:cs="Arial" w:eastAsia="Arial" w:hAnsi="Arial"/>
          <w:sz w:val="16"/>
          <w:szCs w:val="16"/>
          <w:color w:val="auto"/>
        </w:rPr>
      </w:pPr>
    </w:p>
    <w:p>
      <w:pPr>
        <w:ind w:left="4" w:right="20" w:hanging="4"/>
        <w:spacing w:after="0" w:line="268" w:lineRule="auto"/>
        <w:tabs>
          <w:tab w:leader="none" w:pos="259" w:val="left"/>
        </w:tabs>
        <w:numPr>
          <w:ilvl w:val="0"/>
          <w:numId w:val="159"/>
        </w:numPr>
        <w:rPr>
          <w:rFonts w:ascii="Arial" w:cs="Arial" w:eastAsia="Arial" w:hAnsi="Arial"/>
          <w:sz w:val="17"/>
          <w:szCs w:val="17"/>
          <w:u w:val="single" w:color="auto"/>
          <w:color w:val="auto"/>
        </w:rPr>
      </w:pPr>
      <w:r>
        <w:rPr>
          <w:rFonts w:ascii="Arial" w:cs="Arial" w:eastAsia="Arial" w:hAnsi="Arial"/>
          <w:sz w:val="17"/>
          <w:szCs w:val="17"/>
          <w:color w:val="auto"/>
        </w:rPr>
        <w:t xml:space="preserve">of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to be paid by it to the Administrative Agent (or any sub-agent thereof), an L/C Issuer, the Swing Line Lender or any Related Party of any of the foregoing, each Lender severally agrees to pay to the Administrative Agent (or any such sub-agent), such L/C Issuer, the Swing Line Lender or such Related Party, as the case may be, such Lender’s pro rata share of such unpaid amount (including any such unpaid amount in respect of a claim asserted by such Lender), such payment to be made by the Lenders ratably based on their Applicable Percentages (determined as of the time that the applicable unreimbursed expense or indemnity payment is sought);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unreimbursed expense or indemnified loss, claim, damage, liability or related expense, as the case may be, was incurred by or asserted against the Administrative Agent (or any such sub-agent), the Swing Line Lender or such L/C Issuer in its capacity as such, or against any Related Party of any of the foregoing acting for the Administrative Agent (or any such sub-agent), the Swing Line Lender or such L/C Issuer in connection with such capacity. The obligations of the Lenders under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are subject to the provisions of </w:t>
      </w:r>
      <w:r>
        <w:rPr>
          <w:rFonts w:ascii="Arial" w:cs="Arial" w:eastAsia="Arial" w:hAnsi="Arial"/>
          <w:sz w:val="17"/>
          <w:szCs w:val="17"/>
          <w:u w:val="single" w:color="auto"/>
          <w:color w:val="auto"/>
        </w:rPr>
        <w:t>Section 2.12(d)</w:t>
      </w:r>
      <w:r>
        <w:rPr>
          <w:rFonts w:ascii="Arial" w:cs="Arial" w:eastAsia="Arial" w:hAnsi="Arial"/>
          <w:sz w:val="17"/>
          <w:szCs w:val="17"/>
          <w:color w:val="auto"/>
        </w:rPr>
        <w:t>.</w:t>
      </w:r>
    </w:p>
    <w:p>
      <w:pPr>
        <w:spacing w:after="0" w:line="73" w:lineRule="exact"/>
        <w:rPr>
          <w:rFonts w:ascii="Arial" w:cs="Arial" w:eastAsia="Arial" w:hAnsi="Arial"/>
          <w:sz w:val="17"/>
          <w:szCs w:val="17"/>
          <w:u w:val="single" w:color="auto"/>
          <w:color w:val="auto"/>
        </w:rPr>
      </w:pPr>
    </w:p>
    <w:p>
      <w:pPr>
        <w:ind w:left="4" w:firstLine="436"/>
        <w:spacing w:after="0" w:line="286" w:lineRule="auto"/>
        <w:tabs>
          <w:tab w:leader="none" w:pos="699"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ind w:left="4" w:right="180" w:hanging="4"/>
        <w:spacing w:after="0" w:line="295" w:lineRule="auto"/>
        <w:tabs>
          <w:tab w:leader="none" w:pos="259" w:val="left"/>
        </w:tabs>
        <w:numPr>
          <w:ilvl w:val="0"/>
          <w:numId w:val="160"/>
        </w:numPr>
        <w:rPr>
          <w:rFonts w:ascii="Arial" w:cs="Arial" w:eastAsia="Arial" w:hAnsi="Arial"/>
          <w:sz w:val="16"/>
          <w:szCs w:val="16"/>
          <w:u w:val="single" w:color="auto"/>
          <w:color w:val="auto"/>
        </w:rPr>
      </w:pPr>
      <w:r>
        <w:rPr>
          <w:rFonts w:ascii="Arial" w:cs="Arial" w:eastAsia="Arial" w:hAnsi="Arial"/>
          <w:sz w:val="16"/>
          <w:szCs w:val="16"/>
          <w:color w:val="auto"/>
        </w:rPr>
        <w:t>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84"/>
          </w:cols>
          <w:pgMar w:left="436" w:top="274" w:right="479" w:bottom="1440" w:gutter="0" w:footer="0" w:header="0"/>
        </w:sectPr>
      </w:pPr>
    </w:p>
    <w:bookmarkStart w:id="116" w:name="page117"/>
    <w:bookmarkEnd w:id="116"/>
    <w:p>
      <w:pPr>
        <w:ind w:left="680" w:hanging="244"/>
        <w:spacing w:after="0"/>
        <w:tabs>
          <w:tab w:leader="none" w:pos="68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w:t>
      </w:r>
      <w:r>
        <w:rPr>
          <w:rFonts w:ascii="Arial" w:cs="Arial" w:eastAsia="Arial" w:hAnsi="Arial"/>
          <w:sz w:val="18"/>
          <w:szCs w:val="18"/>
          <w:color w:val="auto"/>
        </w:rPr>
        <w:t xml:space="preserve"> All amounts due under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be payable not later than ten Business Days after demand therefor.</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and the indemnity provisions of </w:t>
      </w:r>
      <w:r>
        <w:rPr>
          <w:rFonts w:ascii="Arial" w:cs="Arial" w:eastAsia="Arial" w:hAnsi="Arial"/>
          <w:sz w:val="17"/>
          <w:szCs w:val="17"/>
          <w:u w:val="single" w:color="auto"/>
          <w:color w:val="auto"/>
        </w:rPr>
        <w:t>Section 10.02(e)</w:t>
      </w:r>
      <w:r>
        <w:rPr>
          <w:rFonts w:ascii="Arial" w:cs="Arial" w:eastAsia="Arial" w:hAnsi="Arial"/>
          <w:sz w:val="17"/>
          <w:szCs w:val="17"/>
          <w:color w:val="auto"/>
        </w:rPr>
        <w:t xml:space="preserve"> shall survive the resignation of the</w:t>
      </w:r>
    </w:p>
    <w:p>
      <w:pPr>
        <w:spacing w:after="0" w:line="34" w:lineRule="exact"/>
        <w:rPr>
          <w:rFonts w:ascii="Arial" w:cs="Arial" w:eastAsia="Arial" w:hAnsi="Arial"/>
          <w:sz w:val="17"/>
          <w:szCs w:val="17"/>
          <w:color w:val="auto"/>
        </w:rPr>
      </w:pPr>
    </w:p>
    <w:p>
      <w:pPr>
        <w:ind w:right="180"/>
        <w:spacing w:after="0" w:line="260" w:lineRule="auto"/>
        <w:rPr>
          <w:rFonts w:ascii="Arial" w:cs="Arial" w:eastAsia="Arial" w:hAnsi="Arial"/>
          <w:sz w:val="17"/>
          <w:szCs w:val="17"/>
          <w:color w:val="auto"/>
        </w:rPr>
      </w:pPr>
      <w:r>
        <w:rPr>
          <w:rFonts w:ascii="Arial" w:cs="Arial" w:eastAsia="Arial" w:hAnsi="Arial"/>
          <w:sz w:val="18"/>
          <w:szCs w:val="18"/>
          <w:color w:val="auto"/>
        </w:rPr>
        <w:t>Administrative Agent, the L/C Issuers and the Swing Line Lender, the replacement of any Lender, the termination of the Aggregate Commitments and the repayment, satisfaction or discharge of all the other Obligations.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10.05 </w:t>
      </w:r>
      <w:r>
        <w:rPr>
          <w:rFonts w:ascii="Arial" w:cs="Arial" w:eastAsia="Arial" w:hAnsi="Arial"/>
          <w:sz w:val="18"/>
          <w:szCs w:val="18"/>
          <w:b w:val="1"/>
          <w:bCs w:val="1"/>
          <w:u w:val="single" w:color="auto"/>
          <w:color w:val="auto"/>
        </w:rPr>
        <w:t>Payments Set Aside</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To the extent that any payment by or on behalf of any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and to the extent permitted by applicable Law,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preceding sentence shall survive the payment in full of the Obligations and the termination of this 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10.06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36"/>
        <w:spacing w:after="0" w:line="269" w:lineRule="auto"/>
        <w:tabs>
          <w:tab w:leader="none" w:pos="685"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the Sustainability Structuring Agent, and each Lender and no Lender may assign or otherwise transfer any of its rights or obligations hereunder except (i) to an assignee in accordance with the provisions of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(ii) by way of participation in accordance with the provisions of </w:t>
      </w:r>
      <w:r>
        <w:rPr>
          <w:rFonts w:ascii="Arial" w:cs="Arial" w:eastAsia="Arial" w:hAnsi="Arial"/>
          <w:sz w:val="17"/>
          <w:szCs w:val="17"/>
          <w:u w:val="single" w:color="auto"/>
          <w:color w:val="auto"/>
        </w:rPr>
        <w:t>Section 10.06(d)</w:t>
      </w:r>
      <w:r>
        <w:rPr>
          <w:rFonts w:ascii="Arial" w:cs="Arial" w:eastAsia="Arial" w:hAnsi="Arial"/>
          <w:sz w:val="17"/>
          <w:szCs w:val="17"/>
          <w:color w:val="auto"/>
        </w:rPr>
        <w:t xml:space="preserve">, or (iii) by way of pledge or assignment of a security interest subject to the restrictions of </w:t>
      </w:r>
      <w:r>
        <w:rPr>
          <w:rFonts w:ascii="Arial" w:cs="Arial" w:eastAsia="Arial" w:hAnsi="Arial"/>
          <w:sz w:val="17"/>
          <w:szCs w:val="17"/>
          <w:u w:val="single" w:color="auto"/>
          <w:color w:val="auto"/>
        </w:rPr>
        <w:t>Section 10.06(f)</w:t>
      </w:r>
      <w:r>
        <w:rPr>
          <w:rFonts w:ascii="Arial" w:cs="Arial" w:eastAsia="Arial" w:hAnsi="Arial"/>
          <w:sz w:val="17"/>
          <w:szCs w:val="17"/>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7"/>
          <w:szCs w:val="17"/>
          <w:u w:val="single" w:color="auto"/>
          <w:color w:val="auto"/>
        </w:rPr>
        <w:t>Section 10.06(d)</w:t>
      </w:r>
      <w:r>
        <w:rPr>
          <w:rFonts w:ascii="Arial" w:cs="Arial" w:eastAsia="Arial" w:hAnsi="Arial"/>
          <w:sz w:val="17"/>
          <w:szCs w:val="17"/>
          <w:color w:val="auto"/>
        </w:rPr>
        <w:t xml:space="preserve"> and, to the extent expressly contemplated hereby, the Related Parties of each of the Administrative Agent, the Sustainability Structuring Agent, the L/C Issuers and the Lenders) any legal or equitable right, remedy or claim under or by reason of this Agreement.</w:t>
      </w:r>
    </w:p>
    <w:p>
      <w:pPr>
        <w:spacing w:after="0" w:line="77" w:lineRule="exact"/>
        <w:rPr>
          <w:rFonts w:ascii="Arial" w:cs="Arial" w:eastAsia="Arial" w:hAnsi="Arial"/>
          <w:sz w:val="17"/>
          <w:szCs w:val="17"/>
          <w:color w:val="auto"/>
        </w:rPr>
      </w:pPr>
    </w:p>
    <w:p>
      <w:pPr>
        <w:ind w:right="100" w:firstLine="436"/>
        <w:spacing w:after="0" w:line="259" w:lineRule="auto"/>
        <w:tabs>
          <w:tab w:leader="none" w:pos="695"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participations in L/C Obligations and in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0"/>
          </w:cols>
          <w:pgMar w:left="440" w:top="274" w:right="459" w:bottom="1440" w:gutter="0" w:footer="0" w:header="0"/>
        </w:sectPr>
      </w:pPr>
    </w:p>
    <w:bookmarkStart w:id="117" w:name="page118"/>
    <w:bookmarkEnd w:id="117"/>
    <w:p>
      <w:pPr>
        <w:ind w:left="640" w:hanging="221"/>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140" w:firstLine="408"/>
        <w:spacing w:after="0" w:line="259" w:lineRule="auto"/>
        <w:tabs>
          <w:tab w:leader="none" w:pos="123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in the case of an assignment of the entire remaining amount of the assigning Lender’s Commitment and the Loans at the time owing to it or contemporaneous assignments to related Approved Funds that equal at least the amount specified in </w:t>
      </w:r>
      <w:r>
        <w:rPr>
          <w:rFonts w:ascii="Arial" w:cs="Arial" w:eastAsia="Arial" w:hAnsi="Arial"/>
          <w:sz w:val="18"/>
          <w:szCs w:val="18"/>
          <w:u w:val="single" w:color="auto"/>
          <w:color w:val="auto"/>
        </w:rPr>
        <w:t>clause (b)(i)(B)</w:t>
      </w:r>
      <w:r>
        <w:rPr>
          <w:rFonts w:ascii="Arial" w:cs="Arial" w:eastAsia="Arial" w:hAnsi="Arial"/>
          <w:sz w:val="18"/>
          <w:szCs w:val="18"/>
          <w:color w:val="auto"/>
        </w:rPr>
        <w:t xml:space="preserve"> of this Section in the aggregate or in the case of an assignment to a Lender, an Affiliate of a Lender or an Approved Fund, no minimum amount need be assigned; and</w:t>
      </w:r>
    </w:p>
    <w:p>
      <w:pPr>
        <w:spacing w:after="0" w:line="78" w:lineRule="exact"/>
        <w:rPr>
          <w:rFonts w:ascii="Arial" w:cs="Arial" w:eastAsia="Arial" w:hAnsi="Arial"/>
          <w:sz w:val="18"/>
          <w:szCs w:val="18"/>
          <w:color w:val="auto"/>
        </w:rPr>
      </w:pPr>
    </w:p>
    <w:p>
      <w:pPr>
        <w:ind w:left="540" w:right="180" w:firstLine="408"/>
        <w:spacing w:after="0" w:line="293" w:lineRule="auto"/>
        <w:tabs>
          <w:tab w:leader="none" w:pos="1226"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in any case not described in </w:t>
      </w:r>
      <w:r>
        <w:rPr>
          <w:rFonts w:ascii="Arial" w:cs="Arial" w:eastAsia="Arial" w:hAnsi="Arial"/>
          <w:sz w:val="16"/>
          <w:szCs w:val="16"/>
          <w:u w:val="single" w:color="auto"/>
          <w:color w:val="auto"/>
        </w:rPr>
        <w:t>clause (b)(i)(A)</w:t>
      </w:r>
      <w:r>
        <w:rPr>
          <w:rFonts w:ascii="Arial" w:cs="Arial" w:eastAsia="Arial" w:hAnsi="Arial"/>
          <w:sz w:val="16"/>
          <w:szCs w:val="16"/>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$10,000,000 unless each of the Administrative Agent and, so long as no Event of Default has occurred and is continuing, the Company otherwise consents (each such consent not to be unreasonably withheld or delayed).</w:t>
      </w:r>
    </w:p>
    <w:p>
      <w:pPr>
        <w:spacing w:after="0" w:line="56" w:lineRule="exact"/>
        <w:rPr>
          <w:rFonts w:ascii="Arial" w:cs="Arial" w:eastAsia="Arial" w:hAnsi="Arial"/>
          <w:sz w:val="16"/>
          <w:szCs w:val="16"/>
          <w:color w:val="auto"/>
        </w:rPr>
      </w:pPr>
    </w:p>
    <w:p>
      <w:pPr>
        <w:ind w:right="200" w:firstLine="419"/>
        <w:spacing w:after="0" w:line="263" w:lineRule="auto"/>
        <w:tabs>
          <w:tab w:leader="none" w:pos="688"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not apply to the Swing Line Lender’s rights and obligations in respect of Swing Line Loans;</w:t>
      </w:r>
    </w:p>
    <w:p>
      <w:pPr>
        <w:spacing w:after="0" w:line="75" w:lineRule="exact"/>
        <w:rPr>
          <w:rFonts w:ascii="Arial" w:cs="Arial" w:eastAsia="Arial" w:hAnsi="Arial"/>
          <w:sz w:val="18"/>
          <w:szCs w:val="18"/>
          <w:color w:val="auto"/>
        </w:rPr>
      </w:pPr>
    </w:p>
    <w:p>
      <w:pPr>
        <w:ind w:right="340" w:firstLine="419"/>
        <w:spacing w:after="0" w:line="277" w:lineRule="auto"/>
        <w:tabs>
          <w:tab w:leader="none" w:pos="738"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clause (b)(i)(B)</w:t>
      </w:r>
      <w:r>
        <w:rPr>
          <w:rFonts w:ascii="Arial" w:cs="Arial" w:eastAsia="Arial" w:hAnsi="Arial"/>
          <w:sz w:val="18"/>
          <w:szCs w:val="18"/>
          <w:color w:val="auto"/>
        </w:rPr>
        <w:t xml:space="preserve"> of this Section and, in addition:</w:t>
      </w:r>
    </w:p>
    <w:p>
      <w:pPr>
        <w:spacing w:after="0" w:line="62" w:lineRule="exact"/>
        <w:rPr>
          <w:rFonts w:ascii="Arial" w:cs="Arial" w:eastAsia="Arial" w:hAnsi="Arial"/>
          <w:sz w:val="18"/>
          <w:szCs w:val="18"/>
          <w:color w:val="auto"/>
        </w:rPr>
      </w:pPr>
    </w:p>
    <w:p>
      <w:pPr>
        <w:ind w:left="540" w:right="100" w:firstLine="408"/>
        <w:spacing w:after="0" w:line="263" w:lineRule="auto"/>
        <w:tabs>
          <w:tab w:leader="none" w:pos="123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consent of the Company (such consent not to be unreasonably withheld or delayed) shall be required unless (1) an Event of Default has occurred and is continuing at the time of such assignment or (2) such assignment is to a Lender, an Affiliate of a Lender or an Approved Fund;</w:t>
      </w:r>
    </w:p>
    <w:p>
      <w:pPr>
        <w:spacing w:after="0" w:line="75" w:lineRule="exact"/>
        <w:rPr>
          <w:rFonts w:ascii="Arial" w:cs="Arial" w:eastAsia="Arial" w:hAnsi="Arial"/>
          <w:sz w:val="18"/>
          <w:szCs w:val="18"/>
          <w:color w:val="auto"/>
        </w:rPr>
      </w:pPr>
    </w:p>
    <w:p>
      <w:pPr>
        <w:ind w:left="540" w:right="420" w:firstLine="408"/>
        <w:spacing w:after="0" w:line="342" w:lineRule="auto"/>
        <w:tabs>
          <w:tab w:leader="none" w:pos="1226"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15" w:lineRule="exact"/>
        <w:rPr>
          <w:rFonts w:ascii="Arial" w:cs="Arial" w:eastAsia="Arial" w:hAnsi="Arial"/>
          <w:sz w:val="16"/>
          <w:szCs w:val="16"/>
          <w:color w:val="auto"/>
        </w:rPr>
      </w:pPr>
    </w:p>
    <w:p>
      <w:pPr>
        <w:ind w:left="540" w:right="220" w:firstLine="408"/>
        <w:spacing w:after="0" w:line="277" w:lineRule="auto"/>
        <w:tabs>
          <w:tab w:leader="none" w:pos="122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consent of each L/C Issuer and the Swing Line Lender (such consents not to be unreasonably withheld or delayed) shall be required for any assignment.</w:t>
      </w:r>
    </w:p>
    <w:p>
      <w:pPr>
        <w:spacing w:after="0" w:line="62" w:lineRule="exact"/>
        <w:rPr>
          <w:rFonts w:ascii="Arial" w:cs="Arial" w:eastAsia="Arial" w:hAnsi="Arial"/>
          <w:sz w:val="18"/>
          <w:szCs w:val="18"/>
          <w:color w:val="auto"/>
        </w:rPr>
      </w:pPr>
    </w:p>
    <w:p>
      <w:pPr>
        <w:ind w:firstLine="419"/>
        <w:spacing w:after="0" w:line="259" w:lineRule="auto"/>
        <w:tabs>
          <w:tab w:leader="none" w:pos="728"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right="40" w:firstLine="419"/>
        <w:spacing w:after="0" w:line="263" w:lineRule="auto"/>
        <w:tabs>
          <w:tab w:leader="none" w:pos="678"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the Company or any of the Company’s Affiliates or Subsidiaries,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560"/>
          </w:cols>
          <w:pgMar w:left="880" w:top="274" w:right="459" w:bottom="1440" w:gutter="0" w:footer="0" w:header="0"/>
        </w:sectPr>
      </w:pPr>
    </w:p>
    <w:bookmarkStart w:id="118" w:name="page119"/>
    <w:bookmarkEnd w:id="118"/>
    <w:p>
      <w:pPr>
        <w:ind w:left="444" w:right="60" w:firstLine="419"/>
        <w:spacing w:after="0" w:line="287" w:lineRule="auto"/>
        <w:tabs>
          <w:tab w:leader="none" w:pos="1172"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Additional Payments.</w:t>
      </w:r>
      <w:r>
        <w:rPr>
          <w:rFonts w:ascii="Arial" w:cs="Arial" w:eastAsia="Arial" w:hAnsi="Arial"/>
          <w:sz w:val="16"/>
          <w:szCs w:val="16"/>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2"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w:t>
      </w:r>
      <w:r>
        <w:rPr>
          <w:rFonts w:ascii="Arial" w:cs="Arial" w:eastAsia="Arial" w:hAnsi="Arial"/>
          <w:sz w:val="17"/>
          <w:szCs w:val="17"/>
          <w:u w:val="single" w:color="auto"/>
          <w:color w:val="auto"/>
        </w:rPr>
        <w:t>Section 10.06(c)</w:t>
      </w:r>
      <w:r>
        <w:rPr>
          <w:rFonts w:ascii="Arial" w:cs="Arial" w:eastAsia="Arial" w:hAnsi="Arial"/>
          <w:sz w:val="17"/>
          <w:szCs w:val="17"/>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clause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Section 10.06(d)</w:t>
      </w:r>
      <w:r>
        <w:rPr>
          <w:rFonts w:ascii="Arial" w:cs="Arial" w:eastAsia="Arial" w:hAnsi="Arial"/>
          <w:sz w:val="17"/>
          <w:szCs w:val="17"/>
          <w:color w:val="auto"/>
        </w:rPr>
        <w:t>.</w:t>
      </w:r>
    </w:p>
    <w:p>
      <w:pPr>
        <w:spacing w:after="0" w:line="74" w:lineRule="exact"/>
        <w:rPr>
          <w:sz w:val="20"/>
          <w:szCs w:val="20"/>
          <w:color w:val="auto"/>
        </w:rPr>
      </w:pPr>
    </w:p>
    <w:p>
      <w:pPr>
        <w:ind w:left="4" w:right="20" w:firstLine="436"/>
        <w:spacing w:after="0" w:line="254" w:lineRule="auto"/>
        <w:tabs>
          <w:tab w:leader="none" w:pos="689"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spacing w:after="0" w:line="192"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Upon its receipt of a duly completed Assignment and Assumption executed by an assigning Lender and an assignee, an Administrative Questionnaire completed in respect of the assignee (unless the assignee shall already be a Lender hereunder), the processing and recordation fee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(if applicable), the written consent of the Administrative Agent, each L/C Issuer and the Swing Line Lender and, if required, the applicable Borrower to such assignment, and any applicable Tax forms, the Administrative Agent shall (i) accept such Assignment and Assumption and</w:t>
      </w:r>
    </w:p>
    <w:p>
      <w:pPr>
        <w:spacing w:after="0" w:line="1" w:lineRule="exact"/>
        <w:rPr>
          <w:sz w:val="20"/>
          <w:szCs w:val="20"/>
          <w:color w:val="auto"/>
        </w:rPr>
      </w:pPr>
    </w:p>
    <w:p>
      <w:pPr>
        <w:ind w:left="4" w:right="320" w:hanging="4"/>
        <w:spacing w:after="0" w:line="260" w:lineRule="auto"/>
        <w:tabs>
          <w:tab w:leader="none" w:pos="26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promptly record the information contained therein in the Register. No assignment shall be effective unless it has been recorded in the Register as provided in this </w:t>
      </w:r>
      <w:r>
        <w:rPr>
          <w:rFonts w:ascii="Arial" w:cs="Arial" w:eastAsia="Arial" w:hAnsi="Arial"/>
          <w:sz w:val="18"/>
          <w:szCs w:val="18"/>
          <w:u w:val="single" w:color="auto"/>
          <w:color w:val="auto"/>
        </w:rPr>
        <w:t>clause (c)</w:t>
      </w:r>
      <w:r>
        <w:rPr>
          <w:rFonts w:ascii="Arial" w:cs="Arial" w:eastAsia="Arial" w:hAnsi="Arial"/>
          <w:sz w:val="18"/>
          <w:szCs w:val="18"/>
          <w:color w:val="auto"/>
        </w:rPr>
        <w:t>.</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84"/>
          </w:cols>
          <w:pgMar w:left="436" w:top="274" w:right="479" w:bottom="1440" w:gutter="0" w:footer="0" w:header="0"/>
        </w:sectPr>
      </w:pPr>
    </w:p>
    <w:bookmarkStart w:id="119" w:name="page120"/>
    <w:bookmarkEnd w:id="119"/>
    <w:p>
      <w:pPr>
        <w:ind w:right="60" w:firstLine="436"/>
        <w:spacing w:after="0" w:line="253" w:lineRule="auto"/>
        <w:tabs>
          <w:tab w:leader="none" w:pos="695"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Participations.</w:t>
      </w:r>
      <w:r>
        <w:rPr>
          <w:rFonts w:ascii="Arial" w:cs="Arial" w:eastAsia="Arial" w:hAnsi="Arial"/>
          <w:sz w:val="18"/>
          <w:szCs w:val="18"/>
          <w:color w:val="auto"/>
        </w:rPr>
        <w:t xml:space="preserve"> Any Lender may at any time, without the consent of, or notice to, any Borrower or the Administrative Agent, the L/C Issuers, the Swing Line Lender or the Sustainability Structuring Agent, sell participations to any Person (other than a natural Person, a Defaulting Lender or the Company or any of the Company’s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without regard to the existence of any participation.</w:t>
      </w:r>
    </w:p>
    <w:p>
      <w:pPr>
        <w:spacing w:after="0" w:line="196"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10.01(a)</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Section 10.06(e)</w:t>
      </w:r>
      <w:r>
        <w:rPr>
          <w:rFonts w:ascii="Arial" w:cs="Arial" w:eastAsia="Arial" w:hAnsi="Arial"/>
          <w:sz w:val="16"/>
          <w:szCs w:val="16"/>
          <w:color w:val="auto"/>
        </w:rPr>
        <w:t xml:space="preserve">, each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10.13</w:t>
      </w:r>
      <w:r>
        <w:rPr>
          <w:rFonts w:ascii="Arial" w:cs="Arial" w:eastAsia="Arial" w:hAnsi="Arial"/>
          <w:sz w:val="16"/>
          <w:szCs w:val="16"/>
          <w:color w:val="auto"/>
        </w:rPr>
        <w:t xml:space="preserve"> as if it were an assignee under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Each Lender that sells a participation agrees, at the Company’s request and expense, to use reasonable efforts to cooperate with the Borrowers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63" w:lineRule="exact"/>
        <w:rPr>
          <w:sz w:val="20"/>
          <w:szCs w:val="20"/>
          <w:color w:val="auto"/>
        </w:rPr>
      </w:pPr>
    </w:p>
    <w:p>
      <w:pPr>
        <w:ind w:firstLine="436"/>
        <w:spacing w:after="0" w:line="257" w:lineRule="auto"/>
        <w:tabs>
          <w:tab w:leader="none" w:pos="68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3.04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the Company is notified of the participation sold to such Participant and such Participant agrees, for the benefit of the Borrowers,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as though it were a Lender.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80"/>
          </w:cols>
          <w:pgMar w:left="440" w:top="274" w:right="479" w:bottom="1440" w:gutter="0" w:footer="0" w:header="0"/>
        </w:sectPr>
      </w:pPr>
    </w:p>
    <w:bookmarkStart w:id="120" w:name="page121"/>
    <w:bookmarkEnd w:id="120"/>
    <w:p>
      <w:pPr>
        <w:ind w:left="4" w:right="60" w:firstLine="436"/>
        <w:spacing w:after="0" w:line="259" w:lineRule="auto"/>
        <w:tabs>
          <w:tab w:leader="none" w:pos="669"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or any other central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8" w:lineRule="exact"/>
        <w:rPr>
          <w:rFonts w:ascii="Arial" w:cs="Arial" w:eastAsia="Arial" w:hAnsi="Arial"/>
          <w:sz w:val="18"/>
          <w:szCs w:val="18"/>
          <w:color w:val="auto"/>
        </w:rPr>
      </w:pPr>
    </w:p>
    <w:p>
      <w:pPr>
        <w:ind w:left="4" w:right="20" w:firstLine="436"/>
        <w:spacing w:after="0" w:line="268" w:lineRule="auto"/>
        <w:tabs>
          <w:tab w:leader="none" w:pos="699"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Resignation as L/C Issuer or Swing Line Lender after Assignment</w:t>
      </w:r>
      <w:r>
        <w:rPr>
          <w:rFonts w:ascii="Arial" w:cs="Arial" w:eastAsia="Arial" w:hAnsi="Arial"/>
          <w:sz w:val="17"/>
          <w:szCs w:val="17"/>
          <w:color w:val="auto"/>
        </w:rPr>
        <w:t xml:space="preserve">. Notwithstanding anything to the contrary contained herein, if at any time any L/C Issuer assigns all of its Commitment and Loans pursuant to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such L/C Issuer may, upon 30 days’ notice to the Company and the Lenders, resign as L/C Issuer and/or, in the case of Bank of America, upon 30 days’ notice to the Company, resign as Swing Line Lender. In the event of any such resignation as L/C Issuer or Swing Line Lender, the Company shall be entitled to appoint from among the Lenders a successor L/C Issuer or Swing Line Lender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failure by the Company to appoint any such successor shall affect the resignation of such L/C Issuer or Bank of America as Swing Line Lender, as the case may be. If an L/C Issuer resigns as L/C Issuer, it shall retain all the rights, powers, privileges and duties of an L/C Issuer hereunder with respect to all Letters of Credit outstanding as of the effective date of its resignation as L/C Issuer and all L/C Obligations with respect thereto (including the right to require the Lenders to make Base Rate Committed Loans or fund risk participations in Unreimbursed Amounts pursuant to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 </w:t>
      </w:r>
      <w:r>
        <w:rPr>
          <w:rFonts w:ascii="Arial" w:cs="Arial" w:eastAsia="Arial" w:hAnsi="Arial"/>
          <w:sz w:val="17"/>
          <w:szCs w:val="17"/>
          <w:u w:val="single" w:color="auto"/>
          <w:color w:val="auto"/>
        </w:rPr>
        <w:t>Section 2.04(c)</w:t>
      </w:r>
      <w:r>
        <w:rPr>
          <w:rFonts w:ascii="Arial" w:cs="Arial" w:eastAsia="Arial" w:hAnsi="Arial"/>
          <w:sz w:val="17"/>
          <w:szCs w:val="17"/>
          <w:color w:val="auto"/>
        </w:rPr>
        <w:t>. Upon the appointment of a successor L/C Issuer and/or Swing Line Lender, subject to such successor’s consent,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the resigning L/C Issuer to effectively assume the obligations of the resigning L/C Issuer with respect to such Letters of Credit.</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10.07 </w:t>
      </w:r>
      <w:r>
        <w:rPr>
          <w:rFonts w:ascii="Arial" w:cs="Arial" w:eastAsia="Arial" w:hAnsi="Arial"/>
          <w:sz w:val="18"/>
          <w:szCs w:val="18"/>
          <w:b w:val="1"/>
          <w:bCs w:val="1"/>
          <w:u w:val="single" w:color="auto"/>
          <w:color w:val="auto"/>
        </w:rPr>
        <w:t>Treatment of Certain Information; Confidentiality</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Each of the Administrative Agent, the Lenders and the L/C Issuers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by any subpoena or similar legal process, (in which case, the Administrative Agent, such L/C Issuer or such Lender shall use its reasonable efforts, to the extent permitted by law, to notify the Company prior to such disclosure so that the Company may seek, at the Company’s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Arial" w:cs="Arial" w:eastAsia="Arial" w:hAnsi="Arial"/>
          <w:sz w:val="16"/>
          <w:szCs w:val="16"/>
          <w:u w:val="single" w:color="auto"/>
          <w:color w:val="auto"/>
        </w:rPr>
        <w:t>Section 10.07</w:t>
      </w:r>
      <w:r>
        <w:rPr>
          <w:rFonts w:ascii="Arial" w:cs="Arial" w:eastAsia="Arial" w:hAnsi="Arial"/>
          <w:sz w:val="16"/>
          <w:szCs w:val="16"/>
          <w:color w:val="auto"/>
        </w:rPr>
        <w:t xml:space="preserve">,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16"/>
          <w:szCs w:val="16"/>
          <w:u w:val="single" w:color="auto"/>
          <w:color w:val="auto"/>
        </w:rPr>
        <w:t>Section 2.15(c)</w:t>
      </w:r>
      <w:r>
        <w:rPr>
          <w:rFonts w:ascii="Arial" w:cs="Arial" w:eastAsia="Arial" w:hAnsi="Arial"/>
          <w:sz w:val="16"/>
          <w:szCs w:val="16"/>
          <w:color w:val="auto"/>
        </w:rPr>
        <w:t xml:space="preserve"> or</w:t>
      </w:r>
    </w:p>
    <w:p>
      <w:pPr>
        <w:spacing w:after="0" w:line="4" w:lineRule="exact"/>
        <w:rPr>
          <w:sz w:val="20"/>
          <w:szCs w:val="20"/>
          <w:color w:val="auto"/>
        </w:rPr>
      </w:pPr>
    </w:p>
    <w:p>
      <w:pPr>
        <w:ind w:left="264" w:hanging="264"/>
        <w:spacing w:after="0"/>
        <w:tabs>
          <w:tab w:leader="none" w:pos="26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any actual or prospective counterparty (or its Related Parties) to any swap or derivative transaction relating to any Borrower and its obligations,</w:t>
      </w:r>
    </w:p>
    <w:p>
      <w:pPr>
        <w:spacing w:after="0" w:line="20" w:lineRule="exact"/>
        <w:rPr>
          <w:rFonts w:ascii="Arial" w:cs="Arial" w:eastAsia="Arial" w:hAnsi="Arial"/>
          <w:sz w:val="17"/>
          <w:szCs w:val="17"/>
          <w:color w:val="auto"/>
        </w:rPr>
      </w:pPr>
    </w:p>
    <w:p>
      <w:pPr>
        <w:ind w:left="4" w:right="120" w:hanging="4"/>
        <w:spacing w:after="0" w:line="323" w:lineRule="auto"/>
        <w:tabs>
          <w:tab w:leader="none" w:pos="25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with the consent of the Company, (h) any rating agency in connection with rating the Borrower or its Subsidiaries and, in the case of information regarding the closing date, size, type, purpose of and parties to the credit facilities established hereunder, to market data collectors, such as league table</w:t>
      </w:r>
    </w:p>
    <w:p>
      <w:pPr>
        <w:spacing w:after="0" w:line="7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4"/>
          </w:cols>
          <w:pgMar w:left="436" w:top="274" w:right="459" w:bottom="1440" w:gutter="0" w:footer="0" w:header="0"/>
        </w:sectPr>
      </w:pPr>
    </w:p>
    <w:bookmarkStart w:id="121" w:name="page122"/>
    <w:bookmarkEnd w:id="121"/>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other service providers to the lending industry, including, without limitation, the CUSIP Service Bureau, or (i) to the extent such Information</w:t>
      </w:r>
    </w:p>
    <w:p>
      <w:pPr>
        <w:spacing w:after="0" w:line="35" w:lineRule="exact"/>
        <w:rPr>
          <w:sz w:val="20"/>
          <w:szCs w:val="20"/>
          <w:color w:val="auto"/>
        </w:rPr>
      </w:pPr>
    </w:p>
    <w:p>
      <w:pPr>
        <w:jc w:val="both"/>
        <w:ind w:left="4" w:hanging="4"/>
        <w:spacing w:after="0" w:line="255" w:lineRule="auto"/>
        <w:tabs>
          <w:tab w:leader="none" w:pos="25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becomes publicly available other than as a result of a breach of this </w:t>
      </w:r>
      <w:r>
        <w:rPr>
          <w:rFonts w:ascii="Arial" w:cs="Arial" w:eastAsia="Arial" w:hAnsi="Arial"/>
          <w:sz w:val="18"/>
          <w:szCs w:val="18"/>
          <w:u w:val="single" w:color="auto"/>
          <w:color w:val="auto"/>
        </w:rPr>
        <w:t>Section 10.07</w:t>
      </w:r>
      <w:r>
        <w:rPr>
          <w:rFonts w:ascii="Arial" w:cs="Arial" w:eastAsia="Arial" w:hAnsi="Arial"/>
          <w:sz w:val="18"/>
          <w:szCs w:val="18"/>
          <w:color w:val="auto"/>
        </w:rPr>
        <w:t xml:space="preserve"> or (y) becomes available to the Administrative Agent, any Lender, any L/C Issuer or any of their respective Affiliates, other than as a result of a breach of this </w:t>
      </w:r>
      <w:r>
        <w:rPr>
          <w:rFonts w:ascii="Arial" w:cs="Arial" w:eastAsia="Arial" w:hAnsi="Arial"/>
          <w:sz w:val="18"/>
          <w:szCs w:val="18"/>
          <w:u w:val="single" w:color="auto"/>
          <w:color w:val="auto"/>
        </w:rPr>
        <w:t>Section 10.07</w:t>
      </w:r>
      <w:r>
        <w:rPr>
          <w:rFonts w:ascii="Arial" w:cs="Arial" w:eastAsia="Arial" w:hAnsi="Arial"/>
          <w:sz w:val="18"/>
          <w:szCs w:val="18"/>
          <w:color w:val="auto"/>
        </w:rPr>
        <w:t>, on a nonconfidential basis from a source other than the Company or any of its Subsidiaries.</w:t>
      </w:r>
    </w:p>
    <w:p>
      <w:pPr>
        <w:spacing w:after="0" w:line="190"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10.07</w:t>
      </w:r>
      <w:r>
        <w:rPr>
          <w:rFonts w:ascii="Arial" w:cs="Arial" w:eastAsia="Arial" w:hAnsi="Arial"/>
          <w:sz w:val="18"/>
          <w:szCs w:val="18"/>
          <w:color w:val="auto"/>
        </w:rPr>
        <w:t>,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Company or any Subsidiary relating to the Company or any Subsidiary or any of their respective businesses, other than (a) any such information that is available to the Administrative Agent, any Lender or any L/C Issuer on a nonconfidential basis prior to disclosure by the Company or any Subsidiary and (b) information pertaining to this Agreement of the type routinely provided by arrangers to data service providers, including league table providers, that serve the lending industry. Any Person required to maintain the confidentiality of Information as provided in this </w:t>
      </w:r>
      <w:r>
        <w:rPr>
          <w:rFonts w:ascii="Arial" w:cs="Arial" w:eastAsia="Arial" w:hAnsi="Arial"/>
          <w:sz w:val="18"/>
          <w:szCs w:val="18"/>
          <w:u w:val="single" w:color="auto"/>
          <w:color w:val="auto"/>
        </w:rPr>
        <w:t>Section 10.07</w:t>
      </w:r>
      <w:r>
        <w:rPr>
          <w:rFonts w:ascii="Arial" w:cs="Arial" w:eastAsia="Arial" w:hAnsi="Arial"/>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95" w:lineRule="exact"/>
        <w:rPr>
          <w:sz w:val="20"/>
          <w:szCs w:val="20"/>
          <w:color w:val="auto"/>
        </w:rPr>
      </w:pPr>
    </w:p>
    <w:p>
      <w:pPr>
        <w:ind w:left="4" w:right="360" w:firstLine="440"/>
        <w:spacing w:after="0" w:line="259" w:lineRule="auto"/>
        <w:rPr>
          <w:sz w:val="20"/>
          <w:szCs w:val="20"/>
          <w:color w:val="auto"/>
        </w:rPr>
      </w:pPr>
      <w:r>
        <w:rPr>
          <w:rFonts w:ascii="Arial" w:cs="Arial" w:eastAsia="Arial" w:hAnsi="Arial"/>
          <w:sz w:val="18"/>
          <w:szCs w:val="18"/>
          <w:color w:val="auto"/>
        </w:rPr>
        <w:t>Each of the Administrative Agent, the Lenders and the L/C Issuers acknowledges that (a) the Information may include material non-public information concerning the Company or any of its Subsidiaries or any of their respective securities,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10.08 </w:t>
      </w:r>
      <w:r>
        <w:rPr>
          <w:rFonts w:ascii="Arial" w:cs="Arial" w:eastAsia="Arial" w:hAnsi="Arial"/>
          <w:sz w:val="18"/>
          <w:szCs w:val="18"/>
          <w:b w:val="1"/>
          <w:bCs w:val="1"/>
          <w:u w:val="single" w:color="auto"/>
          <w:color w:val="auto"/>
        </w:rPr>
        <w:t>Right of Setoff</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 xml:space="preserve">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(i) any Borrower against any and all of the obligations of such Borrower or (ii) any other Loan Party against any and all of the obligations of such Loan Party now or hereafter existing under this Agreement or any other Loan Document to such Lender or such L/C Issuer, irrespective of whether or not such Lender or L/C Issuer shall have made any demand under this Agreement or any other Loan Document and although such obligations of such Borrower or such Loan Party may be contingent or unmatured or are owed to a branch or office of such Lender or L/C Issuer different from the branch or office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the L/C Issuers and the Lenders and</w:t>
      </w:r>
    </w:p>
    <w:p>
      <w:pPr>
        <w:spacing w:after="0" w:line="4" w:lineRule="exact"/>
        <w:rPr>
          <w:sz w:val="20"/>
          <w:szCs w:val="20"/>
          <w:color w:val="auto"/>
        </w:rPr>
      </w:pPr>
    </w:p>
    <w:p>
      <w:pPr>
        <w:jc w:val="both"/>
        <w:ind w:left="4" w:right="120" w:hanging="4"/>
        <w:spacing w:after="0" w:line="271" w:lineRule="auto"/>
        <w:tabs>
          <w:tab w:leader="none" w:pos="25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the Defaulting Lender shall provide promptly to the Administrative Agent a statement describing in reasonable detail the Obligations owing to such Defaulting Lender as to which it exercised such right of setoff. The rights of each Lender and each L/C Issuer and their respective Affiliates under this Section are in addition to other rights and remedies (including other rights of setoff) that such Lender and such L/C Issuer may have. Each Lender and each L/C Issuer agrees to notify the Company and the Administrative Agent promptly after any such setoff and application; and </w:t>
      </w:r>
      <w:r>
        <w:rPr>
          <w:rFonts w:ascii="Arial" w:cs="Arial" w:eastAsia="Arial" w:hAnsi="Arial"/>
          <w:sz w:val="17"/>
          <w:szCs w:val="17"/>
          <w:u w:val="single" w:color="auto"/>
          <w:color w:val="auto"/>
        </w:rPr>
        <w:t>provided</w:t>
      </w:r>
      <w:r>
        <w:rPr>
          <w:rFonts w:ascii="Arial" w:cs="Arial" w:eastAsia="Arial" w:hAnsi="Arial"/>
          <w:sz w:val="17"/>
          <w:szCs w:val="17"/>
          <w:color w:val="auto"/>
        </w:rPr>
        <w:t>, further, that the failure to give such notice shall not affect the validity of such setoff and application.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4"/>
          </w:cols>
          <w:pgMar w:left="436" w:top="274" w:right="4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10.09 </w:t>
      </w:r>
      <w:r>
        <w:rPr>
          <w:rFonts w:ascii="Arial" w:cs="Arial" w:eastAsia="Arial" w:hAnsi="Arial"/>
          <w:sz w:val="18"/>
          <w:szCs w:val="18"/>
          <w:b w:val="1"/>
          <w:bCs w:val="1"/>
          <w:u w:val="single" w:color="auto"/>
          <w:color w:val="auto"/>
        </w:rPr>
        <w:t>Interest Rate Limitation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b w:val="1"/>
          <w:bCs w:val="1"/>
          <w:u w:val="single" w:color="auto"/>
          <w:color w:val="auto"/>
        </w:rPr>
        <w:t>Counterparts; Integration; Effectiveness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(e.g., “pdf” or “tif”) shall be effective as delivery of a manually executed counterpart of this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b w:val="1"/>
          <w:bCs w:val="1"/>
          <w:u w:val="single" w:color="auto"/>
          <w:color w:val="auto"/>
        </w:rPr>
        <w:t>Survival of Representations and Warranties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the Sustainability Structuring Agent and each Lender, regardless of any investigation made by the Administrative Agent, the Sustainability Structuring Agent or any Lender or on their behalf and notwithstanding that the Administrative Agent, the Sustainability Structuring Agent or any Lender may have had notice or knowledge of any Default at the time of any Credit Extension, and shall continue in full force and effect as long as any Loan or any other Obligation hereunder shall remain unpaid or unsatisfied (other than unasserted indemnification, tax gross up, expense reimbursement or yield protection obligations, in each case, for which no claim has been made) or any Letter of Credit shall remain outstanding.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applicable L/C Issuer or the Swing Line Lender, as applicable, then such provisions shall be deemed to be in effect only to the extent not so limited.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440" w:top="270" w:right="4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10.13 Replacement of Lenders.</w:t>
      </w:r>
    </w:p>
    <w:p>
      <w:pPr>
        <w:spacing w:after="0" w:line="121"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 xml:space="preserve">If (i)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(ii) any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(iii) any Lender does not agree to extend the Maturity Date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(iv) any Lender is a Defaulting Lender or a Non-Consenting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58" w:lineRule="exact"/>
        <w:rPr>
          <w:sz w:val="20"/>
          <w:szCs w:val="20"/>
          <w:color w:val="auto"/>
        </w:rPr>
      </w:pPr>
    </w:p>
    <w:p>
      <w:pPr>
        <w:ind w:right="820" w:firstLine="436"/>
        <w:spacing w:after="0" w:line="277"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Company shall have paid (or caused a Designated Borrower to pay) to the Administrative Agent the assignment fee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20" w:firstLine="436"/>
        <w:spacing w:after="0" w:line="259" w:lineRule="auto"/>
        <w:tabs>
          <w:tab w:leader="none" w:pos="68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from the assignee (to the extent of such outstanding principal and accrued interest and fees) or the Company or applicable Designated Borrower (in the case of all other amounts);</w:t>
      </w:r>
    </w:p>
    <w:p>
      <w:pPr>
        <w:spacing w:after="0" w:line="78" w:lineRule="exact"/>
        <w:rPr>
          <w:rFonts w:ascii="Arial" w:cs="Arial" w:eastAsia="Arial" w:hAnsi="Arial"/>
          <w:sz w:val="18"/>
          <w:szCs w:val="18"/>
          <w:color w:val="auto"/>
        </w:rPr>
      </w:pPr>
    </w:p>
    <w:p>
      <w:pPr>
        <w:ind w:right="200" w:firstLine="436"/>
        <w:spacing w:after="0" w:line="277"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117" w:lineRule="exact"/>
        <w:rPr>
          <w:rFonts w:ascii="Arial" w:cs="Arial" w:eastAsia="Arial" w:hAnsi="Arial"/>
          <w:sz w:val="18"/>
          <w:szCs w:val="18"/>
          <w:color w:val="auto"/>
        </w:rPr>
      </w:pPr>
    </w:p>
    <w:p>
      <w:pPr>
        <w:ind w:right="20" w:firstLine="436"/>
        <w:spacing w:after="0" w:line="263" w:lineRule="auto"/>
        <w:tabs>
          <w:tab w:leader="none" w:pos="66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w:t>
      </w:r>
    </w:p>
    <w:p>
      <w:pPr>
        <w:spacing w:after="0" w:line="184"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7"/>
          <w:szCs w:val="17"/>
          <w:color w:val="auto"/>
        </w:rPr>
        <w:t xml:space="preserve">The failure of a Lender to execute and deliver an Assignment and Assumption shall not impair the validity of the removal of such Lender and the mandatory assignment of such Lender’s Commitments and outstanding Loans and participations in L/C Obligations and Swing Line Loans pursuant to this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shall nevertheless be effective without the execution by such Lender of an Assignment and Assumption.</w:t>
      </w:r>
    </w:p>
    <w:p>
      <w:pPr>
        <w:spacing w:after="0" w:line="16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80"/>
          </w:cols>
          <w:pgMar w:left="440" w:top="270" w:right="4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10.14 </w:t>
      </w:r>
      <w:r>
        <w:rPr>
          <w:rFonts w:ascii="Arial" w:cs="Arial" w:eastAsia="Arial" w:hAnsi="Arial"/>
          <w:sz w:val="18"/>
          <w:szCs w:val="18"/>
          <w:b w:val="1"/>
          <w:bCs w:val="1"/>
          <w:u w:val="single" w:color="auto"/>
          <w:color w:val="auto"/>
        </w:rPr>
        <w:t>Governing Law; Jurisdiction; Etc</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36"/>
        <w:spacing w:after="0" w:line="257" w:lineRule="auto"/>
        <w:tabs>
          <w:tab w:leader="none" w:pos="685"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79" w:lineRule="exact"/>
        <w:rPr>
          <w:rFonts w:ascii="Arial" w:cs="Arial" w:eastAsia="Arial" w:hAnsi="Arial"/>
          <w:sz w:val="18"/>
          <w:szCs w:val="18"/>
          <w:color w:val="auto"/>
        </w:rPr>
      </w:pPr>
    </w:p>
    <w:p>
      <w:pPr>
        <w:ind w:firstLine="436"/>
        <w:spacing w:after="0" w:line="268" w:lineRule="auto"/>
        <w:tabs>
          <w:tab w:leader="none" w:pos="695"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EACH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OTHER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COMPANY OR ITS PROPERTIES IN THE COURTS OF ANY JURISDICTION.</w:t>
      </w:r>
    </w:p>
    <w:p>
      <w:pPr>
        <w:spacing w:after="0" w:line="73" w:lineRule="exact"/>
        <w:rPr>
          <w:rFonts w:ascii="Arial" w:cs="Arial" w:eastAsia="Arial" w:hAnsi="Arial"/>
          <w:sz w:val="17"/>
          <w:szCs w:val="17"/>
          <w:color w:val="auto"/>
        </w:rPr>
      </w:pPr>
    </w:p>
    <w:p>
      <w:pPr>
        <w:ind w:firstLine="436"/>
        <w:spacing w:after="0" w:line="255" w:lineRule="auto"/>
        <w:tabs>
          <w:tab w:leader="none" w:pos="685"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EACH OF THE BORROWERS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84" w:lineRule="exact"/>
        <w:rPr>
          <w:rFonts w:ascii="Arial" w:cs="Arial" w:eastAsia="Arial" w:hAnsi="Arial"/>
          <w:sz w:val="18"/>
          <w:szCs w:val="18"/>
          <w:color w:val="auto"/>
        </w:rPr>
      </w:pPr>
    </w:p>
    <w:p>
      <w:pPr>
        <w:ind w:right="40" w:firstLine="436"/>
        <w:spacing w:after="0" w:line="273" w:lineRule="auto"/>
        <w:tabs>
          <w:tab w:leader="none" w:pos="695"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SERVICE OF PROCESS</w:t>
      </w:r>
      <w:r>
        <w:rPr>
          <w:rFonts w:ascii="Arial" w:cs="Arial" w:eastAsia="Arial" w:hAnsi="Arial"/>
          <w:sz w:val="17"/>
          <w:szCs w:val="17"/>
          <w:color w:val="auto"/>
        </w:rPr>
        <w:t xml:space="preserve">. EACH PARTY HERETO IRREVOCABLY CONSENTS TO SERVICE OF PROCESS IN THE MANNER PROVIDED FOR NOTICES IN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NOTHING IN THIS AGREEMENT WILL AFFECT THE RIGHT OF ANY PARTY HERETO TO SERVE PROCESS IN ANY OTHER MANNER PERMITTED BY APPLICABLE LAW. WITHOUT LIMITING THE FOREGOING, EACH OF THE BORROWERS HEREBY APPOINTS, IN THE CASE OF ANY SUCH ACTION OR PROCEEDING BROUGHT IN THE COURTS OF OR IN THE STATE OF NEW YORK, THE COMPANY, AT THE ADDRESS SPECIFIED IN </w:t>
      </w:r>
      <w:r>
        <w:rPr>
          <w:rFonts w:ascii="Arial" w:cs="Arial" w:eastAsia="Arial" w:hAnsi="Arial"/>
          <w:sz w:val="17"/>
          <w:szCs w:val="17"/>
          <w:u w:val="single" w:color="auto"/>
          <w:color w:val="auto"/>
        </w:rPr>
        <w:t>SCHEDULE 10.02</w:t>
      </w:r>
      <w:r>
        <w:rPr>
          <w:rFonts w:ascii="Arial" w:cs="Arial" w:eastAsia="Arial" w:hAnsi="Arial"/>
          <w:sz w:val="17"/>
          <w:szCs w:val="17"/>
          <w:color w:val="auto"/>
        </w:rPr>
        <w:t>, TO RECEIVE FOR IT AND ON ITS BEHALF, SERVICE OF PROCESS IN THE STATE OF NEW YORK WITH RESPECT THERETO.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80"/>
          </w:cols>
          <w:pgMar w:left="440" w:top="270" w:right="479" w:bottom="1440" w:gutter="0" w:footer="0" w:header="0"/>
        </w:sectPr>
      </w:pPr>
    </w:p>
    <w:bookmarkStart w:id="125" w:name="page126"/>
    <w:bookmarkEnd w:id="12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10.15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40" w:firstLine="440"/>
        <w:spacing w:after="0" w:line="268" w:lineRule="auto"/>
        <w:rPr>
          <w:sz w:val="20"/>
          <w:szCs w:val="20"/>
          <w:color w:val="auto"/>
        </w:rPr>
      </w:pPr>
      <w:r>
        <w:rPr>
          <w:rFonts w:ascii="Arial" w:cs="Arial" w:eastAsia="Arial" w:hAnsi="Arial"/>
          <w:sz w:val="17"/>
          <w:szCs w:val="17"/>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1" w:lineRule="exact"/>
        <w:rPr>
          <w:sz w:val="20"/>
          <w:szCs w:val="20"/>
          <w:color w:val="auto"/>
        </w:rPr>
      </w:pPr>
    </w:p>
    <w:p>
      <w:pPr>
        <w:ind w:left="4" w:right="200" w:hanging="4"/>
        <w:spacing w:after="0" w:line="290" w:lineRule="auto"/>
        <w:tabs>
          <w:tab w:leader="none" w:pos="27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ACKNOWLEDGES THAT IT AND THE OTHER PARTIES HERETO HAVE BEEN INDUCED TO ENTER INTO THIS AGREEMENT AND THE OTHER LOAN DOCUMENTS BY, AMONG OTHER THINGS, THE MUTUAL WAIVERS AND CERTIFICATIONS IN THIS SECTION.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10.16 </w:t>
      </w:r>
      <w:r>
        <w:rPr>
          <w:rFonts w:ascii="Arial" w:cs="Arial" w:eastAsia="Arial" w:hAnsi="Arial"/>
          <w:sz w:val="18"/>
          <w:szCs w:val="18"/>
          <w:b w:val="1"/>
          <w:bCs w:val="1"/>
          <w:u w:val="single" w:color="auto"/>
          <w:color w:val="auto"/>
        </w:rPr>
        <w:t>No Advisory or Fiduciary Responsibility</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40"/>
        <w:spacing w:after="0" w:line="267" w:lineRule="auto"/>
        <w:rPr>
          <w:sz w:val="20"/>
          <w:szCs w:val="20"/>
          <w:color w:val="auto"/>
        </w:rPr>
      </w:pPr>
      <w:r>
        <w:rPr>
          <w:rFonts w:ascii="Arial" w:cs="Arial" w:eastAsia="Arial" w:hAnsi="Arial"/>
          <w:sz w:val="17"/>
          <w:szCs w:val="17"/>
          <w:color w:val="auto"/>
        </w:rPr>
        <w:t>In connection with all aspects of each transaction contemplated hereby (including in connection with any amendment, waiver or other modification hereof or of any other Loan Document), each Borrower acknowledges and agrees that: (i) (A) the arranging and other services regarding this Agreement provided by the Administrative Agent, the Lenders and the Arrangers, are arm’s-length commercial transactions between such Borrower and the other Loan Parties and their respective Affiliates, on the one hand, and the Administrative Agent, the Lenders and the Arrangers, on the other hand, (B) such Borrower and each other Loan Party has consulted its own legal, accounting, regulatory and tax advisors to the extent it has deemed appropriate, and (C) such Borrower and each other Loan Party is capable of evaluating, and understands and accepts, the terms, risks and conditions of the transactions contemplated hereby and by the other Loan Documents; (ii) (A) the Administrative Agent, the Lenders and the Arrangers are and have been acting solely as a principal and, except as expressly agreed in writing by the relevant parties, have not been, are not, and will not be acting as an advisor, agent or fiduciary for such Borrower, any other Loan Party or any of their respective Affiliates, or any other Person and (B) none of the Administrative Agent, the Lenders nor the Arrangers have any obligation to such Borrower, any other Loan Party or any of their respective Affiliates with respect to the transactions contemplated hereby except those obligations expressly set forth herein and in the other Loan Documents; and (iii) the Administrative Agent, the Lenders and the Arrangers and their respective Affiliates may be engaged in a broad range of transactions that involve interests that differ from those of such Borrower, the other Loan Parties and their respective Affiliates, and none of the Administrative Agent, the Lenders nor the Arrangers have any obligation to disclose any of such interests to any Borrower, any other Loan Party or any of their respective Affiliates. To the fullest extent permitted by law, each Borrower and each other Loan Party hereby waives and releases any claims that it may have against the Administrative Agent, the Lenders and the Arrangers with respect to any breach or alleged breach of agency or fiduciary duty in connection with any aspect of any transaction contemplated hereby.</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10.17 </w:t>
      </w:r>
      <w:r>
        <w:rPr>
          <w:rFonts w:ascii="Arial" w:cs="Arial" w:eastAsia="Arial" w:hAnsi="Arial"/>
          <w:sz w:val="18"/>
          <w:szCs w:val="18"/>
          <w:b w:val="1"/>
          <w:bCs w:val="1"/>
          <w:u w:val="single" w:color="auto"/>
          <w:color w:val="auto"/>
        </w:rPr>
        <w:t>Electronic Execution of Assignments and Certain Other Documents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The words “execute,” “execution,” “signed,” “signature,” and words of like import in or related to any document to be signed in connection with this Agreement and the transactions contemplated hereby (including without limitation Assignment and Assumptions, amendments or other modifications, Committed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64"/>
          </w:cols>
          <w:pgMar w:left="436" w:top="270" w:right="4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10.18 </w:t>
      </w:r>
      <w:r>
        <w:rPr>
          <w:rFonts w:ascii="Arial" w:cs="Arial" w:eastAsia="Arial" w:hAnsi="Arial"/>
          <w:sz w:val="18"/>
          <w:szCs w:val="18"/>
          <w:b w:val="1"/>
          <w:bCs w:val="1"/>
          <w:u w:val="single" w:color="auto"/>
          <w:color w:val="auto"/>
        </w:rPr>
        <w:t>Judgment Currency</w:t>
      </w:r>
      <w:r>
        <w:rPr>
          <w:rFonts w:ascii="Arial" w:cs="Arial" w:eastAsia="Arial" w:hAnsi="Arial"/>
          <w:sz w:val="18"/>
          <w:szCs w:val="18"/>
          <w:b w:val="1"/>
          <w:bCs w:val="1"/>
          <w:color w:val="auto"/>
        </w:rPr>
        <w: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10.19 </w:t>
      </w:r>
      <w:r>
        <w:rPr>
          <w:rFonts w:ascii="Arial" w:cs="Arial" w:eastAsia="Arial" w:hAnsi="Arial"/>
          <w:sz w:val="18"/>
          <w:szCs w:val="18"/>
          <w:b w:val="1"/>
          <w:bCs w:val="1"/>
          <w:u w:val="single" w:color="auto"/>
          <w:color w:val="auto"/>
        </w:rPr>
        <w:t>USA PATRIOT ACT NOTICE</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Each Lender that is subject to the USA PATRIOT Act and the Administrative Agent (for itself and not on behalf of any Lender) hereby notifies the Borrowers that pursuant to the requirements of the USA PATRIOT Act, it is required to obtain, verify and record information that identifies the Borrowers and other Loan Parties, which information includes the name and address of each Borrower and each other Loan Party and other information that will allow such Lender or the Administrative Agent, as applicable, to identify such Borrower or other Loan Party in accordance with the USA PATRIOT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10.20 </w:t>
      </w:r>
      <w:r>
        <w:rPr>
          <w:rFonts w:ascii="Arial" w:cs="Arial" w:eastAsia="Arial" w:hAnsi="Arial"/>
          <w:sz w:val="18"/>
          <w:szCs w:val="18"/>
          <w:b w:val="1"/>
          <w:bCs w:val="1"/>
          <w:u w:val="single" w:color="auto"/>
          <w:color w:val="auto"/>
        </w:rPr>
        <w:t>Acknowledgement Regarding Any Supported QFCs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the extent that the Loan Documents provide support, through a guarantee or otherwise, for any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that, with respect to the resolution power of the Federal Deposit Insurance Corporation under the Federal Deposit Insurance Act and Title II of the Dodd- 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0" w:right="459" w:bottom="1440" w:gutter="0" w:footer="0" w:header="0"/>
        </w:sectPr>
      </w:pPr>
    </w:p>
    <w:bookmarkStart w:id="127" w:name="page128"/>
    <w:bookmarkEnd w:id="12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10.21 </w:t>
      </w:r>
      <w:r>
        <w:rPr>
          <w:rFonts w:ascii="Arial" w:cs="Arial" w:eastAsia="Arial" w:hAnsi="Arial"/>
          <w:sz w:val="18"/>
          <w:szCs w:val="18"/>
          <w:b w:val="1"/>
          <w:bCs w:val="1"/>
          <w:u w:val="single" w:color="auto"/>
          <w:color w:val="auto"/>
        </w:rPr>
        <w:t>Acknowledgement and Consent to Bail-In of Affected Financial Institutions</w:t>
      </w:r>
      <w:r>
        <w:rPr>
          <w:rFonts w:ascii="Arial" w:cs="Arial" w:eastAsia="Arial" w:hAnsi="Arial"/>
          <w:sz w:val="18"/>
          <w:szCs w:val="18"/>
          <w:b w:val="1"/>
          <w:bCs w:val="1"/>
          <w:color w:val="auto"/>
        </w:rPr>
        <w:t>.</w:t>
      </w:r>
    </w:p>
    <w:p>
      <w:pPr>
        <w:spacing w:after="0" w:line="12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79" w:lineRule="exact"/>
        <w:rPr>
          <w:sz w:val="20"/>
          <w:szCs w:val="20"/>
          <w:color w:val="auto"/>
        </w:rPr>
      </w:pPr>
    </w:p>
    <w:p>
      <w:pPr>
        <w:ind w:right="300" w:firstLine="436"/>
        <w:spacing w:after="0" w:line="277" w:lineRule="auto"/>
        <w:tabs>
          <w:tab w:leader="none" w:pos="68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60" w:firstLine="419"/>
        <w:spacing w:after="0" w:line="311" w:lineRule="auto"/>
        <w:tabs>
          <w:tab w:leader="none" w:pos="1128" w:val="left"/>
        </w:tabs>
        <w:numPr>
          <w:ilvl w:val="1"/>
          <w:numId w:val="177"/>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Arial" w:cs="Arial" w:eastAsia="Arial" w:hAnsi="Arial"/>
          <w:sz w:val="16"/>
          <w:szCs w:val="16"/>
          <w:color w:val="auto"/>
        </w:rPr>
      </w:pPr>
    </w:p>
    <w:p>
      <w:pPr>
        <w:ind w:left="440" w:right="120" w:firstLine="419"/>
        <w:spacing w:after="0" w:line="277" w:lineRule="auto"/>
        <w:tabs>
          <w:tab w:leader="none" w:pos="117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10.22 </w:t>
      </w:r>
      <w:r>
        <w:rPr>
          <w:rFonts w:ascii="Arial" w:cs="Arial" w:eastAsia="Arial" w:hAnsi="Arial"/>
          <w:sz w:val="18"/>
          <w:szCs w:val="18"/>
          <w:b w:val="1"/>
          <w:bCs w:val="1"/>
          <w:u w:val="single" w:color="auto"/>
          <w:color w:val="auto"/>
        </w:rPr>
        <w:t>Subsidiary Guarantors; Release of Subsidiary Guarantors</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436"/>
        <w:spacing w:after="0" w:line="255" w:lineRule="auto"/>
        <w:tabs>
          <w:tab w:leader="none" w:pos="68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The Company may, at any time after the Closing Date, upon prior written notice to the Administrative Agent, cause any of its wholly-owned Domestic Subsidiaries or any wholly-owned Foreign Subsidiary that is organized in a jurisdiction that is reasonably acceptable to the Administrative Agent (it being acknowledged that (i) Ireland and (ii) Bermuda are acceptable jurisdictions), to become a Subsidiary Guarantor by causing such Subsidiary to execute and deliver to the Administrative Agent a Subsidiary Guaranty (or a supplement thereto in the form specified therein), together with documents and opinions of the type referred to in </w:t>
      </w:r>
      <w:r>
        <w:rPr>
          <w:rFonts w:ascii="Arial" w:cs="Arial" w:eastAsia="Arial" w:hAnsi="Arial"/>
          <w:sz w:val="18"/>
          <w:szCs w:val="18"/>
          <w:u w:val="single" w:color="auto"/>
          <w:color w:val="auto"/>
        </w:rPr>
        <w:t>Sections 4.01(b)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4.01(d)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4.01(h)</w:t>
      </w:r>
      <w:r>
        <w:rPr>
          <w:rFonts w:ascii="Arial" w:cs="Arial" w:eastAsia="Arial" w:hAnsi="Arial"/>
          <w:sz w:val="18"/>
          <w:szCs w:val="18"/>
          <w:color w:val="auto"/>
        </w:rPr>
        <w:t xml:space="preserve"> with respect to such Subsidiary, all in form and substance reasonably satisfactory to the Administrative Agent.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960"/>
          </w:cols>
          <w:pgMar w:left="440" w:top="274" w:right="499" w:bottom="1440" w:gutter="0" w:footer="0" w:header="0"/>
        </w:sectPr>
      </w:pPr>
    </w:p>
    <w:bookmarkStart w:id="128" w:name="page129"/>
    <w:bookmarkEnd w:id="128"/>
    <w:p>
      <w:pPr>
        <w:ind w:left="700" w:hanging="264"/>
        <w:spacing w:after="0"/>
        <w:tabs>
          <w:tab w:leader="none" w:pos="7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following the Company’s written request to release a Subsidiary Guarantor, the Administrative Agent shall (and is hereby</w:t>
      </w:r>
    </w:p>
    <w:p>
      <w:pPr>
        <w:spacing w:after="0" w:line="34" w:lineRule="exact"/>
        <w:rPr>
          <w:rFonts w:ascii="Arial" w:cs="Arial" w:eastAsia="Arial" w:hAnsi="Arial"/>
          <w:sz w:val="17"/>
          <w:szCs w:val="17"/>
          <w:color w:val="auto"/>
        </w:rPr>
      </w:pPr>
    </w:p>
    <w:p>
      <w:pPr>
        <w:spacing w:after="0" w:line="286" w:lineRule="auto"/>
        <w:rPr>
          <w:rFonts w:ascii="Arial" w:cs="Arial" w:eastAsia="Arial" w:hAnsi="Arial"/>
          <w:sz w:val="17"/>
          <w:szCs w:val="17"/>
          <w:color w:val="auto"/>
        </w:rPr>
      </w:pPr>
      <w:r>
        <w:rPr>
          <w:rFonts w:ascii="Arial" w:cs="Arial" w:eastAsia="Arial" w:hAnsi="Arial"/>
          <w:sz w:val="16"/>
          <w:szCs w:val="16"/>
          <w:color w:val="auto"/>
        </w:rPr>
        <w:t xml:space="preserve">irrevocably authorized by each Lender to) execute and deliver to the Company, at the Company’s expense, a release of such Subsidiary Guarantor from its obligations under the Subsidiary Guaranty, so long as (i) no Event of Default has occurred and is continuing or would result after giving effect to such release and (ii) the Indebtedness of the Subsidiaries that are not Subsidiary Guarantors shall be permitted under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immediately after giving effect to such release (and assuming that all of the Indebtedness of such former Subsidiary Guarantor outstanding on the date of the effectiveness of such release has been incurred by such former Subsidiary Guarantor on such date). In connection with any release pursuant to this paragraph, the Administrative Agent may request that the Company deliver to it a certificate of a Responsible Officer of the Company to the effect that the requirements for such release set forth in this paragraph have been satisfied, and the Administrative Agent may rely on, and shall incur no liability for relying upon, any statements made in any such certificate. Any execution and delivery of documents pursuant to this paragraph shall be without recourse to or warranty by the Administrative Agent. Upon request by the Administrative Agent at any time, the Required Lenders will confirm in writing the authority of the Administrative Agent to release any Subsidiary Guarantor form its obligations under the Subsidiary Guaranty pursuant to this paragraph.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10.23 </w:t>
      </w:r>
      <w:r>
        <w:rPr>
          <w:rFonts w:ascii="Arial" w:cs="Arial" w:eastAsia="Arial" w:hAnsi="Arial"/>
          <w:sz w:val="18"/>
          <w:szCs w:val="18"/>
          <w:b w:val="1"/>
          <w:bCs w:val="1"/>
          <w:u w:val="single" w:color="auto"/>
          <w:color w:val="auto"/>
        </w:rPr>
        <w:t>Amendment and Restatement</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The parties to the Existing Credit Agreement, to the extent party hereto, each hereby agrees that, at such time as this Agreement shall have become effective pursuant to the terms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 the Existing Credit Agreement automatically shall be deemed amended and restated in its entirety by this Agreement, and (b) the Commitments and Loans under the Existing Credit Agreement and as defined therein automatically shall be replaced with the Commitments and Loans hereunder. This Agreement is not a novation of the Existing Credit Agreement. On the Closing Date, (i) the Company shall prepay any loans outstanding under the Existing Credit Agreement to the extent necessary to keep the outstanding Committed Loans ratable with the revised Commitments as of the Closing Date, and (ii) the commitments of the lenders under the Existing Credit Agreement shall be re-allocated and restated among the Lenders so that, as of the Closing Date, the respective Commitments of the Lenders shall be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w:t>
      </w:r>
      <w:r>
        <w:rPr>
          <w:rFonts w:ascii="Arial" w:cs="Arial" w:eastAsia="Arial" w:hAnsi="Arial"/>
          <w:sz w:val="18"/>
          <w:szCs w:val="18"/>
          <w:color w:val="auto"/>
        </w:rPr>
        <w: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00"/>
          </w:cols>
          <w:pgMar w:left="440" w:top="274" w:right="459" w:bottom="1440" w:gutter="0" w:footer="0" w:header="0"/>
        </w:sectPr>
      </w:pPr>
    </w:p>
    <w:bookmarkStart w:id="129" w:name="page130"/>
    <w:bookmarkEnd w:id="129"/>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above written.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BORROWER:</w:t>
            </w:r>
          </w:p>
        </w:tc>
        <w:tc>
          <w:tcPr>
            <w:tcW w:w="7700" w:type="dxa"/>
            <w:vAlign w:val="bottom"/>
            <w:gridSpan w:val="3"/>
          </w:tcPr>
          <w:p>
            <w:pPr>
              <w:ind w:left="2280"/>
              <w:spacing w:after="0"/>
              <w:rPr>
                <w:sz w:val="20"/>
                <w:szCs w:val="20"/>
                <w:color w:val="auto"/>
              </w:rPr>
            </w:pPr>
            <w:r>
              <w:rPr>
                <w:rFonts w:ascii="Arial" w:cs="Arial" w:eastAsia="Arial" w:hAnsi="Arial"/>
                <w:sz w:val="18"/>
                <w:szCs w:val="18"/>
                <w:color w:val="auto"/>
              </w:rPr>
              <w:t>ANALOG DEVICES, INC.,</w:t>
            </w:r>
          </w:p>
        </w:tc>
      </w:tr>
      <w:tr>
        <w:trPr>
          <w:trHeight w:val="230"/>
        </w:trPr>
        <w:tc>
          <w:tcPr>
            <w:tcW w:w="3340" w:type="dxa"/>
            <w:vAlign w:val="bottom"/>
          </w:tcPr>
          <w:p>
            <w:pPr>
              <w:spacing w:after="0"/>
              <w:rPr>
                <w:sz w:val="20"/>
                <w:szCs w:val="20"/>
                <w:color w:val="auto"/>
              </w:rPr>
            </w:pPr>
          </w:p>
        </w:tc>
        <w:tc>
          <w:tcPr>
            <w:tcW w:w="7700" w:type="dxa"/>
            <w:vAlign w:val="bottom"/>
            <w:gridSpan w:val="3"/>
          </w:tcPr>
          <w:p>
            <w:pPr>
              <w:ind w:left="2280"/>
              <w:spacing w:after="0"/>
              <w:rPr>
                <w:sz w:val="20"/>
                <w:szCs w:val="20"/>
                <w:color w:val="auto"/>
              </w:rPr>
            </w:pPr>
            <w:r>
              <w:rPr>
                <w:rFonts w:ascii="Arial" w:cs="Arial" w:eastAsia="Arial" w:hAnsi="Arial"/>
                <w:sz w:val="18"/>
                <w:szCs w:val="18"/>
                <w:color w:val="auto"/>
              </w:rPr>
              <w:t>a Massachusetts corporation</w:t>
            </w:r>
          </w:p>
        </w:tc>
      </w:tr>
      <w:tr>
        <w:trPr>
          <w:trHeight w:val="445"/>
        </w:trPr>
        <w:tc>
          <w:tcPr>
            <w:tcW w:w="3340" w:type="dxa"/>
            <w:vAlign w:val="bottom"/>
          </w:tcPr>
          <w:p>
            <w:pPr>
              <w:spacing w:after="0"/>
              <w:rPr>
                <w:sz w:val="24"/>
                <w:szCs w:val="24"/>
                <w:color w:val="auto"/>
              </w:rPr>
            </w:pPr>
          </w:p>
        </w:tc>
        <w:tc>
          <w:tcPr>
            <w:tcW w:w="7700" w:type="dxa"/>
            <w:vAlign w:val="bottom"/>
            <w:gridSpan w:val="3"/>
          </w:tcPr>
          <w:p>
            <w:pPr>
              <w:ind w:left="2280"/>
              <w:spacing w:after="0"/>
              <w:rPr>
                <w:sz w:val="20"/>
                <w:szCs w:val="20"/>
                <w:color w:val="auto"/>
              </w:rPr>
            </w:pPr>
            <w:r>
              <w:rPr>
                <w:rFonts w:ascii="Arial" w:cs="Arial" w:eastAsia="Arial" w:hAnsi="Arial"/>
                <w:sz w:val="18"/>
                <w:szCs w:val="18"/>
                <w:color w:val="auto"/>
              </w:rPr>
              <w:t>By:  /s/ Rebecca Diaz</w:t>
            </w:r>
          </w:p>
        </w:tc>
      </w:tr>
      <w:tr>
        <w:trPr>
          <w:trHeight w:val="209"/>
        </w:trPr>
        <w:tc>
          <w:tcPr>
            <w:tcW w:w="3340" w:type="dxa"/>
            <w:vAlign w:val="bottom"/>
          </w:tcPr>
          <w:p>
            <w:pPr>
              <w:spacing w:after="0"/>
              <w:rPr>
                <w:sz w:val="18"/>
                <w:szCs w:val="18"/>
                <w:color w:val="auto"/>
              </w:rPr>
            </w:pPr>
          </w:p>
        </w:tc>
        <w:tc>
          <w:tcPr>
            <w:tcW w:w="2720" w:type="dxa"/>
            <w:vAlign w:val="bottom"/>
          </w:tcPr>
          <w:p>
            <w:pPr>
              <w:ind w:left="2280"/>
              <w:spacing w:after="0"/>
              <w:rPr>
                <w:sz w:val="20"/>
                <w:szCs w:val="20"/>
                <w:color w:val="auto"/>
              </w:rPr>
            </w:pPr>
            <w:r>
              <w:rPr>
                <w:rFonts w:ascii="Arial" w:cs="Arial" w:eastAsia="Arial" w:hAnsi="Arial"/>
                <w:sz w:val="18"/>
                <w:szCs w:val="18"/>
                <w:color w:val="auto"/>
                <w:w w:val="79"/>
              </w:rPr>
              <w:t>Name:</w:t>
            </w:r>
          </w:p>
        </w:tc>
        <w:tc>
          <w:tcPr>
            <w:tcW w:w="4960" w:type="dxa"/>
            <w:vAlign w:val="bottom"/>
            <w:tcBorders>
              <w:top w:val="single" w:sz="8" w:color="auto"/>
            </w:tcBorders>
          </w:tcPr>
          <w:p>
            <w:pPr>
              <w:jc w:val="right"/>
              <w:ind w:right="3790"/>
              <w:spacing w:after="0"/>
              <w:rPr>
                <w:sz w:val="20"/>
                <w:szCs w:val="20"/>
                <w:color w:val="auto"/>
              </w:rPr>
            </w:pPr>
            <w:r>
              <w:rPr>
                <w:rFonts w:ascii="Arial" w:cs="Arial" w:eastAsia="Arial" w:hAnsi="Arial"/>
                <w:sz w:val="18"/>
                <w:szCs w:val="18"/>
                <w:color w:val="auto"/>
                <w:w w:val="94"/>
              </w:rPr>
              <w:t>Rebecca Diaz</w:t>
            </w:r>
          </w:p>
        </w:tc>
        <w:tc>
          <w:tcPr>
            <w:tcW w:w="20" w:type="dxa"/>
            <w:vAlign w:val="bottom"/>
          </w:tcPr>
          <w:p>
            <w:pPr>
              <w:spacing w:after="0"/>
              <w:rPr>
                <w:sz w:val="18"/>
                <w:szCs w:val="18"/>
                <w:color w:val="auto"/>
              </w:rPr>
            </w:pPr>
          </w:p>
        </w:tc>
      </w:tr>
      <w:tr>
        <w:trPr>
          <w:trHeight w:val="230"/>
        </w:trPr>
        <w:tc>
          <w:tcPr>
            <w:tcW w:w="3340" w:type="dxa"/>
            <w:vAlign w:val="bottom"/>
          </w:tcPr>
          <w:p>
            <w:pPr>
              <w:spacing w:after="0"/>
              <w:rPr>
                <w:sz w:val="20"/>
                <w:szCs w:val="20"/>
                <w:color w:val="auto"/>
              </w:rPr>
            </w:pPr>
          </w:p>
        </w:tc>
        <w:tc>
          <w:tcPr>
            <w:tcW w:w="7700" w:type="dxa"/>
            <w:vAlign w:val="bottom"/>
            <w:gridSpan w:val="3"/>
          </w:tcPr>
          <w:p>
            <w:pPr>
              <w:ind w:left="2280"/>
              <w:spacing w:after="0"/>
              <w:rPr>
                <w:sz w:val="20"/>
                <w:szCs w:val="20"/>
                <w:color w:val="auto"/>
              </w:rPr>
            </w:pPr>
            <w:r>
              <w:rPr>
                <w:rFonts w:ascii="Arial" w:cs="Arial" w:eastAsia="Arial" w:hAnsi="Arial"/>
                <w:sz w:val="18"/>
                <w:szCs w:val="18"/>
                <w:color w:val="auto"/>
              </w:rPr>
              <w:t>Title: Senior Director, Finance and Treasurer</w:t>
            </w:r>
          </w:p>
        </w:tc>
      </w:tr>
      <w:tr>
        <w:trPr>
          <w:trHeight w:val="418"/>
        </w:trPr>
        <w:tc>
          <w:tcPr>
            <w:tcW w:w="3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980" w:type="dxa"/>
            <w:vAlign w:val="bottom"/>
            <w:gridSpan w:val="2"/>
          </w:tcPr>
          <w:p>
            <w:pPr>
              <w:jc w:val="right"/>
              <w:ind w:right="20"/>
              <w:spacing w:after="0"/>
              <w:rPr>
                <w:sz w:val="20"/>
                <w:szCs w:val="20"/>
                <w:color w:val="auto"/>
              </w:rPr>
            </w:pPr>
            <w:r>
              <w:rPr>
                <w:rFonts w:ascii="Arial" w:cs="Arial" w:eastAsia="Arial" w:hAnsi="Arial"/>
                <w:sz w:val="18"/>
                <w:szCs w:val="18"/>
                <w:color w:val="auto"/>
              </w:rPr>
              <w:t>THIRD AMENDED AND RESTATED CREDIT AGREEMENT</w:t>
            </w:r>
          </w:p>
        </w:tc>
      </w:tr>
      <w:tr>
        <w:trPr>
          <w:trHeight w:val="230"/>
        </w:trPr>
        <w:tc>
          <w:tcPr>
            <w:tcW w:w="3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980" w:type="dxa"/>
            <w:vAlign w:val="bottom"/>
            <w:gridSpan w:val="2"/>
          </w:tcPr>
          <w:p>
            <w:pPr>
              <w:jc w:val="right"/>
              <w:ind w:right="20"/>
              <w:spacing w:after="0"/>
              <w:rPr>
                <w:sz w:val="20"/>
                <w:szCs w:val="20"/>
                <w:color w:val="auto"/>
              </w:rPr>
            </w:pPr>
            <w:r>
              <w:rPr>
                <w:rFonts w:ascii="Arial" w:cs="Arial" w:eastAsia="Arial" w:hAnsi="Arial"/>
                <w:sz w:val="18"/>
                <w:szCs w:val="18"/>
                <w:color w:val="auto"/>
              </w:rPr>
              <w:t>ANALOG DEVICES, INC.</w:t>
            </w:r>
          </w:p>
        </w:tc>
      </w:tr>
    </w:tbl>
    <w:p>
      <w:pPr>
        <w:sectPr>
          <w:pgSz w:w="11900" w:h="16838" w:orient="portrait"/>
          <w:cols w:equalWidth="0" w:num="1">
            <w:col w:w="11020"/>
          </w:cols>
          <w:pgMar w:left="440" w:top="274" w:right="439" w:bottom="1440" w:gutter="0" w:footer="0" w:header="0"/>
        </w:sectPr>
      </w:pPr>
    </w:p>
    <w:bookmarkStart w:id="130" w:name="page131"/>
    <w:bookmarkEnd w:id="1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ADMINISTRATIVE AGENT:</w:t>
            </w:r>
          </w:p>
        </w:tc>
        <w:tc>
          <w:tcPr>
            <w:tcW w:w="7120" w:type="dxa"/>
            <w:vAlign w:val="bottom"/>
            <w:gridSpan w:val="3"/>
          </w:tcPr>
          <w:p>
            <w:pPr>
              <w:ind w:left="1700"/>
              <w:spacing w:after="0"/>
              <w:rPr>
                <w:sz w:val="20"/>
                <w:szCs w:val="20"/>
                <w:color w:val="auto"/>
              </w:rPr>
            </w:pPr>
            <w:r>
              <w:rPr>
                <w:rFonts w:ascii="Arial" w:cs="Arial" w:eastAsia="Arial" w:hAnsi="Arial"/>
                <w:sz w:val="18"/>
                <w:szCs w:val="18"/>
                <w:color w:val="auto"/>
              </w:rPr>
              <w:t>BANK OF AMERICA, N.A.,</w:t>
            </w:r>
          </w:p>
        </w:tc>
      </w:tr>
      <w:tr>
        <w:trPr>
          <w:trHeight w:val="230"/>
        </w:trPr>
        <w:tc>
          <w:tcPr>
            <w:tcW w:w="3920" w:type="dxa"/>
            <w:vAlign w:val="bottom"/>
          </w:tcPr>
          <w:p>
            <w:pPr>
              <w:spacing w:after="0"/>
              <w:rPr>
                <w:sz w:val="20"/>
                <w:szCs w:val="20"/>
                <w:color w:val="auto"/>
              </w:rPr>
            </w:pPr>
          </w:p>
        </w:tc>
        <w:tc>
          <w:tcPr>
            <w:tcW w:w="7120" w:type="dxa"/>
            <w:vAlign w:val="bottom"/>
            <w:gridSpan w:val="3"/>
          </w:tcPr>
          <w:p>
            <w:pPr>
              <w:ind w:left="1700"/>
              <w:spacing w:after="0"/>
              <w:rPr>
                <w:sz w:val="20"/>
                <w:szCs w:val="20"/>
                <w:color w:val="auto"/>
              </w:rPr>
            </w:pPr>
            <w:r>
              <w:rPr>
                <w:rFonts w:ascii="Arial" w:cs="Arial" w:eastAsia="Arial" w:hAnsi="Arial"/>
                <w:sz w:val="18"/>
                <w:szCs w:val="18"/>
                <w:color w:val="auto"/>
              </w:rPr>
              <w:t>as Administrative Agent</w:t>
            </w:r>
          </w:p>
        </w:tc>
      </w:tr>
      <w:tr>
        <w:trPr>
          <w:trHeight w:val="445"/>
        </w:trPr>
        <w:tc>
          <w:tcPr>
            <w:tcW w:w="3920" w:type="dxa"/>
            <w:vAlign w:val="bottom"/>
          </w:tcPr>
          <w:p>
            <w:pPr>
              <w:spacing w:after="0"/>
              <w:rPr>
                <w:sz w:val="24"/>
                <w:szCs w:val="24"/>
                <w:color w:val="auto"/>
              </w:rPr>
            </w:pPr>
          </w:p>
        </w:tc>
        <w:tc>
          <w:tcPr>
            <w:tcW w:w="7120" w:type="dxa"/>
            <w:vAlign w:val="bottom"/>
            <w:gridSpan w:val="3"/>
          </w:tcPr>
          <w:p>
            <w:pPr>
              <w:ind w:left="1700"/>
              <w:spacing w:after="0"/>
              <w:rPr>
                <w:sz w:val="20"/>
                <w:szCs w:val="20"/>
                <w:color w:val="auto"/>
              </w:rPr>
            </w:pPr>
            <w:r>
              <w:rPr>
                <w:rFonts w:ascii="Arial" w:cs="Arial" w:eastAsia="Arial" w:hAnsi="Arial"/>
                <w:sz w:val="18"/>
                <w:szCs w:val="18"/>
                <w:color w:val="auto"/>
              </w:rPr>
              <w:t>By:  /s/ Henry C. Pennell</w:t>
            </w:r>
          </w:p>
        </w:tc>
      </w:tr>
      <w:tr>
        <w:trPr>
          <w:trHeight w:val="209"/>
        </w:trPr>
        <w:tc>
          <w:tcPr>
            <w:tcW w:w="3920" w:type="dxa"/>
            <w:vAlign w:val="bottom"/>
          </w:tcPr>
          <w:p>
            <w:pPr>
              <w:spacing w:after="0"/>
              <w:rPr>
                <w:sz w:val="18"/>
                <w:szCs w:val="18"/>
                <w:color w:val="auto"/>
              </w:rPr>
            </w:pPr>
          </w:p>
        </w:tc>
        <w:tc>
          <w:tcPr>
            <w:tcW w:w="2140" w:type="dxa"/>
            <w:vAlign w:val="bottom"/>
          </w:tcPr>
          <w:p>
            <w:pPr>
              <w:ind w:left="1700"/>
              <w:spacing w:after="0"/>
              <w:rPr>
                <w:sz w:val="20"/>
                <w:szCs w:val="20"/>
                <w:color w:val="auto"/>
              </w:rPr>
            </w:pPr>
            <w:r>
              <w:rPr>
                <w:rFonts w:ascii="Arial" w:cs="Arial" w:eastAsia="Arial" w:hAnsi="Arial"/>
                <w:sz w:val="18"/>
                <w:szCs w:val="18"/>
                <w:color w:val="auto"/>
                <w:w w:val="79"/>
              </w:rPr>
              <w:t>Name:</w:t>
            </w:r>
          </w:p>
        </w:tc>
        <w:tc>
          <w:tcPr>
            <w:tcW w:w="4960" w:type="dxa"/>
            <w:vAlign w:val="bottom"/>
            <w:tcBorders>
              <w:top w:val="single" w:sz="8" w:color="auto"/>
            </w:tcBorders>
          </w:tcPr>
          <w:p>
            <w:pPr>
              <w:jc w:val="right"/>
              <w:ind w:right="3530"/>
              <w:spacing w:after="0"/>
              <w:rPr>
                <w:sz w:val="20"/>
                <w:szCs w:val="20"/>
                <w:color w:val="auto"/>
              </w:rPr>
            </w:pPr>
            <w:r>
              <w:rPr>
                <w:rFonts w:ascii="Arial" w:cs="Arial" w:eastAsia="Arial" w:hAnsi="Arial"/>
                <w:sz w:val="18"/>
                <w:szCs w:val="18"/>
                <w:color w:val="auto"/>
                <w:w w:val="96"/>
              </w:rPr>
              <w:t>Henry C. Pennell</w:t>
            </w:r>
          </w:p>
        </w:tc>
        <w:tc>
          <w:tcPr>
            <w:tcW w:w="2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7120" w:type="dxa"/>
            <w:vAlign w:val="bottom"/>
            <w:gridSpan w:val="3"/>
          </w:tcPr>
          <w:p>
            <w:pPr>
              <w:ind w:left="1700"/>
              <w:spacing w:after="0"/>
              <w:rPr>
                <w:sz w:val="20"/>
                <w:szCs w:val="20"/>
                <w:color w:val="auto"/>
              </w:rPr>
            </w:pPr>
            <w:r>
              <w:rPr>
                <w:rFonts w:ascii="Arial" w:cs="Arial" w:eastAsia="Arial" w:hAnsi="Arial"/>
                <w:sz w:val="18"/>
                <w:szCs w:val="18"/>
                <w:color w:val="auto"/>
              </w:rPr>
              <w:t>Title: Vice President</w:t>
            </w:r>
          </w:p>
        </w:tc>
      </w:tr>
      <w:tr>
        <w:trPr>
          <w:trHeight w:val="418"/>
        </w:trPr>
        <w:tc>
          <w:tcPr>
            <w:tcW w:w="3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980" w:type="dxa"/>
            <w:vAlign w:val="bottom"/>
            <w:gridSpan w:val="2"/>
          </w:tcPr>
          <w:p>
            <w:pPr>
              <w:jc w:val="right"/>
              <w:ind w:right="20"/>
              <w:spacing w:after="0"/>
              <w:rPr>
                <w:sz w:val="20"/>
                <w:szCs w:val="20"/>
                <w:color w:val="auto"/>
              </w:rPr>
            </w:pPr>
            <w:r>
              <w:rPr>
                <w:rFonts w:ascii="Arial" w:cs="Arial" w:eastAsia="Arial" w:hAnsi="Arial"/>
                <w:sz w:val="18"/>
                <w:szCs w:val="18"/>
                <w:color w:val="auto"/>
              </w:rPr>
              <w:t>THIRD AMENDED AND RESTATED CREDIT AGREEMENT</w:t>
            </w:r>
          </w:p>
        </w:tc>
      </w:tr>
      <w:tr>
        <w:trPr>
          <w:trHeight w:val="230"/>
        </w:trPr>
        <w:tc>
          <w:tcPr>
            <w:tcW w:w="39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980" w:type="dxa"/>
            <w:vAlign w:val="bottom"/>
            <w:gridSpan w:val="2"/>
          </w:tcPr>
          <w:p>
            <w:pPr>
              <w:jc w:val="right"/>
              <w:ind w:right="20"/>
              <w:spacing w:after="0"/>
              <w:rPr>
                <w:sz w:val="20"/>
                <w:szCs w:val="20"/>
                <w:color w:val="auto"/>
              </w:rPr>
            </w:pPr>
            <w:r>
              <w:rPr>
                <w:rFonts w:ascii="Arial" w:cs="Arial" w:eastAsia="Arial" w:hAnsi="Arial"/>
                <w:sz w:val="18"/>
                <w:szCs w:val="18"/>
                <w:color w:val="auto"/>
              </w:rPr>
              <w:t>ANALOG DEVICES, INC.</w:t>
            </w:r>
          </w:p>
        </w:tc>
      </w:tr>
    </w:tbl>
    <w:p>
      <w:pPr>
        <w:sectPr>
          <w:pgSz w:w="11900" w:h="16838" w:orient="portrait"/>
          <w:cols w:equalWidth="0" w:num="1">
            <w:col w:w="11020"/>
          </w:cols>
          <w:pgMar w:left="440" w:top="274" w:right="439" w:bottom="1440" w:gutter="0" w:footer="0" w:header="0"/>
        </w:sectPr>
      </w:pPr>
    </w:p>
    <w:bookmarkStart w:id="131" w:name="page132"/>
    <w:bookmarkEnd w:id="1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SUSTAINABILITY STRUCTURING AGENT:</w:t>
            </w:r>
          </w:p>
        </w:tc>
        <w:tc>
          <w:tcPr>
            <w:tcW w:w="6500" w:type="dxa"/>
            <w:vAlign w:val="bottom"/>
            <w:gridSpan w:val="3"/>
          </w:tcPr>
          <w:p>
            <w:pPr>
              <w:ind w:left="1080"/>
              <w:spacing w:after="0"/>
              <w:rPr>
                <w:sz w:val="20"/>
                <w:szCs w:val="20"/>
                <w:color w:val="auto"/>
              </w:rPr>
            </w:pPr>
            <w:r>
              <w:rPr>
                <w:rFonts w:ascii="Arial" w:cs="Arial" w:eastAsia="Arial" w:hAnsi="Arial"/>
                <w:sz w:val="18"/>
                <w:szCs w:val="18"/>
                <w:color w:val="auto"/>
              </w:rPr>
              <w:t>BOFA SECURITIES, INC.,</w:t>
            </w:r>
          </w:p>
        </w:tc>
      </w:tr>
      <w:tr>
        <w:trPr>
          <w:trHeight w:val="230"/>
        </w:trPr>
        <w:tc>
          <w:tcPr>
            <w:tcW w:w="4540" w:type="dxa"/>
            <w:vAlign w:val="bottom"/>
          </w:tcPr>
          <w:p>
            <w:pPr>
              <w:spacing w:after="0"/>
              <w:rPr>
                <w:sz w:val="20"/>
                <w:szCs w:val="20"/>
                <w:color w:val="auto"/>
              </w:rPr>
            </w:pPr>
          </w:p>
        </w:tc>
        <w:tc>
          <w:tcPr>
            <w:tcW w:w="6500" w:type="dxa"/>
            <w:vAlign w:val="bottom"/>
            <w:gridSpan w:val="3"/>
          </w:tcPr>
          <w:p>
            <w:pPr>
              <w:ind w:left="1080"/>
              <w:spacing w:after="0"/>
              <w:rPr>
                <w:sz w:val="20"/>
                <w:szCs w:val="20"/>
                <w:color w:val="auto"/>
              </w:rPr>
            </w:pPr>
            <w:r>
              <w:rPr>
                <w:rFonts w:ascii="Arial" w:cs="Arial" w:eastAsia="Arial" w:hAnsi="Arial"/>
                <w:sz w:val="18"/>
                <w:szCs w:val="18"/>
                <w:color w:val="auto"/>
              </w:rPr>
              <w:t>as Sustainability Structuring Agent</w:t>
            </w:r>
          </w:p>
        </w:tc>
      </w:tr>
      <w:tr>
        <w:trPr>
          <w:trHeight w:val="445"/>
        </w:trPr>
        <w:tc>
          <w:tcPr>
            <w:tcW w:w="4540" w:type="dxa"/>
            <w:vAlign w:val="bottom"/>
          </w:tcPr>
          <w:p>
            <w:pPr>
              <w:spacing w:after="0"/>
              <w:rPr>
                <w:sz w:val="24"/>
                <w:szCs w:val="24"/>
                <w:color w:val="auto"/>
              </w:rPr>
            </w:pPr>
          </w:p>
        </w:tc>
        <w:tc>
          <w:tcPr>
            <w:tcW w:w="6500" w:type="dxa"/>
            <w:vAlign w:val="bottom"/>
            <w:gridSpan w:val="3"/>
          </w:tcPr>
          <w:p>
            <w:pPr>
              <w:ind w:left="1080"/>
              <w:spacing w:after="0"/>
              <w:rPr>
                <w:sz w:val="20"/>
                <w:szCs w:val="20"/>
                <w:color w:val="auto"/>
              </w:rPr>
            </w:pPr>
            <w:r>
              <w:rPr>
                <w:rFonts w:ascii="Arial" w:cs="Arial" w:eastAsia="Arial" w:hAnsi="Arial"/>
                <w:sz w:val="18"/>
                <w:szCs w:val="18"/>
                <w:color w:val="auto"/>
              </w:rPr>
              <w:t>By:  /s/ Jeffery Standish</w:t>
            </w:r>
          </w:p>
        </w:tc>
      </w:tr>
      <w:tr>
        <w:trPr>
          <w:trHeight w:val="209"/>
        </w:trPr>
        <w:tc>
          <w:tcPr>
            <w:tcW w:w="4540" w:type="dxa"/>
            <w:vAlign w:val="bottom"/>
          </w:tcPr>
          <w:p>
            <w:pPr>
              <w:spacing w:after="0"/>
              <w:rPr>
                <w:sz w:val="18"/>
                <w:szCs w:val="18"/>
                <w:color w:val="auto"/>
              </w:rPr>
            </w:pPr>
          </w:p>
        </w:tc>
        <w:tc>
          <w:tcPr>
            <w:tcW w:w="1520" w:type="dxa"/>
            <w:vAlign w:val="bottom"/>
          </w:tcPr>
          <w:p>
            <w:pPr>
              <w:ind w:left="1080"/>
              <w:spacing w:after="0"/>
              <w:rPr>
                <w:sz w:val="20"/>
                <w:szCs w:val="20"/>
                <w:color w:val="auto"/>
              </w:rPr>
            </w:pPr>
            <w:r>
              <w:rPr>
                <w:rFonts w:ascii="Arial" w:cs="Arial" w:eastAsia="Arial" w:hAnsi="Arial"/>
                <w:sz w:val="18"/>
                <w:szCs w:val="18"/>
                <w:color w:val="auto"/>
                <w:w w:val="79"/>
              </w:rPr>
              <w:t>Name:</w:t>
            </w:r>
          </w:p>
        </w:tc>
        <w:tc>
          <w:tcPr>
            <w:tcW w:w="4960" w:type="dxa"/>
            <w:vAlign w:val="bottom"/>
            <w:tcBorders>
              <w:top w:val="single" w:sz="8" w:color="auto"/>
            </w:tcBorders>
          </w:tcPr>
          <w:p>
            <w:pPr>
              <w:jc w:val="right"/>
              <w:ind w:right="3610"/>
              <w:spacing w:after="0"/>
              <w:rPr>
                <w:sz w:val="20"/>
                <w:szCs w:val="20"/>
                <w:color w:val="auto"/>
              </w:rPr>
            </w:pPr>
            <w:r>
              <w:rPr>
                <w:rFonts w:ascii="Arial" w:cs="Arial" w:eastAsia="Arial" w:hAnsi="Arial"/>
                <w:sz w:val="18"/>
                <w:szCs w:val="18"/>
                <w:color w:val="auto"/>
                <w:w w:val="96"/>
              </w:rPr>
              <w:t>Jeffery Standish</w:t>
            </w:r>
          </w:p>
        </w:tc>
        <w:tc>
          <w:tcPr>
            <w:tcW w:w="2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p>
        </w:tc>
        <w:tc>
          <w:tcPr>
            <w:tcW w:w="6500" w:type="dxa"/>
            <w:vAlign w:val="bottom"/>
            <w:gridSpan w:val="3"/>
          </w:tcPr>
          <w:p>
            <w:pPr>
              <w:ind w:left="1080"/>
              <w:spacing w:after="0"/>
              <w:rPr>
                <w:sz w:val="20"/>
                <w:szCs w:val="20"/>
                <w:color w:val="auto"/>
              </w:rPr>
            </w:pPr>
            <w:r>
              <w:rPr>
                <w:rFonts w:ascii="Arial" w:cs="Arial" w:eastAsia="Arial" w:hAnsi="Arial"/>
                <w:sz w:val="18"/>
                <w:szCs w:val="18"/>
                <w:color w:val="auto"/>
              </w:rPr>
              <w:t>Title: Managing Director</w:t>
            </w:r>
          </w:p>
        </w:tc>
      </w:tr>
      <w:tr>
        <w:trPr>
          <w:trHeight w:val="418"/>
        </w:trPr>
        <w:tc>
          <w:tcPr>
            <w:tcW w:w="4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980" w:type="dxa"/>
            <w:vAlign w:val="bottom"/>
            <w:gridSpan w:val="2"/>
          </w:tcPr>
          <w:p>
            <w:pPr>
              <w:jc w:val="right"/>
              <w:ind w:right="20"/>
              <w:spacing w:after="0"/>
              <w:rPr>
                <w:sz w:val="20"/>
                <w:szCs w:val="20"/>
                <w:color w:val="auto"/>
              </w:rPr>
            </w:pPr>
            <w:r>
              <w:rPr>
                <w:rFonts w:ascii="Arial" w:cs="Arial" w:eastAsia="Arial" w:hAnsi="Arial"/>
                <w:sz w:val="18"/>
                <w:szCs w:val="18"/>
                <w:color w:val="auto"/>
              </w:rPr>
              <w:t>THIRD AMENDED AND RESTATED CREDIT AGREEMENT</w:t>
            </w:r>
          </w:p>
        </w:tc>
      </w:tr>
      <w:tr>
        <w:trPr>
          <w:trHeight w:val="230"/>
        </w:trPr>
        <w:tc>
          <w:tcPr>
            <w:tcW w:w="4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980" w:type="dxa"/>
            <w:vAlign w:val="bottom"/>
            <w:gridSpan w:val="2"/>
          </w:tcPr>
          <w:p>
            <w:pPr>
              <w:jc w:val="right"/>
              <w:ind w:right="20"/>
              <w:spacing w:after="0"/>
              <w:rPr>
                <w:sz w:val="20"/>
                <w:szCs w:val="20"/>
                <w:color w:val="auto"/>
              </w:rPr>
            </w:pPr>
            <w:r>
              <w:rPr>
                <w:rFonts w:ascii="Arial" w:cs="Arial" w:eastAsia="Arial" w:hAnsi="Arial"/>
                <w:sz w:val="18"/>
                <w:szCs w:val="18"/>
                <w:color w:val="auto"/>
              </w:rPr>
              <w:t>ANALOG DEVICES, INC.</w:t>
            </w:r>
          </w:p>
        </w:tc>
      </w:tr>
    </w:tbl>
    <w:p>
      <w:pPr>
        <w:sectPr>
          <w:pgSz w:w="11900" w:h="16838" w:orient="portrait"/>
          <w:cols w:equalWidth="0" w:num="1">
            <w:col w:w="11020"/>
          </w:cols>
          <w:pgMar w:left="440" w:top="274" w:right="439" w:bottom="1440" w:gutter="0" w:footer="0" w:header="0"/>
        </w:sectPr>
      </w:pPr>
    </w:p>
    <w:bookmarkStart w:id="132" w:name="page133"/>
    <w:bookmarkEnd w:id="1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LENDERS:</w:t>
            </w:r>
          </w:p>
        </w:tc>
        <w:tc>
          <w:tcPr>
            <w:tcW w:w="7800" w:type="dxa"/>
            <w:vAlign w:val="bottom"/>
            <w:gridSpan w:val="3"/>
          </w:tcPr>
          <w:p>
            <w:pPr>
              <w:ind w:left="2380"/>
              <w:spacing w:after="0"/>
              <w:rPr>
                <w:sz w:val="20"/>
                <w:szCs w:val="20"/>
                <w:color w:val="auto"/>
              </w:rPr>
            </w:pPr>
            <w:r>
              <w:rPr>
                <w:rFonts w:ascii="Arial" w:cs="Arial" w:eastAsia="Arial" w:hAnsi="Arial"/>
                <w:sz w:val="18"/>
                <w:szCs w:val="18"/>
                <w:color w:val="auto"/>
              </w:rPr>
              <w:t>BANK OF AMERICA, N.A.,</w:t>
            </w:r>
          </w:p>
        </w:tc>
      </w:tr>
      <w:tr>
        <w:trPr>
          <w:trHeight w:val="230"/>
        </w:trPr>
        <w:tc>
          <w:tcPr>
            <w:tcW w:w="3240" w:type="dxa"/>
            <w:vAlign w:val="bottom"/>
          </w:tcPr>
          <w:p>
            <w:pPr>
              <w:spacing w:after="0"/>
              <w:rPr>
                <w:sz w:val="20"/>
                <w:szCs w:val="20"/>
                <w:color w:val="auto"/>
              </w:rPr>
            </w:pPr>
          </w:p>
        </w:tc>
        <w:tc>
          <w:tcPr>
            <w:tcW w:w="7800" w:type="dxa"/>
            <w:vAlign w:val="bottom"/>
            <w:gridSpan w:val="3"/>
          </w:tcPr>
          <w:p>
            <w:pPr>
              <w:ind w:left="2380"/>
              <w:spacing w:after="0"/>
              <w:rPr>
                <w:sz w:val="20"/>
                <w:szCs w:val="20"/>
                <w:color w:val="auto"/>
              </w:rPr>
            </w:pPr>
            <w:r>
              <w:rPr>
                <w:rFonts w:ascii="Arial" w:cs="Arial" w:eastAsia="Arial" w:hAnsi="Arial"/>
                <w:sz w:val="18"/>
                <w:szCs w:val="18"/>
                <w:color w:val="auto"/>
              </w:rPr>
              <w:t>as a Lender, Swing Line Lender and an L/C Issuer</w:t>
            </w:r>
          </w:p>
        </w:tc>
      </w:tr>
      <w:tr>
        <w:trPr>
          <w:trHeight w:val="445"/>
        </w:trPr>
        <w:tc>
          <w:tcPr>
            <w:tcW w:w="3240" w:type="dxa"/>
            <w:vAlign w:val="bottom"/>
          </w:tcPr>
          <w:p>
            <w:pPr>
              <w:spacing w:after="0"/>
              <w:rPr>
                <w:sz w:val="24"/>
                <w:szCs w:val="24"/>
                <w:color w:val="auto"/>
              </w:rPr>
            </w:pPr>
          </w:p>
        </w:tc>
        <w:tc>
          <w:tcPr>
            <w:tcW w:w="7800" w:type="dxa"/>
            <w:vAlign w:val="bottom"/>
            <w:gridSpan w:val="3"/>
          </w:tcPr>
          <w:p>
            <w:pPr>
              <w:ind w:left="2380"/>
              <w:spacing w:after="0"/>
              <w:rPr>
                <w:sz w:val="20"/>
                <w:szCs w:val="20"/>
                <w:color w:val="auto"/>
              </w:rPr>
            </w:pPr>
            <w:r>
              <w:rPr>
                <w:rFonts w:ascii="Arial" w:cs="Arial" w:eastAsia="Arial" w:hAnsi="Arial"/>
                <w:sz w:val="18"/>
                <w:szCs w:val="18"/>
                <w:color w:val="auto"/>
              </w:rPr>
              <w:t>By:  /s/ Amanuel Assefa</w:t>
            </w:r>
          </w:p>
        </w:tc>
      </w:tr>
      <w:tr>
        <w:trPr>
          <w:trHeight w:val="209"/>
        </w:trPr>
        <w:tc>
          <w:tcPr>
            <w:tcW w:w="3240" w:type="dxa"/>
            <w:vAlign w:val="bottom"/>
          </w:tcPr>
          <w:p>
            <w:pPr>
              <w:spacing w:after="0"/>
              <w:rPr>
                <w:sz w:val="18"/>
                <w:szCs w:val="18"/>
                <w:color w:val="auto"/>
              </w:rPr>
            </w:pPr>
          </w:p>
        </w:tc>
        <w:tc>
          <w:tcPr>
            <w:tcW w:w="2820" w:type="dxa"/>
            <w:vAlign w:val="bottom"/>
          </w:tcPr>
          <w:p>
            <w:pPr>
              <w:ind w:left="2380"/>
              <w:spacing w:after="0"/>
              <w:rPr>
                <w:sz w:val="20"/>
                <w:szCs w:val="20"/>
                <w:color w:val="auto"/>
              </w:rPr>
            </w:pPr>
            <w:r>
              <w:rPr>
                <w:rFonts w:ascii="Arial" w:cs="Arial" w:eastAsia="Arial" w:hAnsi="Arial"/>
                <w:sz w:val="18"/>
                <w:szCs w:val="18"/>
                <w:color w:val="auto"/>
                <w:w w:val="79"/>
              </w:rPr>
              <w:t>Name:</w:t>
            </w:r>
          </w:p>
        </w:tc>
        <w:tc>
          <w:tcPr>
            <w:tcW w:w="4960" w:type="dxa"/>
            <w:vAlign w:val="bottom"/>
            <w:tcBorders>
              <w:top w:val="single" w:sz="8" w:color="auto"/>
            </w:tcBorders>
          </w:tcPr>
          <w:p>
            <w:pPr>
              <w:jc w:val="right"/>
              <w:ind w:right="3590"/>
              <w:spacing w:after="0"/>
              <w:rPr>
                <w:sz w:val="20"/>
                <w:szCs w:val="20"/>
                <w:color w:val="auto"/>
              </w:rPr>
            </w:pPr>
            <w:r>
              <w:rPr>
                <w:rFonts w:ascii="Arial" w:cs="Arial" w:eastAsia="Arial" w:hAnsi="Arial"/>
                <w:sz w:val="18"/>
                <w:szCs w:val="18"/>
                <w:color w:val="auto"/>
                <w:w w:val="96"/>
              </w:rPr>
              <w:t>Amanuel Assefa</w:t>
            </w:r>
          </w:p>
        </w:tc>
        <w:tc>
          <w:tcPr>
            <w:tcW w:w="2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p>
        </w:tc>
        <w:tc>
          <w:tcPr>
            <w:tcW w:w="7800" w:type="dxa"/>
            <w:vAlign w:val="bottom"/>
            <w:gridSpan w:val="3"/>
          </w:tcPr>
          <w:p>
            <w:pPr>
              <w:ind w:left="2380"/>
              <w:spacing w:after="0"/>
              <w:rPr>
                <w:sz w:val="20"/>
                <w:szCs w:val="20"/>
                <w:color w:val="auto"/>
              </w:rPr>
            </w:pPr>
            <w:r>
              <w:rPr>
                <w:rFonts w:ascii="Arial" w:cs="Arial" w:eastAsia="Arial" w:hAnsi="Arial"/>
                <w:sz w:val="18"/>
                <w:szCs w:val="18"/>
                <w:color w:val="auto"/>
              </w:rPr>
              <w:t>Title: Director</w:t>
            </w:r>
          </w:p>
        </w:tc>
      </w:tr>
      <w:tr>
        <w:trPr>
          <w:trHeight w:val="418"/>
        </w:trPr>
        <w:tc>
          <w:tcPr>
            <w:tcW w:w="3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980" w:type="dxa"/>
            <w:vAlign w:val="bottom"/>
            <w:gridSpan w:val="2"/>
          </w:tcPr>
          <w:p>
            <w:pPr>
              <w:jc w:val="right"/>
              <w:ind w:right="20"/>
              <w:spacing w:after="0"/>
              <w:rPr>
                <w:sz w:val="20"/>
                <w:szCs w:val="20"/>
                <w:color w:val="auto"/>
              </w:rPr>
            </w:pPr>
            <w:r>
              <w:rPr>
                <w:rFonts w:ascii="Arial" w:cs="Arial" w:eastAsia="Arial" w:hAnsi="Arial"/>
                <w:sz w:val="18"/>
                <w:szCs w:val="18"/>
                <w:color w:val="auto"/>
              </w:rPr>
              <w:t>THIRD AMENDED AND RESTATED CREDIT AGREEMENT</w:t>
            </w:r>
          </w:p>
        </w:tc>
      </w:tr>
      <w:tr>
        <w:trPr>
          <w:trHeight w:val="230"/>
        </w:trPr>
        <w:tc>
          <w:tcPr>
            <w:tcW w:w="3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80" w:type="dxa"/>
            <w:vAlign w:val="bottom"/>
            <w:gridSpan w:val="2"/>
          </w:tcPr>
          <w:p>
            <w:pPr>
              <w:jc w:val="right"/>
              <w:ind w:right="20"/>
              <w:spacing w:after="0"/>
              <w:rPr>
                <w:sz w:val="20"/>
                <w:szCs w:val="20"/>
                <w:color w:val="auto"/>
              </w:rPr>
            </w:pPr>
            <w:r>
              <w:rPr>
                <w:rFonts w:ascii="Arial" w:cs="Arial" w:eastAsia="Arial" w:hAnsi="Arial"/>
                <w:sz w:val="18"/>
                <w:szCs w:val="18"/>
                <w:color w:val="auto"/>
              </w:rPr>
              <w:t>ANALOG DEVICES, INC.</w:t>
            </w:r>
          </w:p>
        </w:tc>
      </w:tr>
    </w:tbl>
    <w:p>
      <w:pPr>
        <w:sectPr>
          <w:pgSz w:w="11900" w:h="16838" w:orient="portrait"/>
          <w:cols w:equalWidth="0" w:num="1">
            <w:col w:w="11020"/>
          </w:cols>
          <w:pgMar w:left="440" w:top="274" w:right="439" w:bottom="1440" w:gutter="0" w:footer="0" w:header="0"/>
        </w:sectPr>
      </w:pPr>
    </w:p>
    <w:bookmarkStart w:id="133" w:name="page134"/>
    <w:bookmarkEnd w:id="13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 and an L/C Issuer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Kowalczuk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THIRD AMENDED AND RESTATED CREDIT AGREEMENT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ANALOG DEVICES, INC.</w:t>
      </w:r>
    </w:p>
    <w:p>
      <w:pPr>
        <w:sectPr>
          <w:pgSz w:w="11900" w:h="16838" w:orient="portrait"/>
          <w:cols w:equalWidth="0" w:num="1">
            <w:col w:w="10020"/>
          </w:cols>
          <w:pgMar w:left="1440" w:top="274" w:right="439" w:bottom="1440" w:gutter="0" w:footer="0" w:header="0"/>
        </w:sectPr>
      </w:pPr>
    </w:p>
    <w:bookmarkStart w:id="134" w:name="page135"/>
    <w:bookmarkEnd w:id="13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 and an L/C Issuer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THIRD AMENDED AND RESTATED CREDIT AGREEMENT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ANALOG DEVICES, INC.</w:t>
      </w:r>
    </w:p>
    <w:p>
      <w:pPr>
        <w:sectPr>
          <w:pgSz w:w="11900" w:h="16838" w:orient="portrait"/>
          <w:cols w:equalWidth="0" w:num="1">
            <w:col w:w="10020"/>
          </w:cols>
          <w:pgMar w:left="1440" w:top="274" w:right="439" w:bottom="1440" w:gutter="0" w:footer="0" w:header="0"/>
        </w:sectPr>
      </w:pPr>
    </w:p>
    <w:bookmarkStart w:id="135" w:name="page136"/>
    <w:bookmarkEnd w:id="13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 and an L/C Issuer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Susan M.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Susan M. Olsen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THIRD AMENDED AND RESTATED CREDIT AGREEMENT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ANALOG DEVICES, INC.</w:t>
      </w:r>
    </w:p>
    <w:p>
      <w:pPr>
        <w:sectPr>
          <w:pgSz w:w="11900" w:h="16838" w:orient="portrait"/>
          <w:cols w:equalWidth="0" w:num="1">
            <w:col w:w="10020"/>
          </w:cols>
          <w:pgMar w:left="1440" w:top="274" w:right="4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LENDERS:</w:t>
            </w:r>
          </w:p>
        </w:tc>
        <w:tc>
          <w:tcPr>
            <w:tcW w:w="7800" w:type="dxa"/>
            <w:vAlign w:val="bottom"/>
            <w:gridSpan w:val="3"/>
          </w:tcPr>
          <w:p>
            <w:pPr>
              <w:ind w:left="2380"/>
              <w:spacing w:after="0"/>
              <w:rPr>
                <w:sz w:val="20"/>
                <w:szCs w:val="20"/>
                <w:color w:val="auto"/>
              </w:rPr>
            </w:pPr>
            <w:r>
              <w:rPr>
                <w:rFonts w:ascii="Arial" w:cs="Arial" w:eastAsia="Arial" w:hAnsi="Arial"/>
                <w:sz w:val="18"/>
                <w:szCs w:val="18"/>
                <w:color w:val="auto"/>
              </w:rPr>
              <w:t>BARCLAYS BANK PLC,</w:t>
            </w:r>
          </w:p>
        </w:tc>
      </w:tr>
      <w:tr>
        <w:trPr>
          <w:trHeight w:val="230"/>
        </w:trPr>
        <w:tc>
          <w:tcPr>
            <w:tcW w:w="3240" w:type="dxa"/>
            <w:vAlign w:val="bottom"/>
          </w:tcPr>
          <w:p>
            <w:pPr>
              <w:spacing w:after="0"/>
              <w:rPr>
                <w:sz w:val="20"/>
                <w:szCs w:val="20"/>
                <w:color w:val="auto"/>
              </w:rPr>
            </w:pPr>
          </w:p>
        </w:tc>
        <w:tc>
          <w:tcPr>
            <w:tcW w:w="7800" w:type="dxa"/>
            <w:vAlign w:val="bottom"/>
            <w:gridSpan w:val="3"/>
          </w:tcPr>
          <w:p>
            <w:pPr>
              <w:ind w:left="2380"/>
              <w:spacing w:after="0"/>
              <w:rPr>
                <w:sz w:val="20"/>
                <w:szCs w:val="20"/>
                <w:color w:val="auto"/>
              </w:rPr>
            </w:pPr>
            <w:r>
              <w:rPr>
                <w:rFonts w:ascii="Arial" w:cs="Arial" w:eastAsia="Arial" w:hAnsi="Arial"/>
                <w:sz w:val="18"/>
                <w:szCs w:val="18"/>
                <w:color w:val="auto"/>
              </w:rPr>
              <w:t>as a Lender</w:t>
            </w:r>
          </w:p>
        </w:tc>
      </w:tr>
      <w:tr>
        <w:trPr>
          <w:trHeight w:val="446"/>
        </w:trPr>
        <w:tc>
          <w:tcPr>
            <w:tcW w:w="3240" w:type="dxa"/>
            <w:vAlign w:val="bottom"/>
          </w:tcPr>
          <w:p>
            <w:pPr>
              <w:spacing w:after="0"/>
              <w:rPr>
                <w:sz w:val="24"/>
                <w:szCs w:val="24"/>
                <w:color w:val="auto"/>
              </w:rPr>
            </w:pPr>
          </w:p>
        </w:tc>
        <w:tc>
          <w:tcPr>
            <w:tcW w:w="7800" w:type="dxa"/>
            <w:vAlign w:val="bottom"/>
            <w:gridSpan w:val="3"/>
          </w:tcPr>
          <w:p>
            <w:pPr>
              <w:ind w:left="2380"/>
              <w:spacing w:after="0"/>
              <w:rPr>
                <w:sz w:val="20"/>
                <w:szCs w:val="20"/>
                <w:color w:val="auto"/>
              </w:rPr>
            </w:pPr>
            <w:r>
              <w:rPr>
                <w:rFonts w:ascii="Arial" w:cs="Arial" w:eastAsia="Arial" w:hAnsi="Arial"/>
                <w:sz w:val="18"/>
                <w:szCs w:val="18"/>
                <w:color w:val="auto"/>
              </w:rPr>
              <w:t>By:  /s/ Sean Duggan</w:t>
            </w:r>
          </w:p>
        </w:tc>
      </w:tr>
      <w:tr>
        <w:trPr>
          <w:trHeight w:val="209"/>
        </w:trPr>
        <w:tc>
          <w:tcPr>
            <w:tcW w:w="3240" w:type="dxa"/>
            <w:vAlign w:val="bottom"/>
          </w:tcPr>
          <w:p>
            <w:pPr>
              <w:spacing w:after="0"/>
              <w:rPr>
                <w:sz w:val="18"/>
                <w:szCs w:val="18"/>
                <w:color w:val="auto"/>
              </w:rPr>
            </w:pPr>
          </w:p>
        </w:tc>
        <w:tc>
          <w:tcPr>
            <w:tcW w:w="2820" w:type="dxa"/>
            <w:vAlign w:val="bottom"/>
          </w:tcPr>
          <w:p>
            <w:pPr>
              <w:ind w:left="2380"/>
              <w:spacing w:after="0"/>
              <w:rPr>
                <w:sz w:val="20"/>
                <w:szCs w:val="20"/>
                <w:color w:val="auto"/>
              </w:rPr>
            </w:pPr>
            <w:r>
              <w:rPr>
                <w:rFonts w:ascii="Arial" w:cs="Arial" w:eastAsia="Arial" w:hAnsi="Arial"/>
                <w:sz w:val="18"/>
                <w:szCs w:val="18"/>
                <w:color w:val="auto"/>
                <w:w w:val="79"/>
              </w:rPr>
              <w:t>Name:</w:t>
            </w:r>
          </w:p>
        </w:tc>
        <w:tc>
          <w:tcPr>
            <w:tcW w:w="4960" w:type="dxa"/>
            <w:vAlign w:val="bottom"/>
            <w:tcBorders>
              <w:top w:val="single" w:sz="8" w:color="auto"/>
            </w:tcBorders>
          </w:tcPr>
          <w:p>
            <w:pPr>
              <w:jc w:val="right"/>
              <w:ind w:right="3810"/>
              <w:spacing w:after="0"/>
              <w:rPr>
                <w:sz w:val="20"/>
                <w:szCs w:val="20"/>
                <w:color w:val="auto"/>
              </w:rPr>
            </w:pPr>
            <w:r>
              <w:rPr>
                <w:rFonts w:ascii="Arial" w:cs="Arial" w:eastAsia="Arial" w:hAnsi="Arial"/>
                <w:sz w:val="18"/>
                <w:szCs w:val="18"/>
                <w:color w:val="auto"/>
                <w:w w:val="94"/>
              </w:rPr>
              <w:t>Sean Duggan</w:t>
            </w:r>
          </w:p>
        </w:tc>
        <w:tc>
          <w:tcPr>
            <w:tcW w:w="2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p>
        </w:tc>
        <w:tc>
          <w:tcPr>
            <w:tcW w:w="7800" w:type="dxa"/>
            <w:vAlign w:val="bottom"/>
            <w:gridSpan w:val="3"/>
          </w:tcPr>
          <w:p>
            <w:pPr>
              <w:ind w:left="2380"/>
              <w:spacing w:after="0"/>
              <w:rPr>
                <w:sz w:val="20"/>
                <w:szCs w:val="20"/>
                <w:color w:val="auto"/>
              </w:rPr>
            </w:pPr>
            <w:r>
              <w:rPr>
                <w:rFonts w:ascii="Arial" w:cs="Arial" w:eastAsia="Arial" w:hAnsi="Arial"/>
                <w:sz w:val="18"/>
                <w:szCs w:val="18"/>
                <w:color w:val="auto"/>
              </w:rPr>
              <w:t>Title: Vice President</w:t>
            </w:r>
          </w:p>
        </w:tc>
      </w:tr>
      <w:tr>
        <w:trPr>
          <w:trHeight w:val="418"/>
        </w:trPr>
        <w:tc>
          <w:tcPr>
            <w:tcW w:w="3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980" w:type="dxa"/>
            <w:vAlign w:val="bottom"/>
            <w:gridSpan w:val="2"/>
          </w:tcPr>
          <w:p>
            <w:pPr>
              <w:jc w:val="right"/>
              <w:ind w:right="20"/>
              <w:spacing w:after="0"/>
              <w:rPr>
                <w:sz w:val="20"/>
                <w:szCs w:val="20"/>
                <w:color w:val="auto"/>
              </w:rPr>
            </w:pPr>
            <w:r>
              <w:rPr>
                <w:rFonts w:ascii="Arial" w:cs="Arial" w:eastAsia="Arial" w:hAnsi="Arial"/>
                <w:sz w:val="18"/>
                <w:szCs w:val="18"/>
                <w:color w:val="auto"/>
              </w:rPr>
              <w:t>THIRD AMENDED AND RESTATED CREDIT AGREEMENT</w:t>
            </w:r>
          </w:p>
        </w:tc>
      </w:tr>
      <w:tr>
        <w:trPr>
          <w:trHeight w:val="230"/>
        </w:trPr>
        <w:tc>
          <w:tcPr>
            <w:tcW w:w="3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80" w:type="dxa"/>
            <w:vAlign w:val="bottom"/>
            <w:gridSpan w:val="2"/>
          </w:tcPr>
          <w:p>
            <w:pPr>
              <w:jc w:val="right"/>
              <w:ind w:right="20"/>
              <w:spacing w:after="0"/>
              <w:rPr>
                <w:sz w:val="20"/>
                <w:szCs w:val="20"/>
                <w:color w:val="auto"/>
              </w:rPr>
            </w:pPr>
            <w:r>
              <w:rPr>
                <w:rFonts w:ascii="Arial" w:cs="Arial" w:eastAsia="Arial" w:hAnsi="Arial"/>
                <w:sz w:val="18"/>
                <w:szCs w:val="18"/>
                <w:color w:val="auto"/>
              </w:rPr>
              <w:t>ANALOG DEVICES, INC.</w:t>
            </w:r>
          </w:p>
        </w:tc>
      </w:tr>
    </w:tbl>
    <w:p>
      <w:pPr>
        <w:jc w:val="right"/>
        <w:ind w:right="20"/>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37" w:name="page138"/>
    <w:bookmarkEnd w:id="13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BMO HARRIS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Kus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THIRD AMENDED AND RESTATED CREDIT AGREEMENT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ANALOG DEVICES, INC.</w:t>
      </w:r>
    </w:p>
    <w:p>
      <w:pPr>
        <w:sectPr>
          <w:pgSz w:w="11900" w:h="16838" w:orient="portrait"/>
          <w:cols w:equalWidth="0" w:num="1">
            <w:col w:w="10020"/>
          </w:cols>
          <w:pgMar w:left="1440" w:top="274" w:right="439" w:bottom="1440" w:gutter="0" w:footer="0" w:header="0"/>
        </w:sectPr>
      </w:pPr>
    </w:p>
    <w:bookmarkStart w:id="138" w:name="page139"/>
    <w:bookmarkEnd w:id="13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BNP PARIBAS,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Brendan Heneghan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Brendan Heneghan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Nicolas Doche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THIRD AMENDED AND RESTATED CREDIT AGREEMENT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ANALOG DEVICES, INC.</w:t>
      </w:r>
    </w:p>
    <w:p>
      <w:pPr>
        <w:sectPr>
          <w:pgSz w:w="11900" w:h="16838" w:orient="portrait"/>
          <w:cols w:equalWidth="0" w:num="1">
            <w:col w:w="10020"/>
          </w:cols>
          <w:pgMar w:left="1440" w:top="274" w:right="439" w:bottom="1440" w:gutter="0" w:footer="0" w:header="0"/>
        </w:sectPr>
      </w:pPr>
    </w:p>
    <w:bookmarkStart w:id="139" w:name="page140"/>
    <w:bookmarkEnd w:id="13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SUISSE AG, NEW YORK BRANCH,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Doreen Barr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Andrew Griffin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THIRD AMENDED AND RESTATED CREDIT AGREEMENT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ANALOG DEVICES, INC.</w:t>
      </w:r>
    </w:p>
    <w:p>
      <w:pPr>
        <w:sectPr>
          <w:pgSz w:w="11900" w:h="16838" w:orient="portrait"/>
          <w:cols w:equalWidth="0" w:num="1">
            <w:col w:w="10020"/>
          </w:cols>
          <w:pgMar w:left="1440" w:top="274" w:right="439" w:bottom="1440" w:gutter="0" w:footer="0" w:header="0"/>
        </w:sectPr>
      </w:pPr>
    </w:p>
    <w:bookmarkStart w:id="140" w:name="page141"/>
    <w:bookmarkEnd w:id="14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NATIONAL ASSOCIATION,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Kyle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Kyle Patterson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THIRD AMENDED AND RESTATED CREDIT AGREEMENT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ANALOG DEVICES, INC.</w:t>
      </w:r>
    </w:p>
    <w:p>
      <w:pPr>
        <w:sectPr>
          <w:pgSz w:w="11900" w:h="16838" w:orient="portrait"/>
          <w:cols w:equalWidth="0" w:num="1">
            <w:col w:w="10020"/>
          </w:cols>
          <w:pgMar w:left="1440" w:top="274" w:right="439" w:bottom="1440" w:gutter="0" w:footer="0" w:header="0"/>
        </w:sectPr>
      </w:pPr>
    </w:p>
    <w:bookmarkStart w:id="141" w:name="page142"/>
    <w:bookmarkEnd w:id="14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Davies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THIRD AMENDED AND RESTATED CREDIT AGREEMENT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ANALOG DEVICES, INC.</w:t>
      </w:r>
    </w:p>
    <w:p>
      <w:pPr>
        <w:sectPr>
          <w:pgSz w:w="11900" w:h="16838" w:orient="portrait"/>
          <w:cols w:equalWidth="0" w:num="1">
            <w:col w:w="10020"/>
          </w:cols>
          <w:pgMar w:left="1440" w:top="274" w:right="439" w:bottom="1440" w:gutter="0" w:footer="0" w:header="0"/>
        </w:sectPr>
      </w:pPr>
    </w:p>
    <w:bookmarkStart w:id="142" w:name="page143"/>
    <w:bookmarkEnd w:id="14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Lillian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Lillian Kim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THIRD AMENDED AND RESTATED CREDIT AGREEMENT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ANALOG DEVICES, INC.</w:t>
      </w:r>
    </w:p>
    <w:p>
      <w:pPr>
        <w:sectPr>
          <w:pgSz w:w="11900" w:h="16838" w:orient="portrait"/>
          <w:cols w:equalWidth="0" w:num="1">
            <w:col w:w="10020"/>
          </w:cols>
          <w:pgMar w:left="1440" w:top="274" w:right="439" w:bottom="1440" w:gutter="0" w:footer="0" w:header="0"/>
        </w:sectPr>
      </w:pPr>
    </w:p>
    <w:bookmarkStart w:id="143" w:name="page144"/>
    <w:bookmarkEnd w:id="14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Terence J. O’Malley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Terence J. O’Malley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THIRD AMENDED AND RESTATED CREDIT AGREEMENT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ANALOG DEVICES, INC.</w:t>
      </w:r>
    </w:p>
    <w:p>
      <w:pPr>
        <w:sectPr>
          <w:pgSz w:w="11900" w:h="16838" w:orient="portrait"/>
          <w:cols w:equalWidth="0" w:num="1">
            <w:col w:w="10020"/>
          </w:cols>
          <w:pgMar w:left="1440" w:top="274" w:right="439" w:bottom="1440" w:gutter="0" w:footer="0" w:header="0"/>
        </w:sectPr>
      </w:pPr>
    </w:p>
    <w:bookmarkStart w:id="144" w:name="page145"/>
    <w:bookmarkEnd w:id="14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SUMITOMO MITSUI BANKING CORPORATION,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Gail Motonaga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Gail Motonaga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THIRD AMENDED AND RESTATED CREDIT AGREEMENT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ANALOG DEVICES, INC.</w:t>
      </w:r>
    </w:p>
    <w:p>
      <w:pPr>
        <w:sectPr>
          <w:pgSz w:w="11900" w:h="16838" w:orient="portrait"/>
          <w:cols w:equalWidth="0" w:num="1">
            <w:col w:w="10020"/>
          </w:cols>
          <w:pgMar w:left="1440" w:top="274" w:right="439" w:bottom="1440" w:gutter="0" w:footer="0" w:header="0"/>
        </w:sectPr>
      </w:pPr>
    </w:p>
    <w:bookmarkStart w:id="145" w:name="page146"/>
    <w:bookmarkEnd w:id="14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TD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Steve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Steve Levi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THIRD AMENDED AND RESTATED CREDIT AGREEMENT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ANALOG DEVICES, INC.</w:t>
      </w:r>
    </w:p>
    <w:p>
      <w:pPr>
        <w:sectPr>
          <w:pgSz w:w="11900" w:h="16838" w:orient="portrait"/>
          <w:cols w:equalWidth="0" w:num="1">
            <w:col w:w="10020"/>
          </w:cols>
          <w:pgMar w:left="1440" w:top="274" w:right="439" w:bottom="1440" w:gutter="0" w:footer="0" w:header="0"/>
        </w:sectPr>
      </w:pPr>
    </w:p>
    <w:bookmarkStart w:id="146" w:name="page147"/>
    <w:bookmarkEnd w:id="14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Lacy Houstoun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Lacy Houstoun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THIRD AMENDED AND RESTATED CREDIT AGREEMENT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ANALOG DEVICES, INC.</w:t>
      </w:r>
    </w:p>
    <w:p>
      <w:pPr>
        <w:sectPr>
          <w:pgSz w:w="11900" w:h="16838" w:orient="portrait"/>
          <w:cols w:equalWidth="0" w:num="1">
            <w:col w:w="10020"/>
          </w:cols>
          <w:pgMar w:left="1440" w:top="274" w:right="439" w:bottom="1440" w:gutter="0" w:footer="0" w:header="0"/>
        </w:sectPr>
      </w:pPr>
    </w:p>
    <w:bookmarkStart w:id="147" w:name="page148"/>
    <w:bookmarkEnd w:id="147"/>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1.01</w:t>
      </w:r>
    </w:p>
    <w:p>
      <w:pPr>
        <w:spacing w:after="0" w:line="225" w:lineRule="exact"/>
        <w:rPr>
          <w:sz w:val="20"/>
          <w:szCs w:val="20"/>
          <w:color w:val="auto"/>
        </w:rPr>
      </w:pPr>
    </w:p>
    <w:p>
      <w:pPr>
        <w:jc w:val="right"/>
        <w:ind w:right="2859"/>
        <w:spacing w:after="0"/>
        <w:rPr>
          <w:sz w:val="20"/>
          <w:szCs w:val="20"/>
          <w:color w:val="auto"/>
        </w:rPr>
      </w:pPr>
      <w:r>
        <w:rPr>
          <w:rFonts w:ascii="Arial" w:cs="Arial" w:eastAsia="Arial" w:hAnsi="Arial"/>
          <w:sz w:val="18"/>
          <w:szCs w:val="18"/>
          <w:b w:val="1"/>
          <w:bCs w:val="1"/>
          <w:color w:val="auto"/>
        </w:rPr>
        <w:t>CONSOLIDATED EBITDA ADD-BACKS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0" w:right="1440"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2.01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COMMITMENTS AND APPLICABLE PERCENTAGES</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color w:val="auto"/>
                <w:w w:val="91"/>
              </w:rPr>
              <w:t>Lender</w:t>
            </w:r>
          </w:p>
        </w:tc>
        <w:tc>
          <w:tcPr>
            <w:tcW w:w="50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jc w:val="center"/>
              <w:ind w:right="480"/>
              <w:spacing w:after="0"/>
              <w:rPr>
                <w:sz w:val="20"/>
                <w:szCs w:val="20"/>
                <w:color w:val="auto"/>
              </w:rPr>
            </w:pPr>
            <w:r>
              <w:rPr>
                <w:rFonts w:ascii="Arial" w:cs="Arial" w:eastAsia="Arial" w:hAnsi="Arial"/>
                <w:sz w:val="14"/>
                <w:szCs w:val="14"/>
                <w:color w:val="auto"/>
                <w:w w:val="97"/>
              </w:rPr>
              <w:t>Revolving</w:t>
            </w:r>
          </w:p>
        </w:tc>
        <w:tc>
          <w:tcPr>
            <w:tcW w:w="10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color w:val="auto"/>
              </w:rPr>
              <w:t>L/C</w:t>
            </w:r>
          </w:p>
        </w:tc>
        <w:tc>
          <w:tcPr>
            <w:tcW w:w="0" w:type="dxa"/>
            <w:vAlign w:val="bottom"/>
          </w:tcPr>
          <w:p>
            <w:pPr>
              <w:spacing w:after="0"/>
              <w:rPr>
                <w:sz w:val="1"/>
                <w:szCs w:val="1"/>
                <w:color w:val="auto"/>
              </w:rPr>
            </w:pPr>
          </w:p>
        </w:tc>
      </w:tr>
      <w:tr>
        <w:trPr>
          <w:trHeight w:val="174"/>
        </w:trPr>
        <w:tc>
          <w:tcPr>
            <w:tcW w:w="42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3"/>
          </w:tcPr>
          <w:p>
            <w:pPr>
              <w:jc w:val="center"/>
              <w:ind w:right="480"/>
              <w:spacing w:after="0" w:line="154" w:lineRule="exact"/>
              <w:rPr>
                <w:sz w:val="20"/>
                <w:szCs w:val="20"/>
                <w:color w:val="auto"/>
              </w:rPr>
            </w:pPr>
            <w:r>
              <w:rPr>
                <w:rFonts w:ascii="Arial" w:cs="Arial" w:eastAsia="Arial" w:hAnsi="Arial"/>
                <w:sz w:val="14"/>
                <w:szCs w:val="14"/>
                <w:color w:val="auto"/>
                <w:w w:val="95"/>
              </w:rPr>
              <w:t>Commitment</w:t>
            </w:r>
          </w:p>
        </w:tc>
        <w:tc>
          <w:tcPr>
            <w:tcW w:w="100" w:type="dxa"/>
            <w:vAlign w:val="bottom"/>
          </w:tcPr>
          <w:p>
            <w:pPr>
              <w:spacing w:after="0"/>
              <w:rPr>
                <w:sz w:val="15"/>
                <w:szCs w:val="15"/>
                <w:color w:val="auto"/>
              </w:rPr>
            </w:pPr>
          </w:p>
        </w:tc>
        <w:tc>
          <w:tcPr>
            <w:tcW w:w="108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95"/>
              </w:rPr>
              <w:t>Commitment</w:t>
            </w: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Bank of America, N.A.</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260,625,000.00</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18,750,000.00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260,625,000.00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18,750,000.00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Citibank, N.A.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260,625,000.00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18,750,000.00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Morgan Stanley Bank, N.A.</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260,625,000.00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18,750,000.00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132,500,000.00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BMO Harris Bank, N.A.</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132,500,000.00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132,500,000.00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Credit Suisse AG, New York Branch</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132,500,000.00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Bank USA, National Association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132,500,000.00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Mizuho Bank, Ltd.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132,500,000.00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Bank, Ltd.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132,500,000.00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PNC Bank, National Association</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132,500,000.00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132,500,000.00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TD Bank, N.A.</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132,500,000.00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132,500,000.00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2,500,000,000.00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75,000,000.00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KPI Metrics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Greenhouse Gas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Emissions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Reduction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Renewable Energy</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Usage</w:t>
      </w:r>
    </w:p>
    <w:p>
      <w:pPr>
        <w:spacing w:after="0" w:line="20" w:lineRule="exact"/>
        <w:rPr>
          <w:sz w:val="20"/>
          <w:szCs w:val="20"/>
          <w:color w:val="auto"/>
        </w:rPr>
      </w:pPr>
      <w:r>
        <w:rPr>
          <w:sz w:val="20"/>
          <w:szCs w:val="20"/>
          <w:color w:val="auto"/>
        </w:rPr>
        <w:br w:type="column"/>
      </w:r>
    </w:p>
    <w:p>
      <w:pPr>
        <w:jc w:val="center"/>
        <w:ind w:right="1780"/>
        <w:spacing w:after="0"/>
        <w:rPr>
          <w:sz w:val="20"/>
          <w:szCs w:val="20"/>
          <w:color w:val="auto"/>
        </w:rPr>
      </w:pPr>
      <w:r>
        <w:rPr>
          <w:rFonts w:ascii="Arial" w:cs="Arial" w:eastAsia="Arial" w:hAnsi="Arial"/>
          <w:sz w:val="18"/>
          <w:szCs w:val="18"/>
          <w:b w:val="1"/>
          <w:bCs w:val="1"/>
          <w:color w:val="auto"/>
        </w:rPr>
        <w:t>SCHEDULE 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-213360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SUSTAINABILITY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w w:val="90"/>
              </w:rPr>
              <w:t>Description</w:t>
            </w:r>
          </w:p>
        </w:tc>
        <w:tc>
          <w:tcPr>
            <w:tcW w:w="1260" w:type="dxa"/>
            <w:vAlign w:val="bottom"/>
          </w:tcPr>
          <w:p>
            <w:pPr>
              <w:jc w:val="right"/>
              <w:ind w:right="456"/>
              <w:spacing w:after="0"/>
              <w:rPr>
                <w:sz w:val="20"/>
                <w:szCs w:val="20"/>
                <w:color w:val="auto"/>
              </w:rPr>
            </w:pPr>
            <w:r>
              <w:rPr>
                <w:rFonts w:ascii="Arial" w:cs="Arial" w:eastAsia="Arial" w:hAnsi="Arial"/>
                <w:sz w:val="14"/>
                <w:szCs w:val="14"/>
                <w:b w:val="1"/>
                <w:bCs w:val="1"/>
                <w:color w:val="auto"/>
              </w:rPr>
              <w:t>Baseline</w:t>
            </w: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220" w:type="dxa"/>
            <w:vAlign w:val="bottom"/>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920" w:type="dxa"/>
            <w:vAlign w:val="bottom"/>
          </w:tcPr>
          <w:p>
            <w:pPr>
              <w:jc w:val="right"/>
              <w:ind w:right="274"/>
              <w:spacing w:after="0"/>
              <w:rPr>
                <w:sz w:val="20"/>
                <w:szCs w:val="20"/>
                <w:color w:val="auto"/>
              </w:rPr>
            </w:pPr>
            <w:r>
              <w:rPr>
                <w:rFonts w:ascii="Arial" w:cs="Arial" w:eastAsia="Arial" w:hAnsi="Arial"/>
                <w:sz w:val="14"/>
                <w:szCs w:val="14"/>
                <w:b w:val="1"/>
                <w:bCs w:val="1"/>
                <w:color w:val="auto"/>
              </w:rPr>
              <w:t>2026</w:t>
            </w:r>
          </w:p>
        </w:tc>
      </w:tr>
      <w:tr>
        <w:trPr>
          <w:trHeight w:val="309"/>
        </w:trPr>
        <w:tc>
          <w:tcPr>
            <w:tcW w:w="1120" w:type="dxa"/>
            <w:vAlign w:val="bottom"/>
          </w:tcPr>
          <w:p>
            <w:pPr>
              <w:jc w:val="right"/>
              <w:ind w:right="134"/>
              <w:spacing w:after="0"/>
              <w:rPr>
                <w:sz w:val="20"/>
                <w:szCs w:val="20"/>
                <w:color w:val="auto"/>
              </w:rPr>
            </w:pPr>
            <w:r>
              <w:rPr>
                <w:rFonts w:ascii="Arial" w:cs="Arial" w:eastAsia="Arial" w:hAnsi="Arial"/>
                <w:sz w:val="18"/>
                <w:szCs w:val="18"/>
                <w:b w:val="1"/>
                <w:bCs w:val="1"/>
                <w:color w:val="auto"/>
              </w:rPr>
              <w:t>Target</w:t>
            </w:r>
          </w:p>
        </w:tc>
        <w:tc>
          <w:tcPr>
            <w:tcW w:w="1260" w:type="dxa"/>
            <w:vAlign w:val="bottom"/>
          </w:tcPr>
          <w:p>
            <w:pPr>
              <w:spacing w:after="0"/>
              <w:rPr>
                <w:sz w:val="24"/>
                <w:szCs w:val="24"/>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(-38.5%)</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(-42%)</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(-45%)</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(-48%)</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(-50%)</w:t>
            </w: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6"/>
        </w:trPr>
        <w:tc>
          <w:tcPr>
            <w:tcW w:w="1120" w:type="dxa"/>
            <w:vAlign w:val="bottom"/>
          </w:tcPr>
          <w:p>
            <w:pPr>
              <w:jc w:val="right"/>
              <w:ind w:right="134"/>
              <w:spacing w:after="0"/>
              <w:rPr>
                <w:sz w:val="20"/>
                <w:szCs w:val="20"/>
                <w:color w:val="auto"/>
              </w:rPr>
            </w:pPr>
            <w:r>
              <w:rPr>
                <w:rFonts w:ascii="Arial" w:cs="Arial" w:eastAsia="Arial" w:hAnsi="Arial"/>
                <w:sz w:val="18"/>
                <w:szCs w:val="18"/>
                <w:b w:val="1"/>
                <w:bCs w:val="1"/>
                <w:color w:val="auto"/>
              </w:rPr>
              <w:t>Threshold</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2015</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(-36.58%)</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(-37.00%)</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(-40.00%)</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(-43.00%)</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(-45.00%)</w:t>
            </w:r>
          </w:p>
        </w:tc>
        <w:tc>
          <w:tcPr>
            <w:tcW w:w="92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16"/>
        </w:trPr>
        <w:tc>
          <w:tcPr>
            <w:tcW w:w="1120" w:type="dxa"/>
            <w:vAlign w:val="bottom"/>
          </w:tcPr>
          <w:p>
            <w:pPr>
              <w:jc w:val="right"/>
              <w:ind w:right="134"/>
              <w:spacing w:after="0"/>
              <w:rPr>
                <w:sz w:val="20"/>
                <w:szCs w:val="20"/>
                <w:color w:val="auto"/>
              </w:rPr>
            </w:pPr>
            <w:r>
              <w:rPr>
                <w:rFonts w:ascii="Arial" w:cs="Arial" w:eastAsia="Arial" w:hAnsi="Arial"/>
                <w:sz w:val="18"/>
                <w:szCs w:val="18"/>
                <w:b w:val="1"/>
                <w:bCs w:val="1"/>
                <w:color w:val="auto"/>
              </w:rPr>
              <w:t>Target</w:t>
            </w:r>
          </w:p>
        </w:tc>
        <w:tc>
          <w:tcPr>
            <w:tcW w:w="1260" w:type="dxa"/>
            <w:vAlign w:val="bottom"/>
          </w:tcPr>
          <w:p>
            <w:pPr>
              <w:spacing w:after="0"/>
              <w:rPr>
                <w:sz w:val="18"/>
                <w:szCs w:val="18"/>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68.1%</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76.1%</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84.1%</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92%</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100%</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4"/>
        </w:trPr>
        <w:tc>
          <w:tcPr>
            <w:tcW w:w="1120" w:type="dxa"/>
            <w:vAlign w:val="bottom"/>
          </w:tcPr>
          <w:p>
            <w:pPr>
              <w:jc w:val="right"/>
              <w:ind w:right="134"/>
              <w:spacing w:after="0"/>
              <w:rPr>
                <w:sz w:val="20"/>
                <w:szCs w:val="20"/>
                <w:color w:val="auto"/>
              </w:rPr>
            </w:pPr>
            <w:r>
              <w:rPr>
                <w:rFonts w:ascii="Arial" w:cs="Arial" w:eastAsia="Arial" w:hAnsi="Arial"/>
                <w:sz w:val="18"/>
                <w:szCs w:val="18"/>
                <w:b w:val="1"/>
                <w:bCs w:val="1"/>
                <w:color w:val="auto"/>
              </w:rPr>
              <w:t>Threshold</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N/A</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58.1%</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66.1%</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74.1%</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82.0%</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90.0%</w:t>
            </w:r>
          </w:p>
        </w:tc>
        <w:tc>
          <w:tcPr>
            <w:tcW w:w="920" w:type="dxa"/>
            <w:vAlign w:val="bottom"/>
          </w:tcPr>
          <w:p>
            <w:pPr>
              <w:jc w:val="right"/>
              <w:spacing w:after="0"/>
              <w:rPr>
                <w:sz w:val="20"/>
                <w:szCs w:val="20"/>
                <w:color w:val="auto"/>
              </w:rPr>
            </w:pPr>
            <w:r>
              <w:rPr>
                <w:rFonts w:ascii="Arial" w:cs="Arial" w:eastAsia="Arial" w:hAnsi="Arial"/>
                <w:sz w:val="18"/>
                <w:szCs w:val="18"/>
                <w:color w:val="auto"/>
              </w:rPr>
              <w:t>90.0%</w:t>
            </w:r>
          </w:p>
        </w:tc>
      </w:tr>
    </w:tbl>
    <w:p>
      <w:pPr>
        <w:sectPr>
          <w:pgSz w:w="11900" w:h="16838" w:orient="portrait"/>
          <w:cols w:equalWidth="0" w:num="2">
            <w:col w:w="1440" w:space="320"/>
            <w:col w:w="9260"/>
          </w:cols>
          <w:pgMar w:left="440" w:top="270" w:right="439" w:bottom="1440" w:gutter="0" w:footer="0" w:header="0"/>
        </w:sectPr>
      </w:pPr>
    </w:p>
    <w:bookmarkStart w:id="150" w:name="page151"/>
    <w:bookmarkEnd w:id="150"/>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5.12(d)</w:t>
      </w:r>
    </w:p>
    <w:p>
      <w:pPr>
        <w:spacing w:after="0" w:line="23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PENSION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0" w:right="1440" w:bottom="1440" w:gutter="0" w:footer="0" w:header="0"/>
        </w:sectPr>
      </w:pPr>
    </w:p>
    <w:bookmarkStart w:id="151" w:name="page152"/>
    <w:bookmarkEnd w:id="151"/>
    <w:p>
      <w:pPr>
        <w:jc w:val="center"/>
        <w:ind w:right="-6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5.13</w:t>
      </w:r>
    </w:p>
    <w:p>
      <w:pPr>
        <w:spacing w:after="0" w:line="225" w:lineRule="exact"/>
        <w:rPr>
          <w:sz w:val="20"/>
          <w:szCs w:val="20"/>
          <w:color w:val="auto"/>
        </w:rPr>
      </w:pPr>
    </w:p>
    <w:p>
      <w:pPr>
        <w:ind w:left="3884"/>
        <w:spacing w:after="0"/>
        <w:rPr>
          <w:sz w:val="20"/>
          <w:szCs w:val="20"/>
          <w:color w:val="auto"/>
        </w:rPr>
      </w:pPr>
      <w:r>
        <w:rPr>
          <w:rFonts w:ascii="Arial" w:cs="Arial" w:eastAsia="Arial" w:hAnsi="Arial"/>
          <w:sz w:val="18"/>
          <w:szCs w:val="18"/>
          <w:b w:val="1"/>
          <w:bCs w:val="1"/>
          <w:color w:val="auto"/>
        </w:rPr>
        <w:t>MAIN MANUFACTURING FACILITIES</w:t>
      </w:r>
    </w:p>
    <w:p>
      <w:pPr>
        <w:spacing w:after="0" w:line="229" w:lineRule="exact"/>
        <w:rPr>
          <w:sz w:val="20"/>
          <w:szCs w:val="20"/>
          <w:color w:val="auto"/>
        </w:rPr>
      </w:pPr>
    </w:p>
    <w:p>
      <w:pPr>
        <w:ind w:left="184" w:hanging="184"/>
        <w:spacing w:after="0"/>
        <w:tabs>
          <w:tab w:leader="none" w:pos="184"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Main Manufacturing Facilities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1 Analog Way, Wilmington, MA, United States</w:t>
      </w:r>
    </w:p>
    <w:p>
      <w:pPr>
        <w:spacing w:after="0" w:line="23" w:lineRule="exact"/>
        <w:rPr>
          <w:rFonts w:ascii="Arial" w:cs="Arial" w:eastAsia="Arial" w:hAnsi="Arial"/>
          <w:sz w:val="18"/>
          <w:szCs w:val="18"/>
          <w:color w:val="auto"/>
        </w:rPr>
      </w:pPr>
    </w:p>
    <w:p>
      <w:pPr>
        <w:ind w:left="964" w:hanging="532"/>
        <w:spacing w:after="0"/>
        <w:tabs>
          <w:tab w:leader="none" w:pos="96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275 S. Hillview Drive., Milpitas, CA, United States</w:t>
      </w:r>
    </w:p>
    <w:p>
      <w:pPr>
        <w:spacing w:after="0" w:line="9" w:lineRule="exact"/>
        <w:rPr>
          <w:rFonts w:ascii="Arial" w:cs="Arial" w:eastAsia="Arial" w:hAnsi="Arial"/>
          <w:sz w:val="18"/>
          <w:szCs w:val="18"/>
          <w:color w:val="auto"/>
        </w:rPr>
      </w:pPr>
    </w:p>
    <w:p>
      <w:pPr>
        <w:ind w:left="964" w:hanging="532"/>
        <w:spacing w:after="0"/>
        <w:tabs>
          <w:tab w:leader="none" w:pos="96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1610 McCarthy Blvd. Milpitas, CA, United States</w:t>
      </w:r>
    </w:p>
    <w:p>
      <w:pPr>
        <w:spacing w:after="0" w:line="9" w:lineRule="exact"/>
        <w:rPr>
          <w:rFonts w:ascii="Arial" w:cs="Arial" w:eastAsia="Arial" w:hAnsi="Arial"/>
          <w:sz w:val="18"/>
          <w:szCs w:val="18"/>
          <w:color w:val="auto"/>
        </w:rPr>
      </w:pPr>
    </w:p>
    <w:p>
      <w:pPr>
        <w:ind w:left="964" w:hanging="532"/>
        <w:spacing w:after="0"/>
        <w:tabs>
          <w:tab w:leader="none" w:pos="96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4200 N.W. Pacific Rim Blvd., Camas, WA, United States</w:t>
      </w:r>
    </w:p>
    <w:p>
      <w:pPr>
        <w:spacing w:after="0" w:line="9" w:lineRule="exact"/>
        <w:rPr>
          <w:rFonts w:ascii="Arial" w:cs="Arial" w:eastAsia="Arial" w:hAnsi="Arial"/>
          <w:sz w:val="18"/>
          <w:szCs w:val="18"/>
          <w:color w:val="auto"/>
        </w:rPr>
      </w:pPr>
    </w:p>
    <w:p>
      <w:pPr>
        <w:ind w:left="964" w:hanging="532"/>
        <w:spacing w:after="0"/>
        <w:tabs>
          <w:tab w:leader="none" w:pos="96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Bay F1 Raheen Industrial Estate, Limerick, Ireland</w:t>
      </w:r>
    </w:p>
    <w:p>
      <w:pPr>
        <w:spacing w:after="0" w:line="9" w:lineRule="exact"/>
        <w:rPr>
          <w:rFonts w:ascii="Arial" w:cs="Arial" w:eastAsia="Arial" w:hAnsi="Arial"/>
          <w:sz w:val="18"/>
          <w:szCs w:val="18"/>
          <w:color w:val="auto"/>
        </w:rPr>
      </w:pPr>
    </w:p>
    <w:p>
      <w:pPr>
        <w:ind w:left="964" w:hanging="532"/>
        <w:spacing w:after="0"/>
        <w:tabs>
          <w:tab w:leader="none" w:pos="964"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Analog Devices General Trias: Sandoval Street, Gateway Business Park, Special Economic Park, Javalera, Gen Trias., Philippines</w:t>
      </w:r>
    </w:p>
    <w:p>
      <w:pPr>
        <w:spacing w:after="0" w:line="32" w:lineRule="exact"/>
        <w:rPr>
          <w:rFonts w:ascii="Arial" w:cs="Arial" w:eastAsia="Arial" w:hAnsi="Arial"/>
          <w:sz w:val="16"/>
          <w:szCs w:val="16"/>
          <w:color w:val="auto"/>
        </w:rPr>
      </w:pPr>
    </w:p>
    <w:p>
      <w:pPr>
        <w:ind w:left="964" w:hanging="532"/>
        <w:spacing w:after="0"/>
        <w:tabs>
          <w:tab w:leader="none" w:pos="96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Plot 21(B) &amp; 21(C) Phase IV Bayan Lepas Free Trade Zone 11900, Penang, Malaysia</w:t>
      </w:r>
    </w:p>
    <w:p>
      <w:pPr>
        <w:spacing w:after="0" w:line="9" w:lineRule="exact"/>
        <w:rPr>
          <w:rFonts w:ascii="Arial" w:cs="Arial" w:eastAsia="Arial" w:hAnsi="Arial"/>
          <w:sz w:val="18"/>
          <w:szCs w:val="18"/>
          <w:color w:val="auto"/>
        </w:rPr>
      </w:pPr>
    </w:p>
    <w:p>
      <w:pPr>
        <w:ind w:left="964" w:hanging="532"/>
        <w:spacing w:after="0"/>
        <w:tabs>
          <w:tab w:leader="none" w:pos="96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507 &amp; 509 Yishun Industrial Park A, Singapore</w:t>
      </w:r>
    </w:p>
    <w:p>
      <w:pPr>
        <w:sectPr>
          <w:pgSz w:w="11900" w:h="16838" w:orient="portrait"/>
          <w:cols w:equalWidth="0" w:num="1">
            <w:col w:w="10364"/>
          </w:cols>
          <w:pgMar w:left="436" w:top="270" w:right="1099" w:bottom="1440" w:gutter="0" w:footer="0" w:header="0"/>
        </w:sectPr>
      </w:pPr>
    </w:p>
    <w:bookmarkStart w:id="152" w:name="page153"/>
    <w:bookmarkEnd w:id="152"/>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5.17</w:t>
      </w:r>
    </w:p>
    <w:p>
      <w:pPr>
        <w:spacing w:after="0" w:line="225" w:lineRule="exact"/>
        <w:rPr>
          <w:sz w:val="20"/>
          <w:szCs w:val="20"/>
          <w:color w:val="auto"/>
        </w:rPr>
      </w:pPr>
    </w:p>
    <w:p>
      <w:pPr>
        <w:jc w:val="right"/>
        <w:ind w:right="2819"/>
        <w:spacing w:after="0"/>
        <w:rPr>
          <w:sz w:val="20"/>
          <w:szCs w:val="20"/>
          <w:color w:val="auto"/>
        </w:rPr>
      </w:pPr>
      <w:r>
        <w:rPr>
          <w:rFonts w:ascii="Arial" w:cs="Arial" w:eastAsia="Arial" w:hAnsi="Arial"/>
          <w:sz w:val="18"/>
          <w:szCs w:val="18"/>
          <w:b w:val="1"/>
          <w:bCs w:val="1"/>
          <w:color w:val="auto"/>
        </w:rPr>
        <w:t>TAXPAYER IDENTIFICATION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TIN: 04-2348234</w:t>
      </w:r>
    </w:p>
    <w:p>
      <w:pPr>
        <w:sectPr>
          <w:pgSz w:w="11900" w:h="16838" w:orient="portrait"/>
          <w:cols w:equalWidth="0" w:num="1">
            <w:col w:w="10019"/>
          </w:cols>
          <w:pgMar w:left="440" w:top="270" w:right="1440" w:bottom="1440" w:gutter="0" w:footer="0" w:header="0"/>
        </w:sectPr>
      </w:pPr>
    </w:p>
    <w:bookmarkStart w:id="153" w:name="page154"/>
    <w:bookmarkEnd w:id="153"/>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7.01</w:t>
      </w: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LIENS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0" w:right="1440" w:bottom="1440" w:gutter="0" w:footer="0" w:header="0"/>
        </w:sectPr>
      </w:pPr>
    </w:p>
    <w:bookmarkStart w:id="154" w:name="page155"/>
    <w:bookmarkEnd w:id="154"/>
    <w:p>
      <w:pPr>
        <w:ind w:left="48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7.02</w:t>
      </w:r>
    </w:p>
    <w:p>
      <w:pPr>
        <w:spacing w:after="0" w:line="237" w:lineRule="exact"/>
        <w:rPr>
          <w:sz w:val="20"/>
          <w:szCs w:val="20"/>
          <w:color w:val="auto"/>
        </w:rPr>
      </w:pPr>
    </w:p>
    <w:p>
      <w:pPr>
        <w:jc w:val="right"/>
        <w:ind w:right="3819"/>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0" w:right="1440" w:bottom="1440" w:gutter="0" w:footer="0" w:header="0"/>
        </w:sectPr>
      </w:pPr>
    </w:p>
    <w:bookmarkStart w:id="155" w:name="page156"/>
    <w:bookmarkEnd w:id="155"/>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10.02</w:t>
      </w:r>
    </w:p>
    <w:p>
      <w:pPr>
        <w:spacing w:after="0" w:line="225" w:lineRule="exact"/>
        <w:rPr>
          <w:sz w:val="20"/>
          <w:szCs w:val="20"/>
          <w:color w:val="auto"/>
        </w:rPr>
      </w:pPr>
    </w:p>
    <w:p>
      <w:pPr>
        <w:jc w:val="right"/>
        <w:ind w:right="2899"/>
        <w:spacing w:after="0"/>
        <w:rPr>
          <w:sz w:val="20"/>
          <w:szCs w:val="20"/>
          <w:color w:val="auto"/>
        </w:rPr>
      </w:pPr>
      <w:r>
        <w:rPr>
          <w:rFonts w:ascii="Arial" w:cs="Arial" w:eastAsia="Arial" w:hAnsi="Arial"/>
          <w:sz w:val="18"/>
          <w:szCs w:val="18"/>
          <w:b w:val="1"/>
          <w:bCs w:val="1"/>
          <w:color w:val="auto"/>
        </w:rPr>
        <w:t>ADMINISTRATIVE AGENT’S OFFICE;</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CERTAIN ADDRESSES FOR NOTICES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Address for ADI: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Analog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MA 01887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Treasury Department, Building 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Address for Administrative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TX2-984-03-26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Drive, Bldg.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Henry Pennell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(214)-209-1226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(214)-290-9448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henry.pennell@bofa.com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Address for Sustainability Structuring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TX2-984-03-26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Drive, Bldg.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Henry Pennell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(214)-209-1226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(214)-290-9448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henry.pennell@bofa.com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Address for Swing Line Lender: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Charles Hensley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NC1-026-06-04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Gateway Village - 900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900 W Trade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980-388-3225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704-719-5362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charles.hensley@bofa.com</w:t>
      </w:r>
    </w:p>
    <w:p>
      <w:pPr>
        <w:sectPr>
          <w:pgSz w:w="11900" w:h="16838" w:orient="portrait"/>
          <w:cols w:equalWidth="0" w:num="1">
            <w:col w:w="10019"/>
          </w:cols>
          <w:pgMar w:left="440" w:top="270" w:right="1440"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 Address for L/C Issuers: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PA6-580-02-30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Fleet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Scranton, PA 18507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800-755-8743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scranton_standby_lc@bankofamerica.com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LC Agency 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S Dearborn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855-609-0059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214-307-6874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Chicago.LC.Agency.Activity.Team@JPMChase.com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1300 Thames, Thames Street Wharf,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MSB.LOC@MorganStanley.com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Gopinath Elogovan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Penns Way, Ops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Castle, DE, 19720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201-472-4024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212-994-0847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Global.Loans.LCRecon@citi.com</w:t>
      </w:r>
    </w:p>
    <w:p>
      <w:pPr>
        <w:sectPr>
          <w:pgSz w:w="11900" w:h="16838" w:orient="portrait"/>
          <w:cols w:equalWidth="0" w:num="1">
            <w:col w:w="10019"/>
          </w:cols>
          <w:pgMar w:left="440" w:top="270"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GUARANTY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158" w:name="page159"/>
    <w:bookmarkEnd w:id="15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COMPANY GUARANTY</w:t>
      </w:r>
    </w:p>
    <w:p>
      <w:pPr>
        <w:spacing w:after="0" w:line="211" w:lineRule="exact"/>
        <w:rPr>
          <w:sz w:val="20"/>
          <w:szCs w:val="20"/>
          <w:color w:val="auto"/>
        </w:rPr>
      </w:pPr>
    </w:p>
    <w:p>
      <w:pPr>
        <w:ind w:left="440"/>
        <w:spacing w:after="0"/>
        <w:tabs>
          <w:tab w:leader="none" w:pos="5800" w:val="left"/>
          <w:tab w:leader="none" w:pos="6360" w:val="left"/>
        </w:tabs>
        <w:rPr>
          <w:sz w:val="20"/>
          <w:szCs w:val="20"/>
          <w:color w:val="auto"/>
        </w:rPr>
      </w:pPr>
      <w:r>
        <w:rPr>
          <w:rFonts w:ascii="Arial" w:cs="Arial" w:eastAsia="Arial" w:hAnsi="Arial"/>
          <w:sz w:val="18"/>
          <w:szCs w:val="18"/>
          <w:color w:val="auto"/>
        </w:rPr>
        <w:t>THIS COMPANY GUARANTY (this “</w:t>
      </w:r>
      <w:r>
        <w:rPr>
          <w:rFonts w:ascii="Arial" w:cs="Arial" w:eastAsia="Arial" w:hAnsi="Arial"/>
          <w:sz w:val="18"/>
          <w:szCs w:val="18"/>
          <w:u w:val="single" w:color="auto"/>
          <w:color w:val="auto"/>
        </w:rPr>
        <w:t>Guaranty</w:t>
      </w:r>
      <w:r>
        <w:rPr>
          <w:rFonts w:ascii="Arial" w:cs="Arial" w:eastAsia="Arial" w:hAnsi="Arial"/>
          <w:sz w:val="18"/>
          <w:szCs w:val="18"/>
          <w:color w:val="auto"/>
        </w:rPr>
        <w:t>”), dated as of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is made by Analog Devices, Inc., a Massachusetts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3233420</wp:posOffset>
            </wp:positionH>
            <wp:positionV relativeFrom="paragraph">
              <wp:posOffset>-10160</wp:posOffset>
            </wp:positionV>
            <wp:extent cx="4572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-10160</wp:posOffset>
            </wp:positionV>
            <wp:extent cx="1143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 w:lineRule="exact"/>
        <w:rPr>
          <w:sz w:val="20"/>
          <w:szCs w:val="20"/>
          <w:color w:val="auto"/>
        </w:rPr>
      </w:pPr>
    </w:p>
    <w:p>
      <w:pPr>
        <w:ind w:right="880"/>
        <w:spacing w:after="0" w:line="260"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Guarantor</w:t>
      </w:r>
      <w:r>
        <w:rPr>
          <w:rFonts w:ascii="Arial" w:cs="Arial" w:eastAsia="Arial" w:hAnsi="Arial"/>
          <w:sz w:val="18"/>
          <w:szCs w:val="18"/>
          <w:color w:val="auto"/>
        </w:rPr>
        <w:t>”), in favor of the Lenders from time to time party to the Credit Agreement referred to below and Bank of America, N.A., as Administrative Agent, Swing Line Lender and an L/C Issuer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7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A. The Guarantor, the Designated Borrowers party thereto, the Lenders from time to time party thereto (each a “</w:t>
      </w:r>
      <w:r>
        <w:rPr>
          <w:rFonts w:ascii="Arial" w:cs="Arial" w:eastAsia="Arial" w:hAnsi="Arial"/>
          <w:sz w:val="17"/>
          <w:szCs w:val="17"/>
          <w:u w:val="single" w:color="auto"/>
          <w:color w:val="auto"/>
        </w:rPr>
        <w:t>Lender</w:t>
      </w:r>
      <w:r>
        <w:rPr>
          <w:rFonts w:ascii="Arial" w:cs="Arial" w:eastAsia="Arial" w:hAnsi="Arial"/>
          <w:sz w:val="17"/>
          <w:szCs w:val="17"/>
          <w:color w:val="auto"/>
        </w:rPr>
        <w:t>” and, together with the L/C Issuers, the “</w:t>
      </w:r>
      <w:r>
        <w:rPr>
          <w:rFonts w:ascii="Arial" w:cs="Arial" w:eastAsia="Arial" w:hAnsi="Arial"/>
          <w:sz w:val="17"/>
          <w:szCs w:val="17"/>
          <w:u w:val="single" w:color="auto"/>
          <w:color w:val="auto"/>
        </w:rPr>
        <w:t>Lenders</w:t>
      </w:r>
      <w:r>
        <w:rPr>
          <w:rFonts w:ascii="Arial" w:cs="Arial" w:eastAsia="Arial" w:hAnsi="Arial"/>
          <w:sz w:val="17"/>
          <w:szCs w:val="17"/>
          <w:color w:val="auto"/>
        </w:rPr>
        <w:t>”) and the Administrative Agent are parties to a Third Amended and Restated Credit Agreement dated as of June 23, 2021 (as amended, restated, extended, supplemented or otherwise modified in writing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57"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B. The Subsidiaries of the Guarantor are permitted to become Designated Borrowers from time to time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of the Credit Agreement.</w:t>
      </w:r>
    </w:p>
    <w:p>
      <w:pPr>
        <w:spacing w:after="0" w:line="62"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C. It is a condition precedent to the making of Committed Loans to the Designated Borrowers under the Credit Agreement that the Guarantor guarantee the indebtedness and other obligations of each Designated Borrower to the Guaranteed Parties under or in connection with the Credit Agreement.</w:t>
      </w:r>
    </w:p>
    <w:p>
      <w:pPr>
        <w:spacing w:after="0" w:line="76"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D. The Guarantor, as the parent of the Designated Borrowers, will derive substantial direct and indirect benefits from the making of Committed Loans to the Designated Borrowers pursuant to the Credit Agreement (which benefits are hereby acknowledged by the Guarantor).</w:t>
      </w:r>
    </w:p>
    <w:p>
      <w:pPr>
        <w:spacing w:after="0" w:line="14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Accordingly, to induce the Administrative Agent and the Lenders to enter into the Credit Agreement, and in consideration thereof, the Guarantor hereby agrees as follows: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 Interpretation</w:t>
      </w:r>
      <w:r>
        <w:rPr>
          <w:rFonts w:ascii="Arial" w:cs="Arial" w:eastAsia="Arial" w:hAnsi="Arial"/>
          <w:sz w:val="18"/>
          <w:szCs w:val="18"/>
          <w:color w:val="auto"/>
        </w:rPr>
        <w:t>.</w:t>
      </w:r>
    </w:p>
    <w:p>
      <w:pPr>
        <w:spacing w:after="0" w:line="117" w:lineRule="exact"/>
        <w:rPr>
          <w:sz w:val="20"/>
          <w:szCs w:val="20"/>
          <w:color w:val="auto"/>
        </w:rPr>
      </w:pPr>
    </w:p>
    <w:p>
      <w:pPr>
        <w:ind w:right="280" w:firstLine="987"/>
        <w:spacing w:after="0" w:line="277" w:lineRule="auto"/>
        <w:tabs>
          <w:tab w:leader="none" w:pos="1236"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Terms Defined in Credit Agreement</w:t>
      </w:r>
      <w:r>
        <w:rPr>
          <w:rFonts w:ascii="Arial" w:cs="Arial" w:eastAsia="Arial" w:hAnsi="Arial"/>
          <w:sz w:val="18"/>
          <w:szCs w:val="18"/>
          <w:color w:val="auto"/>
        </w:rPr>
        <w:t>. All capitalized terms used in this Guaranty (including in the recitals hereof) and not otherwise defined herein shall have the meanings assigned to them in the Credit Agreement.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As used in this Guaranty (including in the recitals hereof), the following terms shall have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meanings: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Federal Bankruptcy Reform Act of 1978 (11 U.S.C. § 101, et seq.),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has the meaning specified in the recitals to this Guaranty.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Parties</w:t>
      </w:r>
      <w:r>
        <w:rPr>
          <w:rFonts w:ascii="Arial" w:cs="Arial" w:eastAsia="Arial" w:hAnsi="Arial"/>
          <w:sz w:val="18"/>
          <w:szCs w:val="18"/>
          <w:color w:val="auto"/>
        </w:rPr>
        <w:t>” means the Administrative Agent and each Lender.</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Documents</w:t>
      </w:r>
      <w:r>
        <w:rPr>
          <w:rFonts w:ascii="Arial" w:cs="Arial" w:eastAsia="Arial" w:hAnsi="Arial"/>
          <w:sz w:val="18"/>
          <w:szCs w:val="18"/>
          <w:color w:val="auto"/>
        </w:rPr>
        <w:t>” means this Guaranty and all other certificates, documents, agreements and instruments delivered by the Guarantor in its capacity as such to any Guaranteed Party under or in connection with this Guaranty and the Loan Documents.</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960"/>
          </w:cols>
          <w:pgMar w:left="440" w:top="270" w:right="499" w:bottom="1440" w:gutter="0" w:footer="0" w:header="0"/>
        </w:sectPr>
      </w:pPr>
    </w:p>
    <w:bookmarkStart w:id="159" w:name="page160"/>
    <w:bookmarkEnd w:id="159"/>
    <w:p>
      <w:pPr>
        <w:ind w:right="8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Insolvency Proceeding</w:t>
      </w:r>
      <w:r>
        <w:rPr>
          <w:rFonts w:ascii="Arial" w:cs="Arial" w:eastAsia="Arial" w:hAnsi="Arial"/>
          <w:sz w:val="17"/>
          <w:szCs w:val="17"/>
          <w:color w:val="auto"/>
        </w:rPr>
        <w:t>” means, with respect to any Person, (i) any case, action or proceeding with respect to such Person before any court or other Governmental Authority relating to bankruptcy, reorganization, insolvency, liquidation, receivership, dissolution, winding-up or relief of debtors, or (ii) any general assignment for the benefit of creditors, composition, marshalling of assets for creditors, or other, similar arrangement in respect of its creditors generally or any substantial portion of its creditors; in either case undertaken under Debtor Relief Laws.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specified in the recitals to this Guaranty.</w:t>
      </w:r>
    </w:p>
    <w:p>
      <w:pPr>
        <w:spacing w:after="0" w:line="22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(i) with respect to any corporation, the certificate or articles of incorporation and the bylaws (or equivalent or comparable constitutive documents with respect to any non-U.S. jurisdiction); (ii) with respect to any limited liability company, the certificate or articles of formation or organization and operating agreement; and (iii)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8(c)</w:t>
      </w:r>
      <w:r>
        <w:rPr>
          <w:rFonts w:ascii="Arial" w:cs="Arial" w:eastAsia="Arial" w:hAnsi="Arial"/>
          <w:sz w:val="18"/>
          <w:szCs w:val="18"/>
          <w:color w:val="auto"/>
        </w:rPr>
        <w:t>.</w:t>
      </w:r>
    </w:p>
    <w:p>
      <w:pPr>
        <w:spacing w:after="0" w:line="117" w:lineRule="exact"/>
        <w:rPr>
          <w:sz w:val="20"/>
          <w:szCs w:val="20"/>
          <w:color w:val="auto"/>
        </w:rPr>
      </w:pPr>
    </w:p>
    <w:p>
      <w:pPr>
        <w:ind w:right="640" w:firstLine="987"/>
        <w:spacing w:after="0" w:line="277" w:lineRule="auto"/>
        <w:tabs>
          <w:tab w:leader="none" w:pos="1236"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rules of interpretation set forth in </w:t>
      </w:r>
      <w:r>
        <w:rPr>
          <w:rFonts w:ascii="Arial" w:cs="Arial" w:eastAsia="Arial" w:hAnsi="Arial"/>
          <w:sz w:val="18"/>
          <w:szCs w:val="18"/>
          <w:u w:val="single" w:color="auto"/>
          <w:color w:val="auto"/>
        </w:rPr>
        <w:t>Sections 1.02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of the Credit Agreement shall be applicable to this Guaranty and are incorporated herein by this reference.</w:t>
      </w:r>
    </w:p>
    <w:p>
      <w:pPr>
        <w:spacing w:after="0" w:line="170"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Guaranty</w:t>
      </w:r>
      <w:r>
        <w:rPr>
          <w:rFonts w:ascii="Arial" w:cs="Arial" w:eastAsia="Arial" w:hAnsi="Arial"/>
          <w:sz w:val="16"/>
          <w:szCs w:val="16"/>
          <w:color w:val="auto"/>
        </w:rPr>
        <w:t xml:space="preserve">. The Guarantor hereby absolutely, unconditionally and irrevocably guarantees for the Guaranteed Parties, and their respective successors, endorsees, transferees and assigns, the full and prompt payment when due (whether at stated maturity, by required prepayment, declaration, acceleration, demand or otherwise) of (a) all the indebtedness, liabilities and other payment obligations of each Designated Borrower (now existing or hereafter arising pursuant to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of the Credit Agreement) to the Guaranteed Parties under or in connection with the Credit Agreement, the Notes and the other Loan Documents, including all unpaid principal of the Loans, all interest accrued thereon, all fees due under the Credit Agreement and all other amounts payable by each Designated Borrower to the Guaranteed Parties thereunder, in connection therewith, and in connection with any other Loan Document and (b) all costs and expenses incurred in connection with enforcement and collection of the foregoing, including the fees, charges and disbursements of counsel, in each case whether direct or indirect (including those acquired by assumption). The terms “indebtedness,” “liabilities” and “obligations” are used herein in their most comprehensive sense and include any and all advances, debts, obligations and liabilities, whether now existing or hereafter arising, whether voluntary or involuntary and whether due or not due, absolute or contingent, liquidated or unliquidated, determined or undetermined, and whether recovery upon such indebtedness, liabilities and obligations may be or hereafter become unenforceable or shall be an allowed or disallowed claim under any Debtor Relief Laws, and including interest, expenses and fees that accrue after the commencement by or against any Designated Borrower or any Affiliate thereof of any proceeding under any Debtor Relief Laws naming such Person as the debtor in such proceeding. The foregoing indebtedness, liabilities and other obligations of each Designated Borrower, and all other indebtedness, liabilities and obligations to be paid or performed by the Guarantor in connection with this Guaranty (including any and all amounts due under </w:t>
      </w:r>
      <w:r>
        <w:rPr>
          <w:rFonts w:ascii="Arial" w:cs="Arial" w:eastAsia="Arial" w:hAnsi="Arial"/>
          <w:sz w:val="16"/>
          <w:szCs w:val="16"/>
          <w:u w:val="single" w:color="auto"/>
          <w:color w:val="auto"/>
        </w:rPr>
        <w:t>Section 12</w:t>
      </w:r>
      <w:r>
        <w:rPr>
          <w:rFonts w:ascii="Arial" w:cs="Arial" w:eastAsia="Arial" w:hAnsi="Arial"/>
          <w:sz w:val="16"/>
          <w:szCs w:val="16"/>
          <w:color w:val="auto"/>
        </w:rPr>
        <w:t>), shall hereinafter be collectively referred to as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00"/>
          </w:cols>
          <w:pgMar w:left="440" w:top="274" w:right="459" w:bottom="1440" w:gutter="0" w:footer="0" w:header="0"/>
        </w:sectPr>
      </w:pPr>
    </w:p>
    <w:bookmarkStart w:id="160" w:name="page161"/>
    <w:bookmarkEnd w:id="160"/>
    <w:p>
      <w:pPr>
        <w:ind w:right="3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Arial" w:cs="Arial" w:eastAsia="Arial" w:hAnsi="Arial"/>
          <w:sz w:val="18"/>
          <w:szCs w:val="18"/>
          <w:u w:val="single" w:color="auto"/>
          <w:color w:val="auto"/>
        </w:rPr>
        <w:t>Liability of Guarantor</w:t>
      </w:r>
      <w:r>
        <w:rPr>
          <w:rFonts w:ascii="Arial" w:cs="Arial" w:eastAsia="Arial" w:hAnsi="Arial"/>
          <w:sz w:val="18"/>
          <w:szCs w:val="18"/>
          <w:color w:val="auto"/>
        </w:rPr>
        <w:t>. The liability of the Guarantor under this Guaranty shall be irrevocable, absolute, independent and unconditional, and shall not be affected by any circumstance which might constitute a discharge of a surety or guarantor other than the indefeasible payment and performance in full of all Guaranteed Obligations. In furtherance of the foregoing and without limiting the generality thereof, the Guarantor agrees as follows:</w:t>
      </w:r>
    </w:p>
    <w:p>
      <w:pPr>
        <w:spacing w:after="0" w:line="79" w:lineRule="exact"/>
        <w:rPr>
          <w:sz w:val="20"/>
          <w:szCs w:val="20"/>
          <w:color w:val="auto"/>
        </w:rPr>
      </w:pPr>
    </w:p>
    <w:p>
      <w:pPr>
        <w:ind w:right="160" w:firstLine="987"/>
        <w:spacing w:after="0" w:line="342" w:lineRule="auto"/>
        <w:tabs>
          <w:tab w:leader="none" w:pos="123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Guarantor’s liability hereunder shall be the immediate, direct, and primary obligation of the Guarantor and shall not be contingent upon any Guaranteed Party’s exercise or enforcement of any remedy it may have against any Designated Borrower or any other Person;</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this Guaranty is a guarantee of payment when due and not merely of collectibility;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340" w:firstLine="987"/>
        <w:spacing w:after="0" w:line="277" w:lineRule="auto"/>
        <w:tabs>
          <w:tab w:leader="none" w:pos="124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Guarantor’s payment of a portion, but not all, of the Guaranteed Obligations shall in no way limit, affect, modify or abridge the Guarantor’s liability for any portion of the Guaranteed Obligations remaining unsatisfied; and</w:t>
      </w:r>
    </w:p>
    <w:p>
      <w:pPr>
        <w:spacing w:after="0" w:line="62" w:lineRule="exact"/>
        <w:rPr>
          <w:rFonts w:ascii="Arial" w:cs="Arial" w:eastAsia="Arial" w:hAnsi="Arial"/>
          <w:sz w:val="18"/>
          <w:szCs w:val="18"/>
          <w:color w:val="auto"/>
        </w:rPr>
      </w:pPr>
    </w:p>
    <w:p>
      <w:pPr>
        <w:ind w:right="40" w:firstLine="987"/>
        <w:spacing w:after="0" w:line="277" w:lineRule="auto"/>
        <w:tabs>
          <w:tab w:leader="none" w:pos="123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Guarantor’s liability with respect to the Guaranteed Obligations shall remain in full force and effect without regard to, and shall not be impaired or affected by, nor shall the Guarantor be exonerated or discharged by, any of the following events:</w:t>
      </w:r>
    </w:p>
    <w:p>
      <w:pPr>
        <w:spacing w:after="0" w:line="62" w:lineRule="exact"/>
        <w:rPr>
          <w:rFonts w:ascii="Arial" w:cs="Arial" w:eastAsia="Arial" w:hAnsi="Arial"/>
          <w:sz w:val="18"/>
          <w:szCs w:val="18"/>
          <w:color w:val="auto"/>
        </w:rPr>
      </w:pPr>
    </w:p>
    <w:p>
      <w:pPr>
        <w:ind w:left="1640" w:hanging="212"/>
        <w:spacing w:after="0"/>
        <w:tabs>
          <w:tab w:leader="none" w:pos="164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any Insolvency Proceeding with respect to any Designated Borrower, the Guarantor, any other Loan Party or any other Person;</w:t>
      </w:r>
    </w:p>
    <w:p>
      <w:pPr>
        <w:spacing w:after="0" w:line="140" w:lineRule="exact"/>
        <w:rPr>
          <w:rFonts w:ascii="Arial" w:cs="Arial" w:eastAsia="Arial" w:hAnsi="Arial"/>
          <w:sz w:val="16"/>
          <w:szCs w:val="16"/>
          <w:color w:val="auto"/>
        </w:rPr>
      </w:pPr>
    </w:p>
    <w:p>
      <w:pPr>
        <w:ind w:right="20" w:firstLine="1428"/>
        <w:spacing w:after="0" w:line="263" w:lineRule="auto"/>
        <w:tabs>
          <w:tab w:leader="none" w:pos="169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limitation, discharge, or cessation of the liability of any Designated Borrower, the Guarantor, any Loan Party or any other Person for any Guaranteed Obligations due to any statute, regulation or rule of law, or any invalidity or unenforceability in whole or in part of any of the Guaranteed Obligations or the Loan Documents;</w:t>
      </w:r>
    </w:p>
    <w:p>
      <w:pPr>
        <w:spacing w:after="0" w:line="75" w:lineRule="exact"/>
        <w:rPr>
          <w:rFonts w:ascii="Arial" w:cs="Arial" w:eastAsia="Arial" w:hAnsi="Arial"/>
          <w:sz w:val="18"/>
          <w:szCs w:val="18"/>
          <w:color w:val="auto"/>
        </w:rPr>
      </w:pPr>
    </w:p>
    <w:p>
      <w:pPr>
        <w:ind w:right="40" w:firstLine="1428"/>
        <w:spacing w:after="0" w:line="263" w:lineRule="auto"/>
        <w:tabs>
          <w:tab w:leader="none" w:pos="174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merger, acquisition, consolidation or change in structure of any Designated Borrower, the Guarantor or any other Loan Party or Person, or any sale, lease, transfer or other disposition of any or all of the assets or shares of any Designated Borrower, the Guarantor, any other Loan Party or other Person;</w:t>
      </w:r>
    </w:p>
    <w:p>
      <w:pPr>
        <w:spacing w:after="0" w:line="75" w:lineRule="exact"/>
        <w:rPr>
          <w:rFonts w:ascii="Arial" w:cs="Arial" w:eastAsia="Arial" w:hAnsi="Arial"/>
          <w:sz w:val="18"/>
          <w:szCs w:val="18"/>
          <w:color w:val="auto"/>
        </w:rPr>
      </w:pPr>
    </w:p>
    <w:p>
      <w:pPr>
        <w:ind w:right="60" w:firstLine="1428"/>
        <w:spacing w:after="0" w:line="277" w:lineRule="auto"/>
        <w:tabs>
          <w:tab w:leader="none" w:pos="173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assignment or other transfer, in whole or in part, of any Guaranteed Party’s interests in and rights under this Guaranty or the other Loan Documents, including any Guaranteed Party’s right to receive payment of the Guaranteed Obligations;</w:t>
      </w:r>
    </w:p>
    <w:p>
      <w:pPr>
        <w:spacing w:after="0" w:line="62" w:lineRule="exact"/>
        <w:rPr>
          <w:rFonts w:ascii="Arial" w:cs="Arial" w:eastAsia="Arial" w:hAnsi="Arial"/>
          <w:sz w:val="18"/>
          <w:szCs w:val="18"/>
          <w:color w:val="auto"/>
        </w:rPr>
      </w:pPr>
    </w:p>
    <w:p>
      <w:pPr>
        <w:ind w:firstLine="1428"/>
        <w:spacing w:after="0" w:line="263" w:lineRule="auto"/>
        <w:tabs>
          <w:tab w:leader="none" w:pos="168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claim, defense, counterclaim or setoff, other than that of prior performance, that any Designated Borrower, the Guarantor, any other Loan Party or other Person may have or assert, including any defense of incapacity or lack of corporate or other authority to execute any of the Loan Documents;</w:t>
      </w:r>
    </w:p>
    <w:p>
      <w:pPr>
        <w:spacing w:after="0" w:line="75" w:lineRule="exact"/>
        <w:rPr>
          <w:rFonts w:ascii="Arial" w:cs="Arial" w:eastAsia="Arial" w:hAnsi="Arial"/>
          <w:sz w:val="18"/>
          <w:szCs w:val="18"/>
          <w:color w:val="auto"/>
        </w:rPr>
      </w:pPr>
    </w:p>
    <w:p>
      <w:pPr>
        <w:ind w:right="160" w:firstLine="1428"/>
        <w:spacing w:after="0" w:line="277" w:lineRule="auto"/>
        <w:tabs>
          <w:tab w:leader="none" w:pos="173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Guaranteed Party’s amendment, modification, renewal, extension, cancellation or surrender of any Loan Document or any Guaranteed Obligations;</w:t>
      </w:r>
    </w:p>
    <w:p>
      <w:pPr>
        <w:spacing w:after="0" w:line="62" w:lineRule="exact"/>
        <w:rPr>
          <w:rFonts w:ascii="Arial" w:cs="Arial" w:eastAsia="Arial" w:hAnsi="Arial"/>
          <w:sz w:val="18"/>
          <w:szCs w:val="18"/>
          <w:color w:val="auto"/>
        </w:rPr>
      </w:pPr>
    </w:p>
    <w:p>
      <w:pPr>
        <w:ind w:right="80" w:firstLine="1428"/>
        <w:spacing w:after="0" w:line="277" w:lineRule="auto"/>
        <w:tabs>
          <w:tab w:leader="none" w:pos="178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Guaranteed Party’s compromise, release, settlement or waiver with or of any Designated Borrower, any other Guarantor or other Loan Party or any other Person;</w:t>
      </w:r>
    </w:p>
    <w:p>
      <w:pPr>
        <w:spacing w:after="0" w:line="62" w:lineRule="exact"/>
        <w:rPr>
          <w:rFonts w:ascii="Arial" w:cs="Arial" w:eastAsia="Arial" w:hAnsi="Arial"/>
          <w:sz w:val="18"/>
          <w:szCs w:val="18"/>
          <w:color w:val="auto"/>
        </w:rPr>
      </w:pPr>
    </w:p>
    <w:p>
      <w:pPr>
        <w:ind w:right="120" w:firstLine="1428"/>
        <w:spacing w:after="0" w:line="277" w:lineRule="auto"/>
        <w:tabs>
          <w:tab w:leader="none" w:pos="183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Guaranteed Party’s vote, claim, distribution, election, acceptance, action or inaction in any Insolvency Proceeding related to the Guaranteed Obligations;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00"/>
          </w:cols>
          <w:pgMar w:left="440" w:top="274" w:right="459" w:bottom="1440" w:gutter="0" w:footer="0" w:header="0"/>
        </w:sectPr>
      </w:pPr>
    </w:p>
    <w:bookmarkStart w:id="161" w:name="page162"/>
    <w:bookmarkEnd w:id="161"/>
    <w:p>
      <w:pPr>
        <w:ind w:right="560" w:firstLine="987"/>
        <w:spacing w:after="0" w:line="277" w:lineRule="auto"/>
        <w:tabs>
          <w:tab w:leader="none" w:pos="1296"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guaranty, whether by the Guarantor or any other Person, of all or any part of the Guaranteed Obligations or any other indebtedness, obligations or liabilities of any Designated Borrower to any Guaranteed Party.</w:t>
      </w:r>
    </w:p>
    <w:p>
      <w:pPr>
        <w:spacing w:after="0" w:line="170"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Consents of Guarantor</w:t>
      </w:r>
      <w:r>
        <w:rPr>
          <w:rFonts w:ascii="Arial" w:cs="Arial" w:eastAsia="Arial" w:hAnsi="Arial"/>
          <w:sz w:val="18"/>
          <w:szCs w:val="18"/>
          <w:color w:val="auto"/>
        </w:rPr>
        <w:t>. The Guarantor hereby unconditionally consents and agrees that, without notice to or further assent from the Guarantor:</w:t>
      </w:r>
    </w:p>
    <w:p>
      <w:pPr>
        <w:spacing w:after="0" w:line="62" w:lineRule="exact"/>
        <w:rPr>
          <w:sz w:val="20"/>
          <w:szCs w:val="20"/>
          <w:color w:val="auto"/>
        </w:rPr>
      </w:pPr>
    </w:p>
    <w:p>
      <w:pPr>
        <w:ind w:firstLine="987"/>
        <w:spacing w:after="0" w:line="342" w:lineRule="auto"/>
        <w:tabs>
          <w:tab w:leader="none" w:pos="123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principal amount of the Guaranteed Obligations may be increased or decreased and additional Obligations of the Loan Parties under the Loan Documents may be incurred, by one or more amendments, modifications, renewals or extensions of any Loan Document or otherwise;</w:t>
      </w:r>
    </w:p>
    <w:p>
      <w:pPr>
        <w:spacing w:after="0" w:line="15" w:lineRule="exact"/>
        <w:rPr>
          <w:rFonts w:ascii="Arial" w:cs="Arial" w:eastAsia="Arial" w:hAnsi="Arial"/>
          <w:sz w:val="16"/>
          <w:szCs w:val="16"/>
          <w:color w:val="auto"/>
        </w:rPr>
      </w:pPr>
    </w:p>
    <w:p>
      <w:pPr>
        <w:ind w:right="160" w:firstLine="987"/>
        <w:spacing w:after="0" w:line="263" w:lineRule="auto"/>
        <w:tabs>
          <w:tab w:leader="none" w:pos="124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time, manner, place or terms of any payment under any Loan Document may be extended or changed, including by an increase or decrease in the interest rate on any Guaranteed Obligation or any fee or other amount payable under such Loan Document, by an amendment, modification or renewal of any Loan Document or otherwise;</w:t>
      </w:r>
    </w:p>
    <w:p>
      <w:pPr>
        <w:spacing w:after="0" w:line="75" w:lineRule="exact"/>
        <w:rPr>
          <w:rFonts w:ascii="Arial" w:cs="Arial" w:eastAsia="Arial" w:hAnsi="Arial"/>
          <w:sz w:val="18"/>
          <w:szCs w:val="18"/>
          <w:color w:val="auto"/>
        </w:rPr>
      </w:pPr>
    </w:p>
    <w:p>
      <w:pPr>
        <w:ind w:firstLine="987"/>
        <w:spacing w:after="0" w:line="311" w:lineRule="auto"/>
        <w:tabs>
          <w:tab w:leader="none" w:pos="123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time for any Designated Borrower’s (or any other Person’s) performance of or compliance with any term, covenant or agreement on its part to be performed or observed under any Loan Document may be extended, or such performance or compliance waived, or failure in or departure from such performance or compliance consented to, all in such manner and upon such terms as the Guaranteed Parties may deem proper;</w:t>
      </w:r>
    </w:p>
    <w:p>
      <w:pPr>
        <w:spacing w:after="0" w:line="40" w:lineRule="exact"/>
        <w:rPr>
          <w:rFonts w:ascii="Arial" w:cs="Arial" w:eastAsia="Arial" w:hAnsi="Arial"/>
          <w:sz w:val="16"/>
          <w:szCs w:val="16"/>
          <w:color w:val="auto"/>
        </w:rPr>
      </w:pPr>
    </w:p>
    <w:p>
      <w:pPr>
        <w:jc w:val="both"/>
        <w:ind w:right="260" w:firstLine="987"/>
        <w:spacing w:after="0" w:line="259" w:lineRule="auto"/>
        <w:tabs>
          <w:tab w:leader="none" w:pos="124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Guaranteed Party may discharge or release, in whole or in part, any other Loan Party or any other Person liable for the payment and performance of all or any part of the Guaranteed Obligations, and may permit or consent to any such action or any result of such action, nor shall any Guaranteed Party be liable to the Guarantor for any failure to collect or enforce payment or performance of the Guaranteed Obligations from any Person;</w:t>
      </w:r>
    </w:p>
    <w:p>
      <w:pPr>
        <w:spacing w:after="0" w:line="78" w:lineRule="exact"/>
        <w:rPr>
          <w:rFonts w:ascii="Arial" w:cs="Arial" w:eastAsia="Arial" w:hAnsi="Arial"/>
          <w:sz w:val="18"/>
          <w:szCs w:val="18"/>
          <w:color w:val="auto"/>
        </w:rPr>
      </w:pPr>
    </w:p>
    <w:p>
      <w:pPr>
        <w:ind w:right="100" w:firstLine="987"/>
        <w:spacing w:after="0" w:line="311" w:lineRule="auto"/>
        <w:tabs>
          <w:tab w:leader="none" w:pos="123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Guaranteed Parties may request and accept other guaranties of the Guaranteed Obligations and any other indebtedness, obligations or liabilities of any Designated Borrower to any Guaranteed Party and may, from time to time, in whole or in part, surrender, release, subordinate, modify, waive, rescind, compromise or extend any such guaranty and may permit or consent to any such action or the result of any such action; and</w:t>
      </w:r>
    </w:p>
    <w:p>
      <w:pPr>
        <w:spacing w:after="0" w:line="40" w:lineRule="exact"/>
        <w:rPr>
          <w:rFonts w:ascii="Arial" w:cs="Arial" w:eastAsia="Arial" w:hAnsi="Arial"/>
          <w:sz w:val="16"/>
          <w:szCs w:val="16"/>
          <w:color w:val="auto"/>
        </w:rPr>
      </w:pPr>
    </w:p>
    <w:p>
      <w:pPr>
        <w:jc w:val="both"/>
        <w:ind w:right="40" w:firstLine="987"/>
        <w:spacing w:after="0" w:line="279" w:lineRule="auto"/>
        <w:tabs>
          <w:tab w:leader="none" w:pos="1216"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Guaranteed Parties may exercise, or waive or otherwise refrain from exercising, any other right, remedy, power or privilege (including the right to accelerate the maturity of any Loan and any power of sale) granted by any Loan Document or other security document or agreement, or otherwise available to any Guaranteed Party, with respect to the Guaranteed Obligations, even if the exercise of such right, remedy, power or privilege affects or eliminates any right of subrogation or any other right of the Guarantor against the Designated Borrowers;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as the Guaranteed Parties may deem advisable, and all without impairing, abridging, releasing or affecting this Guaranty.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Guarantor Waivers</w:t>
      </w:r>
      <w:r>
        <w:rPr>
          <w:rFonts w:ascii="Arial" w:cs="Arial" w:eastAsia="Arial" w:hAnsi="Arial"/>
          <w:sz w:val="18"/>
          <w:szCs w:val="18"/>
          <w:color w:val="auto"/>
        </w:rPr>
        <w:t>.</w:t>
      </w:r>
    </w:p>
    <w:p>
      <w:pPr>
        <w:spacing w:after="0" w:line="117" w:lineRule="exact"/>
        <w:rPr>
          <w:sz w:val="20"/>
          <w:szCs w:val="20"/>
          <w:color w:val="auto"/>
        </w:rPr>
      </w:pPr>
    </w:p>
    <w:p>
      <w:pPr>
        <w:ind w:left="5380" w:right="5140" w:hanging="4393"/>
        <w:spacing w:after="0" w:line="535" w:lineRule="auto"/>
        <w:tabs>
          <w:tab w:leader="none" w:pos="1233"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Certain Waivers</w:t>
      </w:r>
      <w:r>
        <w:rPr>
          <w:rFonts w:ascii="Arial" w:cs="Arial" w:eastAsia="Arial" w:hAnsi="Arial"/>
          <w:sz w:val="16"/>
          <w:szCs w:val="16"/>
          <w:color w:val="auto"/>
        </w:rPr>
        <w:t>. The Guarantor waives and agrees not to assert: F-4</w:t>
      </w:r>
    </w:p>
    <w:p>
      <w:pPr>
        <w:sectPr>
          <w:pgSz w:w="11900" w:h="16838" w:orient="portrait"/>
          <w:cols w:equalWidth="0" w:num="1">
            <w:col w:w="11000"/>
          </w:cols>
          <w:pgMar w:left="440" w:top="274" w:right="459" w:bottom="1440" w:gutter="0" w:footer="0" w:header="0"/>
        </w:sectPr>
      </w:pPr>
    </w:p>
    <w:bookmarkStart w:id="162" w:name="page163"/>
    <w:bookmarkEnd w:id="162"/>
    <w:p>
      <w:pPr>
        <w:jc w:val="both"/>
        <w:ind w:right="100" w:firstLine="1428"/>
        <w:spacing w:after="0" w:line="259" w:lineRule="auto"/>
        <w:tabs>
          <w:tab w:leader="none" w:pos="1647" w:val="left"/>
        </w:tabs>
        <w:numPr>
          <w:ilvl w:val="1"/>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right to require any Guaranteed Party to marshal assets in favor of any Designated Borrower, the Guarantor, any other Loan Party or any other Person, to proceed against the Designated Borrowers, any other Loan Party or any other Person, or comply with any other provisions of § 9-611 of the New York Uniform Commercial Code (or any equivalent provision of any other applicable law) or to pursue any other right, remedy, power or privilege of any Guaranteed Party whatsoever;</w:t>
      </w:r>
    </w:p>
    <w:p>
      <w:pPr>
        <w:spacing w:after="0" w:line="78" w:lineRule="exact"/>
        <w:rPr>
          <w:rFonts w:ascii="Arial" w:cs="Arial" w:eastAsia="Arial" w:hAnsi="Arial"/>
          <w:sz w:val="18"/>
          <w:szCs w:val="18"/>
          <w:color w:val="auto"/>
        </w:rPr>
      </w:pPr>
    </w:p>
    <w:p>
      <w:pPr>
        <w:ind w:left="1700" w:hanging="272"/>
        <w:spacing w:after="0"/>
        <w:tabs>
          <w:tab w:leader="none" w:pos="170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the defense of the statute of limitations in any action hereunder or for the collection or performance of the Guaranteed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Obligations;</w:t>
      </w:r>
    </w:p>
    <w:p>
      <w:pPr>
        <w:spacing w:after="0" w:line="102" w:lineRule="exact"/>
        <w:rPr>
          <w:rFonts w:ascii="Arial" w:cs="Arial" w:eastAsia="Arial" w:hAnsi="Arial"/>
          <w:sz w:val="17"/>
          <w:szCs w:val="17"/>
          <w:color w:val="auto"/>
        </w:rPr>
      </w:pPr>
    </w:p>
    <w:p>
      <w:pPr>
        <w:ind w:left="1740" w:hanging="312"/>
        <w:spacing w:after="0"/>
        <w:tabs>
          <w:tab w:leader="none" w:pos="174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any defense arising by reason of any lack of corporate or other authority or any other defense of the Designated Borrowers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other Person;</w:t>
      </w:r>
    </w:p>
    <w:p>
      <w:pPr>
        <w:spacing w:after="0" w:line="102" w:lineRule="exact"/>
        <w:rPr>
          <w:rFonts w:ascii="Arial" w:cs="Arial" w:eastAsia="Arial" w:hAnsi="Arial"/>
          <w:sz w:val="16"/>
          <w:szCs w:val="16"/>
          <w:color w:val="auto"/>
        </w:rPr>
      </w:pPr>
    </w:p>
    <w:p>
      <w:pPr>
        <w:ind w:left="1740" w:hanging="312"/>
        <w:spacing w:after="0"/>
        <w:tabs>
          <w:tab w:leader="none" w:pos="174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any defense based upon any Guaranteed Party’s errors or omissions in the administration of the Guaranteed Obligations;</w:t>
      </w:r>
    </w:p>
    <w:p>
      <w:pPr>
        <w:spacing w:after="0" w:line="128" w:lineRule="exact"/>
        <w:rPr>
          <w:rFonts w:ascii="Arial" w:cs="Arial" w:eastAsia="Arial" w:hAnsi="Arial"/>
          <w:sz w:val="17"/>
          <w:szCs w:val="17"/>
          <w:color w:val="auto"/>
        </w:rPr>
      </w:pPr>
    </w:p>
    <w:p>
      <w:pPr>
        <w:ind w:left="1680" w:hanging="252"/>
        <w:spacing w:after="0"/>
        <w:tabs>
          <w:tab w:leader="none" w:pos="168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rights to set-offs and counterclaims;</w:t>
      </w:r>
    </w:p>
    <w:p>
      <w:pPr>
        <w:spacing w:after="0" w:line="117" w:lineRule="exact"/>
        <w:rPr>
          <w:rFonts w:ascii="Arial" w:cs="Arial" w:eastAsia="Arial" w:hAnsi="Arial"/>
          <w:sz w:val="18"/>
          <w:szCs w:val="18"/>
          <w:color w:val="auto"/>
        </w:rPr>
      </w:pPr>
    </w:p>
    <w:p>
      <w:pPr>
        <w:ind w:firstLine="1428"/>
        <w:spacing w:after="0" w:line="263" w:lineRule="auto"/>
        <w:tabs>
          <w:tab w:leader="none" w:pos="173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defense based upon an election of remedies (including, if available, an election to proceed by nonjudicial foreclosure) which destroys or impairs the subrogation rights of the Guarantor or the right of the Guarantor to proceed against any Designated Borrower or any other obligor of the Guaranteed Obligations for reimbursement; and</w:t>
      </w:r>
    </w:p>
    <w:p>
      <w:pPr>
        <w:spacing w:after="0" w:line="75" w:lineRule="exact"/>
        <w:rPr>
          <w:rFonts w:ascii="Arial" w:cs="Arial" w:eastAsia="Arial" w:hAnsi="Arial"/>
          <w:sz w:val="18"/>
          <w:szCs w:val="18"/>
          <w:color w:val="auto"/>
        </w:rPr>
      </w:pPr>
    </w:p>
    <w:p>
      <w:pPr>
        <w:ind w:right="300" w:firstLine="1428"/>
        <w:spacing w:after="0" w:line="263" w:lineRule="auto"/>
        <w:tabs>
          <w:tab w:leader="none" w:pos="178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to the fullest extent permitted by law, any defenses or benefits that may be derived from or afforded by applicable law limiting the liability of or exonerating guarantors or sureties, or which may conflict with the terms of this Guaranty, other than the defense of payment and performance in full.</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Additional Waivers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1428"/>
        <w:spacing w:after="0" w:line="255" w:lineRule="auto"/>
        <w:tabs>
          <w:tab w:leader="none" w:pos="164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Guarantor waives any and all notice of the acceptance of this Guaranty, and any and all notice of the creation, renewal, modification, extension or accrual of the Guaranteed Obligations, or the reliance by the Guaranteed Parties upon this Guaranty, or the exercise of any right, power or privilege hereunder. The Guaranteed Obligations shall conclusively be deemed to have been created, contracted, incurred and permitted to exist in reliance upon this Guaranty. The Guarantor waives promptness, diligence, presentment, protest, demand for payment, notice of default, dishonor or nonpayment and all other notices to or upon the Designated Borrowers, the Guarantor or any other Person with respect to the Guaranteed Obligations.</w:t>
      </w:r>
    </w:p>
    <w:p>
      <w:pPr>
        <w:spacing w:after="0" w:line="84" w:lineRule="exact"/>
        <w:rPr>
          <w:rFonts w:ascii="Arial" w:cs="Arial" w:eastAsia="Arial" w:hAnsi="Arial"/>
          <w:sz w:val="18"/>
          <w:szCs w:val="18"/>
          <w:color w:val="auto"/>
        </w:rPr>
      </w:pPr>
    </w:p>
    <w:p>
      <w:pPr>
        <w:ind w:right="40" w:firstLine="1428"/>
        <w:spacing w:after="0" w:line="269" w:lineRule="auto"/>
        <w:tabs>
          <w:tab w:leader="none" w:pos="1697" w:val="left"/>
        </w:tabs>
        <w:numPr>
          <w:ilvl w:val="1"/>
          <w:numId w:val="188"/>
        </w:numPr>
        <w:rPr>
          <w:rFonts w:ascii="Arial" w:cs="Arial" w:eastAsia="Arial" w:hAnsi="Arial"/>
          <w:sz w:val="17"/>
          <w:szCs w:val="17"/>
          <w:color w:val="auto"/>
        </w:rPr>
      </w:pPr>
      <w:r>
        <w:rPr>
          <w:rFonts w:ascii="Arial" w:cs="Arial" w:eastAsia="Arial" w:hAnsi="Arial"/>
          <w:sz w:val="17"/>
          <w:szCs w:val="17"/>
          <w:color w:val="auto"/>
        </w:rPr>
        <w:t>Until the Guaranteed Obligations have been paid in full in cash, the Guarantor waives (A) any defenses the Guarantor may have to the Guaranty by reason of an election of remedies by the Guaranteed Parties, (B) any rights or defenses the Guarantor may have by reason of protection afforded to any Designated Borrower or any other Loan Party pursuant to the anti-deficiency or other laws of the State of New York or other applicable law (to the extent waivable under such applicable law) limiting or discharging the Designated Borrowers’ or such other Loan Party’s indebtedness, (C) any defenses arising by reason of any disability or other defense of the Designated Borrowers or any other guarantor, or the cessation from any cause whatsoever (including any act or omission of any Guaranteed Party) of the liability of any Designated Borrower, (D) any defenses based on any claim that the Guarantor’s obligations exceed or are more burdensome than those of the Designated Borrowers, (E) any right to compel any Guaranteed Party to proceed against or exhaust any security for the Guaranteed Obligations (or to proceed against such security in a particular order) or to pursue any other remedy in such Guaranteed Party’s power whatsoever, and (F) any benefit of and any right to participate in any security now or hereafter held by the Guaranteed Parties.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00"/>
          </w:cols>
          <w:pgMar w:left="440" w:top="274" w:right="459" w:bottom="1440" w:gutter="0" w:footer="0" w:header="0"/>
        </w:sectPr>
      </w:pPr>
    </w:p>
    <w:bookmarkStart w:id="163" w:name="page164"/>
    <w:bookmarkEnd w:id="163"/>
    <w:p>
      <w:pPr>
        <w:ind w:left="4" w:right="120" w:firstLine="1428"/>
        <w:spacing w:after="0" w:line="263" w:lineRule="auto"/>
        <w:tabs>
          <w:tab w:leader="none" w:pos="1751" w:val="left"/>
        </w:tabs>
        <w:numPr>
          <w:ilvl w:val="2"/>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Guarantor warrants and agrees that each of the waivers set forth herein is made with full knowledge of its significance and consequences and that if any such waivers are determined to be contrary to any applicable law or public policy, such waivers shall be effective only to the maximum extent permitted by applicable law.</w:t>
      </w:r>
    </w:p>
    <w:p>
      <w:pPr>
        <w:spacing w:after="0" w:line="75" w:lineRule="exact"/>
        <w:rPr>
          <w:rFonts w:ascii="Arial" w:cs="Arial" w:eastAsia="Arial" w:hAnsi="Arial"/>
          <w:sz w:val="18"/>
          <w:szCs w:val="18"/>
          <w:color w:val="auto"/>
        </w:rPr>
      </w:pPr>
    </w:p>
    <w:p>
      <w:pPr>
        <w:ind w:left="4" w:right="220" w:firstLine="987"/>
        <w:spacing w:after="0" w:line="257" w:lineRule="auto"/>
        <w:tabs>
          <w:tab w:leader="none" w:pos="124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Independent Obligations</w:t>
      </w:r>
      <w:r>
        <w:rPr>
          <w:rFonts w:ascii="Arial" w:cs="Arial" w:eastAsia="Arial" w:hAnsi="Arial"/>
          <w:sz w:val="18"/>
          <w:szCs w:val="18"/>
          <w:color w:val="auto"/>
        </w:rPr>
        <w:t>. The obligations of the Guarantor hereunder are those of primary obligor, and not merely as surety, and are independent of and separate from the obligations of any other guarantor of the Guaranteed Obligations, the Designated Borrowers and any other Loan Party and upon the occurrence and during the continuance of any Event of Default, a separate action or actions may be brought against the Guarantor, whether or not the Designated Borrowers or any such other Loan Party is joined therein or a separate action or actions are brought against any Designated Borrower or any such other Loan Party.</w:t>
      </w:r>
    </w:p>
    <w:p>
      <w:pPr>
        <w:spacing w:after="0" w:line="79" w:lineRule="exact"/>
        <w:rPr>
          <w:rFonts w:ascii="Arial" w:cs="Arial" w:eastAsia="Arial" w:hAnsi="Arial"/>
          <w:sz w:val="18"/>
          <w:szCs w:val="18"/>
          <w:color w:val="auto"/>
        </w:rPr>
      </w:pPr>
    </w:p>
    <w:p>
      <w:pPr>
        <w:ind w:left="4" w:right="100" w:firstLine="987"/>
        <w:spacing w:after="0" w:line="263" w:lineRule="auto"/>
        <w:tabs>
          <w:tab w:leader="none" w:pos="125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Financial Condition of Designated Borrowers</w:t>
      </w:r>
      <w:r>
        <w:rPr>
          <w:rFonts w:ascii="Arial" w:cs="Arial" w:eastAsia="Arial" w:hAnsi="Arial"/>
          <w:sz w:val="18"/>
          <w:szCs w:val="18"/>
          <w:color w:val="auto"/>
        </w:rPr>
        <w:t>. The Guarantor shall not have any right to require any Guaranteed Party to obtain or disclose any information with respect to: (i) the financial condition or character of the Designated Borrowers or the ability of the Designated Borrowers to pay and perform the Obligations; (ii) the Guaranteed Obligations;</w:t>
      </w:r>
    </w:p>
    <w:p>
      <w:pPr>
        <w:spacing w:after="0" w:line="183" w:lineRule="exact"/>
        <w:rPr>
          <w:rFonts w:ascii="Arial" w:cs="Arial" w:eastAsia="Arial" w:hAnsi="Arial"/>
          <w:sz w:val="18"/>
          <w:szCs w:val="18"/>
          <w:color w:val="auto"/>
        </w:rPr>
      </w:pPr>
    </w:p>
    <w:p>
      <w:pPr>
        <w:ind w:left="4" w:right="100" w:hanging="4"/>
        <w:spacing w:after="0" w:line="277" w:lineRule="auto"/>
        <w:tabs>
          <w:tab w:leader="none" w:pos="31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existence or nonexistence of any other guarantees of all or any part of the Guaranteed Obligations; (iv) any action or inaction on the part of any Guaranteed Party or any other Person; or (v) any other matter, fact or occurrence whatsoever.</w:t>
      </w:r>
    </w:p>
    <w:p>
      <w:pPr>
        <w:spacing w:after="0" w:line="170" w:lineRule="exact"/>
        <w:rPr>
          <w:sz w:val="20"/>
          <w:szCs w:val="20"/>
          <w:color w:val="auto"/>
        </w:rPr>
      </w:pPr>
    </w:p>
    <w:p>
      <w:pPr>
        <w:ind w:left="4" w:right="80" w:firstLine="991"/>
        <w:spacing w:after="0" w:line="287"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Subrogation</w:t>
      </w:r>
      <w:r>
        <w:rPr>
          <w:rFonts w:ascii="Arial" w:cs="Arial" w:eastAsia="Arial" w:hAnsi="Arial"/>
          <w:sz w:val="16"/>
          <w:szCs w:val="16"/>
          <w:color w:val="auto"/>
        </w:rPr>
        <w:t>. Until the Guaranteed Obligations (other than contingent indemnification, tax gross up or expense reimbursement obligations) shall be satisfied in full and the Commitments shall be terminated, the Guarantor shall not have, and the Guarantor shall not directly or indirectly exercise, (a) any rights that it may acquire by way of subrogation under this Guaranty, by any payment hereunder or otherwise,</w:t>
      </w:r>
    </w:p>
    <w:p>
      <w:pPr>
        <w:spacing w:after="0" w:line="2" w:lineRule="exact"/>
        <w:rPr>
          <w:sz w:val="20"/>
          <w:szCs w:val="20"/>
          <w:color w:val="auto"/>
        </w:rPr>
      </w:pPr>
    </w:p>
    <w:p>
      <w:pPr>
        <w:ind w:left="4" w:hanging="4"/>
        <w:spacing w:after="0" w:line="266" w:lineRule="auto"/>
        <w:tabs>
          <w:tab w:leader="none" w:pos="259"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any rights of contribution, indemnification, reimbursement or similar suretyship claims arising out of this Guaranty, or (c) any other right which it might otherwise have or acquire (in any way whatsoever) which could entitle it at any time to share or participate in any right, remedy or security of any Guaranteed Party as against the Designated Borrowers or any other Loan Party, whether in connection with this Guaranty, any of the other Loan Documents or otherwise. If any amount shall be paid to the Guarantor on account of the foregoing rights at any time when all the Guaranteed Obligations (other than contingent indemnification, tax gross up or expense reimbursement obligations) shall not have been paid in full, such amount shall be held in trust for the benefit of the Guaranteed Parties and shall forthwith be paid to the Administrative Agent to be credited and applied to the Guaranteed Obligations, whether matured or unmatured, in accordance with the terms of the Loan Documents. Upon the indefeasible payment in full of the Guaranteed Obligations and the termination of all Commitments, the Guarantor shall be subrogated to the rights of the Guaranteed Parties against the Designated Borrowers to the extent otherwise permitted by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such subrogation shall not (i) constitute a representation or warranty, express or implied, by any Guaranteed Party as to the enforceability or collectibility of any obligations of the Designated Borrowers under the Loan Documents or as to the perfection, priority or enforceability of any lien or security interest contained in or relating to any Loan Document; (ii) grant to the Guarantor any right of recourse against any Guaranteed Party in respect thereof; (iii) give rise to any duty on the part of any Guaranteed Party to cooperate with the Guarantor in the protection, preservation or enforcement of any rights the Guarantor may have against any Designated Borrower or any other Loan Party; (iv) impair any Guaranteed Party’s unfettered discretion to settle or otherwise compromise any claims such Guaranteed Party may have against any Designated Borrower or otherwise impair or affect any of the waivers or consents contained herein; or (v) restrict any Guaranteed Party from enforcing or forbearing from enforcing any of its rights or remedies against any Designated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Guarantor shall, upon demand, indemnify each Guaranteed Party against any and all costs and expenses arising directly or indirectly in connection with such right of subrogation.</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04"/>
          </w:cols>
          <w:pgMar w:left="436" w:top="274" w:right="459" w:bottom="1440" w:gutter="0" w:footer="0" w:header="0"/>
        </w:sectPr>
      </w:pPr>
    </w:p>
    <w:bookmarkStart w:id="164" w:name="page165"/>
    <w:bookmarkEnd w:id="16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Continuing Guaranty; Reinstatement</w:t>
      </w:r>
      <w:r>
        <w:rPr>
          <w:rFonts w:ascii="Arial" w:cs="Arial" w:eastAsia="Arial" w:hAnsi="Arial"/>
          <w:sz w:val="18"/>
          <w:szCs w:val="18"/>
          <w:color w:val="auto"/>
        </w:rPr>
        <w:t>.</w:t>
      </w:r>
    </w:p>
    <w:p>
      <w:pPr>
        <w:spacing w:after="0" w:line="117" w:lineRule="exact"/>
        <w:rPr>
          <w:sz w:val="20"/>
          <w:szCs w:val="20"/>
          <w:color w:val="auto"/>
        </w:rPr>
      </w:pPr>
    </w:p>
    <w:p>
      <w:pPr>
        <w:ind w:right="160" w:firstLine="987"/>
        <w:spacing w:after="0" w:line="257" w:lineRule="auto"/>
        <w:tabs>
          <w:tab w:leader="none" w:pos="123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This Guaranty is a continuing guarantee relating to any Guaranteed Obligations, including Guaranteed Obligations which may exist continuously or which may arise from time to time in connection with successive transactions consummated under the Credit Agreement and the other Loan Documents, and the Guarantor expressly acknowledges that this Guaranty shall remain in full force and effect notwithstanding that there may be periods in which no Guaranteed Obligations exist. This Guaranty shall continue in effect and be binding upon the Guarantor until termination of the Commitments and payment and performance in full of the Guaranteed Obligations.</w:t>
      </w:r>
    </w:p>
    <w:p>
      <w:pPr>
        <w:spacing w:after="0" w:line="79" w:lineRule="exact"/>
        <w:rPr>
          <w:rFonts w:ascii="Arial" w:cs="Arial" w:eastAsia="Arial" w:hAnsi="Arial"/>
          <w:sz w:val="18"/>
          <w:szCs w:val="18"/>
          <w:color w:val="auto"/>
        </w:rPr>
      </w:pPr>
    </w:p>
    <w:p>
      <w:pPr>
        <w:ind w:right="200" w:firstLine="987"/>
        <w:spacing w:after="0" w:line="273" w:lineRule="auto"/>
        <w:tabs>
          <w:tab w:leader="none" w:pos="124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This Guaranty shall continue to be effective or shall be reinstated and revived, as the case may be, if, for any reason, any payment of the Guaranteed Obligations by or on behalf of any of the Borrowers shall be rescinded, invalidated, declared to be fraudulent or preferential, set aside, voided or otherwise required to be repaid to such Borrower, its estate, trustee, receiver or any other Person (including under the Bankruptcy Code or other state or federal law), or must otherwise be restored by the Administrative Agent or any Lender, whether as a result of Insolvency Proceedings or otherwise. To the extent any payment is so rescinded, set aside, voided or otherwise repaid or restored, the Guaranteed Obligations shall be revived in full force and effect without reduction or discharge for such payment.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Guarantor hereby agrees, in furtherance of the foregoing provisions of this Guaranty and not in limitation of any other right which any Guaranteed Party or any other Person may have against the Guarantor by virtue hereof, upon the failure of any Designated Borrower to pay any of the Guaranteed Obligations when and as the same shall become due, whether at stated maturity, by required prepayment, declaration, acceleration, demand or otherwise (including amounts that would become due but for the operation of the automatic stay under § 362(a) of the Bankruptcy Code or comparable provision of other applicable Debtor Relief Laws), the Guarantor shall forthwith pay, or cause to be paid, in cash, to the Administrative Agent an amount equal to the amount of the Guaranteed Obligations then due as aforesaid (including interest which, but for the filing of a petition in any Insolvency Proceeding with respect to any Designated Borrower, would have accrued on such Guaranteed Obligations, whether or not a claim is allowed against the Designated Borrower for such interest in any such Insolvency Proceeding). The Guarantor shall make each payment hereunder, unconditionally in full without set-off, counterclaim or other defense, on the day when due in the currency in which such Guaranteed Obligations are denominated in Same Day Funds, to the Administrative Agent at such office of the Administrative Agent and to such account as is specified in the Credit Agreement.</w:t>
      </w:r>
    </w:p>
    <w:p>
      <w:pPr>
        <w:spacing w:after="0" w:line="73" w:lineRule="exact"/>
        <w:rPr>
          <w:rFonts w:ascii="Arial" w:cs="Arial" w:eastAsia="Arial" w:hAnsi="Arial"/>
          <w:sz w:val="17"/>
          <w:szCs w:val="17"/>
          <w:color w:val="auto"/>
        </w:rPr>
      </w:pPr>
    </w:p>
    <w:p>
      <w:pPr>
        <w:ind w:right="20" w:firstLine="987"/>
        <w:spacing w:after="0" w:line="269" w:lineRule="auto"/>
        <w:tabs>
          <w:tab w:leader="none" w:pos="1246"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 of the Guarantor hereunder shall be made without deduction or withholding for any Taxes, except as required by applicable law. If any applicable law requires the deduction or withholding of any Tax from any such payment, then the Guarantor and, if applicable, the Administrative Agent shall be entitled to make such deduction or withholding and shall timely pay the full amount deducted or withheld to the relevant Governmental Authority in accordance with applicable law and, if such Tax is an Indemnified Tax, then the sum payable by the Guarantor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Upon request by the Administrative Agent, after any payment of Taxes by the Guarantor to a Governmental Authority pursuant to this </w:t>
      </w:r>
      <w:r>
        <w:rPr>
          <w:rFonts w:ascii="Arial" w:cs="Arial" w:eastAsia="Arial" w:hAnsi="Arial"/>
          <w:sz w:val="17"/>
          <w:szCs w:val="17"/>
          <w:u w:val="single" w:color="auto"/>
          <w:color w:val="auto"/>
        </w:rPr>
        <w:t>Section 8</w:t>
      </w:r>
      <w:r>
        <w:rPr>
          <w:rFonts w:ascii="Arial" w:cs="Arial" w:eastAsia="Arial" w:hAnsi="Arial"/>
          <w:sz w:val="17"/>
          <w:szCs w:val="17"/>
          <w:color w:val="auto"/>
        </w:rPr>
        <w:t>, the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00"/>
          </w:cols>
          <w:pgMar w:left="440" w:top="274" w:right="459" w:bottom="1440" w:gutter="0" w:footer="0" w:header="0"/>
        </w:sectPr>
      </w:pPr>
    </w:p>
    <w:bookmarkStart w:id="165" w:name="page166"/>
    <w:bookmarkEnd w:id="165"/>
    <w:p>
      <w:pPr>
        <w:ind w:firstLine="987"/>
        <w:spacing w:after="0" w:line="259" w:lineRule="auto"/>
        <w:tabs>
          <w:tab w:leader="none" w:pos="1236"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Guarantor agrees to pay any and all present or future stamp, court or documentary taxes and any other excise or property taxes or charges or similar levies which arise from any payment made by the Guarantor in its capacity as such under the Guarantor Documents or from the execution, delivery, performance, enforcement or registration of, or otherwise with respect to, the Guarantor Documents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40" w:firstLine="987"/>
        <w:spacing w:after="0" w:line="277" w:lineRule="auto"/>
        <w:tabs>
          <w:tab w:leader="none" w:pos="124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above, the Guarantor shall timely pay any Other Taxes to the relevant Governmental Authority in accordance with applicable law.</w:t>
      </w:r>
    </w:p>
    <w:p>
      <w:pPr>
        <w:spacing w:after="0" w:line="62" w:lineRule="exact"/>
        <w:rPr>
          <w:rFonts w:ascii="Arial" w:cs="Arial" w:eastAsia="Arial" w:hAnsi="Arial"/>
          <w:sz w:val="18"/>
          <w:szCs w:val="18"/>
          <w:color w:val="auto"/>
        </w:rPr>
      </w:pPr>
    </w:p>
    <w:p>
      <w:pPr>
        <w:ind w:right="40" w:firstLine="987"/>
        <w:spacing w:after="0" w:line="273" w:lineRule="auto"/>
        <w:tabs>
          <w:tab w:leader="none" w:pos="123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Guarantor shall indemnify each Recipient, within 10 days after demand therefor, for the full amount of any Indemnified Taxes and Other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Guarantor by a Lender (with a copy to the Administrative Agent), or by the Administrative Agent on its own behalf or on behalf of a Lender, shall be conclusive absent manifest error.</w:t>
      </w:r>
    </w:p>
    <w:p>
      <w:pPr>
        <w:spacing w:after="0" w:line="69" w:lineRule="exact"/>
        <w:rPr>
          <w:rFonts w:ascii="Arial" w:cs="Arial" w:eastAsia="Arial" w:hAnsi="Arial"/>
          <w:sz w:val="17"/>
          <w:szCs w:val="17"/>
          <w:color w:val="auto"/>
        </w:rPr>
      </w:pPr>
    </w:p>
    <w:p>
      <w:pPr>
        <w:ind w:right="280" w:firstLine="987"/>
        <w:spacing w:after="0" w:line="277" w:lineRule="auto"/>
        <w:tabs>
          <w:tab w:leader="none" w:pos="121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Any payment by the Guarantor hereunder the application of which is not otherwise provided for herein, shall be applied in the order specified in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of the Credit Agreement.</w:t>
      </w:r>
    </w:p>
    <w:p>
      <w:pPr>
        <w:spacing w:after="0" w:line="62" w:lineRule="exact"/>
        <w:rPr>
          <w:rFonts w:ascii="Arial" w:cs="Arial" w:eastAsia="Arial" w:hAnsi="Arial"/>
          <w:sz w:val="18"/>
          <w:szCs w:val="18"/>
          <w:color w:val="auto"/>
        </w:rPr>
      </w:pPr>
    </w:p>
    <w:p>
      <w:pPr>
        <w:ind w:firstLine="987"/>
        <w:spacing w:after="0" w:line="268" w:lineRule="auto"/>
        <w:tabs>
          <w:tab w:leader="none" w:pos="124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If any Recipient determines, in its sole discretion exercised in good faith, that it has received a refund of any Taxes as to which it has been indemnified by the Guarantor or with respect to which the Guarantor has paid additional amounts pursuant to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it shall pay to the Guarantor an amount equal to such refund (but only to the extent of indemnity payments made, or additional amounts paid, by the Guarantor under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the Guarantor, upon the request of the Recipient, agrees to repay the amount paid over to the Guarantor (plus any penalties, interest or other charges imposed by the relevant Governmental Authority, other than any penalties, interest, or other charges attributable to the gross negligence or willful misconduct on the part of the Recipient as determined by a court of competent jurisdiction by final and nonappealable judgment) to the Recipient in the event the Recipient is required to repay such refund to such Governmental Authority. Notwithstanding anything to the contrary in this subsection, in no event will the applicable Recipient be required to pay any amount to the Guarantor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Guarantor or any other Person.</w:t>
      </w:r>
    </w:p>
    <w:p>
      <w:pPr>
        <w:spacing w:after="0" w:line="76" w:lineRule="exact"/>
        <w:rPr>
          <w:rFonts w:ascii="Arial" w:cs="Arial" w:eastAsia="Arial" w:hAnsi="Arial"/>
          <w:sz w:val="17"/>
          <w:szCs w:val="17"/>
          <w:color w:val="auto"/>
        </w:rPr>
      </w:pPr>
    </w:p>
    <w:p>
      <w:pPr>
        <w:ind w:left="1240" w:hanging="253"/>
        <w:spacing w:after="0"/>
        <w:tabs>
          <w:tab w:leader="none" w:pos="12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The agreements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survive the payment of all Guaranteed Obligations.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00"/>
          </w:cols>
          <w:pgMar w:left="440" w:top="274" w:right="459" w:bottom="1440" w:gutter="0" w:footer="0" w:header="0"/>
        </w:sectPr>
      </w:pPr>
    </w:p>
    <w:bookmarkStart w:id="166" w:name="page167"/>
    <w:bookmarkEnd w:id="166"/>
    <w:p>
      <w:pPr>
        <w:ind w:right="4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Arial" w:cs="Arial" w:eastAsia="Arial" w:hAnsi="Arial"/>
          <w:sz w:val="16"/>
          <w:szCs w:val="16"/>
          <w:u w:val="single" w:color="auto"/>
          <w:color w:val="auto"/>
        </w:rPr>
        <w:t>Consideration</w:t>
      </w:r>
      <w:r>
        <w:rPr>
          <w:rFonts w:ascii="Arial" w:cs="Arial" w:eastAsia="Arial" w:hAnsi="Arial"/>
          <w:sz w:val="16"/>
          <w:szCs w:val="16"/>
          <w:color w:val="auto"/>
        </w:rPr>
        <w:t>. In order to induce the Lenders to make Committed Loans to the Designated Borrowers pursuant to the Credit Agreement, the Guarantor represents and warrants to each Guaranteed Party that the Guarantor has received at least “reasonably equivalent value” (as such phrase is used in § 548 of the Bankruptcy Code), and at least “fair consideration” (as such term is used in § 272 of the New York Uniform Fraudulent Conveyance Act) and more than sufficient consideration to support its obligations hereunder in respect of the Guaranteed Obligations.</w:t>
      </w:r>
    </w:p>
    <w:p>
      <w:pPr>
        <w:spacing w:after="0" w:line="157"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Unless otherwise expressly provided herein, all notices and other communications provided for hereunder shall be delivered to the Guarantor’s attention at the address of the Company as set forth in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of the Credit Agreement and the terms of</w:t>
      </w:r>
    </w:p>
    <w:p>
      <w:pPr>
        <w:ind w:right="160"/>
        <w:spacing w:after="0" w:line="253" w:lineRule="auto"/>
        <w:rPr>
          <w:sz w:val="20"/>
          <w:szCs w:val="20"/>
          <w:color w:val="auto"/>
        </w:rPr>
      </w:pP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of the Credit Agreement with respect to notices are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with each reference to the “Company,” “Borrower” or the “Borrowers” therein (whether express or by reference to the Company or Borrower or the Company or Borrowers as a “party” thereto) being a reference to the Guarantor and each reference to any “Loan Document” or the “Loan Documents” therein being a reference to the “Guarantor Documents”, and the parties hereto agree to such terms.</w:t>
      </w:r>
    </w:p>
    <w:p>
      <w:pPr>
        <w:spacing w:after="0" w:line="193"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by any Guaranteed Party to exercise, and no delay by any such Person in exercising, any right, remedy, power or privilege hereunder or under any other Guarantor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Guarantor Document, are cumulative and not exclusive of any rights, remedies, powers and privileges provided by law.</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Costs and Expenses</w:t>
      </w:r>
      <w:r>
        <w:rPr>
          <w:rFonts w:ascii="Arial" w:cs="Arial" w:eastAsia="Arial" w:hAnsi="Arial"/>
          <w:sz w:val="18"/>
          <w:szCs w:val="18"/>
          <w:color w:val="auto"/>
        </w:rPr>
        <w:t>.</w:t>
      </w:r>
    </w:p>
    <w:p>
      <w:pPr>
        <w:spacing w:after="0" w:line="117" w:lineRule="exact"/>
        <w:rPr>
          <w:sz w:val="20"/>
          <w:szCs w:val="20"/>
          <w:color w:val="auto"/>
        </w:rPr>
      </w:pPr>
    </w:p>
    <w:p>
      <w:pPr>
        <w:ind w:right="80" w:firstLine="991"/>
        <w:spacing w:after="0" w:line="287"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Costs and Expenses</w:t>
      </w:r>
      <w:r>
        <w:rPr>
          <w:rFonts w:ascii="Arial" w:cs="Arial" w:eastAsia="Arial" w:hAnsi="Arial"/>
          <w:sz w:val="16"/>
          <w:szCs w:val="16"/>
          <w:color w:val="auto"/>
        </w:rPr>
        <w:t>. The Guarantor shall: (i) pay or reimburse the Administrative Agent and its Affiliates for all reasonable out-of-pocket costs and expenses incurred in connection with the development, preparation, negotiation and execution of this Guaranty and the other Guarantor Documents and any amendment, waiver, consent or other modification of the provisions hereof or thereof (whether or not the transactions contemplated hereby or thereby are consummated), and the consummation and administration of the transactions contemplated hereby and thereby, including all reasonable costs and expenses of counsel for the Administrative Agent; and (ii) pay or reimburse the Administrative Agent and each other Guaranteed Party for all out-of-pocket costs and expenses incurred in connection with the enforcement, attempted enforcement, or preservation of any rights or remedies under this Guaranty or the other Guarantor Documents (including all such costs and expenses incurred during any “workout” or restructuring in respect of the Guaranteed Obligations and during any legal proceeding, including any proceeding under any Debtor Relief Laws), including all costs and expenses of counsel for the Administrative Agent. The foregoing costs and expenses shall include all search, filing, recording, title insurance and appraisal charges and fees and taxes related thereto, and other out-of-pocket expenses incurred by the Administrative Agent and the cost of independent public accountants and other outside experts retained by any Guaranteed Party.</w:t>
      </w:r>
    </w:p>
    <w:p>
      <w:pPr>
        <w:spacing w:after="0" w:line="64" w:lineRule="exact"/>
        <w:rPr>
          <w:sz w:val="20"/>
          <w:szCs w:val="20"/>
          <w:color w:val="auto"/>
        </w:rPr>
      </w:pPr>
    </w:p>
    <w:p>
      <w:pPr>
        <w:jc w:val="both"/>
        <w:ind w:firstLine="987"/>
        <w:spacing w:after="0" w:line="301" w:lineRule="auto"/>
        <w:tabs>
          <w:tab w:leader="none" w:pos="1246"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Any amounts payable by the Guarantor under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or otherwise under this Guaranty if not paid when due shall bear interest from such due date until paid in full, at a fluctuating interest rate per annum at all times equal to the Default Rate applicable to Base Rate Loans to the fullest extent permitted by applicable law. Any such interest shall be due and payable upon demand in accordance with the Credit Agreement and shall be calculated on the basis of a year of 365 or 366 days, as the case may be, and the actual number of days elapsed.</w:t>
      </w:r>
    </w:p>
    <w:p>
      <w:pPr>
        <w:spacing w:after="0" w:line="49" w:lineRule="exact"/>
        <w:rPr>
          <w:rFonts w:ascii="Arial" w:cs="Arial" w:eastAsia="Arial" w:hAnsi="Arial"/>
          <w:sz w:val="16"/>
          <w:szCs w:val="16"/>
          <w:color w:val="auto"/>
        </w:rPr>
      </w:pPr>
    </w:p>
    <w:p>
      <w:pPr>
        <w:ind w:left="1240" w:hanging="253"/>
        <w:spacing w:after="0"/>
        <w:tabs>
          <w:tab w:leader="none" w:pos="124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All amounts due under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shall be payable after demand therefor in accordance with the Credit Agreement.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0960"/>
          </w:cols>
          <w:pgMar w:left="440" w:top="274" w:right="499" w:bottom="1440" w:gutter="0" w:footer="0" w:header="0"/>
        </w:sectPr>
      </w:pPr>
    </w:p>
    <w:bookmarkStart w:id="167" w:name="page168"/>
    <w:bookmarkEnd w:id="167"/>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shall survive the termination of the Commitments and repayment of all Guaranteed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11"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In addition to any rights and remedies of the Lenders provided by law, upon the occurrence and during the continuance of any Event of Default each Lender and each of their Affiliates is authorized at any time and from time to time, without prior notice to the Guarantor, any such notice being waived by the Guarantor to the fullest extent permitted by applicable law, to set off and apply any and all deposits (general or special, time or demand, provisional or final, in whatever currency) at any time held by, and other indebtedness at any time owing by, such Lender or any such Affiliate to or for the credit or the account of the Guarantor against any and all Guaranteed Obligations of such Guarantor owing to such Lender, now or hereafter existing, irrespective of whether or not the Administrative Agent or such Lender shall have made demand under this Guaranty or any other Guarantor Document and although such Guaranteed Obligations may be contingent or unmatured or denominated in a currency different from that of the applicable deposit or indebtedness. Each of the Lenders agrees (by its acceptance hereof) promptly to notify the Guarantor and the Administrative Agent after any such set-off and application made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failure to give such notice shall not affect the validity of such set-off and application. The rights of each Lender and each of their Affiliates under this Section are in addition to other rights and remedies (including other rights of setoff) that such Lender or its Affiliates may have.</w:t>
      </w:r>
    </w:p>
    <w:p>
      <w:pPr>
        <w:spacing w:after="0" w:line="172"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Marshalling; Payments Set Aside</w:t>
      </w:r>
      <w:r>
        <w:rPr>
          <w:rFonts w:ascii="Arial" w:cs="Arial" w:eastAsia="Arial" w:hAnsi="Arial"/>
          <w:sz w:val="17"/>
          <w:szCs w:val="17"/>
          <w:color w:val="auto"/>
        </w:rPr>
        <w:t>. Neither the Administrative Agent nor any other Guaranteed Party shall be under any obligation to marshal any assets in favor of the Guarantor or any other Person or against or in payment of any or all of the Guaranteed Obligations. To the extent that the Guarantor makes a payment to any Guaranteed Party, or any Guaranteed Party exercises its right of set-off, and such payment or the proceeds of such set-off or any part thereof are subsequently invalidated, declared to be fraudulent or preferential, set aside or required (including pursuant to any settlement entered into by any Guaranteed Party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of the Lenders severally agrees (by its acceptance hereof) to pay to the Administrative Agent upon demand its pro rata share of any amount so recovered from or repaid by the Administrative Agent, plus interest thereon from the date of such demand to the date such payment is made at a rate per annum equal to the Federal Funds Rate from time to time in effect.</w:t>
      </w:r>
    </w:p>
    <w:p>
      <w:pPr>
        <w:spacing w:after="0" w:line="18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Benefits of Guaranty</w:t>
      </w:r>
      <w:r>
        <w:rPr>
          <w:rFonts w:ascii="Arial" w:cs="Arial" w:eastAsia="Arial" w:hAnsi="Arial"/>
          <w:sz w:val="18"/>
          <w:szCs w:val="18"/>
          <w:color w:val="auto"/>
        </w:rPr>
        <w:t>. This Guaranty is entered into for the sole protection and benefit of the Administrative Agent and each other Guaranteed Party and their respective successors and assigns, and no other Person (other than any Indemnitee specified herein) shall be a direct or indirect beneficiary of, or shall have any direct or indirect cause of action or claim in connection with, this Guaranty. The Guaranteed Parties, by their acceptance of this Guaranty, shall not have any obligations under this Guaranty to any Person other than the Guarantor, and such obligations shall be limited to those expressly stated herein.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w:t>
      </w:r>
    </w:p>
    <w:p>
      <w:pPr>
        <w:spacing w:after="0" w:line="117" w:lineRule="exact"/>
        <w:rPr>
          <w:sz w:val="20"/>
          <w:szCs w:val="20"/>
          <w:color w:val="auto"/>
        </w:rPr>
      </w:pPr>
    </w:p>
    <w:p>
      <w:pPr>
        <w:ind w:right="260" w:firstLine="987"/>
        <w:spacing w:after="0" w:line="342" w:lineRule="auto"/>
        <w:tabs>
          <w:tab w:leader="none" w:pos="1236"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This Guaranty shall be binding upon the Guarantor and its successors and assigns, and inure to the benefit of and be enforceable by the Administrative Agent and each other Guaranteed Party and their respective successors, endorsees, transferees and assigns.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0980"/>
          </w:cols>
          <w:pgMar w:left="440" w:top="274" w:right="479" w:bottom="1440" w:gutter="0" w:footer="0" w:header="0"/>
        </w:sectPr>
      </w:pPr>
    </w:p>
    <w:bookmarkStart w:id="168" w:name="page169"/>
    <w:bookmarkEnd w:id="168"/>
    <w:p>
      <w:pPr>
        <w:ind w:right="100" w:firstLine="987"/>
        <w:spacing w:after="0" w:line="291" w:lineRule="auto"/>
        <w:tabs>
          <w:tab w:leader="none" w:pos="1246"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w:t>
      </w:r>
      <w:r>
        <w:rPr>
          <w:rFonts w:ascii="Arial" w:cs="Arial" w:eastAsia="Arial" w:hAnsi="Arial"/>
          <w:sz w:val="16"/>
          <w:szCs w:val="16"/>
          <w:color w:val="auto"/>
        </w:rPr>
        <w:t xml:space="preserve">. Except to the extent otherwise provided in the Credit Agreement, the Guarantor shall not have the right to assign or transfer its rights and obligations hereunder or under any other Guarantor Documents without the prior written consent of the Required Lenders. Each Lender may, without notice to or consent by the Guarantor, sell, assign, transfer or grant participations in all or any portion of such Lender’s rights and obligations hereunder and under the other Guarantor Documents in connection with any sale, assignment, transfer or grant of a participation by such Lender in accordance with Section 10.06 of the Credit Agreement of or in its rights and obligations thereunder and under the other Loan Documents. In the event of any grant of a participation, the participant (A) shall be deemed to have a right of setoff under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hereof in respect of its participation to the same extent as if it were such “Guaranteed Party;” and (B) shall also be entitled to the benefits of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hereof.</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Governing Law and Jurisdiction</w:t>
      </w:r>
    </w:p>
    <w:p>
      <w:pPr>
        <w:spacing w:after="0" w:line="117" w:lineRule="exact"/>
        <w:rPr>
          <w:sz w:val="20"/>
          <w:szCs w:val="20"/>
          <w:color w:val="auto"/>
        </w:rPr>
      </w:pPr>
    </w:p>
    <w:p>
      <w:pPr>
        <w:ind w:right="460" w:firstLine="987"/>
        <w:spacing w:after="0" w:line="273" w:lineRule="auto"/>
        <w:tabs>
          <w:tab w:leader="none" w:pos="1236"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GUARANTY AND THE OTHER GUARANTOR DOCUMENTS (EXCEPT, AS TO ANY OTHER GUARANTOR DOCUMENT, WHERE SUCH OTHER GUARANTOR DOCUMENT EXPRESSLY SETS FORTH OTHERWISE) AND ANY CLAIMS, CONTROVERSY, DISPUTE OR CAUSE OF ACTION (WHETHER IN CONTRACT OR TORT OR OTHERWISE) BASED UPON, ARISING OUT OF OR RELATING TO THIS GUARANTY OR ANY OTHER GUARANTOR DOCUMENT (EXCEPT, AS TO ANY OTHER GUARANTOR DOCUMENT, AS EXPRESSLY SET FORTH THEREIN) AND THE TRANSACTIONS CONTEMPLATED HEREBY AND THEREBY SHALL BE GOVERNED BY, AND CONSTRUED IN ACCORDANCE WITH, THE LAW OF THE STATE OF NEW YORK.</w:t>
      </w:r>
    </w:p>
    <w:p>
      <w:pPr>
        <w:spacing w:after="0" w:line="69" w:lineRule="exact"/>
        <w:rPr>
          <w:rFonts w:ascii="Arial" w:cs="Arial" w:eastAsia="Arial" w:hAnsi="Arial"/>
          <w:sz w:val="17"/>
          <w:szCs w:val="17"/>
          <w:color w:val="auto"/>
        </w:rPr>
      </w:pPr>
    </w:p>
    <w:p>
      <w:pPr>
        <w:ind w:firstLine="987"/>
        <w:spacing w:after="0" w:line="252" w:lineRule="auto"/>
        <w:tabs>
          <w:tab w:leader="none" w:pos="124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OF THE PARTIES HERETO IRREVOCABLY AND UNCONDITIONALLY SUBMITS, FOR ITSELF AND ITS PROPERTY, TO THE EXCLUSIVE JURISDICTION OF THE COURTS OF THE STATE OF NEW YORK SITTING IN THE BOROUGH OF MANHATTAN AND OF THE UNITED STATES DISTRICT COURT IN SUCH BOROUGH, AND ANY APPELLATE COURT FROM ANY THEREOF, IN ANY ACTION OR PROCEEDING ARISING OUT OF OR RELATING TO THIS GUARANTY OR ANY OTHER GUARANTOR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GUARANTY OR IN ANY OTHER GUARANTOR DOCUMENT SHALL AFFECT ANY RIGHT THAT THE ADMINISTRATIVE AGENT, ANY LENDER MAY OTHERWISE HAVE TO BRING ANY ACTION OR PROCEEDING RELATING TO THIS GUARANTY OR ANY OTHER GUARANTOR DOCUMENT AGAINST THE GUARANTOR OR ITS PROPERTIES IN THE COURTS OF ANY JURISDICTION.</w:t>
      </w:r>
    </w:p>
    <w:p>
      <w:pPr>
        <w:spacing w:after="0" w:line="90" w:lineRule="exact"/>
        <w:rPr>
          <w:rFonts w:ascii="Arial" w:cs="Arial" w:eastAsia="Arial" w:hAnsi="Arial"/>
          <w:sz w:val="18"/>
          <w:szCs w:val="18"/>
          <w:color w:val="auto"/>
        </w:rPr>
      </w:pPr>
    </w:p>
    <w:p>
      <w:pPr>
        <w:ind w:right="140" w:firstLine="987"/>
        <w:spacing w:after="0" w:line="255" w:lineRule="auto"/>
        <w:tabs>
          <w:tab w:leader="none" w:pos="123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EACH OF THE PARTIES HERETO IRREVOCABLY AND UNCONDITIONALLY WAIVES, TO THE FULLEST EXTENT PERMITTED BY APPLICABLE LAW, ANY OBJECTION THAT IT MAY NOW OR HEREAFTER HAVE TO THE LAYING OF VENUE OF ANY ACTION OR PROCEEDING ARISING OUT OF OR RELATING TO THIS GUARANTY OR ANY OTHER GUARANTOR DOCUMENT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17</w:t>
      </w:r>
      <w:r>
        <w:rPr>
          <w:rFonts w:ascii="Arial" w:cs="Arial" w:eastAsia="Arial" w:hAnsi="Arial"/>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00"/>
          </w:cols>
          <w:pgMar w:left="440" w:top="274" w:right="459" w:bottom="1440" w:gutter="0" w:footer="0" w:header="0"/>
        </w:sectPr>
      </w:pPr>
    </w:p>
    <w:bookmarkStart w:id="169" w:name="page170"/>
    <w:bookmarkEnd w:id="169"/>
    <w:p>
      <w:pPr>
        <w:ind w:firstLine="987"/>
        <w:spacing w:after="0" w:line="263" w:lineRule="auto"/>
        <w:tabs>
          <w:tab w:leader="none" w:pos="124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w:t>
      </w:r>
      <w:r>
        <w:rPr>
          <w:rFonts w:ascii="Arial" w:cs="Arial" w:eastAsia="Arial" w:hAnsi="Arial"/>
          <w:sz w:val="18"/>
          <w:szCs w:val="18"/>
          <w:color w:val="auto"/>
        </w:rPr>
        <w:t>. NOTHING IN THIS GUARANTY WILL AFFECT THE RIGHT OF ANY PARTY HERETO TO SERVE PROCESS IN ANY OTHER MANNER PERMITTED BY APPLICABLE LAW.</w:t>
      </w:r>
    </w:p>
    <w:p>
      <w:pPr>
        <w:spacing w:after="0" w:line="184" w:lineRule="exact"/>
        <w:rPr>
          <w:sz w:val="20"/>
          <w:szCs w:val="20"/>
          <w:color w:val="auto"/>
        </w:rPr>
      </w:pPr>
    </w:p>
    <w:p>
      <w:pPr>
        <w:ind w:right="80" w:firstLine="991"/>
        <w:spacing w:after="0" w:line="253"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HERETO HEREBY IRREVOCABLY WAIVES, TO THE FULLEST EXTENT PERMITTED BY APPLICABLE LAW, ANY RIGHT IT MAY HAVE TO A TRIAL BY JURY IN ANY LEGAL PROCEEDING DIRECTLY OR INDIRECTLY ARISING OUT OF OR RELATING TO THIS GUARANTY OR ANY OTHER GUARANTOR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GUARANTY AND THE OTHER GUARANTOR DOCUMENTS BY, AMONG OTHER THINGS, THE MUTUAL WAIVERS AND CERTIFICATIONS IN THIS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196" w:lineRule="exact"/>
        <w:rPr>
          <w:sz w:val="20"/>
          <w:szCs w:val="20"/>
          <w:color w:val="auto"/>
        </w:rPr>
      </w:pPr>
    </w:p>
    <w:p>
      <w:pPr>
        <w:ind w:right="60" w:firstLine="991"/>
        <w:spacing w:after="0" w:line="270"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Entire Agreement; Amendments and Waivers</w:t>
      </w:r>
      <w:r>
        <w:rPr>
          <w:rFonts w:ascii="Arial" w:cs="Arial" w:eastAsia="Arial" w:hAnsi="Arial"/>
          <w:sz w:val="17"/>
          <w:szCs w:val="17"/>
          <w:color w:val="auto"/>
        </w:rPr>
        <w:t>. This Guaranty together with the other Guarantor Documents embodies the entire final agreement of the Guarantor with respect to the matters set forth herein and supersedes all prior or contemporaneous agreements and understandings of the Guarantor, verbal or written, relating to the subject matter hereof and thereof and shall not be amended except by written agreement of the Guarantor, the Administrative Agent and the Required Lenders. This Guaranty and the other Guarantor Documents may not be contradicted by evidence of prior, contemporaneous, or subsequent oral agreements of the parties. There are no unwritten oral agreements among the parties. No waiver of any rights of the Guaranteed Parties under any provision of this Guaranty or consent to any departure by the Guarantor therefrom shall be effective unless in writing and signed by the Administrative Agent and the Required Lenders, or the Administrative Agent (with the written consent of the Required Lenders). Any such amendment, waiver or consent shall be effective only in the specific instance and for the specific purpose for which given.</w:t>
      </w:r>
    </w:p>
    <w:p>
      <w:pPr>
        <w:spacing w:after="0" w:line="181"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Guaranty or the other Guarantor Documents is held to be illegal, invalid or unenforceable, (a) the legality, validity and enforceability of the remaining provisions of this Guaranty and the other Guarantor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76" w:lineRule="exact"/>
        <w:rPr>
          <w:sz w:val="20"/>
          <w:szCs w:val="20"/>
          <w:color w:val="auto"/>
        </w:rPr>
      </w:pPr>
    </w:p>
    <w:p>
      <w:pPr>
        <w:ind w:right="400" w:firstLine="991"/>
        <w:spacing w:after="0" w:line="308"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Counterparts</w:t>
      </w:r>
      <w:r>
        <w:rPr>
          <w:rFonts w:ascii="Arial" w:cs="Arial" w:eastAsia="Arial" w:hAnsi="Arial"/>
          <w:sz w:val="17"/>
          <w:szCs w:val="17"/>
          <w:color w:val="auto"/>
        </w:rPr>
        <w:t>. This Guaranty may be executed in one or more counterparts (and by different parties hereto in different counterparts), each of which shall constitute an original, but all of which together shall constitute one and the same instrument.</w:t>
      </w:r>
    </w:p>
    <w:p>
      <w:pPr>
        <w:spacing w:after="0" w:line="146"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Judgment Currency</w:t>
      </w:r>
      <w:r>
        <w:rPr>
          <w:rFonts w:ascii="Arial" w:cs="Arial" w:eastAsia="Arial" w:hAnsi="Arial"/>
          <w:sz w:val="17"/>
          <w:szCs w:val="17"/>
          <w:color w:val="auto"/>
        </w:rPr>
        <w:t>. If, for the purposes of obtaining judgment in any court, it is necessary to convert a sum due hereunder or any other Guarantor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Guarantor in respect of any such sum due from it to any Guaranteed Party hereunder or under the other Guarantor Documents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that in which such sum is denominated in accordance with the applicable provisions of the Credit Agreement (the “</w:t>
      </w:r>
      <w:r>
        <w:rPr>
          <w:rFonts w:ascii="Arial" w:cs="Arial" w:eastAsia="Arial" w:hAnsi="Arial"/>
          <w:sz w:val="17"/>
          <w:szCs w:val="17"/>
          <w:u w:val="single" w:color="auto"/>
          <w:color w:val="auto"/>
        </w:rPr>
        <w:t>Agreement</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0920"/>
          </w:cols>
          <w:pgMar w:left="440" w:top="274" w:right="539" w:bottom="1440" w:gutter="0" w:footer="0" w:header="0"/>
        </w:sectPr>
      </w:pPr>
    </w:p>
    <w:bookmarkStart w:id="170" w:name="page171"/>
    <w:bookmarkEnd w:id="170"/>
    <w:p>
      <w:pPr>
        <w:spacing w:after="0" w:line="270"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Currency</w:t>
      </w:r>
      <w:r>
        <w:rPr>
          <w:rFonts w:ascii="Arial" w:cs="Arial" w:eastAsia="Arial" w:hAnsi="Arial"/>
          <w:sz w:val="17"/>
          <w:szCs w:val="17"/>
          <w:color w:val="auto"/>
        </w:rPr>
        <w:t xml:space="preserve">”),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Guarantor in the Agreement Currency, the Guarantor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or the Person to whom such obligation was owing in such currency, the Administrative Agent (by its acceptance hereof) or the Person to whom such obligation was owing agrees to return the amount of any excess to the Guarantor (or to any other Person who may be entitled thereto under applicable law). The agreements in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survive the termination of the Commitments and repayment of all Guaranteed Obligations.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0980"/>
          </w:cols>
          <w:pgMar w:left="440" w:top="274" w:right="47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Guarantor has executed this Guaranty, as of the date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5"/>
          <w:szCs w:val="15"/>
          <w:b w:val="1"/>
          <w:bCs w:val="1"/>
          <w:color w:val="auto"/>
        </w:rPr>
        <w:t>a Massachusetts corporation</w:t>
      </w:r>
    </w:p>
    <w:p>
      <w:pPr>
        <w:spacing w:after="0" w:line="25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9579"/>
          </w:cols>
          <w:pgMar w:left="880" w:top="274" w:right="1440"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SUBSIDIARY GUARANTY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173" w:name="page174"/>
    <w:bookmarkEnd w:id="17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SUBSIDIARY GUARANTY</w:t>
      </w:r>
    </w:p>
    <w:p>
      <w:pPr>
        <w:spacing w:after="0" w:line="211"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THIS SUBSIDIARY GUARANTY (this “</w:t>
      </w:r>
      <w:r>
        <w:rPr>
          <w:rFonts w:ascii="Arial" w:cs="Arial" w:eastAsia="Arial" w:hAnsi="Arial"/>
          <w:sz w:val="17"/>
          <w:szCs w:val="17"/>
          <w:u w:val="single" w:color="auto"/>
          <w:color w:val="auto"/>
        </w:rPr>
        <w:t>Guaranty</w:t>
      </w:r>
      <w:r>
        <w:rPr>
          <w:rFonts w:ascii="Arial" w:cs="Arial" w:eastAsia="Arial" w:hAnsi="Arial"/>
          <w:sz w:val="17"/>
          <w:szCs w:val="17"/>
          <w:color w:val="auto"/>
        </w:rPr>
        <w:t>”), dated as of [ ], 20[ ], is made by each of the undersigned (together, the “</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Guarantors</w:t>
      </w:r>
      <w:r>
        <w:rPr>
          <w:rFonts w:ascii="Arial" w:cs="Arial" w:eastAsia="Arial" w:hAnsi="Arial"/>
          <w:sz w:val="17"/>
          <w:szCs w:val="17"/>
          <w:color w:val="auto"/>
        </w:rPr>
        <w:t>”; each a “</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in favor of the Lenders from time to time party to the Credit Agreement referred to below and Bank of America, N.A., as Administrative Agent, Swing Line Lender and an L/C Issuer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-322580</wp:posOffset>
            </wp:positionV>
            <wp:extent cx="285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3627755</wp:posOffset>
            </wp:positionH>
            <wp:positionV relativeFrom="paragraph">
              <wp:posOffset>-322580</wp:posOffset>
            </wp:positionV>
            <wp:extent cx="285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A. Analog Devices, Inc., a Delaware corporation (the “Company”), the Designated Borrowers party thereto (collectively, together with the Company, the “Borrowers”), the Lenders from time to time party thereto (each a “Lender” and, collectively, together with the Swing Line Lender and the L/C Issuers, the “Lenders”) and the Administrative Agent are parties to a Third Amended and Restated Credit Agreement dated as of June 23, 2021 (as amended, restated, extended, supplemented or otherwise modified in writing from time to time, the “Credit Agreement”).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The Subsidiary Guarantors are Subsidiaries of the Company.</w:t>
      </w:r>
    </w:p>
    <w:p>
      <w:pPr>
        <w:spacing w:after="0" w:line="11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C. The Subsidiary Guarantors, as Subsidiaries or Affiliates of the Borrowers, will derive substantial direct and indirect benefits from the making of the Loans to and the issuance of Letters of Credit for the account of the Borrowers pursuant to the Credit Agreement (which benefits are hereby acknowledged by the Subsidiary Guarantors).</w:t>
      </w:r>
    </w:p>
    <w:p>
      <w:pPr>
        <w:spacing w:after="0" w:line="184"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Accordingly, to induce the Administrative Agent and the Lenders to continue to make Loans and issue Letters of Credit under the Credit Agreement, and in consideration thereof, the Subsidiary Guarantors hereby agree as follows: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 Interpretation</w:t>
      </w:r>
      <w:r>
        <w:rPr>
          <w:rFonts w:ascii="Arial" w:cs="Arial" w:eastAsia="Arial" w:hAnsi="Arial"/>
          <w:sz w:val="18"/>
          <w:szCs w:val="18"/>
          <w:color w:val="auto"/>
        </w:rPr>
        <w:t>.</w:t>
      </w:r>
    </w:p>
    <w:p>
      <w:pPr>
        <w:spacing w:after="0" w:line="117" w:lineRule="exact"/>
        <w:rPr>
          <w:sz w:val="20"/>
          <w:szCs w:val="20"/>
          <w:color w:val="auto"/>
        </w:rPr>
      </w:pPr>
    </w:p>
    <w:p>
      <w:pPr>
        <w:ind w:right="280" w:firstLine="987"/>
        <w:spacing w:after="0" w:line="277" w:lineRule="auto"/>
        <w:tabs>
          <w:tab w:leader="none" w:pos="123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Terms Defined in Credit Agreement</w:t>
      </w:r>
      <w:r>
        <w:rPr>
          <w:rFonts w:ascii="Arial" w:cs="Arial" w:eastAsia="Arial" w:hAnsi="Arial"/>
          <w:sz w:val="18"/>
          <w:szCs w:val="18"/>
          <w:color w:val="auto"/>
        </w:rPr>
        <w:t>. All capitalized terms used in this Guaranty (including in the recitals hereof) and not otherwise defined herein shall have the meanings assigned to them in the Credit Agreement.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As used in this Guaranty (including in the recitals hereof), the following terms shall have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meanings: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Federal Bankruptcy Reform Act of 1978 (11 U.S.C. § 101, et seq.),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has the meaning specified in the recitals to this Guaranty.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Parties</w:t>
      </w:r>
      <w:r>
        <w:rPr>
          <w:rFonts w:ascii="Arial" w:cs="Arial" w:eastAsia="Arial" w:hAnsi="Arial"/>
          <w:sz w:val="18"/>
          <w:szCs w:val="18"/>
          <w:color w:val="auto"/>
        </w:rPr>
        <w:t>” means the Administrative Agent and each Lender.</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Documents</w:t>
      </w:r>
      <w:r>
        <w:rPr>
          <w:rFonts w:ascii="Arial" w:cs="Arial" w:eastAsia="Arial" w:hAnsi="Arial"/>
          <w:sz w:val="18"/>
          <w:szCs w:val="18"/>
          <w:color w:val="auto"/>
        </w:rPr>
        <w:t>” means this Guaranty and all other certificates, documents, agreements and instruments delivered to any Guaranteed Party by a Subsidiary Guarantor in its capacity as such under or in connection with this Guaranty and the Loan Documents.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0960"/>
          </w:cols>
          <w:pgMar w:left="440" w:top="270" w:right="499" w:bottom="1440" w:gutter="0" w:footer="0" w:header="0"/>
        </w:sectPr>
      </w:pPr>
    </w:p>
    <w:bookmarkStart w:id="174" w:name="page175"/>
    <w:bookmarkEnd w:id="174"/>
    <w:p>
      <w:pPr>
        <w:ind w:right="8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Insolvency Proceeding</w:t>
      </w:r>
      <w:r>
        <w:rPr>
          <w:rFonts w:ascii="Arial" w:cs="Arial" w:eastAsia="Arial" w:hAnsi="Arial"/>
          <w:sz w:val="17"/>
          <w:szCs w:val="17"/>
          <w:color w:val="auto"/>
        </w:rPr>
        <w:t>” means, with respect to any Person, (i) any case, action or proceeding with respect to such Person before any court or other Governmental Authority relating to bankruptcy, reorganization, insolvency, liquidation, receivership, dissolution, winding-up or relief of debtors, or (ii) any general assignment for the benefit of creditors, composition, marshalling of assets for creditors, or other, similar arrangement in respect of its creditors generally or any substantial portion of its creditors; in either case undertaken under Debtor Relief Laws.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specified in the recitals to this Guaranty.</w:t>
      </w:r>
    </w:p>
    <w:p>
      <w:pPr>
        <w:spacing w:after="0" w:line="22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(i) with respect to any corporation, the certificate or articles of incorporation and the bylaws (or equivalent or comparable constitutive documents with respect to any non-U.S. jurisdiction); (ii) with respect to any limited liability company, the certificate or articles of formation or organization and operating agreement; and (iii)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8(c)</w:t>
      </w:r>
      <w:r>
        <w:rPr>
          <w:rFonts w:ascii="Arial" w:cs="Arial" w:eastAsia="Arial" w:hAnsi="Arial"/>
          <w:sz w:val="18"/>
          <w:szCs w:val="18"/>
          <w:color w:val="auto"/>
        </w:rPr>
        <w:t>.</w:t>
      </w:r>
    </w:p>
    <w:p>
      <w:pPr>
        <w:spacing w:after="0" w:line="117" w:lineRule="exact"/>
        <w:rPr>
          <w:sz w:val="20"/>
          <w:szCs w:val="20"/>
          <w:color w:val="auto"/>
        </w:rPr>
      </w:pPr>
    </w:p>
    <w:p>
      <w:pPr>
        <w:ind w:right="640" w:firstLine="987"/>
        <w:spacing w:after="0" w:line="277" w:lineRule="auto"/>
        <w:tabs>
          <w:tab w:leader="none" w:pos="123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rules of interpretation set forth in </w:t>
      </w:r>
      <w:r>
        <w:rPr>
          <w:rFonts w:ascii="Arial" w:cs="Arial" w:eastAsia="Arial" w:hAnsi="Arial"/>
          <w:sz w:val="18"/>
          <w:szCs w:val="18"/>
          <w:u w:val="single" w:color="auto"/>
          <w:color w:val="auto"/>
        </w:rPr>
        <w:t>Sections 1.02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of the Credit Agreement shall be applicable to this Guaranty and are incorporated herein by this reference.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Guaranty</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7" w:lineRule="auto"/>
        <w:tabs>
          <w:tab w:leader="none" w:pos="1236"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Each Subsidiary Guarantor hereby severally absolutely, unconditionally and irrevocably guarantees for the Guaranteed Parties, and their respective successors, endorsees, transferees and assigns, the full and prompt payment when due (whether at stated maturity, by required prepayment, declaration, acceleration, demand or otherwise) of (a) all (and not merely a lesser or proportional part of) the indebtedness, liabilities and other obligations of each Loan Party (now existing or hereafter arising pursuant to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of the Credit Agreement) to the Guaranteed Parties under or in connection with the Credit Agreement, the Notes and the other Loan Documents, including all unpaid principal of the Loans, all interest accrued thereon, all amounts owing in respect of L/C Obligations, all fees due under the Credit Agreement and all other amounts payable by each Borrower to the Guaranteed Parties thereunder, in connection therewith, and in connection with any other Loan Document and (b) all costs and expenses incurred in connection with enforcement and collection of the foregoing, including the fees, charges and disbursements of counsel, in each case whether direct or indirect (including those acquired by assumption). The terms “indebtedness,” “liabilities” and “obligations” are used herein in their most comprehensive sense and include without limitation any and all advances, debts, obligations and liabilities, whether now existing or hereafter arising, whether voluntary or involuntary and whether due or not due, absolute or contingent, liquidated or unliquidated, determined or undetermined, and whether recovery upon such indebtedness, liabilities and obligations may be or hereafter become unenforceable or shall be an allowed or disallowed claim under any Debtor Relief Law, and including interest, expenses and fees that accrue after the commencement by or against any Borrower or any Affiliate thereof of any proceeding under any Debtor Relief Laws naming such Person as the debtor in such proceeding. The foregoing indebtedness, liabilities and other obligations of each Borrower, and all other indebtedness, liabilities and obligations to be paid or performed by the Subsidiary Guarantors in connection with this Guaranty (including any and all amounts due under </w:t>
      </w:r>
      <w:r>
        <w:rPr>
          <w:rFonts w:ascii="Arial" w:cs="Arial" w:eastAsia="Arial" w:hAnsi="Arial"/>
          <w:sz w:val="17"/>
          <w:szCs w:val="17"/>
          <w:u w:val="single" w:color="auto"/>
          <w:color w:val="auto"/>
        </w:rPr>
        <w:t>Section 14</w:t>
      </w:r>
      <w:r>
        <w:rPr>
          <w:rFonts w:ascii="Arial" w:cs="Arial" w:eastAsia="Arial" w:hAnsi="Arial"/>
          <w:sz w:val="17"/>
          <w:szCs w:val="17"/>
          <w:color w:val="auto"/>
        </w:rPr>
        <w:t>), shall hereinafter be collectively referred to as the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000"/>
          </w:cols>
          <w:pgMar w:left="440" w:top="274" w:right="459" w:bottom="1440" w:gutter="0" w:footer="0" w:header="0"/>
        </w:sectPr>
      </w:pPr>
    </w:p>
    <w:bookmarkStart w:id="175" w:name="page176"/>
    <w:bookmarkEnd w:id="175"/>
    <w:p>
      <w:pPr>
        <w:ind w:right="40" w:firstLine="987"/>
        <w:spacing w:after="0" w:line="275" w:lineRule="auto"/>
        <w:tabs>
          <w:tab w:leader="none" w:pos="1246" w:val="left"/>
        </w:tabs>
        <w:numPr>
          <w:ilvl w:val="0"/>
          <w:numId w:val="2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any court of competent jurisdiction shall impose by final judgment under applicable law (including if applicable, the New York Uniform Fraudulent Conveyance Act or other applicable state law and §§ 544 and 548 of the Bankruptcy Code) any limitations on the amount of any Subsidiary Guarantor’s liability with respect to the Guaranteed Obligations which any Guaranteed Party can enforce under this Guaranty, the Guaranteed Parties by their acceptance hereof accept such limitation on the amount of such Subsidiary Guarantor’s liability hereunder to the extent needed to make this Guaranty and the Subsidiary Guarantor Documents fully enforceable and nonavoidable.</w:t>
      </w:r>
    </w:p>
    <w:p>
      <w:pPr>
        <w:spacing w:after="0" w:line="176"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Liability of Subsidiary Guarantors</w:t>
      </w:r>
      <w:r>
        <w:rPr>
          <w:rFonts w:ascii="Arial" w:cs="Arial" w:eastAsia="Arial" w:hAnsi="Arial"/>
          <w:sz w:val="18"/>
          <w:szCs w:val="18"/>
          <w:color w:val="auto"/>
        </w:rPr>
        <w:t>. The liability of each Subsidiary Guarantor under this Guaranty shall be irrevocable, absolute, independent and unconditional, and shall not be affected by any circumstance which might constitute a discharge of a surety or guarantor other than the indefeasible payment and performance in full of all Guaranteed Obligations. In furtherance of the foregoing and without limiting the generality thereof, each Subsidiary Guarantor agrees as follows:</w:t>
      </w:r>
    </w:p>
    <w:p>
      <w:pPr>
        <w:spacing w:after="0" w:line="79" w:lineRule="exact"/>
        <w:rPr>
          <w:sz w:val="20"/>
          <w:szCs w:val="20"/>
          <w:color w:val="auto"/>
        </w:rPr>
      </w:pPr>
    </w:p>
    <w:p>
      <w:pPr>
        <w:ind w:right="100" w:firstLine="987"/>
        <w:spacing w:after="0" w:line="342" w:lineRule="auto"/>
        <w:tabs>
          <w:tab w:leader="none" w:pos="123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Such Subsidiary Guarantor’s liability hereunder shall be the immediate, direct, and primary obligation of such Subsidiary Guarantor and shall not be contingent upon any Guaranteed Party’s exercise or enforcement of any remedy it may have against any Borrower or any other Person;</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this Guaranty is a guarantee of payment when due and not merely of collectibility;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such Subsidiary Guarantor’s payment of a portion, but not all, of the Guaranteed Obligations shall in no way limit, affect, modify or abridge such Subsidiary Guarantor’s liability for any portion of the Guaranteed Obligations remaining unsatisfied; and</w:t>
      </w:r>
    </w:p>
    <w:p>
      <w:pPr>
        <w:spacing w:after="0" w:line="62" w:lineRule="exact"/>
        <w:rPr>
          <w:rFonts w:ascii="Arial" w:cs="Arial" w:eastAsia="Arial" w:hAnsi="Arial"/>
          <w:sz w:val="18"/>
          <w:szCs w:val="18"/>
          <w:color w:val="auto"/>
        </w:rPr>
      </w:pPr>
    </w:p>
    <w:p>
      <w:pPr>
        <w:ind w:right="80" w:firstLine="987"/>
        <w:spacing w:after="0" w:line="342" w:lineRule="auto"/>
        <w:tabs>
          <w:tab w:leader="none" w:pos="123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such Subsidiary Guarantor’s liability with respect to the Guaranteed Obligations shall remain in full force and effect without regard to, and shall not be impaired or affected by, nor shall such Subsidiary Guarantor be exonerated or discharged by, any of the following events:</w:t>
      </w:r>
    </w:p>
    <w:p>
      <w:pPr>
        <w:spacing w:after="0" w:line="15" w:lineRule="exact"/>
        <w:rPr>
          <w:rFonts w:ascii="Arial" w:cs="Arial" w:eastAsia="Arial" w:hAnsi="Arial"/>
          <w:sz w:val="16"/>
          <w:szCs w:val="16"/>
          <w:color w:val="auto"/>
        </w:rPr>
      </w:pPr>
    </w:p>
    <w:p>
      <w:pPr>
        <w:ind w:right="300" w:firstLine="1428"/>
        <w:spacing w:after="0" w:line="277" w:lineRule="auto"/>
        <w:tabs>
          <w:tab w:leader="none" w:pos="164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Insolvency Proceeding with respect to any Borrower, such Subsidiary Guarantor, any other Subsidiary Guarantor or other Loan Party or any other Person;</w:t>
      </w:r>
    </w:p>
    <w:p>
      <w:pPr>
        <w:spacing w:after="0" w:line="62" w:lineRule="exact"/>
        <w:rPr>
          <w:rFonts w:ascii="Arial" w:cs="Arial" w:eastAsia="Arial" w:hAnsi="Arial"/>
          <w:sz w:val="18"/>
          <w:szCs w:val="18"/>
          <w:color w:val="auto"/>
        </w:rPr>
      </w:pPr>
    </w:p>
    <w:p>
      <w:pPr>
        <w:ind w:right="440" w:firstLine="1428"/>
        <w:spacing w:after="0" w:line="263" w:lineRule="auto"/>
        <w:tabs>
          <w:tab w:leader="none" w:pos="169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limitation, discharge, or cessation of the liability of any Borrower, such Subsidiary Guarantor, any other Subsidiary Guarantor or other Loan Party or any other Person for any Guaranteed Obligations due to any statute, regulation or rule of law, or any invalidity or unenforceability in whole or in part of any of the Guaranteed Obligations or the Loan Documents;</w:t>
      </w:r>
    </w:p>
    <w:p>
      <w:pPr>
        <w:spacing w:after="0" w:line="75" w:lineRule="exact"/>
        <w:rPr>
          <w:rFonts w:ascii="Arial" w:cs="Arial" w:eastAsia="Arial" w:hAnsi="Arial"/>
          <w:sz w:val="18"/>
          <w:szCs w:val="18"/>
          <w:color w:val="auto"/>
        </w:rPr>
      </w:pPr>
    </w:p>
    <w:p>
      <w:pPr>
        <w:ind w:firstLine="1428"/>
        <w:spacing w:after="0" w:line="259" w:lineRule="auto"/>
        <w:tabs>
          <w:tab w:leader="none" w:pos="174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any merger, acquisition, consolidation or change in structure of any Borrower, such Subsidiary Guarantor or any other Subsidiary Guarantor or other Loan Party or Person, or any sale, lease, transfer or other disposition of any or all of the assets or shares of any Borrower, such Subsidiary Guarantor, any other Subsidiary Guarantor or other Loan Party or other Person (in each case, except as otherwise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hereof);</w:t>
      </w:r>
    </w:p>
    <w:p>
      <w:pPr>
        <w:spacing w:after="0" w:line="78" w:lineRule="exact"/>
        <w:rPr>
          <w:rFonts w:ascii="Arial" w:cs="Arial" w:eastAsia="Arial" w:hAnsi="Arial"/>
          <w:sz w:val="18"/>
          <w:szCs w:val="18"/>
          <w:color w:val="auto"/>
        </w:rPr>
      </w:pPr>
    </w:p>
    <w:p>
      <w:pPr>
        <w:ind w:right="60" w:firstLine="1428"/>
        <w:spacing w:after="0" w:line="277" w:lineRule="auto"/>
        <w:tabs>
          <w:tab w:leader="none" w:pos="173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assignment or other transfer, in whole or in part, of any Guaranteed Party’s interests in and rights under this Guaranty or the other Loan Documents, including any Guaranteed Party’s right to receive payment of the Guaranteed Obligations;</w:t>
      </w:r>
    </w:p>
    <w:p>
      <w:pPr>
        <w:spacing w:after="0" w:line="62" w:lineRule="exact"/>
        <w:rPr>
          <w:rFonts w:ascii="Arial" w:cs="Arial" w:eastAsia="Arial" w:hAnsi="Arial"/>
          <w:sz w:val="18"/>
          <w:szCs w:val="18"/>
          <w:color w:val="auto"/>
        </w:rPr>
      </w:pPr>
    </w:p>
    <w:p>
      <w:pPr>
        <w:ind w:right="40" w:firstLine="1428"/>
        <w:spacing w:after="0" w:line="263" w:lineRule="auto"/>
        <w:tabs>
          <w:tab w:leader="none" w:pos="168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claim, defense, counterclaim or setoff, other than that of prior performance, that any Borrower, such Subsidiary Guarantor, any other Subsidiary Guarantor or other Loan Party or other Person may have or assert, including any defense of incapacity or lack of corporate or other authority to execute any of the Loan Documents;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000"/>
          </w:cols>
          <w:pgMar w:left="440" w:top="274" w:right="459" w:bottom="1440" w:gutter="0" w:footer="0" w:header="0"/>
        </w:sectPr>
      </w:pPr>
    </w:p>
    <w:bookmarkStart w:id="176" w:name="page177"/>
    <w:bookmarkEnd w:id="176"/>
    <w:p>
      <w:pPr>
        <w:ind w:right="160" w:firstLine="1428"/>
        <w:spacing w:after="0" w:line="277" w:lineRule="auto"/>
        <w:tabs>
          <w:tab w:leader="none" w:pos="1737"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Guaranteed Party’s amendment, modification, renewal, extension, cancellation or surrender of any Loan Document or any Guaranteed Obligations;</w:t>
      </w:r>
    </w:p>
    <w:p>
      <w:pPr>
        <w:spacing w:after="0" w:line="62" w:lineRule="exact"/>
        <w:rPr>
          <w:rFonts w:ascii="Arial" w:cs="Arial" w:eastAsia="Arial" w:hAnsi="Arial"/>
          <w:sz w:val="18"/>
          <w:szCs w:val="18"/>
          <w:color w:val="auto"/>
        </w:rPr>
      </w:pPr>
    </w:p>
    <w:p>
      <w:pPr>
        <w:ind w:right="120" w:firstLine="1428"/>
        <w:spacing w:after="0" w:line="277" w:lineRule="auto"/>
        <w:tabs>
          <w:tab w:leader="none" w:pos="1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Guaranteed Party’s compromise, release, settlement or waiver with or of any Borrower, any other Subsidiary Guarantor or other Loan Party or any other Person;</w:t>
      </w:r>
    </w:p>
    <w:p>
      <w:pPr>
        <w:spacing w:after="0" w:line="62" w:lineRule="exact"/>
        <w:rPr>
          <w:rFonts w:ascii="Arial" w:cs="Arial" w:eastAsia="Arial" w:hAnsi="Arial"/>
          <w:sz w:val="18"/>
          <w:szCs w:val="18"/>
          <w:color w:val="auto"/>
        </w:rPr>
      </w:pPr>
    </w:p>
    <w:p>
      <w:pPr>
        <w:ind w:right="120" w:firstLine="1428"/>
        <w:spacing w:after="0" w:line="277" w:lineRule="auto"/>
        <w:tabs>
          <w:tab w:leader="none" w:pos="183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Guaranteed Party’s vote, claim, distribution, election, acceptance, action or inaction in any Insolvency Proceeding related to the Guaranteed Obligations; and</w:t>
      </w:r>
    </w:p>
    <w:p>
      <w:pPr>
        <w:spacing w:after="0" w:line="62" w:lineRule="exact"/>
        <w:rPr>
          <w:rFonts w:ascii="Arial" w:cs="Arial" w:eastAsia="Arial" w:hAnsi="Arial"/>
          <w:sz w:val="18"/>
          <w:szCs w:val="18"/>
          <w:color w:val="auto"/>
        </w:rPr>
      </w:pPr>
    </w:p>
    <w:p>
      <w:pPr>
        <w:ind w:right="140" w:firstLine="1428"/>
        <w:spacing w:after="0" w:line="308" w:lineRule="auto"/>
        <w:tabs>
          <w:tab w:leader="none" w:pos="1737"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any other guaranty, whether by such Subsidiary Guarantor or any other Subsidiary Guarantor or other Person, of all or any part of the Guaranteed Obligations or any other indebtedness, obligations or liabilities of any Borrower to any Guaranteed Party.</w:t>
      </w:r>
    </w:p>
    <w:p>
      <w:pPr>
        <w:spacing w:after="0" w:line="146"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Consents of Subsidiary Guarantors</w:t>
      </w:r>
      <w:r>
        <w:rPr>
          <w:rFonts w:ascii="Arial" w:cs="Arial" w:eastAsia="Arial" w:hAnsi="Arial"/>
          <w:sz w:val="18"/>
          <w:szCs w:val="18"/>
          <w:color w:val="auto"/>
        </w:rPr>
        <w:t>. Each Subsidiary Guarantor hereby unconditionally consents and agrees that, without notice to or further assent from the Subsidiary Guarantor:</w:t>
      </w:r>
    </w:p>
    <w:p>
      <w:pPr>
        <w:spacing w:after="0" w:line="62" w:lineRule="exact"/>
        <w:rPr>
          <w:sz w:val="20"/>
          <w:szCs w:val="20"/>
          <w:color w:val="auto"/>
        </w:rPr>
      </w:pPr>
    </w:p>
    <w:p>
      <w:pPr>
        <w:ind w:firstLine="987"/>
        <w:spacing w:after="0" w:line="342" w:lineRule="auto"/>
        <w:tabs>
          <w:tab w:leader="none" w:pos="1236"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principal amount of the Guaranteed Obligations may be increased or decreased and additional Obligations of the Loan Parties under the Loan Documents may be incurred, by one or more amendments, modifications, renewals or extensions of any Loan Document or otherwise;</w:t>
      </w:r>
    </w:p>
    <w:p>
      <w:pPr>
        <w:spacing w:after="0" w:line="15" w:lineRule="exact"/>
        <w:rPr>
          <w:rFonts w:ascii="Arial" w:cs="Arial" w:eastAsia="Arial" w:hAnsi="Arial"/>
          <w:sz w:val="16"/>
          <w:szCs w:val="16"/>
          <w:color w:val="auto"/>
        </w:rPr>
      </w:pPr>
    </w:p>
    <w:p>
      <w:pPr>
        <w:ind w:right="160" w:firstLine="987"/>
        <w:spacing w:after="0" w:line="263" w:lineRule="auto"/>
        <w:tabs>
          <w:tab w:leader="none" w:pos="124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time, manner, place or terms of any payment under any Loan Document may be extended or changed, including by an increase or decrease in the interest rate on any Guaranteed Obligation or any fee or other amount payable under such Loan Document, by an amendment, modification or renewal of any Loan Document or otherwise;</w:t>
      </w:r>
    </w:p>
    <w:p>
      <w:pPr>
        <w:spacing w:after="0" w:line="75" w:lineRule="exact"/>
        <w:rPr>
          <w:rFonts w:ascii="Arial" w:cs="Arial" w:eastAsia="Arial" w:hAnsi="Arial"/>
          <w:sz w:val="18"/>
          <w:szCs w:val="18"/>
          <w:color w:val="auto"/>
        </w:rPr>
      </w:pPr>
    </w:p>
    <w:p>
      <w:pPr>
        <w:jc w:val="both"/>
        <w:ind w:right="80" w:firstLine="987"/>
        <w:spacing w:after="0" w:line="311" w:lineRule="auto"/>
        <w:tabs>
          <w:tab w:leader="none" w:pos="1236"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time for any Borrower’s (or any other Person’s) performance of or compliance with any term, covenant or agreement on its part to be performed or observed under any Loan Document may be extended, or such performance or compliance waived, or failure in or departure from such performance or compliance consented to, all in such manner and upon such terms as the Guaranteed Parties may deem proper;</w:t>
      </w:r>
    </w:p>
    <w:p>
      <w:pPr>
        <w:spacing w:after="0" w:line="40" w:lineRule="exact"/>
        <w:rPr>
          <w:rFonts w:ascii="Arial" w:cs="Arial" w:eastAsia="Arial" w:hAnsi="Arial"/>
          <w:sz w:val="16"/>
          <w:szCs w:val="16"/>
          <w:color w:val="auto"/>
        </w:rPr>
      </w:pPr>
    </w:p>
    <w:p>
      <w:pPr>
        <w:ind w:right="40" w:firstLine="987"/>
        <w:spacing w:after="0" w:line="259" w:lineRule="auto"/>
        <w:tabs>
          <w:tab w:leader="none" w:pos="124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Guaranteed Party may discharge or release, in whole or in part, any other Subsidiary Guarantor or other Loan Party or any other Person liable for the payment and performance of all or any part of the Guaranteed Obligations, and may permit or consent to any such action or any result of such action, nor shall any Guaranteed Party be liable to such Subsidiary Guarantor for any failure to collect or enforce payment or performance of the Guaranteed Obligations from any Person;</w:t>
      </w:r>
    </w:p>
    <w:p>
      <w:pPr>
        <w:spacing w:after="0" w:line="78" w:lineRule="exact"/>
        <w:rPr>
          <w:rFonts w:ascii="Arial" w:cs="Arial" w:eastAsia="Arial" w:hAnsi="Arial"/>
          <w:sz w:val="18"/>
          <w:szCs w:val="18"/>
          <w:color w:val="auto"/>
        </w:rPr>
      </w:pPr>
    </w:p>
    <w:p>
      <w:pPr>
        <w:ind w:right="100" w:firstLine="987"/>
        <w:spacing w:after="0" w:line="311" w:lineRule="auto"/>
        <w:tabs>
          <w:tab w:leader="none" w:pos="1236"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Guaranteed Parties may request and accept other guaranties of the Guaranteed Obligations and any other indebtedness, obligations or liabilities of any Borrower to any Guaranteed Party and may, from time to time, in whole or in part, surrender, release, subordinate, modify, waive, rescind, compromise or extend any such guaranty and may permit or consent to any such action or the result of any such action; and</w:t>
      </w:r>
    </w:p>
    <w:p>
      <w:pPr>
        <w:spacing w:after="0" w:line="40" w:lineRule="exact"/>
        <w:rPr>
          <w:rFonts w:ascii="Arial" w:cs="Arial" w:eastAsia="Arial" w:hAnsi="Arial"/>
          <w:sz w:val="16"/>
          <w:szCs w:val="16"/>
          <w:color w:val="auto"/>
        </w:rPr>
      </w:pPr>
    </w:p>
    <w:p>
      <w:pPr>
        <w:jc w:val="both"/>
        <w:ind w:right="40" w:firstLine="987"/>
        <w:spacing w:after="0" w:line="279" w:lineRule="auto"/>
        <w:tabs>
          <w:tab w:leader="none" w:pos="1216"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Guaranteed Parties may exercise, or waive or otherwise refrain from exercising, any other right, remedy, power or privilege (including the right to accelerate the maturity of any Loan and any power of sale) granted by any Loan Document or other security document or agreement, or otherwise available to any Guaranteed Party, with respect to the Guaranteed Obligations, even if the exercise of such right, remedy, power or privilege affects or eliminates any right of subrogation or any other right of such Subsidiary Guarantor against the Borrowers;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1000"/>
          </w:cols>
          <w:pgMar w:left="440" w:top="274" w:right="4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as the Guaranteed Parties may deem advisable, and all without impairing, abridging, releasing or affecting this Guaranty.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5. </w:t>
      </w:r>
      <w:r>
        <w:rPr>
          <w:rFonts w:ascii="Arial" w:cs="Arial" w:eastAsia="Arial" w:hAnsi="Arial"/>
          <w:sz w:val="18"/>
          <w:szCs w:val="18"/>
          <w:u w:val="single" w:color="auto"/>
          <w:color w:val="auto"/>
        </w:rPr>
        <w:t>Subsidiary Guarantor Waivers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Certain Waivers</w:t>
      </w:r>
      <w:r>
        <w:rPr>
          <w:rFonts w:ascii="Arial" w:cs="Arial" w:eastAsia="Arial" w:hAnsi="Arial"/>
          <w:sz w:val="18"/>
          <w:szCs w:val="18"/>
          <w:color w:val="auto"/>
        </w:rPr>
        <w:t>. Each Subsidiary Guarantor waives and agrees not to assert:</w:t>
      </w:r>
    </w:p>
    <w:p>
      <w:pPr>
        <w:spacing w:after="0" w:line="117" w:lineRule="exact"/>
        <w:rPr>
          <w:rFonts w:ascii="Arial" w:cs="Arial" w:eastAsia="Arial" w:hAnsi="Arial"/>
          <w:sz w:val="18"/>
          <w:szCs w:val="18"/>
          <w:color w:val="auto"/>
        </w:rPr>
      </w:pPr>
    </w:p>
    <w:p>
      <w:pPr>
        <w:jc w:val="both"/>
        <w:ind w:right="80" w:firstLine="1428"/>
        <w:spacing w:after="0" w:line="286" w:lineRule="auto"/>
        <w:tabs>
          <w:tab w:leader="none" w:pos="1647" w:val="left"/>
        </w:tabs>
        <w:numPr>
          <w:ilvl w:val="1"/>
          <w:numId w:val="208"/>
        </w:numPr>
        <w:rPr>
          <w:rFonts w:ascii="Arial" w:cs="Arial" w:eastAsia="Arial" w:hAnsi="Arial"/>
          <w:sz w:val="17"/>
          <w:szCs w:val="17"/>
          <w:color w:val="auto"/>
        </w:rPr>
      </w:pPr>
      <w:r>
        <w:rPr>
          <w:rFonts w:ascii="Arial" w:cs="Arial" w:eastAsia="Arial" w:hAnsi="Arial"/>
          <w:sz w:val="17"/>
          <w:szCs w:val="17"/>
          <w:color w:val="auto"/>
        </w:rPr>
        <w:t>any right to require any Guaranteed Party to marshal assets in favor of any Borrower, such Subsidiary Guarantor, any other Loan Party or any other Person, or comply with any other provisions of § 9-611 of the New York Uniform Commercial Code (or any equivalent provision of any other applicable law) or to pursue any other right, remedy, power or privilege of any Guaranteed Party whatsoever;</w:t>
      </w:r>
    </w:p>
    <w:p>
      <w:pPr>
        <w:spacing w:after="0" w:line="57" w:lineRule="exact"/>
        <w:rPr>
          <w:rFonts w:ascii="Arial" w:cs="Arial" w:eastAsia="Arial" w:hAnsi="Arial"/>
          <w:sz w:val="17"/>
          <w:szCs w:val="17"/>
          <w:color w:val="auto"/>
        </w:rPr>
      </w:pPr>
    </w:p>
    <w:p>
      <w:pPr>
        <w:ind w:left="1700" w:hanging="272"/>
        <w:spacing w:after="0"/>
        <w:tabs>
          <w:tab w:leader="none" w:pos="170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the defense of the statute of limitations in any action hereunder or for the collection or performance of the Guaranteed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Obligations;</w:t>
      </w:r>
    </w:p>
    <w:p>
      <w:pPr>
        <w:spacing w:after="0" w:line="102" w:lineRule="exact"/>
        <w:rPr>
          <w:rFonts w:ascii="Arial" w:cs="Arial" w:eastAsia="Arial" w:hAnsi="Arial"/>
          <w:sz w:val="17"/>
          <w:szCs w:val="17"/>
          <w:color w:val="auto"/>
        </w:rPr>
      </w:pPr>
    </w:p>
    <w:p>
      <w:pPr>
        <w:ind w:left="1740" w:hanging="312"/>
        <w:spacing w:after="0"/>
        <w:tabs>
          <w:tab w:leader="none" w:pos="174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any defense arising by reason of any lack of corporate or other authority or any other defense of the Borrowers or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02" w:lineRule="exact"/>
        <w:rPr>
          <w:rFonts w:ascii="Arial" w:cs="Arial" w:eastAsia="Arial" w:hAnsi="Arial"/>
          <w:sz w:val="16"/>
          <w:szCs w:val="16"/>
          <w:color w:val="auto"/>
        </w:rPr>
      </w:pPr>
    </w:p>
    <w:p>
      <w:pPr>
        <w:ind w:left="1740" w:hanging="312"/>
        <w:spacing w:after="0"/>
        <w:tabs>
          <w:tab w:leader="none" w:pos="174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any defense based upon any Guaranteed Party’s errors or omissions in the administration of the Guaranteed Obligations;</w:t>
      </w:r>
    </w:p>
    <w:p>
      <w:pPr>
        <w:spacing w:after="0" w:line="128" w:lineRule="exact"/>
        <w:rPr>
          <w:rFonts w:ascii="Arial" w:cs="Arial" w:eastAsia="Arial" w:hAnsi="Arial"/>
          <w:sz w:val="17"/>
          <w:szCs w:val="17"/>
          <w:color w:val="auto"/>
        </w:rPr>
      </w:pPr>
    </w:p>
    <w:p>
      <w:pPr>
        <w:ind w:left="1680" w:hanging="252"/>
        <w:spacing w:after="0"/>
        <w:tabs>
          <w:tab w:leader="none" w:pos="16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rights to set-offs and counterclaims;</w:t>
      </w:r>
    </w:p>
    <w:p>
      <w:pPr>
        <w:spacing w:after="0" w:line="117" w:lineRule="exact"/>
        <w:rPr>
          <w:rFonts w:ascii="Arial" w:cs="Arial" w:eastAsia="Arial" w:hAnsi="Arial"/>
          <w:sz w:val="18"/>
          <w:szCs w:val="18"/>
          <w:color w:val="auto"/>
        </w:rPr>
      </w:pPr>
    </w:p>
    <w:p>
      <w:pPr>
        <w:ind w:firstLine="1428"/>
        <w:spacing w:after="0" w:line="263" w:lineRule="auto"/>
        <w:tabs>
          <w:tab w:leader="none" w:pos="173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defense based upon an election of remedies (including, if available, an election to proceed by nonjudicial foreclosure) which destroys or impairs the subrogation rights of such Subsidiary Guarantor or the right of such Subsidiary Guarantor to proceed against any Borrower or any other obligor of the Guaranteed Obligations for reimbursement; and</w:t>
      </w:r>
    </w:p>
    <w:p>
      <w:pPr>
        <w:spacing w:after="0" w:line="75" w:lineRule="exact"/>
        <w:rPr>
          <w:rFonts w:ascii="Arial" w:cs="Arial" w:eastAsia="Arial" w:hAnsi="Arial"/>
          <w:sz w:val="18"/>
          <w:szCs w:val="18"/>
          <w:color w:val="auto"/>
        </w:rPr>
      </w:pPr>
    </w:p>
    <w:p>
      <w:pPr>
        <w:ind w:right="300" w:firstLine="1428"/>
        <w:spacing w:after="0" w:line="263" w:lineRule="auto"/>
        <w:tabs>
          <w:tab w:leader="none" w:pos="178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to the fullest extent permitted by law, any defenses or benefits that may be derived from or afforded by applicable law limiting the liability of or exonerating guarantors or sureties, or which may conflict with the terms of this Guaranty, other than the defense of payment and performance in full.</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Additional Waivers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1428"/>
        <w:spacing w:after="0" w:line="273" w:lineRule="auto"/>
        <w:tabs>
          <w:tab w:leader="none" w:pos="1647" w:val="left"/>
        </w:tabs>
        <w:numPr>
          <w:ilvl w:val="1"/>
          <w:numId w:val="208"/>
        </w:numPr>
        <w:rPr>
          <w:rFonts w:ascii="Arial" w:cs="Arial" w:eastAsia="Arial" w:hAnsi="Arial"/>
          <w:sz w:val="17"/>
          <w:szCs w:val="17"/>
          <w:color w:val="auto"/>
        </w:rPr>
      </w:pPr>
      <w:r>
        <w:rPr>
          <w:rFonts w:ascii="Arial" w:cs="Arial" w:eastAsia="Arial" w:hAnsi="Arial"/>
          <w:sz w:val="17"/>
          <w:szCs w:val="17"/>
          <w:color w:val="auto"/>
        </w:rPr>
        <w:t>Each Subsidiary Guarantor waives any and all notice of the acceptance of this Guaranty, and any and all notice of the creation, renewal, modification, extension or accrual of the Guaranteed Obligations, or the reliance by the Guaranteed Parties upon this Guaranty, or the exercise of any right, power or privilege hereunder. The Guaranteed Obligations shall conclusively be deemed to have been created, contracted, incurred and permitted to exist in reliance upon this Guaranty. Each Subsidiary Guarantor waives promptness, diligence, presentment, protest, demand for payment, notice of default, dishonor or nonpayment and all other notices to or upon the Borrowers, such Subsidiary Guarantor or any other Subsidiary Guarantor or other Person with respect to the Guaranteed Obligations.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G-5</w:t>
      </w:r>
    </w:p>
    <w:p>
      <w:pPr>
        <w:sectPr>
          <w:pgSz w:w="11900" w:h="16838" w:orient="portrait"/>
          <w:cols w:equalWidth="0" w:num="1">
            <w:col w:w="11000"/>
          </w:cols>
          <w:pgMar w:left="440" w:top="274" w:right="459" w:bottom="1440" w:gutter="0" w:footer="0" w:header="0"/>
        </w:sectPr>
      </w:pPr>
    </w:p>
    <w:bookmarkStart w:id="178" w:name="page179"/>
    <w:bookmarkEnd w:id="178"/>
    <w:p>
      <w:pPr>
        <w:ind w:left="4" w:firstLine="1428"/>
        <w:spacing w:after="0" w:line="269" w:lineRule="auto"/>
        <w:tabs>
          <w:tab w:leader="none" w:pos="1701" w:val="left"/>
        </w:tabs>
        <w:numPr>
          <w:ilvl w:val="2"/>
          <w:numId w:val="2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Until the Guaranteed Obligations have been paid in full in cash, each Subsidiary Guarantor waives (A) any defenses such Subsidiary Guarantor may have to the Guaranty by reason of an election of remedies by the Guaranteed Parties, (B) any rights or defenses such Subsidiary Guarantor may have by reason of protection afforded to any Borrower or any other Loan Party pursuant to the anti-deficiency or other laws of the State of New York or other applicable law (to the extent waivable under such applicable law) limiting or discharging the Borrowers’ or such other Loan Party’s indebtedness, (C) any defenses arising by reason of any disability or other defense of the Borrowers or any other guarantor, or the cessation from any cause whatsoever (including any act or omission of any Guaranteed Party) of the liability of any Borrower, (D) any defenses based on any claim that such Subsidiary Guarantor’s obligations exceed or are more burdensome than those of the Borrowers, (E) any right to compel any Guaranteed Party to proceed against or exhaust any security for the Guaranteed Obligations (or to proceed against such security in a particular order) or to pursue any other remedy in such Guaranteed Party’s power whatsoever, and (F) any benefit of and any right to participate in any security now or hereafter held by the Guaranteed Parties.</w:t>
      </w:r>
    </w:p>
    <w:p>
      <w:pPr>
        <w:spacing w:after="0" w:line="77" w:lineRule="exact"/>
        <w:rPr>
          <w:rFonts w:ascii="Arial" w:cs="Arial" w:eastAsia="Arial" w:hAnsi="Arial"/>
          <w:sz w:val="17"/>
          <w:szCs w:val="17"/>
          <w:color w:val="auto"/>
        </w:rPr>
      </w:pPr>
    </w:p>
    <w:p>
      <w:pPr>
        <w:ind w:left="4" w:right="200" w:firstLine="1428"/>
        <w:spacing w:after="0" w:line="263" w:lineRule="auto"/>
        <w:tabs>
          <w:tab w:leader="none" w:pos="1751" w:val="left"/>
        </w:tabs>
        <w:numPr>
          <w:ilvl w:val="2"/>
          <w:numId w:val="209"/>
        </w:numPr>
        <w:rPr>
          <w:rFonts w:ascii="Arial" w:cs="Arial" w:eastAsia="Arial" w:hAnsi="Arial"/>
          <w:sz w:val="18"/>
          <w:szCs w:val="18"/>
          <w:color w:val="auto"/>
        </w:rPr>
      </w:pPr>
      <w:r>
        <w:rPr>
          <w:rFonts w:ascii="Arial" w:cs="Arial" w:eastAsia="Arial" w:hAnsi="Arial"/>
          <w:sz w:val="18"/>
          <w:szCs w:val="18"/>
          <w:color w:val="auto"/>
        </w:rPr>
        <w:t>Each Subsidiary Guarantor warrants and agrees that each of the waivers set forth herein is made with full knowledge of its significance and consequences and that if any such waivers are determined to be contrary to any applicable law or public policy, such waivers shall be effective only to the maximum extent permitted by applicable law.</w:t>
      </w:r>
    </w:p>
    <w:p>
      <w:pPr>
        <w:spacing w:after="0" w:line="75" w:lineRule="exact"/>
        <w:rPr>
          <w:rFonts w:ascii="Arial" w:cs="Arial" w:eastAsia="Arial" w:hAnsi="Arial"/>
          <w:sz w:val="18"/>
          <w:szCs w:val="18"/>
          <w:color w:val="auto"/>
        </w:rPr>
      </w:pPr>
    </w:p>
    <w:p>
      <w:pPr>
        <w:ind w:left="4" w:right="100" w:firstLine="987"/>
        <w:spacing w:after="0" w:line="296" w:lineRule="auto"/>
        <w:tabs>
          <w:tab w:leader="none" w:pos="1240" w:val="left"/>
        </w:tabs>
        <w:numPr>
          <w:ilvl w:val="1"/>
          <w:numId w:val="210"/>
        </w:numPr>
        <w:rPr>
          <w:rFonts w:ascii="Arial" w:cs="Arial" w:eastAsia="Arial" w:hAnsi="Arial"/>
          <w:sz w:val="16"/>
          <w:szCs w:val="16"/>
          <w:color w:val="auto"/>
        </w:rPr>
      </w:pPr>
      <w:r>
        <w:rPr>
          <w:rFonts w:ascii="Arial" w:cs="Arial" w:eastAsia="Arial" w:hAnsi="Arial"/>
          <w:sz w:val="16"/>
          <w:szCs w:val="16"/>
          <w:u w:val="single" w:color="auto"/>
          <w:color w:val="auto"/>
        </w:rPr>
        <w:t>Independent Obligations</w:t>
      </w:r>
      <w:r>
        <w:rPr>
          <w:rFonts w:ascii="Arial" w:cs="Arial" w:eastAsia="Arial" w:hAnsi="Arial"/>
          <w:sz w:val="16"/>
          <w:szCs w:val="16"/>
          <w:color w:val="auto"/>
        </w:rPr>
        <w:t>. The obligations of each Subsidiary Guarantor hereunder are those of primary obligor, and not merely as surety, and are independent of and separate from the obligations of any other Subsidiary Guarantor or other Subsidiary Guarantor of the Guaranteed Obligations, the Borrowers and any other Loan Party and upon the occurrence and during the continuance of any Event of Default, a separate action or actions may be brought against each Subsidiary Guarantor, whether or not the Borrowers or any such other Subsidiary Guarantor or other Loan Party is joined therein or a separate action or actions are brought against any Borrower or any such other Subsidiary Guarantor or other Loan Party.</w:t>
      </w:r>
    </w:p>
    <w:p>
      <w:pPr>
        <w:spacing w:after="0" w:line="53" w:lineRule="exact"/>
        <w:rPr>
          <w:rFonts w:ascii="Arial" w:cs="Arial" w:eastAsia="Arial" w:hAnsi="Arial"/>
          <w:sz w:val="16"/>
          <w:szCs w:val="16"/>
          <w:color w:val="auto"/>
        </w:rPr>
      </w:pPr>
    </w:p>
    <w:p>
      <w:pPr>
        <w:ind w:left="4" w:right="60" w:firstLine="987"/>
        <w:spacing w:after="0" w:line="287" w:lineRule="auto"/>
        <w:tabs>
          <w:tab w:leader="none" w:pos="1250" w:val="left"/>
        </w:tabs>
        <w:numPr>
          <w:ilvl w:val="1"/>
          <w:numId w:val="210"/>
        </w:numPr>
        <w:rPr>
          <w:rFonts w:ascii="Arial" w:cs="Arial" w:eastAsia="Arial" w:hAnsi="Arial"/>
          <w:sz w:val="16"/>
          <w:szCs w:val="16"/>
          <w:color w:val="auto"/>
        </w:rPr>
      </w:pPr>
      <w:r>
        <w:rPr>
          <w:rFonts w:ascii="Arial" w:cs="Arial" w:eastAsia="Arial" w:hAnsi="Arial"/>
          <w:sz w:val="16"/>
          <w:szCs w:val="16"/>
          <w:u w:val="single" w:color="auto"/>
          <w:color w:val="auto"/>
        </w:rPr>
        <w:t>Financial Condition of Borrowers</w:t>
      </w:r>
      <w:r>
        <w:rPr>
          <w:rFonts w:ascii="Arial" w:cs="Arial" w:eastAsia="Arial" w:hAnsi="Arial"/>
          <w:sz w:val="16"/>
          <w:szCs w:val="16"/>
          <w:color w:val="auto"/>
        </w:rPr>
        <w:t>. No Subsidiary Guarantor shall have any right to require any Guaranteed Party to obtain or disclose any information with respect to: (i) the financial condition or character of the Borrowers or the ability of the Borrowers to pay and perform the Obligations; (ii) the Guaranteed Obligations; (iii) the existence or nonexistence of any other guarantees of all or any part of the Guaranteed Obligations;</w:t>
      </w:r>
    </w:p>
    <w:p>
      <w:pPr>
        <w:spacing w:after="0" w:line="2" w:lineRule="exact"/>
        <w:rPr>
          <w:rFonts w:ascii="Arial" w:cs="Arial" w:eastAsia="Arial" w:hAnsi="Arial"/>
          <w:sz w:val="16"/>
          <w:szCs w:val="16"/>
          <w:color w:val="auto"/>
        </w:rPr>
      </w:pPr>
    </w:p>
    <w:p>
      <w:pPr>
        <w:ind w:left="304" w:hanging="304"/>
        <w:spacing w:after="0"/>
        <w:tabs>
          <w:tab w:leader="none" w:pos="30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action or inaction on the part of any Guaranteed Party or any other Person; or (v) any other matter, fact or occurrence whatsoever.</w:t>
      </w:r>
    </w:p>
    <w:p>
      <w:pPr>
        <w:spacing w:after="0" w:line="211" w:lineRule="exact"/>
        <w:rPr>
          <w:sz w:val="20"/>
          <w:szCs w:val="20"/>
          <w:color w:val="auto"/>
        </w:rPr>
      </w:pPr>
    </w:p>
    <w:p>
      <w:pPr>
        <w:ind w:left="4" w:right="20" w:firstLine="991"/>
        <w:spacing w:after="0" w:line="287"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Subrogation</w:t>
      </w:r>
      <w:r>
        <w:rPr>
          <w:rFonts w:ascii="Arial" w:cs="Arial" w:eastAsia="Arial" w:hAnsi="Arial"/>
          <w:sz w:val="16"/>
          <w:szCs w:val="16"/>
          <w:color w:val="auto"/>
        </w:rPr>
        <w:t xml:space="preserve">. Until the Guaranteed Obligations (other than contingent indemnification, tax gross up or expense reimbursement obligations) shall be satisfied in full and the Commitments shall be terminated, no Subsidiary Guarantor shall have, and no Subsidiary Guarantor shall directly or indirectly exercise, (a) any rights that it may acquire by way of subrogation under this Guaranty, by any payment hereunder or otherwise, (b) any rights of contribution, indemnification, reimbursement or similar suretyship claims arising out of this Guaranty, or (c) any other right which it might otherwise have or acquire (in any way whatsoever) which could entitle it at any time to share or participate in any right, remedy or security of any Guaranteed Party as against the Borrowers or any other Subsidiary Guarantor or other Loan Party, whether in connection with this Guaranty, any of the other Loan Documents or otherwise. If any amount shall be paid to any Subsidiary Guarantor on account of the foregoing rights at any time when all the Guaranteed Obligations (other than contingent indemnification, tax gross up or expense reimbursement obligations) shall not have been paid in full, such amount shall be held in trust for the benefit of the Guaranteed Parties and shall forthwith be paid to the Administrative Agent to be credited and applied to the Guaranteed Obligations, whether matured or unmatured, in accordance with the terms of the Loan Documents. Upon the indefeasible payment in full of the Guaranteed Obligations and the termination of all Commitments, each Subsidiary Guarantor shall be subrogated to the rights of the Guaranteed Parties against the Borrowers to the extent otherwise permitted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such subrogation shall not (i)</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G-6</w:t>
      </w:r>
    </w:p>
    <w:p>
      <w:pPr>
        <w:sectPr>
          <w:pgSz w:w="11900" w:h="16838" w:orient="portrait"/>
          <w:cols w:equalWidth="0" w:num="1">
            <w:col w:w="11004"/>
          </w:cols>
          <w:pgMar w:left="436" w:top="274" w:right="459" w:bottom="1440" w:gutter="0" w:footer="0" w:header="0"/>
        </w:sectPr>
      </w:pPr>
    </w:p>
    <w:bookmarkStart w:id="179" w:name="page180"/>
    <w:bookmarkEnd w:id="179"/>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constitute a representation or warranty, express or implied, by any Guaranteed Party as to the enforceability or collectibility of any obligations of the Borrowers under the Loan Documents or as to the perfection, priority or enforceability of any lien or security interest contained in or relating to any Loan Document; (ii) grant to such Subsidiary Guarantor any right of recourse against any Guaranteed Party in respect thereof; (iii) give rise to any duty on the part of any Guaranteed Party to cooperate with such Subsidiary Guarantor in the protection, preservation or enforcement of any rights such Subsidiary Guarantor may have against any Borrower or any other Loan Party; (iv) impair any Guaranteed Party’s unfettered discretion to settle or otherwise compromise any claims such Guaranteed Party may have against any Borrower or otherwise impair or affect any of the waivers or consents contained herein; or (v) restrict any Guaranteed Party from enforcing or forbearing from enforcing any of its rights or remedies against any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each Subsidiary Guarantor shall, upon demand, indemnify each Guaranteed Party against any and all costs and expenses arising directly or indirectly in connection with such right of subrogation.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Continuing Guaranty; Reinstatement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93" w:lineRule="auto"/>
        <w:tabs>
          <w:tab w:leader="none" w:pos="1236"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This Guaranty is a continuing guarantee relating to any Guaranteed Obligations, including Guaranteed Obligations which may exist continuously or which may arise from time to time in connection with successive transactions consummated under the Credit Agreement and the other Loan Documents, and each Subsidiary Guarantor expressly acknowledges that this Guaranty shall remain in full force and effect notwithstanding that there may be periods in which no Guaranteed Obligations exist. This Guaranty shall, subject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hereof, continue in effect and be binding upon each Subsidiary Guarantor until termination of the Commitments and payment and performance in full of the Guaranteed Obligations, except as to any Subsidiary Guarantor that has been released from its Guaranty pursuant to Section 10.22(b) of the Credit Agreement.</w:t>
      </w:r>
    </w:p>
    <w:p>
      <w:pPr>
        <w:spacing w:after="0" w:line="56" w:lineRule="exact"/>
        <w:rPr>
          <w:rFonts w:ascii="Arial" w:cs="Arial" w:eastAsia="Arial" w:hAnsi="Arial"/>
          <w:sz w:val="16"/>
          <w:szCs w:val="16"/>
          <w:color w:val="auto"/>
        </w:rPr>
      </w:pPr>
    </w:p>
    <w:p>
      <w:pPr>
        <w:ind w:right="220" w:firstLine="987"/>
        <w:spacing w:after="0" w:line="272" w:lineRule="auto"/>
        <w:tabs>
          <w:tab w:leader="none" w:pos="1246"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This Guaranty shall continue to be effective or shall be reinstated and revived, as the case may be, if, for any reason, any payment of the Guaranteed Obligations by or on behalf of any of the Borrowers shall be rescinded, invalidated, declared to be fraudulent or preferential, set aside, voided or otherwise required to be repaid to such Borrower, its estate, trustee, receiver or any other Person (including under the Bankruptcy Code or other state or federal law), or must otherwise be restored by the Administrative Agent or any Lender, whether as a result of Insolvency Proceedings or otherwise. To the extent any payment is so rescinded, set aside, voided or otherwise repaid or restored, the Guaranteed Obligations shall be revived in full force and effect without reduction or discharge for such payment, except as to any Subsidiary Guarantor that has been released from its Guaranty pursuant to </w:t>
      </w:r>
      <w:r>
        <w:rPr>
          <w:rFonts w:ascii="Arial" w:cs="Arial" w:eastAsia="Arial" w:hAnsi="Arial"/>
          <w:sz w:val="17"/>
          <w:szCs w:val="17"/>
          <w:u w:val="single" w:color="auto"/>
          <w:color w:val="auto"/>
        </w:rPr>
        <w:t>Section 10.22(b)</w:t>
      </w:r>
      <w:r>
        <w:rPr>
          <w:rFonts w:ascii="Arial" w:cs="Arial" w:eastAsia="Arial" w:hAnsi="Arial"/>
          <w:sz w:val="17"/>
          <w:szCs w:val="17"/>
          <w:color w:val="auto"/>
        </w:rPr>
        <w:t xml:space="preserve"> of the Credit Agreement.</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69" w:lineRule="auto"/>
        <w:tabs>
          <w:tab w:leader="none" w:pos="1236" w:val="left"/>
        </w:tabs>
        <w:numPr>
          <w:ilvl w:val="0"/>
          <w:numId w:val="213"/>
        </w:numPr>
        <w:rPr>
          <w:rFonts w:ascii="Arial" w:cs="Arial" w:eastAsia="Arial" w:hAnsi="Arial"/>
          <w:sz w:val="17"/>
          <w:szCs w:val="17"/>
          <w:color w:val="auto"/>
        </w:rPr>
      </w:pPr>
      <w:r>
        <w:rPr>
          <w:rFonts w:ascii="Arial" w:cs="Arial" w:eastAsia="Arial" w:hAnsi="Arial"/>
          <w:sz w:val="17"/>
          <w:szCs w:val="17"/>
          <w:color w:val="auto"/>
        </w:rPr>
        <w:t>Each Subsidiary Guarantor hereby agrees, in furtherance of the foregoing provisions of this Guaranty and not in limitation of any other right which any Guaranteed Party or any other Person may have against such Subsidiary Guarantor by virtue hereof, upon the failure of any Borrower to pay any of the Guaranteed Obligations when and as the same shall become due, whether at stated maturity, by required prepayment, declaration, acceleration, demand or otherwise (including amounts that would become due but for the operation of the automatic stay under § 362(a) of the Bankruptcy Code or comparable provision of other applicable Debtor Relief Law), such Subsidiary Guarantor shall forthwith pay, or cause to be paid, in cash, to the Administrative Agent an amount equal to the amount of the Guaranteed Obligations then due as aforesaid (including interest which, but for the filing of a petition in any Insolvency Proceeding with respect to any Borrower, would have accrued on such Guaranteed Obligations, whether or not a claim is allowed against the Borrower for such interest in any such Insolvency Proceeding). Each Subsidiary Guarantor shall make each payment hereunder, unconditionally in full without set-off, counterclaim or other defense, on the day when due in the currency in which such Guaranteed Obligations are denominated in Same Day Funds, to the Administrative Agent at such office of the Administrative Agent and to such account as is specified in the Credit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G-7</w:t>
      </w:r>
    </w:p>
    <w:p>
      <w:pPr>
        <w:sectPr>
          <w:pgSz w:w="11900" w:h="16838" w:orient="portrait"/>
          <w:cols w:equalWidth="0" w:num="1">
            <w:col w:w="11020"/>
          </w:cols>
          <w:pgMar w:left="440" w:top="274" w:right="439" w:bottom="1440" w:gutter="0" w:footer="0" w:header="0"/>
        </w:sectPr>
      </w:pPr>
    </w:p>
    <w:bookmarkStart w:id="180" w:name="page181"/>
    <w:bookmarkEnd w:id="180"/>
    <w:p>
      <w:pPr>
        <w:ind w:left="-40" w:firstLine="987"/>
        <w:spacing w:after="0" w:line="288" w:lineRule="auto"/>
        <w:tabs>
          <w:tab w:leader="none" w:pos="1206" w:val="left"/>
        </w:tabs>
        <w:numPr>
          <w:ilvl w:val="0"/>
          <w:numId w:val="2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and all payments by or on account of any obligation of any Subsidiary Guarantor hereunder shall be made without deduction or withholding for any Taxes, except as required by applicable law. If any applicable law requires the deduction or withholding of any Tax from any such payment, then the applicable Subsidiary Guarantor and, if applicable, the Administrative Agent shall be entitled to make such deduction or withholding and shall timely pay the full amount deducted or withheld to the relevant Governmental Authority in accordance with applicable law and, if such Tax is an Indemnified Tax, then the sum payable by the applicable Subsidiary Guarantor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Upon request by the Administrative Agent, after any payment of Taxes by any Subsidiary Guarantor to a Governmental Authority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such Subsidiary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60" w:lineRule="exact"/>
        <w:rPr>
          <w:rFonts w:ascii="Arial" w:cs="Arial" w:eastAsia="Arial" w:hAnsi="Arial"/>
          <w:sz w:val="16"/>
          <w:szCs w:val="16"/>
          <w:color w:val="auto"/>
        </w:rPr>
      </w:pPr>
    </w:p>
    <w:p>
      <w:pPr>
        <w:ind w:left="-40" w:right="60" w:firstLine="987"/>
        <w:spacing w:after="0" w:line="259" w:lineRule="auto"/>
        <w:tabs>
          <w:tab w:leader="none" w:pos="119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 addition, each Subsidiary Guarantor agrees to pay any and all present or future stamp, court or documentary taxes and any other excise or property taxes or charges or similar levies which arise from any payment made by such Subsidiary Guarantor in its capacity as such under the Guarantor Documents or from the execution, delivery, performance, enforcement or registration of, or otherwise with respect to, the Guarantor Documents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0" w:right="240" w:firstLine="987"/>
        <w:spacing w:after="0" w:line="277" w:lineRule="auto"/>
        <w:tabs>
          <w:tab w:leader="none" w:pos="120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above, each Subsidiary Guarantor shall timely pay any Other Taxes to the relevant Governmental Authority in accordance with applicable law.</w:t>
      </w:r>
    </w:p>
    <w:p>
      <w:pPr>
        <w:spacing w:after="0" w:line="62" w:lineRule="exact"/>
        <w:rPr>
          <w:rFonts w:ascii="Arial" w:cs="Arial" w:eastAsia="Arial" w:hAnsi="Arial"/>
          <w:sz w:val="18"/>
          <w:szCs w:val="18"/>
          <w:color w:val="auto"/>
        </w:rPr>
      </w:pPr>
    </w:p>
    <w:p>
      <w:pPr>
        <w:ind w:left="-40" w:right="20" w:firstLine="987"/>
        <w:spacing w:after="0" w:line="273" w:lineRule="auto"/>
        <w:tabs>
          <w:tab w:leader="none" w:pos="119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Subsidiary Guarantors shall indemnify each Recipient, within 10 days after demand therefor, for the full amount of any Indemnified Taxes and Other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69" w:lineRule="exact"/>
        <w:rPr>
          <w:rFonts w:ascii="Arial" w:cs="Arial" w:eastAsia="Arial" w:hAnsi="Arial"/>
          <w:sz w:val="17"/>
          <w:szCs w:val="17"/>
          <w:color w:val="auto"/>
        </w:rPr>
      </w:pPr>
    </w:p>
    <w:p>
      <w:pPr>
        <w:ind w:left="-40" w:right="80" w:firstLine="987"/>
        <w:spacing w:after="0" w:line="277" w:lineRule="auto"/>
        <w:tabs>
          <w:tab w:leader="none" w:pos="117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Any payment by any Subsidiary Guarantor hereunder the application of which is not otherwise provided for herein, shall be applied in the order specified in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of the Credit Agreement.</w:t>
      </w:r>
    </w:p>
    <w:p>
      <w:pPr>
        <w:spacing w:after="0" w:line="62" w:lineRule="exact"/>
        <w:rPr>
          <w:rFonts w:ascii="Arial" w:cs="Arial" w:eastAsia="Arial" w:hAnsi="Arial"/>
          <w:sz w:val="18"/>
          <w:szCs w:val="18"/>
          <w:color w:val="auto"/>
        </w:rPr>
      </w:pPr>
    </w:p>
    <w:p>
      <w:pPr>
        <w:ind w:left="-40" w:right="60" w:firstLine="987"/>
        <w:spacing w:after="0" w:line="273" w:lineRule="auto"/>
        <w:tabs>
          <w:tab w:leader="none" w:pos="120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If any Recipient determines, in its sole discretion exercised in good faith, that it has received a refund of any Taxes as to which it has been indemnified by any Subsidiary Guarantor or with respect to which any Subsidiary Guarantor has paid additional amounts pursuant to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it shall pay to such Subsidiary Guarantor an amount equal to such refund (but only to the extent of indemnity payments made, or additional amounts paid, by such Subsidiary Guarantor under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such Subsidiary Guarantor, upon the request of the Recipient,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G-8</w:t>
      </w:r>
    </w:p>
    <w:p>
      <w:pPr>
        <w:sectPr>
          <w:pgSz w:w="11900" w:h="16838" w:orient="portrait"/>
          <w:cols w:equalWidth="0" w:num="1">
            <w:col w:w="10920"/>
          </w:cols>
          <w:pgMar w:left="480" w:top="274" w:right="499" w:bottom="1440" w:gutter="0" w:footer="0" w:header="0"/>
        </w:sectPr>
      </w:pPr>
    </w:p>
    <w:bookmarkStart w:id="181" w:name="page182"/>
    <w:bookmarkEnd w:id="18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agrees to repay the amount paid over to such Subsidiary Guarantor (plus any penalties, interest or other charges imposed by the relevant Governmental Authority, other than any penalties, interest, or other charges attributable to the gross negligence or willful misconduct on the part of the Recipient as determined by a court of competent jurisdiction by final and nonappealable judgment) to the Recipient in the event the Recipient is required to repay such refund to such Governmental Authority. Notwithstanding anything to the contrary in this subsection, in no event will the applicable Recipient be required to pay any amount to a Subsidiary Guarantor pursuant to this subsection the payment of which would place the Recipient in a less favorable net after- 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Subsidiary Guarantor or any other Person.</w:t>
      </w:r>
    </w:p>
    <w:p>
      <w:pPr>
        <w:spacing w:after="0" w:line="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(h) The agreements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survive the payment of all Guaranteed Obligations.</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 The Subsidiary Guarantors agree among themselves that, in connection with payments made hereunder, each Subsidiary Guarantor shall have contribution rights against any other Subsidiary Guarantors party hereto as permitted under applicable Law.</w:t>
      </w:r>
    </w:p>
    <w:p>
      <w:pPr>
        <w:spacing w:after="0" w:line="184"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In order to induce the Lenders to continue to make Loans to and issue Letters of Credit for the account of the Borrowers pursuant to the Credit Agreement, each Subsidiary Guarantor represents and warrants to each Guaranteed Party that:</w:t>
      </w:r>
    </w:p>
    <w:p>
      <w:pPr>
        <w:spacing w:after="0" w:line="16" w:lineRule="exact"/>
        <w:rPr>
          <w:sz w:val="20"/>
          <w:szCs w:val="20"/>
          <w:color w:val="auto"/>
        </w:rPr>
      </w:pPr>
    </w:p>
    <w:p>
      <w:pPr>
        <w:ind w:firstLine="987"/>
        <w:spacing w:after="0" w:line="263" w:lineRule="auto"/>
        <w:tabs>
          <w:tab w:leader="none" w:pos="1236"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Such Subsidiary Guarantor has received at least “reasonably equivalent value” (as such phrase is used in § 548 of the Bankruptcy Code), and at least “fair consideration” (as such term is used in § 272 of the New York Uniform Fraudulent Conveyance Act) and more than sufficient consideration to support its obligations hereunder in respect of the Guaranteed Obligations.</w:t>
      </w:r>
    </w:p>
    <w:p>
      <w:pPr>
        <w:spacing w:after="0" w:line="75" w:lineRule="exact"/>
        <w:rPr>
          <w:rFonts w:ascii="Arial" w:cs="Arial" w:eastAsia="Arial" w:hAnsi="Arial"/>
          <w:sz w:val="18"/>
          <w:szCs w:val="18"/>
          <w:color w:val="auto"/>
        </w:rPr>
      </w:pPr>
    </w:p>
    <w:p>
      <w:pPr>
        <w:ind w:right="140" w:firstLine="987"/>
        <w:spacing w:after="0" w:line="277" w:lineRule="auto"/>
        <w:tabs>
          <w:tab w:leader="none" w:pos="1246"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Credit Agreement Representations</w:t>
      </w:r>
      <w:r>
        <w:rPr>
          <w:rFonts w:ascii="Arial" w:cs="Arial" w:eastAsia="Arial" w:hAnsi="Arial"/>
          <w:sz w:val="18"/>
          <w:szCs w:val="18"/>
          <w:color w:val="auto"/>
        </w:rPr>
        <w:t>. Each representation and warranty made by the Borrowers in the Credit Agreement in reference to any Subsidiary Guarantor or “Loan Party” is true and correct as to such Subsidiary Guarantor.</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Credit Agreement Covenants</w:t>
      </w:r>
      <w:r>
        <w:rPr>
          <w:rFonts w:ascii="Arial" w:cs="Arial" w:eastAsia="Arial" w:hAnsi="Arial"/>
          <w:sz w:val="18"/>
          <w:szCs w:val="18"/>
          <w:color w:val="auto"/>
        </w:rPr>
        <w:t xml:space="preserve">. Each Subsidiary Guarantor shall observe, perform and comply with all covenants applicable to such Subsidiary Guarantor or “Loan Party” set forth in </w:t>
      </w:r>
      <w:r>
        <w:rPr>
          <w:rFonts w:ascii="Arial" w:cs="Arial" w:eastAsia="Arial" w:hAnsi="Arial"/>
          <w:sz w:val="18"/>
          <w:szCs w:val="18"/>
          <w:u w:val="single" w:color="auto"/>
          <w:color w:val="auto"/>
        </w:rPr>
        <w:t>Articles 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of the Credit Agreement, which by their terms any Borrower is required to cause such Subsidiary Guarantor to observe, perform and comply with (or which by the terms of such Articles are to be complied with by such Subsidiary Guarantor), as if such covenants were set forth in full herein.</w:t>
      </w:r>
    </w:p>
    <w:p>
      <w:pPr>
        <w:spacing w:after="0" w:line="187"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Unless otherwise expressly provided herein, all notices and other communications with a Subsidiary Guarantor provided for hereunder shall be delivered to such Subsidiary Guarantor’s attention at the address of the Company as set forth in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of the Credit Agreement and the terms of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of the Credit Agreement with respect to notices are incorporated herein by reference,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mutandis</w:t>
      </w:r>
      <w:r>
        <w:rPr>
          <w:rFonts w:ascii="Arial" w:cs="Arial" w:eastAsia="Arial" w:hAnsi="Arial"/>
          <w:sz w:val="16"/>
          <w:szCs w:val="16"/>
          <w:color w:val="auto"/>
        </w:rPr>
        <w:t>, with each reference to the “Company,” “Borrower” or the “Borrowers” therein (whether express or by reference to the Company or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or the Company or Borrowers as a “party” thereto) being a reference to each Subsidiary Guarantor and each reference to any “Loan Document” or the “Loan Documents” therein being a reference to the “Guarantor Documents”, and the parties hereto agree to such terms.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G-9</w:t>
      </w:r>
    </w:p>
    <w:p>
      <w:pPr>
        <w:sectPr>
          <w:pgSz w:w="11900" w:h="16838" w:orient="portrait"/>
          <w:cols w:equalWidth="0" w:num="1">
            <w:col w:w="10980"/>
          </w:cols>
          <w:pgMar w:left="440" w:top="274" w:right="479" w:bottom="1440" w:gutter="0" w:footer="0" w:header="0"/>
        </w:sectPr>
      </w:pPr>
    </w:p>
    <w:bookmarkStart w:id="182" w:name="page183"/>
    <w:bookmarkEnd w:id="182"/>
    <w:p>
      <w:pPr>
        <w:ind w:right="6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by any Guaranteed Party to exercise, and no delay by any such Person in exercising, any right, remedy, power or privilege hereunder or under any other Guarantor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Guarantor Document, are cumulative and not exclusive of any rights, remedies, powers and privileges provided by law.</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Costs and Expenses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87" w:lineRule="auto"/>
        <w:tabs>
          <w:tab w:leader="none" w:pos="1236"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Each Subsidiary Guarantor, severally, shall: (i) pay or reimburse the Administrative Agent and its Affiliates for all reasonable out-of-pocket costs and expenses incurred in connection with the development, preparation, negotiation and execution of this Guaranty and the other Guarantor Documents and any amendment, waiver, consent or other modification of the provisions hereof or thereof (whether or not the transactions contemplated hereby or thereby are consummated), and the consummation and administration of the transactions contemplated hereby and thereby, including all reasonable costs and expenses of counsel for the Administrative Agent; and (ii) pay or reimburse the Administrative Agent and each other Guaranteed Party for all out-of-pocket costs and expenses incurred in connection with the enforcement, attempted enforcement, or preservation of any rights or remedies under this Guaranty or the other Guarantor Documents (including all such costs and expenses incurred during any “workout” or restructuring in respect of the Guaranteed Obligations and during any legal proceeding, including any proceeding under any Debtor Relief Law), including all costs and expenses of counsel for the Administrative Agent. The foregoing costs and expenses shall include all search, filing, recording, title insurance and appraisal charges and fees and taxes related thereto, and other out-of-pocket expenses incurred by the Administrative Agent and the cost of independent public accountants and other outside experts retained by any Guaranteed Party.</w:t>
      </w:r>
    </w:p>
    <w:p>
      <w:pPr>
        <w:spacing w:after="0" w:line="63" w:lineRule="exact"/>
        <w:rPr>
          <w:rFonts w:ascii="Arial" w:cs="Arial" w:eastAsia="Arial" w:hAnsi="Arial"/>
          <w:sz w:val="16"/>
          <w:szCs w:val="16"/>
          <w:color w:val="auto"/>
        </w:rPr>
      </w:pPr>
    </w:p>
    <w:p>
      <w:pPr>
        <w:jc w:val="both"/>
        <w:ind w:right="240" w:firstLine="987"/>
        <w:spacing w:after="0" w:line="301" w:lineRule="auto"/>
        <w:tabs>
          <w:tab w:leader="none" w:pos="1246"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Any amounts payable by any Subsidiary Guarantor under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or otherwise under this Guaranty if not paid when due shall bear interest from such due date until paid in full, at a fluctuating interest rate per annum at all times equal to the Default Rate applicable to Base Rate Loans to the fullest extent permitted by applicable law. Any such interest shall be due and payable upon demand in accordance with the Credit Agreement and shall be calculated on the basis of a year of 365 or 366 days, as the case may be, and the actual number of days elapsed.</w:t>
      </w:r>
    </w:p>
    <w:p>
      <w:pPr>
        <w:spacing w:after="0" w:line="49" w:lineRule="exact"/>
        <w:rPr>
          <w:rFonts w:ascii="Arial" w:cs="Arial" w:eastAsia="Arial" w:hAnsi="Arial"/>
          <w:sz w:val="16"/>
          <w:szCs w:val="16"/>
          <w:color w:val="auto"/>
        </w:rPr>
      </w:pPr>
    </w:p>
    <w:p>
      <w:pPr>
        <w:ind w:left="1240" w:hanging="253"/>
        <w:spacing w:after="0"/>
        <w:tabs>
          <w:tab w:leader="none" w:pos="1240"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All amounts due under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shall be payable after demand therefor in accordance with the Credit Agreement.</w:t>
      </w:r>
    </w:p>
    <w:p>
      <w:pPr>
        <w:spacing w:after="0" w:line="128" w:lineRule="exact"/>
        <w:rPr>
          <w:rFonts w:ascii="Arial" w:cs="Arial" w:eastAsia="Arial" w:hAnsi="Arial"/>
          <w:sz w:val="17"/>
          <w:szCs w:val="17"/>
          <w:color w:val="auto"/>
        </w:rPr>
      </w:pPr>
    </w:p>
    <w:p>
      <w:pPr>
        <w:ind w:left="1240" w:hanging="253"/>
        <w:spacing w:after="0"/>
        <w:tabs>
          <w:tab w:leader="none" w:pos="1240"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shall survive the termination of the Commitments and repayment of all Guaranteed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Obligations.</w:t>
      </w:r>
    </w:p>
    <w:p>
      <w:pPr>
        <w:spacing w:after="0" w:line="211"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Right of Set-Off</w:t>
      </w:r>
      <w:r>
        <w:rPr>
          <w:rFonts w:ascii="Arial" w:cs="Arial" w:eastAsia="Arial" w:hAnsi="Arial"/>
          <w:sz w:val="17"/>
          <w:szCs w:val="17"/>
          <w:color w:val="auto"/>
        </w:rPr>
        <w:t>. In addition to any rights and remedies of the Lenders provided by law, upon the occurrence and during the continuance of any Event of Default each Lender, each L/C Issuer and each of their respective Affiliates is authorized at any time and from time to time, without prior notice to the applicable Subsidiary Guarantor, any such notice being waived by such Subsidiary Guarantor to the fullest extent permitted by law, to set off and apply any and all deposits (general or special, time or demand, provisional or final) at any time held by, and other indebtedness at any time owing by, such Lender, such L/C Issuer or any such Affiliate to or for the credit or the account of such Subsidiary Guarantor against any and all Guaranteed Obligations owing to such Lender or such L/C Issuer, now or hereafter existing, irrespective of whether or not the Administrative Agent or such Lender or such L/C Issuer shall have made demand under this Guaranty or any other Guarantor Document and although such Guaranteed Obligations may be contingent or unmatured or denominated in a currency different from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G-10</w:t>
      </w:r>
    </w:p>
    <w:p>
      <w:pPr>
        <w:sectPr>
          <w:pgSz w:w="11900" w:h="16838" w:orient="portrait"/>
          <w:cols w:equalWidth="0" w:num="1">
            <w:col w:w="11000"/>
          </w:cols>
          <w:pgMar w:left="440" w:top="274" w:right="459" w:bottom="1440" w:gutter="0" w:footer="0" w:header="0"/>
        </w:sectPr>
      </w:pPr>
    </w:p>
    <w:bookmarkStart w:id="183" w:name="page184"/>
    <w:bookmarkEnd w:id="183"/>
    <w:p>
      <w:pPr>
        <w:ind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of the applicable deposit or indebtedness. Each of the Lenders agrees (by its acceptance hereof) promptly to notify such Subsidiary Guarantor and the Administrative Agent after any such set-off and application made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failure to give such notice shall not affect the validity of such set-off and application. The rights of each Lender, each L/C Issuer and their respective Affiliates under this Section are in addition to other rights and remedies (including other rights of setoff) that such Lender, such L/C Issuer or their respective Affiliates may have.</w:t>
      </w:r>
    </w:p>
    <w:p>
      <w:pPr>
        <w:spacing w:after="0" w:line="157"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Marshalling; Payments Set Aside</w:t>
      </w:r>
      <w:r>
        <w:rPr>
          <w:rFonts w:ascii="Arial" w:cs="Arial" w:eastAsia="Arial" w:hAnsi="Arial"/>
          <w:sz w:val="17"/>
          <w:szCs w:val="17"/>
          <w:color w:val="auto"/>
        </w:rPr>
        <w:t>. Neither the Administrative Agent nor any other Guaranteed Party shall be under any obligation to marshal any assets in favor of any Subsidiary Guarantor or any other Person or against or in payment of any or all of the Guaranteed Obligations. To the extent that any Subsidiary Guarantor makes a payment to any Guaranteed Party, or any Guaranteed Party exercises its right of set-off, and such payment or the proceeds of such set-off or any part thereof are subsequently invalidated, declared to be fraudulent or preferential, set aside or required (including pursuant to any settlement entered into by any Guaranteed Party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of the Lenders severally agrees (by its acceptance hereof) to pay to the Administrative Agent upon demand its pro rata share of any amount so recovered from or repaid by the Administrative Agent, plus interest thereon from the date of such demand to the date such payment is made at a rate per annum equal to the Federal Funds Rate from time to time in effect.</w:t>
      </w:r>
    </w:p>
    <w:p>
      <w:pPr>
        <w:spacing w:after="0" w:line="18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Benefits of Guaranty</w:t>
      </w:r>
      <w:r>
        <w:rPr>
          <w:rFonts w:ascii="Arial" w:cs="Arial" w:eastAsia="Arial" w:hAnsi="Arial"/>
          <w:sz w:val="18"/>
          <w:szCs w:val="18"/>
          <w:color w:val="auto"/>
        </w:rPr>
        <w:t>. This Guaranty is entered into for the sole protection and benefit of the Administrative Agent and each other Guaranteed Party and their respective successors and assigns, and no other Person (other than any Indemnitee specified herein) shall be a direct or indirect beneficiary of, or shall have any direct or indirect cause of action or claim in connection with, this Guaranty. The Guaranteed Parties, by their acceptance of this Guaranty, shall not have any obligations under this Guaranty to any Person other than the Subsidiary Guarantors, and such obligations shall be limited to those expressly stated herein.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w:t>
      </w:r>
    </w:p>
    <w:p>
      <w:pPr>
        <w:spacing w:after="0" w:line="117" w:lineRule="exact"/>
        <w:rPr>
          <w:sz w:val="20"/>
          <w:szCs w:val="20"/>
          <w:color w:val="auto"/>
        </w:rPr>
      </w:pPr>
    </w:p>
    <w:p>
      <w:pPr>
        <w:jc w:val="both"/>
        <w:ind w:right="60" w:firstLine="987"/>
        <w:spacing w:after="0" w:line="342" w:lineRule="auto"/>
        <w:tabs>
          <w:tab w:leader="none" w:pos="1236"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This Guaranty shall be binding upon each Subsidiary Guarantor and its successors and assigns, and inure to the benefit of and be enforceable by the Administrative Agent and each other Guaranteed Party and their respective successors, endorsees, transferees and assigns.</w:t>
      </w:r>
    </w:p>
    <w:p>
      <w:pPr>
        <w:spacing w:after="0" w:line="15" w:lineRule="exact"/>
        <w:rPr>
          <w:rFonts w:ascii="Arial" w:cs="Arial" w:eastAsia="Arial" w:hAnsi="Arial"/>
          <w:sz w:val="16"/>
          <w:szCs w:val="16"/>
          <w:color w:val="auto"/>
        </w:rPr>
      </w:pPr>
    </w:p>
    <w:p>
      <w:pPr>
        <w:ind w:firstLine="987"/>
        <w:spacing w:after="0" w:line="291" w:lineRule="auto"/>
        <w:tabs>
          <w:tab w:leader="none" w:pos="1246"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Except to the extent otherwise provided in the Credit Agreement, no Subsidiary Guarantor shall have the right to assign or transfer its rights and obligations hereunder or under any other Guarantor Documents without the prior written consent of the Required Lenders. Each Lender may, without notice to or consent by any Subsidiary Guarantor, sell, assign, transfer or grant participations in all or any portion of such Lender’s rights and obligations hereunder and under the other Guarantor Documents in connection with any sale, assignment, transfer or grant of a participation by such Lender in accordance with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of the Credit Agreement of or in its rights and obligations thereunder and under the other Loan Documents. In the event of any grant of a participation, the participant (A) shall be deemed to have a right of setoff under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hereof in respect of its participation to the same extent as if it were such “Guaranteed Party;” and (B) shall also be entitled to the benefits of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hereof.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G-11</w:t>
      </w:r>
    </w:p>
    <w:p>
      <w:pPr>
        <w:sectPr>
          <w:pgSz w:w="11900" w:h="16838" w:orient="portrait"/>
          <w:cols w:equalWidth="0" w:num="1">
            <w:col w:w="11000"/>
          </w:cols>
          <w:pgMar w:left="440" w:top="274" w:right="459" w:bottom="1440" w:gutter="0" w:footer="0" w:header="0"/>
        </w:sectPr>
      </w:pPr>
    </w:p>
    <w:bookmarkStart w:id="184" w:name="page185"/>
    <w:bookmarkEnd w:id="184"/>
    <w:p>
      <w:pPr>
        <w:ind w:left="9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w:t>
      </w:r>
      <w:r>
        <w:rPr>
          <w:rFonts w:ascii="Arial" w:cs="Arial" w:eastAsia="Arial" w:hAnsi="Arial"/>
          <w:sz w:val="18"/>
          <w:szCs w:val="18"/>
          <w:color w:val="auto"/>
        </w:rPr>
        <w:t xml:space="preserve"> 19. </w:t>
      </w:r>
      <w:r>
        <w:rPr>
          <w:rFonts w:ascii="Arial" w:cs="Arial" w:eastAsia="Arial" w:hAnsi="Arial"/>
          <w:sz w:val="18"/>
          <w:szCs w:val="18"/>
          <w:u w:val="single" w:color="auto"/>
          <w:color w:val="auto"/>
        </w:rPr>
        <w:t>Governing Law and Jurisdiction</w:t>
      </w:r>
    </w:p>
    <w:p>
      <w:pPr>
        <w:spacing w:after="0" w:line="117" w:lineRule="exact"/>
        <w:rPr>
          <w:sz w:val="20"/>
          <w:szCs w:val="20"/>
          <w:color w:val="auto"/>
        </w:rPr>
      </w:pPr>
    </w:p>
    <w:p>
      <w:pPr>
        <w:ind w:right="460" w:firstLine="987"/>
        <w:spacing w:after="0" w:line="273" w:lineRule="auto"/>
        <w:tabs>
          <w:tab w:leader="none" w:pos="1236"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GUARANTY AND THE OTHER GUARANTOR DOCUMENTS (EXCEPT, AS TO ANY OTHER GUARANTOR DOCUMENT, WHERE SUCH OTHER GUARANTOR DOCUMENT EXPRESSLY SETS FORTH OTHERWISE) AND ANY CLAIMS, CONTROVERSY, DISPUTE OR CAUSE OF ACTION (WHETHER IN CONTRACT OR TORT OR OTHERWISE) BASED UPON, ARISING OUT OF OR RELATING TO THIS GUARANTY OR ANY OTHER GUARANTOR DOCUMENT (EXCEPT, AS TO ANY OTHER GUARANTOR DOCUMENT, AS EXPRESSLY SET FORTH THEREIN) AND THE TRANSACTIONS CONTEMPLATED HEREBY AND THEREBY SHALL BE GOVERNED BY, AND CONSTRUED IN ACCORDANCE WITH, THE LAW OF THE STATE OF NEW YORK.</w:t>
      </w:r>
    </w:p>
    <w:p>
      <w:pPr>
        <w:spacing w:after="0" w:line="69" w:lineRule="exact"/>
        <w:rPr>
          <w:rFonts w:ascii="Arial" w:cs="Arial" w:eastAsia="Arial" w:hAnsi="Arial"/>
          <w:sz w:val="17"/>
          <w:szCs w:val="17"/>
          <w:color w:val="auto"/>
        </w:rPr>
      </w:pPr>
    </w:p>
    <w:p>
      <w:pPr>
        <w:ind w:firstLine="987"/>
        <w:spacing w:after="0" w:line="268" w:lineRule="auto"/>
        <w:tabs>
          <w:tab w:leader="none" w:pos="1246"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OF THE PARTIES HERETO IRREVOCABLY AND UNCONDITIONALLY SUBMITS, FOR ITSELF AND ITS PROPERTY, TO THE EXCLUSIVE JURISDICTION OF THE COURTS OF THE STATE OF NEW YORK SITTING IN THE BOROUGH OF MANHATTAN AND OF THE UNITED STATES DISTRICT COURT IN SUCH BOROUGH, AND ANY APPELLATE COURT FROM ANY THEREOF, IN ANY ACTION OR PROCEEDING ARISING OUT OF OR RELATING TO THIS GUARANTY OR ANY OTHER GUARANTOR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GUARANTY OR IN ANY OTHER GUARANTOR DOCUMENT SHALL AFFECT ANY RIGHT THAT THE ADMINISTRATIVE AGENT, ANY LENDER OR ANY L/C ISSUER MAY OTHERWISE HAVE TO BRING ANY ACTION OR PROCEEDING RELATING TO THIS GUARANTY OR ANY OTHER GUARANTOR DOCUMENT AGAINST ANY SUBSIDIARY GUARANTOR OR ITS PROPERTIES IN THE COURTS OF ANY JURISDICTION.</w:t>
      </w:r>
    </w:p>
    <w:p>
      <w:pPr>
        <w:spacing w:after="0" w:line="78" w:lineRule="exact"/>
        <w:rPr>
          <w:rFonts w:ascii="Arial" w:cs="Arial" w:eastAsia="Arial" w:hAnsi="Arial"/>
          <w:sz w:val="17"/>
          <w:szCs w:val="17"/>
          <w:color w:val="auto"/>
        </w:rPr>
      </w:pPr>
    </w:p>
    <w:p>
      <w:pPr>
        <w:ind w:right="140" w:firstLine="987"/>
        <w:spacing w:after="0" w:line="255" w:lineRule="auto"/>
        <w:tabs>
          <w:tab w:leader="none" w:pos="1236"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EACH OF THE PARTIES HERETO IRREVOCABLY AND UNCONDITIONALLY WAIVES, TO THE FULLEST EXTENT PERMITTED BY APPLICABLE LAW, ANY OBJECTION THAT IT MAY NOW OR HEREAFTER HAVE TO THE LAYING OF VENUE OF ANY ACTION OR PROCEEDING ARISING OUT OF OR RELATING TO THIS GUARANTY OR ANY OTHER GUARANTOR DOCUMENT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19</w:t>
      </w:r>
      <w:r>
        <w:rPr>
          <w:rFonts w:ascii="Arial" w:cs="Arial" w:eastAsia="Arial" w:hAnsi="Arial"/>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84" w:lineRule="exact"/>
        <w:rPr>
          <w:rFonts w:ascii="Arial" w:cs="Arial" w:eastAsia="Arial" w:hAnsi="Arial"/>
          <w:sz w:val="18"/>
          <w:szCs w:val="18"/>
          <w:color w:val="auto"/>
        </w:rPr>
      </w:pPr>
    </w:p>
    <w:p>
      <w:pPr>
        <w:ind w:firstLine="987"/>
        <w:spacing w:after="0" w:line="273" w:lineRule="auto"/>
        <w:tabs>
          <w:tab w:leader="none" w:pos="1246"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SERVICE OF PROCESS</w:t>
      </w:r>
      <w:r>
        <w:rPr>
          <w:rFonts w:ascii="Arial" w:cs="Arial" w:eastAsia="Arial" w:hAnsi="Arial"/>
          <w:sz w:val="17"/>
          <w:szCs w:val="17"/>
          <w:color w:val="auto"/>
        </w:rPr>
        <w:t xml:space="preserve">. EACH PARTY HERETO IRREVOCABLY CONSENTS TO SERVICE OF PROCESS IN THE MANNER PROVIDED FOR NOTICES IN </w:t>
      </w:r>
      <w:r>
        <w:rPr>
          <w:rFonts w:ascii="Arial" w:cs="Arial" w:eastAsia="Arial" w:hAnsi="Arial"/>
          <w:sz w:val="17"/>
          <w:szCs w:val="17"/>
          <w:u w:val="single" w:color="auto"/>
          <w:color w:val="auto"/>
        </w:rPr>
        <w:t>SECTION 12</w:t>
      </w:r>
      <w:r>
        <w:rPr>
          <w:rFonts w:ascii="Arial" w:cs="Arial" w:eastAsia="Arial" w:hAnsi="Arial"/>
          <w:sz w:val="17"/>
          <w:szCs w:val="17"/>
          <w:color w:val="auto"/>
        </w:rPr>
        <w:t>. NOTHING IN THIS GUARANTY WILL AFFECT THE RIGHT OF ANY PARTY HERETO TO SERVE PROCESS IN ANY OTHER MANNER PERMITTED BY APPLICABLE LAW. WITHOUT LIMITING THE FOREGOING, EACH OF THE GUARANTORS HEREBY APPOINTS, IN THE CASE OF ANY SUCH ACTION OR PROCEEDING BROUGHT IN THE COURTS OF OR IN THE STATE OF NEW YORK, THE COMPANY, AT THE ADDRESS SPECIFIED IN SCHEDULE 10.02 TO THE CREDIT AGREEMENT, TO RECEIVE FOR IT AND ON ITS BEHALF, SERVICE OF PROCESS IN THE STATE OF NEW YORK WITH RESPECT THERETO.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G-12</w:t>
      </w:r>
    </w:p>
    <w:p>
      <w:pPr>
        <w:sectPr>
          <w:pgSz w:w="11900" w:h="16838" w:orient="portrait"/>
          <w:cols w:equalWidth="0" w:num="1">
            <w:col w:w="11000"/>
          </w:cols>
          <w:pgMar w:left="440" w:top="274" w:right="459" w:bottom="1440" w:gutter="0" w:footer="0" w:header="0"/>
        </w:sectPr>
      </w:pPr>
    </w:p>
    <w:bookmarkStart w:id="185" w:name="page186"/>
    <w:bookmarkEnd w:id="185"/>
    <w:p>
      <w:pPr>
        <w:ind w:right="160" w:firstLine="99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HERETO HEREBY IRREVOCABLY WAIVES, TO THE FULLEST EXTENT PERMITTED BY APPLICABLE LAW, ANY RIGHT IT MAY HAVE TO A TRIAL BY JURY IN ANY LEGAL PROCEEDING DIRECTLY OR INDIRECTLY ARISING OUT OF OR RELATING TO THIS GUARANTY OR ANY OTHER GUARANTOR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GUARANTY AND THE OTHER GUARANTOR DOCUMENTS BY, AMONG OTHER THINGS, THE MUTUAL WAIVERS AND CERTIFICATIONS IN THIS </w:t>
      </w:r>
      <w:r>
        <w:rPr>
          <w:rFonts w:ascii="Arial" w:cs="Arial" w:eastAsia="Arial" w:hAnsi="Arial"/>
          <w:sz w:val="18"/>
          <w:szCs w:val="18"/>
          <w:u w:val="single" w:color="auto"/>
          <w:color w:val="auto"/>
        </w:rPr>
        <w:t>SECTION 20</w:t>
      </w:r>
      <w:r>
        <w:rPr>
          <w:rFonts w:ascii="Arial" w:cs="Arial" w:eastAsia="Arial" w:hAnsi="Arial"/>
          <w:sz w:val="18"/>
          <w:szCs w:val="18"/>
          <w:color w:val="auto"/>
        </w:rPr>
        <w:t>.</w:t>
      </w:r>
    </w:p>
    <w:p>
      <w:pPr>
        <w:spacing w:after="0" w:line="196"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Entire Agreement; Amendments and Waivers</w:t>
      </w:r>
      <w:r>
        <w:rPr>
          <w:rFonts w:ascii="Arial" w:cs="Arial" w:eastAsia="Arial" w:hAnsi="Arial"/>
          <w:sz w:val="17"/>
          <w:szCs w:val="17"/>
          <w:color w:val="auto"/>
        </w:rPr>
        <w:t>. This Guaranty together with the other Guarantor Documents embodies the entire, final agreement of each Subsidiary Guarantor with respect to the matters set forth herein and supersedes all prior or contemporaneous agreements and understandings of the Subsidiary Guarantors, verbal or written, relating to the subject matter hereof and thereof and shall not be amended as to any Subsidiary Guarantor except by written agreement of such Subsidiary Guarantor, the Administrative Agent and the Required Lenders. This Guaranty and the other Guarantor Documents may not be contradicted by evidence of prior, contemporaneous, or subsequent oral agreements of the parties. There are no unwritten oral agreements among the parties. No waiver of any rights of the Guaranteed Parties under any provision of this Guaranty or consent to any departure by any Subsidiary Guarantor therefrom shall be effective unless in writing and signed by the Administrative Agent and the Required Lenders, or the Administrative Agent (with the written consent of the Required Lenders). Any such amendment, waiver or consent shall be effective only in the specific instance and for the specific purpose for which given.</w:t>
      </w:r>
    </w:p>
    <w:p>
      <w:pPr>
        <w:spacing w:after="0" w:line="181"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Guaranty or the other Guarantor Documents is held to be illegal, invalid or unenforceable as to any or all Subsidiary Guarantors, (a) the legality, validity and enforceability of the remaining provisions of this Guaranty and the other Guarantor Documents as to such affected Subsidiary Guarantor(s) shall not be affected or impaired thereby, (b) the legality, validity and enforceability of such provisions and any other provisions as to any other Subsidiary Guarantor shall not be affected or impaired thereby, and (c)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77" w:lineRule="exact"/>
        <w:rPr>
          <w:sz w:val="20"/>
          <w:szCs w:val="20"/>
          <w:color w:val="auto"/>
        </w:rPr>
      </w:pPr>
    </w:p>
    <w:p>
      <w:pPr>
        <w:ind w:right="480" w:firstLine="991"/>
        <w:spacing w:after="0" w:line="308"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Counterparts</w:t>
      </w:r>
      <w:r>
        <w:rPr>
          <w:rFonts w:ascii="Arial" w:cs="Arial" w:eastAsia="Arial" w:hAnsi="Arial"/>
          <w:sz w:val="17"/>
          <w:szCs w:val="17"/>
          <w:color w:val="auto"/>
        </w:rPr>
        <w:t>. This Guaranty may be executed in one or more counterparts (and by different parties hereto in different counterparts), each of which shall constitute an original, but all of which together shall constitute one and the same instrument.</w:t>
      </w:r>
    </w:p>
    <w:p>
      <w:pPr>
        <w:spacing w:after="0" w:line="146"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Judgment Currency</w:t>
      </w:r>
      <w:r>
        <w:rPr>
          <w:rFonts w:ascii="Arial" w:cs="Arial" w:eastAsia="Arial" w:hAnsi="Arial"/>
          <w:sz w:val="17"/>
          <w:szCs w:val="17"/>
          <w:color w:val="auto"/>
        </w:rPr>
        <w:t>. If, for the purposes of obtaining judgment in any court, it is necessary to convert a sum due hereunder or any other Guarantor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Subsidiary Guarantor in respect of any such sum due from it to any Guaranteed Party hereunder or under the other Guarantor Documents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that in which such sum is denominated in accordance with the applicable provisions of the Credit Agreement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G-13</w:t>
      </w:r>
    </w:p>
    <w:p>
      <w:pPr>
        <w:sectPr>
          <w:pgSz w:w="11900" w:h="16838" w:orient="portrait"/>
          <w:cols w:equalWidth="0" w:num="1">
            <w:col w:w="11000"/>
          </w:cols>
          <w:pgMar w:left="440" w:top="274" w:right="459" w:bottom="1440" w:gutter="0" w:footer="0" w:header="0"/>
        </w:sectPr>
      </w:pPr>
    </w:p>
    <w:bookmarkStart w:id="186" w:name="page187"/>
    <w:bookmarkEnd w:id="18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sum originally due to the Administrative Agent from any Subsidiary Guarantor in the Agreement Currency, such Subsidiary Guarantor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or the Person to whom such obligation was owing in such currency, the Administrative Agent (by its acceptance hereof) or the Person to whom such obligation was owing agrees to return the amount of any excess to such Subsidiary Guarantor (or to any other Person who may be entitled thereto under applicable law). The agreements in this </w:t>
      </w:r>
      <w:r>
        <w:rPr>
          <w:rFonts w:ascii="Arial" w:cs="Arial" w:eastAsia="Arial" w:hAnsi="Arial"/>
          <w:sz w:val="16"/>
          <w:szCs w:val="16"/>
          <w:u w:val="single" w:color="auto"/>
          <w:color w:val="auto"/>
        </w:rPr>
        <w:t>Section24</w:t>
      </w:r>
      <w:r>
        <w:rPr>
          <w:rFonts w:ascii="Arial" w:cs="Arial" w:eastAsia="Arial" w:hAnsi="Arial"/>
          <w:sz w:val="16"/>
          <w:szCs w:val="16"/>
          <w:color w:val="auto"/>
        </w:rPr>
        <w:t xml:space="preserve"> shall survive the termination of the Commitments and repayment of all Guaranteed Obligations.</w:t>
      </w:r>
    </w:p>
    <w:p>
      <w:pPr>
        <w:spacing w:after="0" w:line="164" w:lineRule="exact"/>
        <w:rPr>
          <w:sz w:val="20"/>
          <w:szCs w:val="20"/>
          <w:color w:val="auto"/>
        </w:rPr>
      </w:pPr>
    </w:p>
    <w:p>
      <w:pPr>
        <w:ind w:right="220" w:firstLine="991"/>
        <w:spacing w:after="0" w:line="279"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Future Subsidiary Guarantors</w:t>
      </w:r>
      <w:r>
        <w:rPr>
          <w:rFonts w:ascii="Arial" w:cs="Arial" w:eastAsia="Arial" w:hAnsi="Arial"/>
          <w:sz w:val="17"/>
          <w:szCs w:val="17"/>
          <w:color w:val="auto"/>
        </w:rPr>
        <w:t>. At such time following the date hereof as any Subsidiary of the Company (an “</w:t>
      </w:r>
      <w:r>
        <w:rPr>
          <w:rFonts w:ascii="Arial" w:cs="Arial" w:eastAsia="Arial" w:hAnsi="Arial"/>
          <w:sz w:val="17"/>
          <w:szCs w:val="17"/>
          <w:u w:val="single" w:color="auto"/>
          <w:color w:val="auto"/>
        </w:rPr>
        <w:t>Acceding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desires to accede hereto, such Acceding Subsidiary shall execute and deliver to the Administrative Agent a Guaranty Joinder Agreement substantially in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hereto, signifying its agreement to be bound by the provisions of this Guaranty as a Subsidiary Guarantor to the same extent as if such Acceding Subsidiary had originally executed this Guaranty as of the date hereof.</w:t>
      </w:r>
    </w:p>
    <w:p>
      <w:pPr>
        <w:spacing w:after="0" w:line="171"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Subsidiary Guarantor Release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10.22(b)</w:t>
      </w:r>
      <w:r>
        <w:rPr>
          <w:rFonts w:ascii="Arial" w:cs="Arial" w:eastAsia="Arial" w:hAnsi="Arial"/>
          <w:sz w:val="17"/>
          <w:szCs w:val="17"/>
          <w:color w:val="auto"/>
        </w:rPr>
        <w:t xml:space="preserve"> of the Credit Agreement is hereby incorporated by reference herein as if set forth in full force herein, mutatis mutandis. Each Subsidiary Guarantor shall remain obligated under and bound by this Guaranty until termination of the Commitments and payment and performance in full of the Guaranteed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this Guaranty shall be terminated as to any Subsidiary Guarantor at the request of the Company, pursuant to </w:t>
      </w:r>
      <w:r>
        <w:rPr>
          <w:rFonts w:ascii="Arial" w:cs="Arial" w:eastAsia="Arial" w:hAnsi="Arial"/>
          <w:sz w:val="17"/>
          <w:szCs w:val="17"/>
          <w:u w:val="single" w:color="auto"/>
          <w:color w:val="auto"/>
        </w:rPr>
        <w:t>Section 10.22(b)</w:t>
      </w:r>
      <w:r>
        <w:rPr>
          <w:rFonts w:ascii="Arial" w:cs="Arial" w:eastAsia="Arial" w:hAnsi="Arial"/>
          <w:sz w:val="17"/>
          <w:szCs w:val="17"/>
          <w:color w:val="auto"/>
        </w:rPr>
        <w:t xml:space="preserve"> of the Credit Agreement; provided further, that, any such termination shall not affect or impair the obligations of any other Subsidiary Guarantor hereunder.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G-14</w:t>
      </w:r>
    </w:p>
    <w:p>
      <w:pPr>
        <w:sectPr>
          <w:pgSz w:w="11900" w:h="16838" w:orient="portrait"/>
          <w:cols w:equalWidth="0" w:num="1">
            <w:col w:w="11000"/>
          </w:cols>
          <w:pgMar w:left="440" w:top="274" w:right="459" w:bottom="1440" w:gutter="0" w:footer="0" w:header="0"/>
        </w:sectPr>
      </w:pPr>
    </w:p>
    <w:bookmarkStart w:id="187" w:name="page188"/>
    <w:bookmarkEnd w:id="18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Subsidiary Guarantors have executed this Guaranty,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[SUBSIDIARY GUARANTOR]</w:t>
      </w: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-10160</wp:posOffset>
            </wp:positionV>
            <wp:extent cx="21996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-19050</wp:posOffset>
            </wp:positionV>
            <wp:extent cx="21424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42490" cy="8255"/>
                    </a:xfrm>
                    <a:prstGeom prst="rect">
                      <a:avLst/>
                    </a:prstGeom>
                    <a:noFill/>
                  </pic:spPr>
                </pic:pic>
              </a:graphicData>
            </a:graphic>
          </wp:anchor>
        </w:drawing>
      </w:r>
    </w:p>
    <w:p>
      <w:pPr>
        <w:spacing w:after="0" w:line="187"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[SUBSIDIARY GUARANTOR]</w:t>
      </w: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-10160</wp:posOffset>
            </wp:positionV>
            <wp:extent cx="21996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-19050</wp:posOffset>
            </wp:positionV>
            <wp:extent cx="21424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42490" cy="8255"/>
                    </a:xfrm>
                    <a:prstGeom prst="rect">
                      <a:avLst/>
                    </a:prstGeom>
                    <a:noFill/>
                  </pic:spPr>
                </pic:pic>
              </a:graphicData>
            </a:graphic>
          </wp:anchor>
        </w:drawing>
      </w:r>
    </w:p>
    <w:p>
      <w:pPr>
        <w:spacing w:after="0" w:line="187"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[SUBSIDIARY GUARANTOR]</w:t>
      </w: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-10160</wp:posOffset>
            </wp:positionV>
            <wp:extent cx="21996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-19050</wp:posOffset>
            </wp:positionV>
            <wp:extent cx="21424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42490" cy="8255"/>
                    </a:xfrm>
                    <a:prstGeom prst="rect">
                      <a:avLst/>
                    </a:prstGeom>
                    <a:noFill/>
                  </pic:spPr>
                </pic:pic>
              </a:graphicData>
            </a:graphic>
          </wp:anchor>
        </w:drawing>
      </w:r>
    </w:p>
    <w:p>
      <w:pPr>
        <w:spacing w:after="0" w:line="1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G-15</w:t>
      </w:r>
    </w:p>
    <w:p>
      <w:pPr>
        <w:sectPr>
          <w:pgSz w:w="11900" w:h="16838" w:orient="portrait"/>
          <w:cols w:equalWidth="0" w:num="1">
            <w:col w:w="9579"/>
          </w:cols>
          <w:pgMar w:left="880" w:top="274" w:right="1440"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GUARANTY JOINDER AGREEMENT</w:t>
      </w:r>
    </w:p>
    <w:p>
      <w:pPr>
        <w:spacing w:after="0" w:line="229" w:lineRule="exact"/>
        <w:rPr>
          <w:sz w:val="20"/>
          <w:szCs w:val="20"/>
          <w:color w:val="auto"/>
        </w:rPr>
      </w:pPr>
    </w:p>
    <w:p>
      <w:pPr>
        <w:ind w:left="440"/>
        <w:spacing w:after="0"/>
        <w:tabs>
          <w:tab w:leader="none" w:pos="6980" w:val="left"/>
          <w:tab w:leader="none" w:pos="7480" w:val="left"/>
          <w:tab w:leader="none" w:pos="8600" w:val="left"/>
          <w:tab w:leader="none" w:pos="9180" w:val="left"/>
        </w:tabs>
        <w:rPr>
          <w:sz w:val="20"/>
          <w:szCs w:val="20"/>
          <w:color w:val="auto"/>
        </w:rPr>
      </w:pPr>
      <w:r>
        <w:rPr>
          <w:rFonts w:ascii="Arial" w:cs="Arial" w:eastAsia="Arial" w:hAnsi="Arial"/>
          <w:sz w:val="18"/>
          <w:szCs w:val="18"/>
          <w:color w:val="auto"/>
        </w:rPr>
        <w:t>THIS GUARANTY JOINDER AGREEMENT (this “Joinder”) is executed as of</w:t>
      </w:r>
      <w:r>
        <w:rPr>
          <w:sz w:val="20"/>
          <w:szCs w:val="20"/>
          <w:color w:val="auto"/>
        </w:rPr>
        <w:tab/>
      </w:r>
      <w:r>
        <w:rPr>
          <w:rFonts w:ascii="Arial" w:cs="Arial" w:eastAsia="Arial" w:hAnsi="Arial"/>
          <w:sz w:val="18"/>
          <w:szCs w:val="18"/>
          <w:color w:val="auto"/>
        </w:rPr>
        <w:t>, 20</w:t>
        <w:tab/>
        <w:t>by</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7"/>
          <w:szCs w:val="17"/>
          <w:color w:val="auto"/>
        </w:rPr>
        <w:t>[corporation/limited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-10160</wp:posOffset>
            </wp:positionV>
            <wp:extent cx="18497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49755" cy="8255"/>
                    </a:xfrm>
                    <a:prstGeom prst="rect">
                      <a:avLst/>
                    </a:prstGeom>
                    <a:noFill/>
                  </pic:spPr>
                </pic:pic>
              </a:graphicData>
            </a:graphic>
          </wp:anchor>
        </w:drawing>
      </w:r>
    </w:p>
    <w:p>
      <w:pPr>
        <w:spacing w:after="0" w:line="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liability company/partnership] (“Joining Party”), and delivered to BANK OF AMERICA, N.A., as administrative agent (in such capacity, the “Administrative Agent”), for the benefit of the Lenders (as defined below). Except as otherwise defined herein, terms used herein and defined in the Credit Agreement (as defined below) shall be used herein as therein defined.</w:t>
      </w:r>
    </w:p>
    <w:p>
      <w:pPr>
        <w:spacing w:after="0" w:line="82"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A. Analog Devices, Inc., a Delaware corporation (the “Company”) and certain Designated Borrowers (together with the Company, each referred to individually herein as a “Borrower” and collectively as the “Borrowers”), the lenders from time to time party thereto (each a “Lender” and, collectively, together with the Swing Line Lender and L/C Issuers, the “Lenders”), and the Administrative Agent are parties to that certain Third Amended and Restated Credit Agreement, dated as of June 23, 2021 (as amended, restated, extended, supplemented or otherwise modified in writing from time to time, the “Credit Agreement”);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 The Joining Party is a direct or indirect Subsidiary of the Company and desires to become a Subsidiary Guarantor under that certain Subsidiary</w:t>
      </w:r>
    </w:p>
    <w:p>
      <w:pPr>
        <w:spacing w:after="0" w:line="46"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Guaranty, dated as of</w:t>
      </w:r>
      <w:r>
        <w:rPr>
          <w:sz w:val="20"/>
          <w:szCs w:val="20"/>
          <w:color w:val="auto"/>
        </w:rPr>
        <w:tab/>
      </w:r>
      <w:r>
        <w:rPr>
          <w:rFonts w:ascii="Arial" w:cs="Arial" w:eastAsia="Arial" w:hAnsi="Arial"/>
          <w:sz w:val="16"/>
          <w:szCs w:val="16"/>
          <w:color w:val="auto"/>
        </w:rPr>
        <w:t>, 20 (the “Guaranty”);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967105</wp:posOffset>
            </wp:positionH>
            <wp:positionV relativeFrom="paragraph">
              <wp:posOffset>-19050</wp:posOffset>
            </wp:positionV>
            <wp:extent cx="4572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83"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C. The Joining Party will obtain benefits from the incurrence of Loans by and the issuance of Letters of Credit for the account of the Borrowers, in each case pursuant to the Credit Agreement and, accordingly, desires to execute this Joinder in order to induce the Lenders to continue to make Loans to and to issue Letters of Credit for the account of the Borrowers;</w:t>
      </w:r>
    </w:p>
    <w:p>
      <w:pPr>
        <w:spacing w:after="0" w:line="184"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Accordingly, in consideration of the foregoing and other benefits accruing to the Joining Party, the receipt and sufficiency of which are hereby acknowledged, the Joining Party hereby makes the following representations and warranties to each Lender and the Administrative Agent and hereby covenants and agrees with each Lender and the Administrative Agent as follows:</w:t>
      </w:r>
    </w:p>
    <w:p>
      <w:pPr>
        <w:spacing w:after="0" w:line="76" w:lineRule="exact"/>
        <w:rPr>
          <w:sz w:val="20"/>
          <w:szCs w:val="20"/>
          <w:color w:val="auto"/>
        </w:rPr>
      </w:pPr>
    </w:p>
    <w:p>
      <w:pPr>
        <w:ind w:left="620" w:hanging="184"/>
        <w:spacing w:after="0"/>
        <w:tabs>
          <w:tab w:leader="none" w:pos="62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By this Joinder, the Joining Party becomes a Subsidiary Guarantor for all purposes under the Guaranty, pursuant to Section 25 thereof.</w:t>
      </w:r>
    </w:p>
    <w:p>
      <w:pPr>
        <w:spacing w:after="0" w:line="128" w:lineRule="exact"/>
        <w:rPr>
          <w:rFonts w:ascii="Arial" w:cs="Arial" w:eastAsia="Arial" w:hAnsi="Arial"/>
          <w:sz w:val="17"/>
          <w:szCs w:val="17"/>
          <w:color w:val="auto"/>
        </w:rPr>
      </w:pPr>
    </w:p>
    <w:p>
      <w:pPr>
        <w:ind w:right="20" w:firstLine="436"/>
        <w:spacing w:after="0" w:line="257" w:lineRule="auto"/>
        <w:tabs>
          <w:tab w:leader="none" w:pos="6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Joining Party agrees that, upon its execution hereof, it will become a Subsidiary Guarantor under the Guaranty with respect to all Guaranteed Obligations (as defined in the Guaranty), and will be bound by all terms, conditions and duties applicable to a Subsidiary Guarantor under the Guaranty and the other Loan Documents. Without limitation of the foregoing, and in furtherance thereof, the Joining Party severally absolutely, unconditionally and irrevocably guarantees the full and prompt payment when due of all (and not merely a lesser or proportional part of the) Guaranteed Obligations (on the same basis as the other Subsidiary Guarantors under the Guaranty).</w:t>
      </w:r>
    </w:p>
    <w:p>
      <w:pPr>
        <w:spacing w:after="0" w:line="79" w:lineRule="exact"/>
        <w:rPr>
          <w:rFonts w:ascii="Arial" w:cs="Arial" w:eastAsia="Arial" w:hAnsi="Arial"/>
          <w:sz w:val="18"/>
          <w:szCs w:val="18"/>
          <w:color w:val="auto"/>
        </w:rPr>
      </w:pPr>
    </w:p>
    <w:p>
      <w:pPr>
        <w:ind w:right="80" w:firstLine="436"/>
        <w:spacing w:after="0" w:line="257" w:lineRule="auto"/>
        <w:tabs>
          <w:tab w:leader="none" w:pos="6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Joining Party hereby makes and undertakes, as the case may be, each covenant, representation and warranty made by, and as a Subsidiary Guarantor pursuant to the Guaranty, in each case as of the date hereof (except to the extent any such representation or warranty relates solely to an earlier date in which case such representation and warranty shall be true and correct as of such earlier date), and agrees to be bound by all covenants, agreements and obligations of a Subsidiary Guarantor and Loan Party pursuant to the Guaranty and all other Loan Documents to which it is or becomes a party.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G-16</w:t>
      </w:r>
    </w:p>
    <w:p>
      <w:pPr>
        <w:sectPr>
          <w:pgSz w:w="11900" w:h="16838" w:orient="portrait"/>
          <w:cols w:equalWidth="0" w:num="1">
            <w:col w:w="11000"/>
          </w:cols>
          <w:pgMar w:left="440" w:top="270" w:right="459" w:bottom="1440" w:gutter="0" w:footer="0" w:header="0"/>
        </w:sectPr>
      </w:pPr>
    </w:p>
    <w:bookmarkStart w:id="189" w:name="page190"/>
    <w:bookmarkEnd w:id="189"/>
    <w:p>
      <w:pPr>
        <w:ind w:left="-40" w:firstLine="436"/>
        <w:spacing w:after="0" w:line="272" w:lineRule="auto"/>
        <w:tabs>
          <w:tab w:leader="none" w:pos="5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Joinder shall be binding upon the parties hereto and their respective successors and assigns and shall inure to the benefit of and be enforceable by each of the parties hereto and its successors and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the Joining Party may not assign any of its rights, obligations or interest hereunder or under any other Loan Document without the prior written consent of the Lenders or as otherwise permitted by the Loan Documents. </w:t>
      </w:r>
      <w:r>
        <w:rPr>
          <w:rFonts w:ascii="Arial" w:cs="Arial" w:eastAsia="Arial" w:hAnsi="Arial"/>
          <w:sz w:val="17"/>
          <w:szCs w:val="17"/>
          <w:b w:val="1"/>
          <w:bCs w:val="1"/>
          <w:color w:val="auto"/>
        </w:rPr>
        <w:t>THIS JOINDER SHALL BE GOVERNED BY, AND CONSTRUED IN ACCORDANCE WITH, THE LAW OF THE STATE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OF NEW YORK. </w:t>
      </w:r>
      <w:r>
        <w:rPr>
          <w:rFonts w:ascii="Arial" w:cs="Arial" w:eastAsia="Arial" w:hAnsi="Arial"/>
          <w:sz w:val="17"/>
          <w:szCs w:val="17"/>
          <w:color w:val="auto"/>
        </w:rPr>
        <w:t>This Joinder may be executed in any number of counterparts, each of which shall be an original, but all of which shall constitute one</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In the event that any provision of this Joinder shall prove to be invalid or unenforceable, such provision shall be deemed to be severable from the other provisions of this Joinder, which shall remain binding on all parties hereto.</w:t>
      </w:r>
    </w:p>
    <w:p>
      <w:pPr>
        <w:spacing w:after="0" w:line="69" w:lineRule="exact"/>
        <w:rPr>
          <w:rFonts w:ascii="Arial" w:cs="Arial" w:eastAsia="Arial" w:hAnsi="Arial"/>
          <w:sz w:val="17"/>
          <w:szCs w:val="17"/>
          <w:color w:val="auto"/>
        </w:rPr>
      </w:pPr>
    </w:p>
    <w:p>
      <w:pPr>
        <w:ind w:left="-40" w:right="140" w:firstLine="436"/>
        <w:spacing w:after="0" w:line="277" w:lineRule="auto"/>
        <w:tabs>
          <w:tab w:leader="none" w:pos="5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From and after the execution and delivery hereof by the parties hereto, this Joinder shall constitute a “Loan Document” for all purposes of the Credit Agreement and the other Loan Documents.</w:t>
      </w:r>
    </w:p>
    <w:p>
      <w:pPr>
        <w:spacing w:after="0" w:line="45"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2720" w:type="dxa"/>
            <w:vAlign w:val="bottom"/>
          </w:tcPr>
          <w:p>
            <w:pPr>
              <w:spacing w:after="0"/>
              <w:rPr>
                <w:sz w:val="20"/>
                <w:szCs w:val="20"/>
                <w:color w:val="auto"/>
              </w:rPr>
            </w:pPr>
            <w:r>
              <w:rPr>
                <w:rFonts w:ascii="Arial" w:cs="Arial" w:eastAsia="Arial" w:hAnsi="Arial"/>
                <w:sz w:val="18"/>
                <w:szCs w:val="18"/>
                <w:color w:val="auto"/>
                <w:w w:val="90"/>
              </w:rPr>
              <w:t>6. The effective date of this Joinder is</w:t>
            </w:r>
          </w:p>
        </w:tc>
        <w:tc>
          <w:tcPr>
            <w:tcW w:w="7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2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G-17</w:t>
      </w:r>
    </w:p>
    <w:p>
      <w:pPr>
        <w:sectPr>
          <w:pgSz w:w="11900" w:h="16838" w:orient="portrait"/>
          <w:cols w:equalWidth="0" w:num="1">
            <w:col w:w="10920"/>
          </w:cols>
          <w:pgMar w:left="480" w:top="274" w:right="499" w:bottom="1440" w:gutter="0" w:footer="0" w:header="0"/>
        </w:sectPr>
      </w:pPr>
    </w:p>
    <w:bookmarkStart w:id="190" w:name="page191"/>
    <w:bookmarkEnd w:id="19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Joining Party has caused this Joinder to be duly executed as of the date first above written.</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[NEW SUBSIDIARY GUARANTOR]</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Acknowledged 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G-18</w:t>
      </w:r>
    </w:p>
    <w:p>
      <w:pPr>
        <w:sectPr>
          <w:pgSz w:w="11900" w:h="16838" w:orient="portrait"/>
          <w:cols w:equalWidth="0" w:num="1">
            <w:col w:w="10019"/>
          </w:cols>
          <w:pgMar w:left="440" w:top="274" w:right="1440" w:bottom="1440" w:gutter="0" w:footer="0" w:header="0"/>
        </w:sectPr>
      </w:pPr>
    </w:p>
    <w:bookmarkStart w:id="191" w:name="page192"/>
    <w:bookmarkEnd w:id="191"/>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2.02</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[FORM OF]</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COMMITTED LOAN NOTICE</w:t>
      </w:r>
    </w:p>
    <w:p>
      <w:pPr>
        <w:spacing w:after="0" w:line="211" w:lineRule="exact"/>
        <w:rPr>
          <w:sz w:val="20"/>
          <w:szCs w:val="20"/>
          <w:color w:val="auto"/>
        </w:rPr>
      </w:pPr>
    </w:p>
    <w:p>
      <w:pPr>
        <w:ind w:left="9584"/>
        <w:spacing w:after="0"/>
        <w:tabs>
          <w:tab w:leader="none" w:pos="10504"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6338570</wp:posOffset>
            </wp:positionH>
            <wp:positionV relativeFrom="paragraph">
              <wp:posOffset>-10160</wp:posOffset>
            </wp:positionV>
            <wp:extent cx="3429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-10160</wp:posOffset>
            </wp:positionV>
            <wp:extent cx="1143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Bank of America, N.A., as Administrative Agent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Reference is made to that certain Third Amended and Restated Credit Agreement, dated as of June 23, 2021 (as amended, restated, extended, supplemented or otherwise modified in writing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terms defined therein being used herein as therein defined), among Analog Devices, Inc., a Massachusetts corporation (the “Company”), the Designated Borrowers party thereto, the Lenders from time to time party thereto and Bank of America, N.A., as Administrative Agent, Swing Line Lender and an L/C Issuer.</w:t>
      </w:r>
    </w:p>
    <w:p>
      <w:pPr>
        <w:spacing w:after="0" w:line="77" w:lineRule="exact"/>
        <w:rPr>
          <w:sz w:val="20"/>
          <w:szCs w:val="20"/>
          <w:color w:val="auto"/>
        </w:rPr>
      </w:pPr>
    </w:p>
    <w:p>
      <w:pPr>
        <w:ind w:left="424" w:hanging="424"/>
        <w:spacing w:after="0"/>
        <w:tabs>
          <w:tab w:leader="none" w:pos="42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[Company][applicable Designated Borrower] hereby requests (select one):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 Borrowing of Committed Loans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 conversion of Committed Loans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 continuation of Committed Loans for [Eurocurrency Rate Loans][Alternative Currency Term Rate Loans]</w:t>
      </w:r>
    </w:p>
    <w:p>
      <w:pPr>
        <w:spacing w:after="0" w:line="11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2.</w:t>
            </w:r>
          </w:p>
        </w:tc>
        <w:tc>
          <w:tcPr>
            <w:tcW w:w="360" w:type="dxa"/>
            <w:vAlign w:val="bottom"/>
          </w:tcPr>
          <w:p>
            <w:pPr>
              <w:ind w:left="140"/>
              <w:spacing w:after="0"/>
              <w:rPr>
                <w:sz w:val="20"/>
                <w:szCs w:val="20"/>
                <w:color w:val="auto"/>
              </w:rPr>
            </w:pPr>
            <w:r>
              <w:rPr>
                <w:rFonts w:ascii="Arial" w:cs="Arial" w:eastAsia="Arial" w:hAnsi="Arial"/>
                <w:sz w:val="18"/>
                <w:szCs w:val="18"/>
                <w:color w:val="auto"/>
                <w:w w:val="83"/>
              </w:rPr>
              <w:t>On</w:t>
            </w:r>
          </w:p>
        </w:tc>
        <w:tc>
          <w:tcPr>
            <w:tcW w:w="720" w:type="dxa"/>
            <w:vAlign w:val="bottom"/>
            <w:tcBorders>
              <w:bottom w:val="single" w:sz="8" w:color="auto"/>
            </w:tcBorders>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 20</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(a Business Day).</w:t>
            </w:r>
          </w:p>
        </w:tc>
        <w:tc>
          <w:tcPr>
            <w:tcW w:w="40" w:type="dxa"/>
            <w:vAlign w:val="bottom"/>
          </w:tcPr>
          <w:p>
            <w:pPr>
              <w:spacing w:after="0"/>
              <w:rPr>
                <w:sz w:val="17"/>
                <w:szCs w:val="17"/>
                <w:color w:val="auto"/>
              </w:rPr>
            </w:pPr>
          </w:p>
        </w:tc>
      </w:tr>
      <w:tr>
        <w:trPr>
          <w:trHeight w:val="318"/>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3.</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w w:val="90"/>
              </w:rPr>
              <w:t>In the amount of $</w:t>
            </w:r>
          </w:p>
        </w:tc>
        <w:tc>
          <w:tcPr>
            <w:tcW w:w="164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4.</w:t>
            </w:r>
          </w:p>
        </w:tc>
        <w:tc>
          <w:tcPr>
            <w:tcW w:w="2040" w:type="dxa"/>
            <w:vAlign w:val="bottom"/>
            <w:gridSpan w:val="5"/>
          </w:tcPr>
          <w:p>
            <w:pPr>
              <w:ind w:left="140"/>
              <w:spacing w:after="0"/>
              <w:rPr>
                <w:sz w:val="20"/>
                <w:szCs w:val="20"/>
                <w:color w:val="auto"/>
              </w:rPr>
            </w:pPr>
            <w:r>
              <w:rPr>
                <w:rFonts w:ascii="Arial" w:cs="Arial" w:eastAsia="Arial" w:hAnsi="Arial"/>
                <w:sz w:val="18"/>
                <w:szCs w:val="18"/>
                <w:color w:val="auto"/>
                <w:w w:val="94"/>
              </w:rPr>
              <w:t>In the following currency:</w:t>
            </w:r>
          </w:p>
        </w:tc>
        <w:tc>
          <w:tcPr>
            <w:tcW w:w="108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134" w:lineRule="exact"/>
        <w:rPr>
          <w:sz w:val="20"/>
          <w:szCs w:val="20"/>
          <w:color w:val="auto"/>
        </w:rPr>
      </w:pPr>
    </w:p>
    <w:p>
      <w:pPr>
        <w:ind w:left="424" w:right="280" w:hanging="424"/>
        <w:spacing w:after="0" w:line="277" w:lineRule="auto"/>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Type of Committed Loan requested or to which existing Committed Loans are to be converted or continued (for Eurocurrency Rate Loans and Alternative Currency Term Rate Loans):</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Base Rate Loan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Eurocurrency Rate Loan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Alternative Currency Daily Rate Loan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Alternative Currency Term Rate Loan</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For [Eurocurrency Rate Loans][Alternative Currency Term Rate Loans]: with an Interest Period of month[s].</w:t>
      </w:r>
      <w:r>
        <w:rPr>
          <w:rFonts w:ascii="Arial" w:cs="Arial" w:eastAsia="Arial" w:hAnsi="Arial"/>
          <w:sz w:val="15"/>
          <w:szCs w:val="15"/>
          <w:color w:val="auto"/>
        </w:rPr>
        <w:t>1</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23"/>
        </w:numPr>
        <w:rPr>
          <w:rFonts w:ascii="Arial" w:cs="Arial" w:eastAsia="Arial" w:hAnsi="Arial"/>
          <w:sz w:val="15"/>
          <w:szCs w:val="15"/>
          <w:color w:val="auto"/>
        </w:rPr>
      </w:pPr>
      <w:r>
        <w:rPr>
          <w:rFonts w:ascii="Arial" w:cs="Arial" w:eastAsia="Arial" w:hAnsi="Arial"/>
          <w:sz w:val="18"/>
          <w:szCs w:val="18"/>
          <w:color w:val="auto"/>
        </w:rPr>
        <w:t>One, two, three or six months or, if consented to by all the Lenders, any other period of twelve months or less.</w:t>
      </w:r>
    </w:p>
    <w:p>
      <w:pPr>
        <w:sectPr>
          <w:pgSz w:w="11900" w:h="16838" w:orient="portrait"/>
          <w:cols w:equalWidth="0" w:num="1">
            <w:col w:w="10964"/>
          </w:cols>
          <w:pgMar w:left="436" w:top="270" w:right="499" w:bottom="1440" w:gutter="0" w:footer="0" w:header="0"/>
        </w:sectPr>
      </w:pPr>
    </w:p>
    <w:bookmarkStart w:id="192" w:name="page193"/>
    <w:bookmarkEnd w:id="192"/>
    <w:p>
      <w:pPr>
        <w:ind w:right="3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Committed Borrowing, if any, requested herein complies with (a) the provisos contained in the first sentence of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of the Credit Agreement and (b) each of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of the Credit Agreement as of the date of such Committed Borrowing.</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Massachusetts corporation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[APPLICABLE DESIGNATED BORROWER NAME,</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jurisdiction and type of organization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600"/>
          </w:cols>
          <w:pgMar w:left="440" w:top="274" w:right="859" w:bottom="1440" w:gutter="0" w:footer="0" w:header="0"/>
        </w:sectPr>
      </w:pPr>
    </w:p>
    <w:bookmarkStart w:id="193" w:name="page194"/>
    <w:bookmarkEnd w:id="193"/>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2.04</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[FORM OF]</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SWING LINE LOAN NOTICE</w:t>
      </w:r>
    </w:p>
    <w:p>
      <w:pPr>
        <w:spacing w:after="0" w:line="211" w:lineRule="exact"/>
        <w:rPr>
          <w:sz w:val="20"/>
          <w:szCs w:val="20"/>
          <w:color w:val="auto"/>
        </w:rPr>
      </w:pPr>
    </w:p>
    <w:p>
      <w:pPr>
        <w:ind w:left="9644"/>
        <w:spacing w:after="0"/>
        <w:tabs>
          <w:tab w:leader="none" w:pos="10544"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-10160</wp:posOffset>
            </wp:positionV>
            <wp:extent cx="3429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-10160</wp:posOffset>
            </wp:positionV>
            <wp:extent cx="1143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3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To:</w:t>
        <w:tab/>
        <w:t>Bank of America, N.A., as Swing Line Lender</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Bank of America, N.A., as Administrative Agent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Reference is made to that certain Third Amended and Restated Credit Agreement, dated as of June 23, 2021 (as amended, restated, extended, supplemented or otherwise modified in writing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terms defined therein being used herein as therein defined), among Analog Devices, Inc., a Massachusetts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Designated Borrowers party thereto, the Lenders from time to time party thereto and Bank of America, N.A., as Administrative Agent, Swing Line Lender and an L/C Issuer.</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hereby requests a Swing Line Loan:</w:t>
      </w:r>
    </w:p>
    <w:p>
      <w:pPr>
        <w:spacing w:after="0" w:line="131" w:lineRule="exact"/>
        <w:rPr>
          <w:sz w:val="20"/>
          <w:szCs w:val="20"/>
          <w:color w:val="auto"/>
        </w:rPr>
      </w:pPr>
    </w:p>
    <w:p>
      <w:pPr>
        <w:ind w:left="424" w:hanging="424"/>
        <w:spacing w:after="0"/>
        <w:tabs>
          <w:tab w:leader="none" w:pos="42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On , 20 (a Business Day).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the amount of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-224790</wp:posOffset>
            </wp:positionV>
            <wp:extent cx="2857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1118235</wp:posOffset>
            </wp:positionH>
            <wp:positionV relativeFrom="paragraph">
              <wp:posOffset>-10160</wp:posOffset>
            </wp:positionV>
            <wp:extent cx="285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 xml:space="preserve">The Swing Line Borrowing requested herein complies with (a) the provisos contained in the first sentence of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of the Credit Agreement and (b) each of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of the Credit Agreement as of the date of such Swing Line Borrowing.</w:t>
      </w:r>
    </w:p>
    <w:p>
      <w:pPr>
        <w:spacing w:after="0" w:line="173"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ANALOG DEVICES, INC., a Massachusetts corporation</w:t>
      </w:r>
    </w:p>
    <w:p>
      <w:pPr>
        <w:spacing w:after="0" w:line="23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64"/>
          </w:cols>
          <w:pgMar w:left="436" w:top="270" w:right="49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w:t>
      </w:r>
    </w:p>
    <w:p>
      <w:pPr>
        <w:spacing w:after="0" w:line="211" w:lineRule="exact"/>
        <w:rPr>
          <w:sz w:val="20"/>
          <w:szCs w:val="20"/>
          <w:color w:val="auto"/>
        </w:rPr>
      </w:pPr>
    </w:p>
    <w:p>
      <w:pPr>
        <w:ind w:left="9640"/>
        <w:spacing w:after="0"/>
        <w:tabs>
          <w:tab w:leader="none" w:pos="10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6363970</wp:posOffset>
            </wp:positionH>
            <wp:positionV relativeFrom="paragraph">
              <wp:posOffset>-10160</wp:posOffset>
            </wp:positionV>
            <wp:extent cx="3429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6878320</wp:posOffset>
            </wp:positionH>
            <wp:positionV relativeFrom="paragraph">
              <wp:posOffset>-10160</wp:posOffset>
            </wp:positionV>
            <wp:extent cx="1143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FOR VALUE RECEIVED, [insert name of applicable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hereby promises to pay to [_______] or its registered assigns (the</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in accordance with the provisions of the Credit Agreement (as hereinafter defined), the principal amount of each Loan from time to time made by the Lender to the Borrower under that certain Third Amended and Restated Credit Agreement, dated as of June 23, 2021 (as amended, restated, extended, supplemented or otherwise modified in writing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terms defined therein being used herein as therein defined), among Analog Devices, Inc., a Massachusetts corporation, the Designated Borrowers party thereto, the Lenders from time to time party thereto, and Bank of America, N.A., as Administrative Agent, Swing Line Lender and an L/C Issuer.</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Borrower promises to pay interest on the unpaid principal amount of each Loan from the date of such Loan until such principal amount is paid in full, at the interest rates and at the times provided in the Credit Agreement. Except as otherwise provided in </w:t>
      </w:r>
      <w:r>
        <w:rPr>
          <w:rFonts w:ascii="Arial" w:cs="Arial" w:eastAsia="Arial" w:hAnsi="Arial"/>
          <w:sz w:val="17"/>
          <w:szCs w:val="17"/>
          <w:u w:val="single" w:color="auto"/>
          <w:color w:val="auto"/>
        </w:rPr>
        <w:t>Section 2.04(f)</w:t>
      </w:r>
      <w:r>
        <w:rPr>
          <w:rFonts w:ascii="Arial" w:cs="Arial" w:eastAsia="Arial" w:hAnsi="Arial"/>
          <w:sz w:val="17"/>
          <w:szCs w:val="17"/>
          <w:color w:val="auto"/>
        </w:rPr>
        <w:t xml:space="preserve"> of the Credit Agreement with respect to Swing Line Loans, all payments of principal and interest shall be made to the Administrative Agent for the account of the Lender in the currency in which such Loan was denominated and in Same Day Funds at the Administrative Agent’s Office for such currency.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Note is one of the Notes referred to in the Credit Agreement, is entitled to the benefits thereof and may be prepaid in whole or in part subject to the terms and conditions provided therein. Upon the occurrence and continuation of one or more of the Events of Default specified in the Credit Agreement, all amounts then remaining unpaid on this Note shall become, or may be declared to be, immediately due and payable all as provided in the Credit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Note.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00"/>
          </w:cols>
          <w:pgMar w:left="440" w:top="270" w:right="459" w:bottom="1440" w:gutter="0" w:footer="0" w:header="0"/>
        </w:sectPr>
      </w:pPr>
    </w:p>
    <w:bookmarkStart w:id="195" w:name="page196"/>
    <w:bookmarkEnd w:id="19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NOTE SHALL BE GOVERNED BY AND CONSTRUED IN ACCORDANCE WITH THE LAWS OF THE STATE OF NEW YORK.</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Massachusetts corporation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[APPLICABLE DESIGNATED BORROWER NAME,</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jurisdiction and type of organization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600"/>
          </w:cols>
          <w:pgMar w:left="440" w:top="274" w:right="85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0" w:type="dxa"/>
            <w:vAlign w:val="bottom"/>
          </w:tcPr>
          <w:p>
            <w:pPr>
              <w:jc w:val="center"/>
              <w:ind w:right="4530"/>
              <w:spacing w:after="0"/>
              <w:rPr>
                <w:sz w:val="20"/>
                <w:szCs w:val="20"/>
                <w:color w:val="auto"/>
              </w:rPr>
            </w:pPr>
            <w:r>
              <w:rPr>
                <w:rFonts w:ascii="Arial" w:cs="Arial" w:eastAsia="Arial" w:hAnsi="Arial"/>
                <w:sz w:val="18"/>
                <w:szCs w:val="18"/>
                <w:b w:val="1"/>
                <w:bCs w:val="1"/>
                <w:color w:val="auto"/>
              </w:rPr>
              <w:t>EXHIBIT 2.18(a)</w:t>
            </w:r>
          </w:p>
        </w:tc>
      </w:tr>
      <w:tr>
        <w:trPr>
          <w:trHeight w:val="216"/>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0" w:type="dxa"/>
            <w:vAlign w:val="bottom"/>
          </w:tcPr>
          <w:p>
            <w:pPr>
              <w:jc w:val="center"/>
              <w:ind w:right="4550"/>
              <w:spacing w:after="0"/>
              <w:rPr>
                <w:sz w:val="20"/>
                <w:szCs w:val="20"/>
                <w:color w:val="auto"/>
              </w:rPr>
            </w:pPr>
            <w:r>
              <w:rPr>
                <w:rFonts w:ascii="Arial" w:cs="Arial" w:eastAsia="Arial" w:hAnsi="Arial"/>
                <w:sz w:val="18"/>
                <w:szCs w:val="18"/>
                <w:b w:val="1"/>
                <w:bCs w:val="1"/>
                <w:color w:val="auto"/>
              </w:rPr>
              <w:t>[FORM OF]</w:t>
            </w:r>
          </w:p>
        </w:tc>
      </w:tr>
      <w:tr>
        <w:trPr>
          <w:trHeight w:val="234"/>
        </w:trPr>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900" w:type="dxa"/>
            <w:vAlign w:val="bottom"/>
            <w:gridSpan w:val="7"/>
          </w:tcPr>
          <w:p>
            <w:pPr>
              <w:jc w:val="center"/>
              <w:ind w:right="2050"/>
              <w:spacing w:after="0"/>
              <w:rPr>
                <w:sz w:val="20"/>
                <w:szCs w:val="20"/>
                <w:color w:val="auto"/>
              </w:rPr>
            </w:pPr>
            <w:r>
              <w:rPr>
                <w:rFonts w:ascii="Arial" w:cs="Arial" w:eastAsia="Arial" w:hAnsi="Arial"/>
                <w:sz w:val="18"/>
                <w:szCs w:val="18"/>
                <w:b w:val="1"/>
                <w:bCs w:val="1"/>
                <w:color w:val="auto"/>
                <w:w w:val="99"/>
              </w:rPr>
              <w:t>DESIGNATED BORROWER REQUEST AND ASSUMPTION AGREEMENT</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TO:</w:t>
            </w:r>
          </w:p>
        </w:tc>
        <w:tc>
          <w:tcPr>
            <w:tcW w:w="9980" w:type="dxa"/>
            <w:vAlign w:val="bottom"/>
            <w:gridSpan w:val="8"/>
          </w:tcPr>
          <w:p>
            <w:pPr>
              <w:ind w:left="500"/>
              <w:spacing w:after="0"/>
              <w:rPr>
                <w:sz w:val="20"/>
                <w:szCs w:val="20"/>
                <w:color w:val="auto"/>
              </w:rPr>
            </w:pPr>
            <w:r>
              <w:rPr>
                <w:rFonts w:ascii="Arial" w:cs="Arial" w:eastAsia="Arial" w:hAnsi="Arial"/>
                <w:sz w:val="18"/>
                <w:szCs w:val="18"/>
                <w:color w:val="auto"/>
              </w:rPr>
              <w:t>Bank of America, N.A., as Administrative Agent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w:t>
            </w:r>
          </w:p>
        </w:tc>
        <w:tc>
          <w:tcPr>
            <w:tcW w:w="9980" w:type="dxa"/>
            <w:vAlign w:val="bottom"/>
            <w:gridSpan w:val="8"/>
          </w:tcPr>
          <w:p>
            <w:pPr>
              <w:ind w:left="500"/>
              <w:spacing w:after="0"/>
              <w:rPr>
                <w:sz w:val="20"/>
                <w:szCs w:val="20"/>
                <w:color w:val="auto"/>
              </w:rPr>
            </w:pPr>
            <w:r>
              <w:rPr>
                <w:rFonts w:ascii="Arial" w:cs="Arial" w:eastAsia="Arial" w:hAnsi="Arial"/>
                <w:sz w:val="18"/>
                <w:szCs w:val="18"/>
                <w:color w:val="auto"/>
              </w:rPr>
              <w:t>Third Amendment and Restated Credit Agreement, dated as of June 23, 2021, by and among Analog Devices, Inc., a</w:t>
            </w:r>
          </w:p>
        </w:tc>
      </w:tr>
      <w:tr>
        <w:trPr>
          <w:trHeight w:val="190"/>
        </w:trPr>
        <w:tc>
          <w:tcPr>
            <w:tcW w:w="1040" w:type="dxa"/>
            <w:vAlign w:val="bottom"/>
          </w:tcPr>
          <w:p>
            <w:pPr>
              <w:spacing w:after="0"/>
              <w:rPr>
                <w:sz w:val="16"/>
                <w:szCs w:val="16"/>
                <w:color w:val="auto"/>
              </w:rPr>
            </w:pPr>
          </w:p>
        </w:tc>
        <w:tc>
          <w:tcPr>
            <w:tcW w:w="9980" w:type="dxa"/>
            <w:vAlign w:val="bottom"/>
            <w:gridSpan w:val="8"/>
          </w:tcPr>
          <w:p>
            <w:pPr>
              <w:ind w:left="500"/>
              <w:spacing w:after="0" w:line="190" w:lineRule="exact"/>
              <w:rPr>
                <w:sz w:val="20"/>
                <w:szCs w:val="20"/>
                <w:color w:val="auto"/>
              </w:rPr>
            </w:pPr>
            <w:r>
              <w:rPr>
                <w:rFonts w:ascii="Arial" w:cs="Arial" w:eastAsia="Arial" w:hAnsi="Arial"/>
                <w:sz w:val="18"/>
                <w:szCs w:val="18"/>
                <w:color w:val="auto"/>
                <w:w w:val="92"/>
              </w:rPr>
              <w:t>Massachusetts corporation (the “Company”), the Designated Borrowers party thereto, the Lenders and Bank of America, N.A., as</w:t>
            </w:r>
          </w:p>
        </w:tc>
      </w:tr>
      <w:tr>
        <w:trPr>
          <w:trHeight w:val="20"/>
        </w:trPr>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22"/>
        </w:trPr>
        <w:tc>
          <w:tcPr>
            <w:tcW w:w="1040" w:type="dxa"/>
            <w:vAlign w:val="bottom"/>
          </w:tcPr>
          <w:p>
            <w:pPr>
              <w:spacing w:after="0"/>
              <w:rPr>
                <w:sz w:val="19"/>
                <w:szCs w:val="19"/>
                <w:color w:val="auto"/>
              </w:rPr>
            </w:pPr>
          </w:p>
        </w:tc>
        <w:tc>
          <w:tcPr>
            <w:tcW w:w="9980" w:type="dxa"/>
            <w:vAlign w:val="bottom"/>
            <w:gridSpan w:val="8"/>
          </w:tcPr>
          <w:p>
            <w:pPr>
              <w:ind w:left="500"/>
              <w:spacing w:after="0"/>
              <w:rPr>
                <w:sz w:val="20"/>
                <w:szCs w:val="20"/>
                <w:color w:val="auto"/>
              </w:rPr>
            </w:pPr>
            <w:r>
              <w:rPr>
                <w:rFonts w:ascii="Arial" w:cs="Arial" w:eastAsia="Arial" w:hAnsi="Arial"/>
                <w:sz w:val="18"/>
                <w:szCs w:val="18"/>
                <w:color w:val="auto"/>
                <w:w w:val="90"/>
              </w:rPr>
              <w:t>Administrative Agent, Swing Line Lender and an L/C Issuer (as amended, modified, extended, restated, replaced, or supplemented</w:t>
            </w:r>
          </w:p>
        </w:tc>
      </w:tr>
      <w:tr>
        <w:trPr>
          <w:trHeight w:val="190"/>
        </w:trPr>
        <w:tc>
          <w:tcPr>
            <w:tcW w:w="1040" w:type="dxa"/>
            <w:vAlign w:val="bottom"/>
          </w:tcPr>
          <w:p>
            <w:pPr>
              <w:spacing w:after="0"/>
              <w:rPr>
                <w:sz w:val="16"/>
                <w:szCs w:val="16"/>
                <w:color w:val="auto"/>
              </w:rPr>
            </w:pPr>
          </w:p>
        </w:tc>
        <w:tc>
          <w:tcPr>
            <w:tcW w:w="9980" w:type="dxa"/>
            <w:vAlign w:val="bottom"/>
            <w:gridSpan w:val="8"/>
          </w:tcPr>
          <w:p>
            <w:pPr>
              <w:ind w:left="500"/>
              <w:spacing w:after="0" w:line="190" w:lineRule="exact"/>
              <w:rPr>
                <w:sz w:val="20"/>
                <w:szCs w:val="20"/>
                <w:color w:val="auto"/>
              </w:rPr>
            </w:pPr>
            <w:r>
              <w:rPr>
                <w:rFonts w:ascii="Arial" w:cs="Arial" w:eastAsia="Arial" w:hAnsi="Arial"/>
                <w:sz w:val="18"/>
                <w:szCs w:val="18"/>
                <w:color w:val="auto"/>
                <w:w w:val="93"/>
              </w:rPr>
              <w:t>from time to time, the “Credit Agreement”; capitalized terms used herein and not otherwise defined shall have the meanings set</w:t>
            </w:r>
          </w:p>
        </w:tc>
      </w:tr>
      <w:tr>
        <w:trPr>
          <w:trHeight w:val="20"/>
        </w:trPr>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r>
      <w:tr>
        <w:trPr>
          <w:trHeight w:val="222"/>
        </w:trPr>
        <w:tc>
          <w:tcPr>
            <w:tcW w:w="1040" w:type="dxa"/>
            <w:vAlign w:val="bottom"/>
          </w:tcPr>
          <w:p>
            <w:pPr>
              <w:spacing w:after="0"/>
              <w:rPr>
                <w:sz w:val="19"/>
                <w:szCs w:val="19"/>
                <w:color w:val="auto"/>
              </w:rPr>
            </w:pPr>
          </w:p>
        </w:tc>
        <w:tc>
          <w:tcPr>
            <w:tcW w:w="9980" w:type="dxa"/>
            <w:vAlign w:val="bottom"/>
            <w:gridSpan w:val="8"/>
          </w:tcPr>
          <w:p>
            <w:pPr>
              <w:ind w:left="500"/>
              <w:spacing w:after="0"/>
              <w:rPr>
                <w:sz w:val="20"/>
                <w:szCs w:val="20"/>
                <w:color w:val="auto"/>
              </w:rPr>
            </w:pPr>
            <w:r>
              <w:rPr>
                <w:rFonts w:ascii="Arial" w:cs="Arial" w:eastAsia="Arial" w:hAnsi="Arial"/>
                <w:sz w:val="18"/>
                <w:szCs w:val="18"/>
                <w:color w:val="auto"/>
              </w:rPr>
              <w:t>forth in the Credit Agreement)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9980" w:type="dxa"/>
            <w:vAlign w:val="bottom"/>
            <w:gridSpan w:val="8"/>
          </w:tcPr>
          <w:p>
            <w:pPr>
              <w:ind w:left="500"/>
              <w:spacing w:after="0"/>
              <w:rPr>
                <w:sz w:val="20"/>
                <w:szCs w:val="20"/>
                <w:color w:val="auto"/>
              </w:rPr>
            </w:pPr>
            <w:r>
              <w:rPr>
                <w:rFonts w:ascii="Arial" w:cs="Arial" w:eastAsia="Arial" w:hAnsi="Arial"/>
                <w:sz w:val="18"/>
                <w:szCs w:val="18"/>
                <w:color w:val="auto"/>
              </w:rPr>
              <w:t>[Date]</w:t>
            </w:r>
          </w:p>
        </w:tc>
      </w:tr>
      <w:tr>
        <w:trPr>
          <w:trHeight w:val="135"/>
        </w:trPr>
        <w:tc>
          <w:tcPr>
            <w:tcW w:w="10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0" w:type="dxa"/>
            <w:vAlign w:val="bottom"/>
            <w:tcBorders>
              <w:bottom w:val="single" w:sz="8" w:color="auto"/>
            </w:tcBorders>
          </w:tcPr>
          <w:p>
            <w:pPr>
              <w:spacing w:after="0"/>
              <w:rPr>
                <w:sz w:val="11"/>
                <w:szCs w:val="11"/>
                <w:color w:val="auto"/>
              </w:rPr>
            </w:pPr>
          </w:p>
        </w:tc>
      </w:tr>
      <w:tr>
        <w:trPr>
          <w:trHeight w:val="385"/>
        </w:trPr>
        <w:tc>
          <w:tcPr>
            <w:tcW w:w="1040" w:type="dxa"/>
            <w:vAlign w:val="bottom"/>
          </w:tcPr>
          <w:p>
            <w:pPr>
              <w:ind w:left="440"/>
              <w:spacing w:after="0"/>
              <w:rPr>
                <w:sz w:val="20"/>
                <w:szCs w:val="20"/>
                <w:color w:val="auto"/>
              </w:rPr>
            </w:pPr>
            <w:r>
              <w:rPr>
                <w:rFonts w:ascii="Arial" w:cs="Arial" w:eastAsia="Arial" w:hAnsi="Arial"/>
                <w:sz w:val="18"/>
                <w:szCs w:val="18"/>
                <w:color w:val="auto"/>
                <w:w w:val="94"/>
              </w:rPr>
              <w:t>Each of</w:t>
            </w:r>
          </w:p>
        </w:tc>
        <w:tc>
          <w:tcPr>
            <w:tcW w:w="1080" w:type="dxa"/>
            <w:vAlign w:val="bottom"/>
          </w:tcPr>
          <w:p>
            <w:pPr>
              <w:spacing w:after="0"/>
              <w:rPr>
                <w:sz w:val="24"/>
                <w:szCs w:val="24"/>
                <w:color w:val="auto"/>
              </w:rPr>
            </w:pPr>
          </w:p>
        </w:tc>
        <w:tc>
          <w:tcPr>
            <w:tcW w:w="8900" w:type="dxa"/>
            <w:vAlign w:val="bottom"/>
            <w:gridSpan w:val="7"/>
          </w:tcPr>
          <w:p>
            <w:pPr>
              <w:ind w:left="40"/>
              <w:spacing w:after="0"/>
              <w:rPr>
                <w:sz w:val="20"/>
                <w:szCs w:val="20"/>
                <w:color w:val="auto"/>
              </w:rPr>
            </w:pPr>
            <w:r>
              <w:rPr>
                <w:rFonts w:ascii="Arial" w:cs="Arial" w:eastAsia="Arial" w:hAnsi="Arial"/>
                <w:sz w:val="18"/>
                <w:szCs w:val="18"/>
                <w:color w:val="auto"/>
                <w:w w:val="91"/>
              </w:rPr>
              <w:t>(the “Designated Borrower”) and the Company hereby confirms, represents and warrants to the Administrative Agent and</w:t>
            </w: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Lenders that the Designated Borrower is a Subsidiary of the Company.</w:t>
      </w:r>
    </w:p>
    <w:p>
      <w:pPr>
        <w:spacing w:after="0" w:line="225"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 xml:space="preserve">The documents required to be delivered to the Administrative Agent under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of the Credit Agreement will be furnished to the Administrative Agent in accordance with the requirements of the Credit Agreement.</w:t>
      </w:r>
    </w:p>
    <w:p>
      <w:pPr>
        <w:spacing w:after="0" w:line="170" w:lineRule="exact"/>
        <w:rPr>
          <w:sz w:val="20"/>
          <w:szCs w:val="20"/>
          <w:color w:val="auto"/>
        </w:rPr>
      </w:pPr>
    </w:p>
    <w:p>
      <w:pPr>
        <w:ind w:right="220" w:firstLine="440"/>
        <w:spacing w:after="0" w:line="254" w:lineRule="auto"/>
        <w:rPr>
          <w:sz w:val="20"/>
          <w:szCs w:val="20"/>
          <w:color w:val="auto"/>
        </w:rPr>
      </w:pPr>
      <w:r>
        <w:rPr>
          <w:rFonts w:ascii="Arial" w:cs="Arial" w:eastAsia="Arial" w:hAnsi="Arial"/>
          <w:sz w:val="18"/>
          <w:szCs w:val="18"/>
          <w:color w:val="auto"/>
        </w:rPr>
        <w:t>The parties hereto hereby confirm that, with effect from the effective date set forth in the Designated Borrower Notice for the Designated Borrower, except as expressly set forth in the Credit Agreement, the Designated Borrower shall have obligations, duties and liabilities toward each of the other parties to the Credit Agreement identical to those which the Designated Borrower would have had if the Designated Borrower had been an original party to the Credit Agreement as a Borrower, except that, in all cases, the Designated Borrower’s obligation under the Credit Agreement shall be several and not joint. Effective as of the effective date set forth in the Designated Borrower Notice for the Designated Borrower, the Designated Borrower hereby ratifies, and agrees to be bound by, all representations and warranties, covenants, and other terms, conditions and provisions of the Credit Agreement and the other applicable Loan Documents, in each case, solely to the extent the same relate to a Subsidiary of the Company or a Borrower.</w:t>
      </w:r>
    </w:p>
    <w:p>
      <w:pPr>
        <w:spacing w:after="0" w:line="192"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 xml:space="preserve">The parties hereto hereby request that the Designated Borrower be entitled to receive Committed Loans under the Credit Agreement, and understand, acknowledge and agree that neither the Designated Borrower nor the Company on its behalf shall have any right to request any Committed Loans for its account unless and until the date five (5) Business Days after the effective date designated by the Administrative Agent in a Designated Borrower Notice delivered to the Company and the Lenders pursuant to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of the Credit Agreement.</w:t>
      </w:r>
    </w:p>
    <w:p>
      <w:pPr>
        <w:spacing w:after="0" w:line="17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In connection with the foregoing, the Designated Borrower and the Company hereby agree as follows with the Administrative Agent, for the benefit of the Lenders:</w:t>
      </w:r>
    </w:p>
    <w:p>
      <w:pPr>
        <w:spacing w:after="0" w:line="62" w:lineRule="exact"/>
        <w:rPr>
          <w:sz w:val="20"/>
          <w:szCs w:val="20"/>
          <w:color w:val="auto"/>
        </w:rPr>
      </w:pPr>
    </w:p>
    <w:p>
      <w:pPr>
        <w:ind w:right="460" w:firstLine="436"/>
        <w:spacing w:after="0" w:line="263" w:lineRule="auto"/>
        <w:tabs>
          <w:tab w:leader="none" w:pos="6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The Designated Borrower acknowledges and confirms that it has received a copy of the Credit Agreement and the schedules and exhibits thereto. The information on the schedules to the Credit Agreement is hereby supplemented (to the extent permitted under the Credit Agreement) to reflect the information shown on 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197" w:name="page198"/>
    <w:bookmarkEnd w:id="197"/>
    <w:p>
      <w:pPr>
        <w:jc w:val="both"/>
        <w:ind w:left="-420" w:right="80" w:firstLine="436"/>
        <w:spacing w:after="0" w:line="259" w:lineRule="auto"/>
        <w:tabs>
          <w:tab w:leader="none" w:pos="2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confirms that the Credit Agreement is, and upon the Designated Borrower becoming a party thereto, shall continue to be, in full force and effect. The parties hereto confirm and agree that immediately upon the Designated Borrower becoming a Borrower, subject to the provisions of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of the Credit Agreement, the term “Obligations,” as used in the Credit Agreement, shall include all obligations of the Designated Borrower under the Credit Agreement and under each other Loan Document.</w:t>
      </w:r>
    </w:p>
    <w:p>
      <w:pPr>
        <w:spacing w:after="0" w:line="78" w:lineRule="exact"/>
        <w:rPr>
          <w:rFonts w:ascii="Arial" w:cs="Arial" w:eastAsia="Arial" w:hAnsi="Arial"/>
          <w:sz w:val="18"/>
          <w:szCs w:val="18"/>
          <w:color w:val="auto"/>
        </w:rPr>
      </w:pPr>
    </w:p>
    <w:p>
      <w:pPr>
        <w:ind w:left="-420" w:right="140" w:firstLine="436"/>
        <w:spacing w:after="0" w:line="259" w:lineRule="auto"/>
        <w:tabs>
          <w:tab w:leader="none" w:pos="2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Each of the Company and the Designated Borrower agrees that at any time and from time to time, upon the written request of the Administrative Agent, it will execute and deliver such further documents and do such further acts as the Administrative Agent may reasonably request in accordance with the terms and conditions of the Credit Agreement and the other Loan Documents in order to effect the purposes of this Designated Borrower Request and Assumption Agreement.</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 The Designated Borrower represents and warrants to the Administrative Agent and the Lenders that:</w:t>
      </w:r>
    </w:p>
    <w:p>
      <w:pPr>
        <w:spacing w:after="0" w:line="117" w:lineRule="exact"/>
        <w:rPr>
          <w:sz w:val="20"/>
          <w:szCs w:val="20"/>
          <w:color w:val="auto"/>
        </w:rPr>
      </w:pPr>
    </w:p>
    <w:p>
      <w:pPr>
        <w:ind w:left="20" w:firstLine="419"/>
        <w:spacing w:after="0" w:line="272" w:lineRule="auto"/>
        <w:tabs>
          <w:tab w:leader="none" w:pos="688" w:val="left"/>
        </w:tabs>
        <w:numPr>
          <w:ilvl w:val="1"/>
          <w:numId w:val="227"/>
        </w:numPr>
        <w:rPr>
          <w:rFonts w:ascii="Arial" w:cs="Arial" w:eastAsia="Arial" w:hAnsi="Arial"/>
          <w:sz w:val="17"/>
          <w:szCs w:val="17"/>
          <w:color w:val="auto"/>
        </w:rPr>
      </w:pPr>
      <w:r>
        <w:rPr>
          <w:rFonts w:ascii="Arial" w:cs="Arial" w:eastAsia="Arial" w:hAnsi="Arial"/>
          <w:sz w:val="17"/>
          <w:szCs w:val="17"/>
          <w:color w:val="auto"/>
        </w:rPr>
        <w:t>The Designated Borrower is subject to civil and commercial Laws with respect to its obligations under this Agreement and the other Loan Documents to which it is a party (collectively as to the Designated Borrower, the “</w:t>
      </w:r>
      <w:r>
        <w:rPr>
          <w:rFonts w:ascii="Arial" w:cs="Arial" w:eastAsia="Arial" w:hAnsi="Arial"/>
          <w:sz w:val="17"/>
          <w:szCs w:val="17"/>
          <w:u w:val="single" w:color="auto"/>
          <w:color w:val="auto"/>
        </w:rPr>
        <w:t>Applicable Designated Borrower Documents</w:t>
      </w:r>
      <w:r>
        <w:rPr>
          <w:rFonts w:ascii="Arial" w:cs="Arial" w:eastAsia="Arial" w:hAnsi="Arial"/>
          <w:sz w:val="17"/>
          <w:szCs w:val="17"/>
          <w:color w:val="auto"/>
        </w:rPr>
        <w:t>”), and the execution, delivery and performance by the Designated Borrower of the Applicable Designated Borrower Documents constitute and will constitute private and commercial acts and not public or governmental acts. Neither the Designated Borrower nor any of its property has any immunity from jurisdiction of any court or from any legal process (whether through service or notice, attachment prior to judgment, attachment in aid of execution, execution or otherwise) under the laws of the jurisdiction in which the Designated Borrower is organized and existing in respect of its obligations under the Applicable Designated Borrower Documents.</w:t>
      </w:r>
    </w:p>
    <w:p>
      <w:pPr>
        <w:spacing w:after="0" w:line="69" w:lineRule="exact"/>
        <w:rPr>
          <w:rFonts w:ascii="Arial" w:cs="Arial" w:eastAsia="Arial" w:hAnsi="Arial"/>
          <w:sz w:val="17"/>
          <w:szCs w:val="17"/>
          <w:color w:val="auto"/>
        </w:rPr>
      </w:pPr>
    </w:p>
    <w:p>
      <w:pPr>
        <w:ind w:left="20" w:right="120" w:firstLine="419"/>
        <w:spacing w:after="0" w:line="289" w:lineRule="auto"/>
        <w:tabs>
          <w:tab w:leader="none" w:pos="698"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The Applicable Designated Borrower Documents are in proper legal form under the Laws of the jurisdiction in which the Designated Borrower is organized and existing for the enforcement thereof against the Designated Borrower under the Laws of such jurisdiction, and to ensure the legality, validity, enforceability, priority or admissibility in evidence of the Applicable Designated Borrower Documents. It is not necessary to ensure the legality, validity, enforceability, priority or admissibility in evidence of the Applicable Designated Borrower Documents that the Applicable Designated Borrower Documents be filed, registered or recorded with, or executed or notarized before, any court or other authority in the jurisdiction in which the Designated Borrower is organized and existing or that any registration charge or stamp or similar tax be paid on or in respect of the Applicable Designated Borrower Documents or any other document, except for (i) any such filing, registration, recording, execution or notarization as has been made or is not required to be made until the Applicable Designated Borrower Document or any other document is sought to be enforced and (ii) any charge or tax as has been timely paid.</w:t>
      </w:r>
    </w:p>
    <w:p>
      <w:pPr>
        <w:spacing w:after="0" w:line="58" w:lineRule="exact"/>
        <w:rPr>
          <w:rFonts w:ascii="Arial" w:cs="Arial" w:eastAsia="Arial" w:hAnsi="Arial"/>
          <w:sz w:val="16"/>
          <w:szCs w:val="16"/>
          <w:color w:val="auto"/>
        </w:rPr>
      </w:pPr>
    </w:p>
    <w:p>
      <w:pPr>
        <w:jc w:val="both"/>
        <w:ind w:left="20" w:right="80" w:firstLine="419"/>
        <w:spacing w:after="0" w:line="301" w:lineRule="auto"/>
        <w:tabs>
          <w:tab w:leader="none" w:pos="688"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The execution, delivery and performance of the Applicable Designated Borrower Documents executed by the Designated Borrower are, under applicable foreign exchange control regulations of the jurisdiction in which the Designated Borrower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r>
        <w:rPr>
          <w:rFonts w:ascii="Arial" w:cs="Arial" w:eastAsia="Arial" w:hAnsi="Arial"/>
          <w:sz w:val="13"/>
          <w:szCs w:val="13"/>
          <w:color w:val="auto"/>
        </w:rPr>
        <w:t>1</w:t>
      </w:r>
    </w:p>
    <w:p>
      <w:pPr>
        <w:spacing w:after="0" w:line="130" w:lineRule="exact"/>
        <w:rPr>
          <w:rFonts w:ascii="Arial" w:cs="Arial" w:eastAsia="Arial" w:hAnsi="Arial"/>
          <w:sz w:val="16"/>
          <w:szCs w:val="16"/>
          <w:color w:val="auto"/>
        </w:rPr>
      </w:pPr>
    </w:p>
    <w:p>
      <w:pPr>
        <w:ind w:right="220" w:hanging="432"/>
        <w:spacing w:after="0" w:line="277" w:lineRule="auto"/>
        <w:rPr>
          <w:rFonts w:ascii="Arial" w:cs="Arial" w:eastAsia="Arial" w:hAnsi="Arial"/>
          <w:sz w:val="16"/>
          <w:szCs w:val="16"/>
          <w:color w:val="auto"/>
        </w:rPr>
      </w:pPr>
      <w:r>
        <w:rPr>
          <w:rFonts w:ascii="Arial" w:cs="Arial" w:eastAsia="Arial" w:hAnsi="Arial"/>
          <w:sz w:val="15"/>
          <w:szCs w:val="15"/>
          <w:color w:val="auto"/>
        </w:rPr>
        <w:t>1</w:t>
      </w:r>
      <w:r>
        <w:rPr>
          <w:rFonts w:ascii="Arial" w:cs="Arial" w:eastAsia="Arial" w:hAnsi="Arial"/>
          <w:sz w:val="18"/>
          <w:szCs w:val="18"/>
          <w:color w:val="auto"/>
        </w:rPr>
        <w:t>To be included if the Designated Borrower is a Foreign Borrower and to be updated pursuant to the requirements of the jurisdiction where such Designated Borrower is organized.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-327660</wp:posOffset>
            </wp:positionV>
            <wp:extent cx="7715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540"/>
          </w:cols>
          <w:pgMar w:left="860" w:top="274" w:right="499" w:bottom="1440" w:gutter="0" w:footer="0" w:header="0"/>
        </w:sectPr>
      </w:pPr>
    </w:p>
    <w:bookmarkStart w:id="198" w:name="page199"/>
    <w:bookmarkEnd w:id="19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Designated Borrower Request and Assumption Agreement shall constitute a Loan Document under the Credit Agreement.</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THIS DESIGNATED BORROWER REQUEST AND ASSUMPTION AGREEMENT SHALL BE GOVERNED BY, AND CONSTRUED AND ENFORCED IN ACCORDANCE WITH, THE LAWS</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OF THE STATE OF NEW YORK. The terms of </w:t>
      </w:r>
      <w:r>
        <w:rPr>
          <w:rFonts w:ascii="Arial" w:cs="Arial" w:eastAsia="Arial" w:hAnsi="Arial"/>
          <w:sz w:val="18"/>
          <w:szCs w:val="18"/>
          <w:u w:val="single" w:color="auto"/>
          <w:color w:val="auto"/>
        </w:rPr>
        <w:t>Sections 10.14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of the Credit Agreement are incorporated herein by reference, mutatis mutandis, and the parties hereto agree to such terms.</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This Designated Borrower Request and Assumption Agreement may be executed in any number of counterparts, which together shall constitute one instrument. Delivery of an executed counterpart of a signature page of this Agreement by fax transmission or other electronic mail transmission (e.g. “pdf” or “tif”) shall be effective as delivery of a manually executed counterpart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00"/>
          </w:cols>
          <w:pgMar w:left="440" w:top="274" w:right="459" w:bottom="1440" w:gutter="0" w:footer="0" w:header="0"/>
        </w:sectPr>
      </w:pPr>
    </w:p>
    <w:bookmarkStart w:id="199" w:name="page200"/>
    <w:bookmarkEnd w:id="199"/>
    <w:p>
      <w:pPr>
        <w:ind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Designated Borrower Request and Assumption Agreement to be duly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by their proper and duly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[DESIGNATED BORROWER],</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 [jurisdiction and type of organization]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Massachusetts corporation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860"/>
          </w:cols>
          <w:pgMar w:left="440" w:top="274" w:right="59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Schedules to Credit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[TO BE COMPLETED BY DESIGNATED BORROWER]</w:t>
      </w:r>
    </w:p>
    <w:p>
      <w:pPr>
        <w:sectPr>
          <w:pgSz w:w="11900" w:h="16838" w:orient="portrait"/>
          <w:cols w:equalWidth="0" w:num="1">
            <w:col w:w="9019"/>
          </w:cols>
          <w:pgMar w:left="1440" w:top="270" w:right="1440"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60" w:type="dxa"/>
            <w:vAlign w:val="bottom"/>
          </w:tcPr>
          <w:p>
            <w:pPr>
              <w:jc w:val="center"/>
              <w:ind w:right="410"/>
              <w:spacing w:after="0"/>
              <w:rPr>
                <w:sz w:val="20"/>
                <w:szCs w:val="20"/>
                <w:color w:val="auto"/>
              </w:rPr>
            </w:pPr>
            <w:r>
              <w:rPr>
                <w:rFonts w:ascii="Arial" w:cs="Arial" w:eastAsia="Arial" w:hAnsi="Arial"/>
                <w:sz w:val="18"/>
                <w:szCs w:val="18"/>
                <w:b w:val="1"/>
                <w:bCs w:val="1"/>
                <w:color w:val="auto"/>
              </w:rPr>
              <w:t>EXHIBIT 2.18(b)</w:t>
            </w:r>
          </w:p>
        </w:tc>
        <w:tc>
          <w:tcPr>
            <w:tcW w:w="7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60" w:type="dxa"/>
            <w:vAlign w:val="bottom"/>
          </w:tcPr>
          <w:p>
            <w:pPr>
              <w:jc w:val="center"/>
              <w:ind w:right="410"/>
              <w:spacing w:after="0"/>
              <w:rPr>
                <w:sz w:val="20"/>
                <w:szCs w:val="20"/>
                <w:color w:val="auto"/>
              </w:rPr>
            </w:pPr>
            <w:r>
              <w:rPr>
                <w:rFonts w:ascii="Arial" w:cs="Arial" w:eastAsia="Arial" w:hAnsi="Arial"/>
                <w:sz w:val="18"/>
                <w:szCs w:val="18"/>
                <w:b w:val="1"/>
                <w:bCs w:val="1"/>
                <w:color w:val="auto"/>
              </w:rPr>
              <w:t>[FORM OF]</w:t>
            </w: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60" w:type="dxa"/>
            <w:vAlign w:val="bottom"/>
          </w:tcPr>
          <w:p>
            <w:pPr>
              <w:jc w:val="center"/>
              <w:ind w:right="390"/>
              <w:spacing w:after="0"/>
              <w:rPr>
                <w:sz w:val="20"/>
                <w:szCs w:val="20"/>
                <w:color w:val="auto"/>
              </w:rPr>
            </w:pPr>
            <w:r>
              <w:rPr>
                <w:rFonts w:ascii="Arial" w:cs="Arial" w:eastAsia="Arial" w:hAnsi="Arial"/>
                <w:sz w:val="18"/>
                <w:szCs w:val="18"/>
                <w:b w:val="1"/>
                <w:bCs w:val="1"/>
                <w:color w:val="auto"/>
              </w:rPr>
              <w:t>DESIGNATED BORROWER NOTICE</w:t>
            </w: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540" w:type="dxa"/>
            <w:vAlign w:val="bottom"/>
          </w:tcPr>
          <w:p>
            <w:pPr>
              <w:spacing w:after="0"/>
              <w:rPr>
                <w:sz w:val="20"/>
                <w:szCs w:val="20"/>
                <w:color w:val="auto"/>
              </w:rPr>
            </w:pPr>
            <w:r>
              <w:rPr>
                <w:rFonts w:ascii="Arial" w:cs="Arial" w:eastAsia="Arial" w:hAnsi="Arial"/>
                <w:sz w:val="18"/>
                <w:szCs w:val="18"/>
                <w:color w:val="auto"/>
              </w:rPr>
              <w:t>TO:</w:t>
            </w:r>
          </w:p>
        </w:tc>
        <w:tc>
          <w:tcPr>
            <w:tcW w:w="6440" w:type="dxa"/>
            <w:vAlign w:val="bottom"/>
            <w:gridSpan w:val="4"/>
          </w:tcPr>
          <w:p>
            <w:pPr>
              <w:spacing w:after="0"/>
              <w:rPr>
                <w:sz w:val="20"/>
                <w:szCs w:val="20"/>
                <w:color w:val="auto"/>
              </w:rPr>
            </w:pPr>
            <w:r>
              <w:rPr>
                <w:rFonts w:ascii="Arial" w:cs="Arial" w:eastAsia="Arial" w:hAnsi="Arial"/>
                <w:sz w:val="18"/>
                <w:szCs w:val="18"/>
                <w:color w:val="auto"/>
              </w:rPr>
              <w:t>Bank of America, N.A., as Administrative Agent</w:t>
            </w: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1540" w:type="dxa"/>
            <w:vAlign w:val="bottom"/>
          </w:tcPr>
          <w:p>
            <w:pPr>
              <w:spacing w:after="0"/>
              <w:rPr>
                <w:sz w:val="20"/>
                <w:szCs w:val="20"/>
                <w:color w:val="auto"/>
              </w:rPr>
            </w:pPr>
            <w:r>
              <w:rPr>
                <w:rFonts w:ascii="Arial" w:cs="Arial" w:eastAsia="Arial" w:hAnsi="Arial"/>
                <w:sz w:val="18"/>
                <w:szCs w:val="18"/>
                <w:color w:val="auto"/>
              </w:rPr>
              <w:t>RE:</w:t>
            </w:r>
          </w:p>
        </w:tc>
        <w:tc>
          <w:tcPr>
            <w:tcW w:w="9480" w:type="dxa"/>
            <w:vAlign w:val="bottom"/>
            <w:gridSpan w:val="8"/>
          </w:tcPr>
          <w:p>
            <w:pPr>
              <w:spacing w:after="0"/>
              <w:rPr>
                <w:sz w:val="20"/>
                <w:szCs w:val="20"/>
                <w:color w:val="auto"/>
              </w:rPr>
            </w:pPr>
            <w:r>
              <w:rPr>
                <w:rFonts w:ascii="Arial" w:cs="Arial" w:eastAsia="Arial" w:hAnsi="Arial"/>
                <w:sz w:val="18"/>
                <w:szCs w:val="18"/>
                <w:color w:val="auto"/>
                <w:w w:val="91"/>
              </w:rPr>
              <w:t>Third Amended and Restated Credit Agreement, dated as of June 23, 2021, by and among Analog Devices, Inc., a Massachusetts</w:t>
            </w:r>
          </w:p>
        </w:tc>
      </w:tr>
      <w:tr>
        <w:trPr>
          <w:trHeight w:val="190"/>
        </w:trPr>
        <w:tc>
          <w:tcPr>
            <w:tcW w:w="1540" w:type="dxa"/>
            <w:vAlign w:val="bottom"/>
          </w:tcPr>
          <w:p>
            <w:pPr>
              <w:spacing w:after="0"/>
              <w:rPr>
                <w:sz w:val="16"/>
                <w:szCs w:val="16"/>
                <w:color w:val="auto"/>
              </w:rPr>
            </w:pPr>
          </w:p>
        </w:tc>
        <w:tc>
          <w:tcPr>
            <w:tcW w:w="9480" w:type="dxa"/>
            <w:vAlign w:val="bottom"/>
            <w:gridSpan w:val="8"/>
          </w:tcPr>
          <w:p>
            <w:pPr>
              <w:spacing w:after="0" w:line="190" w:lineRule="exact"/>
              <w:rPr>
                <w:sz w:val="20"/>
                <w:szCs w:val="20"/>
                <w:color w:val="auto"/>
              </w:rPr>
            </w:pPr>
            <w:r>
              <w:rPr>
                <w:rFonts w:ascii="Arial" w:cs="Arial" w:eastAsia="Arial" w:hAnsi="Arial"/>
                <w:sz w:val="18"/>
                <w:szCs w:val="18"/>
                <w:color w:val="auto"/>
                <w:w w:val="92"/>
              </w:rPr>
              <w:t>corporation (the “Company”), the Designated Borrowers, the Lenders and Bank of America, N.A., as Administrative Agent, Swing</w:t>
            </w: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480" w:type="dxa"/>
            <w:vAlign w:val="bottom"/>
            <w:gridSpan w:val="8"/>
          </w:tcPr>
          <w:p>
            <w:pPr>
              <w:spacing w:after="0" w:line="196" w:lineRule="exact"/>
              <w:rPr>
                <w:sz w:val="20"/>
                <w:szCs w:val="20"/>
                <w:color w:val="auto"/>
              </w:rPr>
            </w:pPr>
            <w:r>
              <w:rPr>
                <w:rFonts w:ascii="Arial" w:cs="Arial" w:eastAsia="Arial" w:hAnsi="Arial"/>
                <w:sz w:val="18"/>
                <w:szCs w:val="18"/>
                <w:color w:val="auto"/>
                <w:w w:val="90"/>
              </w:rPr>
              <w:t>Line Lender and an L/C Issuer (as amended, modified, extended, restated, replaced, or supplemented from time to time, the “Credit</w:t>
            </w: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480" w:type="dxa"/>
            <w:vAlign w:val="bottom"/>
            <w:gridSpan w:val="8"/>
          </w:tcPr>
          <w:p>
            <w:pPr>
              <w:spacing w:after="0" w:line="196" w:lineRule="exact"/>
              <w:rPr>
                <w:sz w:val="20"/>
                <w:szCs w:val="20"/>
                <w:color w:val="auto"/>
              </w:rPr>
            </w:pPr>
            <w:r>
              <w:rPr>
                <w:rFonts w:ascii="Arial" w:cs="Arial" w:eastAsia="Arial" w:hAnsi="Arial"/>
                <w:sz w:val="18"/>
                <w:szCs w:val="18"/>
                <w:color w:val="auto"/>
                <w:w w:val="92"/>
              </w:rPr>
              <w:t>Agreement”; capitalized terms used herein and not otherwise defined shall have the meanings set forth in the Credit Agreement)</w:t>
            </w:r>
          </w:p>
        </w:tc>
      </w:tr>
      <w:tr>
        <w:trPr>
          <w:trHeight w:val="345"/>
        </w:trPr>
        <w:tc>
          <w:tcPr>
            <w:tcW w:w="1540" w:type="dxa"/>
            <w:vAlign w:val="bottom"/>
          </w:tcPr>
          <w:p>
            <w:pPr>
              <w:spacing w:after="0"/>
              <w:rPr>
                <w:sz w:val="20"/>
                <w:szCs w:val="20"/>
                <w:color w:val="auto"/>
              </w:rPr>
            </w:pPr>
            <w:r>
              <w:rPr>
                <w:rFonts w:ascii="Arial" w:cs="Arial" w:eastAsia="Arial" w:hAnsi="Arial"/>
                <w:sz w:val="18"/>
                <w:szCs w:val="18"/>
                <w:color w:val="auto"/>
              </w:rPr>
              <w:t>DATE:</w:t>
            </w: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564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34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398"/>
        </w:trPr>
        <w:tc>
          <w:tcPr>
            <w:tcW w:w="7980" w:type="dxa"/>
            <w:vAlign w:val="bottom"/>
            <w:gridSpan w:val="5"/>
          </w:tcPr>
          <w:p>
            <w:pPr>
              <w:ind w:left="440"/>
              <w:spacing w:after="0"/>
              <w:rPr>
                <w:sz w:val="20"/>
                <w:szCs w:val="20"/>
                <w:color w:val="auto"/>
              </w:rPr>
            </w:pPr>
            <w:r>
              <w:rPr>
                <w:rFonts w:ascii="Arial" w:cs="Arial" w:eastAsia="Arial" w:hAnsi="Arial"/>
                <w:sz w:val="18"/>
                <w:szCs w:val="18"/>
                <w:color w:val="auto"/>
                <w:w w:val="90"/>
              </w:rPr>
              <w:t>The Administrative Agent hereby notifies Company and the Lenders that effective as of the date hereof [</w:t>
            </w:r>
          </w:p>
        </w:tc>
        <w:tc>
          <w:tcPr>
            <w:tcW w:w="720" w:type="dxa"/>
            <w:vAlign w:val="bottom"/>
            <w:tcBorders>
              <w:bottom w:val="single" w:sz="8" w:color="auto"/>
            </w:tcBorders>
          </w:tcPr>
          <w:p>
            <w:pPr>
              <w:spacing w:after="0"/>
              <w:rPr>
                <w:sz w:val="24"/>
                <w:szCs w:val="24"/>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 shall be a Designated</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Borrower and may receive Committed Loans for its account on the terms and conditions set forth in the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Designated Borrower Notice shall constitute a Loan Document under the Credit Agreement.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440" w:top="270" w:right="43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PRICING CERTIFICATE</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Reference is made to that certain Third Amended and Restated Credit Agreement dated as of June 23, 2021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Analog Devices, Inc., a Massachusetts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Designated Borrowers party thereto, the Lenders identified therein, and Bank of America, N.A., as Administrative Agent. Capitalized terms used but not otherwise defined herein shall have the meanings specified in the Credit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certifies, solely in [his/her] capacity as Responsible Officer of the Company, that:</w:t>
      </w:r>
    </w:p>
    <w:p>
      <w:pPr>
        <w:spacing w:after="0" w:line="117" w:lineRule="exact"/>
        <w:rPr>
          <w:sz w:val="20"/>
          <w:szCs w:val="20"/>
          <w:color w:val="auto"/>
        </w:rPr>
      </w:pPr>
    </w:p>
    <w:p>
      <w:pPr>
        <w:ind w:firstLine="436"/>
        <w:spacing w:after="0" w:line="277" w:lineRule="auto"/>
        <w:tabs>
          <w:tab w:leader="none" w:pos="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[He/She] is a duly appointed [insert title of Responsible Officer] of the Company and [he/she] is authorized to deliver this Pricing Certificate on behalf of the Company;</w:t>
      </w:r>
    </w:p>
    <w:p>
      <w:pPr>
        <w:spacing w:after="0" w:line="62" w:lineRule="exact"/>
        <w:rPr>
          <w:rFonts w:ascii="Arial" w:cs="Arial" w:eastAsia="Arial" w:hAnsi="Arial"/>
          <w:sz w:val="18"/>
          <w:szCs w:val="18"/>
          <w:color w:val="auto"/>
        </w:rPr>
      </w:pPr>
    </w:p>
    <w:p>
      <w:pPr>
        <w:ind w:right="60" w:firstLine="436"/>
        <w:spacing w:after="0" w:line="263" w:lineRule="auto"/>
        <w:tabs>
          <w:tab w:leader="none" w:pos="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 Attached as Annex A-1 hereto is a true and correct copy of the KPI Metrics Report for the Greenhouse Gas Emissions Reduction for the Annual Period ending on December 31, [___] and (ii) attached as Annex A-2 hereto is a true and correct copy of the KPI Metrics Report for Renewable Energy Usage for the Annual Period ending on December 31, [___];</w:t>
      </w:r>
    </w:p>
    <w:p>
      <w:pPr>
        <w:spacing w:after="0" w:line="75" w:lineRule="exact"/>
        <w:rPr>
          <w:rFonts w:ascii="Arial" w:cs="Arial" w:eastAsia="Arial" w:hAnsi="Arial"/>
          <w:sz w:val="18"/>
          <w:szCs w:val="18"/>
          <w:color w:val="auto"/>
        </w:rPr>
      </w:pPr>
    </w:p>
    <w:p>
      <w:pPr>
        <w:ind w:right="80" w:firstLine="436"/>
        <w:spacing w:after="0" w:line="255" w:lineRule="auto"/>
        <w:tabs>
          <w:tab w:leader="none" w:pos="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 The Greenhouse Gas Emissions Reduction Fee Adjustment in respect of the Annual Period described in clause 2(i) above is [+][-][__] basis points per annum, and the Greenhouse Gas Emissions Reduction Margin Adjustment in respect of the Annual Period described in clause 2(i) above is [+][-][__] basis points per annum, in each case as computed as set forth on Annex B-1 hereto and (ii) the Renewable Energy Usage Fee Adjustment in respect of the Annual Period described in clause 2(ii) above is [+][-][__] basis points per annum, and the Renewable Energy Usage Margin Adjustment in respect of the Annual Period described in clause 2(ii) above is [+][-][__] basis points per annum, in each case as computed as set forth on Annex B-2 hereto;</w:t>
      </w:r>
    </w:p>
    <w:p>
      <w:pPr>
        <w:spacing w:after="0" w:line="84" w:lineRule="exact"/>
        <w:rPr>
          <w:rFonts w:ascii="Arial" w:cs="Arial" w:eastAsia="Arial" w:hAnsi="Arial"/>
          <w:sz w:val="18"/>
          <w:szCs w:val="18"/>
          <w:color w:val="auto"/>
        </w:rPr>
      </w:pPr>
    </w:p>
    <w:p>
      <w:pPr>
        <w:ind w:right="860" w:firstLine="436"/>
        <w:spacing w:after="0" w:line="277" w:lineRule="auto"/>
        <w:tabs>
          <w:tab w:leader="none" w:pos="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Based on the adjustments set forth in clause 3 above, the Sustainability Fee Adjustment is [+][-][__] basis points per annum, and the Sustainability Margin Adjustment is [+][-][__] basis points per annum.</w:t>
      </w:r>
    </w:p>
    <w:p>
      <w:pPr>
        <w:spacing w:after="0" w:line="62" w:lineRule="exact"/>
        <w:rPr>
          <w:rFonts w:ascii="Arial" w:cs="Arial" w:eastAsia="Arial" w:hAnsi="Arial"/>
          <w:sz w:val="18"/>
          <w:szCs w:val="18"/>
          <w:color w:val="auto"/>
        </w:rPr>
      </w:pPr>
    </w:p>
    <w:p>
      <w:pPr>
        <w:ind w:right="40" w:firstLine="436"/>
        <w:spacing w:after="0" w:line="263" w:lineRule="auto"/>
        <w:tabs>
          <w:tab w:leader="none" w:pos="61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Attached as Annex C hereto is a review report of the KPI Metrics Auditor confirming that the KPI Metrics Auditor is not aware of any material modifications that should be made to such computations referred to in clause 2 or 3 of this Pricing Certificate in order for them to be presented in all material respects in conformity with the applicable reporting criteria.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foregoing certifications are made and delivered this [__] day of [_____], 202[_].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80"/>
          </w:cols>
          <w:pgMar w:left="440" w:top="270" w:right="47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(KPI Metrics Report for the Greenhouse Gas Emissions Reduction)</w:t>
      </w:r>
    </w:p>
    <w:p>
      <w:pPr>
        <w:sectPr>
          <w:pgSz w:w="11900" w:h="16838" w:orient="portrait"/>
          <w:cols w:equalWidth="0" w:num="1">
            <w:col w:w="9019"/>
          </w:cols>
          <w:pgMar w:left="1440" w:top="274" w:right="1440"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(KPI Metrics Report for Renewable Energy Usage)</w:t>
      </w:r>
    </w:p>
    <w:p>
      <w:pPr>
        <w:sectPr>
          <w:pgSz w:w="11900" w:h="16838" w:orient="portrait"/>
          <w:cols w:equalWidth="0" w:num="1">
            <w:col w:w="9019"/>
          </w:cols>
          <w:pgMar w:left="1440" w:top="274" w:right="1440"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(Greenhouse Gas Emissions Reduction Margin Adjustment)</w:t>
      </w:r>
    </w:p>
    <w:p>
      <w:pPr>
        <w:sectPr>
          <w:pgSz w:w="11900" w:h="16838" w:orient="portrait"/>
          <w:cols w:equalWidth="0" w:num="1">
            <w:col w:w="9019"/>
          </w:cols>
          <w:pgMar w:left="1440" w:top="274" w:right="1440"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(Renewable Energy Usage Margin Adjustment)</w:t>
      </w:r>
    </w:p>
    <w:p>
      <w:pPr>
        <w:sectPr>
          <w:pgSz w:w="11900" w:h="16838" w:orient="portrait"/>
          <w:cols w:equalWidth="0" w:num="1">
            <w:col w:w="9019"/>
          </w:cols>
          <w:pgMar w:left="1440" w:top="274" w:right="1440"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(Review Report of The KPI Metrics Auditor)</w:t>
      </w:r>
    </w:p>
    <w:p>
      <w:pPr>
        <w:sectPr>
          <w:pgSz w:w="11900" w:h="16838" w:orient="portrait"/>
          <w:cols w:equalWidth="0" w:num="1">
            <w:col w:w="9019"/>
          </w:cols>
          <w:pgMar w:left="1440" w:top="274" w:right="1440"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3.01(A)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25" w:lineRule="exact"/>
        <w:rPr>
          <w:sz w:val="20"/>
          <w:szCs w:val="20"/>
          <w:color w:val="auto"/>
        </w:rPr>
      </w:pPr>
    </w:p>
    <w:p>
      <w:pPr>
        <w:jc w:val="both"/>
        <w:ind w:right="560" w:firstLine="440"/>
        <w:spacing w:after="0" w:line="311" w:lineRule="auto"/>
        <w:rPr>
          <w:sz w:val="20"/>
          <w:szCs w:val="20"/>
          <w:color w:val="auto"/>
        </w:rPr>
      </w:pPr>
      <w:r>
        <w:rPr>
          <w:rFonts w:ascii="Arial" w:cs="Arial" w:eastAsia="Arial" w:hAnsi="Arial"/>
          <w:sz w:val="16"/>
          <w:szCs w:val="16"/>
          <w:color w:val="auto"/>
        </w:rPr>
        <w:t>Reference is hereby made to the Third Amended and Restated Credit Agreement, dated as of June 23, 2021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Analog Devices, Inc., a Massachusetts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Designated Borrowers party thereto, the Lenders identified therein, and Bank of America, N.A., as Administrative Agent.</w:t>
      </w:r>
    </w:p>
    <w:p>
      <w:pPr>
        <w:spacing w:after="0" w:line="14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“10 percent shareholder” of the Company within the meaning of Section 881(c)(3)(B) of the Code and (iv) it is not a “controlled foreign corporation” related to the Company as described in Section 881(c)(3)(C) of the Code.</w:t>
      </w:r>
    </w:p>
    <w:p>
      <w:pPr>
        <w:spacing w:after="0" w:line="15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76"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Date:____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-10160</wp:posOffset>
            </wp:positionV>
            <wp:extent cx="1143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09" w:name="page210"/>
    <w:bookmarkEnd w:id="209"/>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3.01(B)</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OF]</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 TAX COMPLIANCE CERTIFICATE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25" w:lineRule="exact"/>
        <w:rPr>
          <w:sz w:val="20"/>
          <w:szCs w:val="20"/>
          <w:color w:val="auto"/>
        </w:rPr>
      </w:pPr>
    </w:p>
    <w:p>
      <w:pPr>
        <w:jc w:val="both"/>
        <w:ind w:right="400" w:firstLine="440"/>
        <w:spacing w:after="0" w:line="311" w:lineRule="auto"/>
        <w:rPr>
          <w:sz w:val="20"/>
          <w:szCs w:val="20"/>
          <w:color w:val="auto"/>
        </w:rPr>
      </w:pPr>
      <w:r>
        <w:rPr>
          <w:rFonts w:ascii="Arial" w:cs="Arial" w:eastAsia="Arial" w:hAnsi="Arial"/>
          <w:sz w:val="16"/>
          <w:szCs w:val="16"/>
          <w:color w:val="auto"/>
        </w:rPr>
        <w:t>Reference is hereby made to the Third Amended and Restated Credit Agreement, dated as of June 23, 2021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Analog Devices, Inc., a Massachusetts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Designated Borrowers party thereto, the Lenders identified therein, and Bank of America, N.A., as Administrative Agent.</w:t>
      </w:r>
    </w:p>
    <w:p>
      <w:pPr>
        <w:spacing w:after="0" w:line="14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“10 percent shareholder” of the Company within the meaning of Section 881(c)(3)(B) of the Code, and (iv) it is not a “controlled foreign corporation” related to the Company as described in Section 881(c)(3)(C) of the Code.</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Date:______ , 20_</w:t>
      </w:r>
    </w:p>
    <w:p>
      <w:pPr>
        <w:sectPr>
          <w:pgSz w:w="11900" w:h="16838" w:orient="portrait"/>
          <w:cols w:equalWidth="0" w:num="1">
            <w:col w:w="10840"/>
          </w:cols>
          <w:pgMar w:left="440" w:top="270" w:right="619" w:bottom="1440" w:gutter="0" w:footer="0" w:header="0"/>
        </w:sectPr>
      </w:pPr>
    </w:p>
    <w:bookmarkStart w:id="210" w:name="page211"/>
    <w:bookmarkEnd w:id="210"/>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3.01(C)</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[FORM OF]</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U.S. TAX COMPLIANCE CERTIFICATE</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25" w:lineRule="exact"/>
        <w:rPr>
          <w:sz w:val="20"/>
          <w:szCs w:val="20"/>
          <w:color w:val="auto"/>
        </w:rPr>
      </w:pPr>
    </w:p>
    <w:p>
      <w:pPr>
        <w:jc w:val="both"/>
        <w:ind w:left="4" w:right="500" w:firstLine="440"/>
        <w:spacing w:after="0" w:line="311" w:lineRule="auto"/>
        <w:rPr>
          <w:sz w:val="20"/>
          <w:szCs w:val="20"/>
          <w:color w:val="auto"/>
        </w:rPr>
      </w:pPr>
      <w:r>
        <w:rPr>
          <w:rFonts w:ascii="Arial" w:cs="Arial" w:eastAsia="Arial" w:hAnsi="Arial"/>
          <w:sz w:val="16"/>
          <w:szCs w:val="16"/>
          <w:color w:val="auto"/>
        </w:rPr>
        <w:t>Reference is hereby made to the Third Amended and Restated Credit Agreement, dated as of June 23, 2021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Analog Devices, Inc., a Massachusetts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Designated Borrowers party thereto, the Lenders identified therein, and Bank of America, N.A., as Administrative Agent.</w:t>
      </w:r>
    </w:p>
    <w:p>
      <w:pPr>
        <w:spacing w:after="0" w:line="149" w:lineRule="exact"/>
        <w:rPr>
          <w:sz w:val="20"/>
          <w:szCs w:val="20"/>
          <w:color w:val="auto"/>
        </w:rPr>
      </w:pPr>
    </w:p>
    <w:p>
      <w:pPr>
        <w:ind w:left="4" w:right="120" w:firstLine="440"/>
        <w:spacing w:after="0" w:line="286"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w:t>
      </w:r>
    </w:p>
    <w:p>
      <w:pPr>
        <w:spacing w:after="0" w:line="1" w:lineRule="exact"/>
        <w:rPr>
          <w:sz w:val="20"/>
          <w:szCs w:val="20"/>
          <w:color w:val="auto"/>
        </w:rPr>
      </w:pPr>
    </w:p>
    <w:p>
      <w:pPr>
        <w:ind w:left="304" w:hanging="304"/>
        <w:spacing w:after="0"/>
        <w:tabs>
          <w:tab w:leader="none" w:pos="30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none of its direct or indirect partners/members is a “10 percent shareholder” of the Company within the meaning of Section 881(c)(3)(B) of the</w:t>
      </w:r>
    </w:p>
    <w:p>
      <w:pPr>
        <w:spacing w:after="0" w:line="20"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6"/>
          <w:szCs w:val="16"/>
          <w:color w:val="auto"/>
        </w:rPr>
        <w:t>Code and (v) none of its direct or indirect partners/members is a “controlled foreign corporation” related to the Company as described in Section 881(c)</w:t>
      </w:r>
    </w:p>
    <w:p>
      <w:pPr>
        <w:spacing w:after="0" w:line="32"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(3)(C) of the Code.</w:t>
      </w:r>
    </w:p>
    <w:p>
      <w:pPr>
        <w:spacing w:after="0" w:line="211"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Date:______ , 20_</w:t>
      </w:r>
    </w:p>
    <w:p>
      <w:pPr>
        <w:sectPr>
          <w:pgSz w:w="11900" w:h="16838" w:orient="portrait"/>
          <w:cols w:equalWidth="0" w:num="1">
            <w:col w:w="10944"/>
          </w:cols>
          <w:pgMar w:left="436" w:top="270" w:right="519" w:bottom="1440" w:gutter="0" w:footer="0" w:header="0"/>
        </w:sectPr>
      </w:pPr>
    </w:p>
    <w:bookmarkStart w:id="211" w:name="page212"/>
    <w:bookmarkEnd w:id="211"/>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3.01(D)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[FORM OF]</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U.S. TAX COMPLIANCE CERTIFICATE</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225" w:lineRule="exact"/>
        <w:rPr>
          <w:sz w:val="20"/>
          <w:szCs w:val="20"/>
          <w:color w:val="auto"/>
        </w:rPr>
      </w:pPr>
    </w:p>
    <w:p>
      <w:pPr>
        <w:jc w:val="both"/>
        <w:ind w:left="4" w:right="560" w:firstLine="440"/>
        <w:spacing w:after="0" w:line="311" w:lineRule="auto"/>
        <w:rPr>
          <w:sz w:val="20"/>
          <w:szCs w:val="20"/>
          <w:color w:val="auto"/>
        </w:rPr>
      </w:pPr>
      <w:r>
        <w:rPr>
          <w:rFonts w:ascii="Arial" w:cs="Arial" w:eastAsia="Arial" w:hAnsi="Arial"/>
          <w:sz w:val="16"/>
          <w:szCs w:val="16"/>
          <w:color w:val="auto"/>
        </w:rPr>
        <w:t>Reference is hereby made to the Third Amended and Restated Credit Agreement, dated as of June 23, 2021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Analog Devices, Inc., a Massachusetts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Designated Borrowers party thereto, the Lenders identified therein, and Bank of America, N.A., as Administrative Agent.</w:t>
      </w:r>
    </w:p>
    <w:p>
      <w:pPr>
        <w:spacing w:after="0" w:line="149" w:lineRule="exact"/>
        <w:rPr>
          <w:sz w:val="20"/>
          <w:szCs w:val="20"/>
          <w:color w:val="auto"/>
        </w:rPr>
      </w:pPr>
    </w:p>
    <w:p>
      <w:pPr>
        <w:ind w:left="4" w:right="160" w:firstLine="440"/>
        <w:spacing w:after="0" w:line="285"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w:t>
      </w:r>
    </w:p>
    <w:p>
      <w:pPr>
        <w:spacing w:after="0" w:line="2" w:lineRule="exact"/>
        <w:rPr>
          <w:sz w:val="20"/>
          <w:szCs w:val="20"/>
          <w:color w:val="auto"/>
        </w:rPr>
      </w:pPr>
    </w:p>
    <w:p>
      <w:pPr>
        <w:ind w:left="304" w:hanging="304"/>
        <w:spacing w:after="0"/>
        <w:tabs>
          <w:tab w:leader="none" w:pos="304" w:val="left"/>
        </w:tabs>
        <w:numPr>
          <w:ilvl w:val="0"/>
          <w:numId w:val="230"/>
        </w:numPr>
        <w:rPr>
          <w:rFonts w:ascii="Arial" w:cs="Arial" w:eastAsia="Arial" w:hAnsi="Arial"/>
          <w:sz w:val="17"/>
          <w:szCs w:val="17"/>
          <w:color w:val="auto"/>
        </w:rPr>
      </w:pPr>
      <w:r>
        <w:rPr>
          <w:rFonts w:ascii="Arial" w:cs="Arial" w:eastAsia="Arial" w:hAnsi="Arial"/>
          <w:sz w:val="17"/>
          <w:szCs w:val="17"/>
          <w:color w:val="auto"/>
        </w:rPr>
        <w:t>none of its direct or indirect partners/members is a “10 percent shareholder” of the Company within the meaning of Section 881(c)(3)(B) of the</w:t>
      </w:r>
    </w:p>
    <w:p>
      <w:pPr>
        <w:spacing w:after="0" w:line="20"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6"/>
          <w:szCs w:val="16"/>
          <w:color w:val="auto"/>
        </w:rPr>
        <w:t>Code and (v) none of its direct or indirect partners/members is a “controlled foreign corporation” related to the Company as described in Section 881(c)</w:t>
      </w:r>
    </w:p>
    <w:p>
      <w:pPr>
        <w:spacing w:after="0" w:line="32"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(3)(C) of the Code.</w:t>
      </w:r>
    </w:p>
    <w:p>
      <w:pPr>
        <w:spacing w:after="0" w:line="211"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The undersigned has furnished the Administrative Agent and the Company with IRS Form W- 8IMY accompanied by one of the following forms from each of its partners/members that is claiming the portfolio interest exemption: (i) an IRS Form W-8BEN or IRS Form W-8BEN-E, as applicable, or</w:t>
      </w:r>
    </w:p>
    <w:p>
      <w:pPr>
        <w:ind w:left="4" w:right="20" w:hanging="4"/>
        <w:spacing w:after="0" w:line="292" w:lineRule="auto"/>
        <w:tabs>
          <w:tab w:leader="none" w:pos="26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62"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Date:______ , 20_</w:t>
      </w:r>
    </w:p>
    <w:p>
      <w:pPr>
        <w:sectPr>
          <w:pgSz w:w="11900" w:h="16838" w:orient="portrait"/>
          <w:cols w:equalWidth="0" w:num="1">
            <w:col w:w="11004"/>
          </w:cols>
          <w:pgMar w:left="436" w:top="270" w:right="459" w:bottom="1440" w:gutter="0" w:footer="0" w:header="0"/>
        </w:sectPr>
      </w:pPr>
    </w:p>
    <w:bookmarkStart w:id="212" w:name="page213"/>
    <w:bookmarkEnd w:id="21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6.02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COMPLIANCE CERTIFICATE</w:t>
      </w:r>
    </w:p>
    <w:p>
      <w:pPr>
        <w:spacing w:after="0" w:line="234" w:lineRule="exact"/>
        <w:rPr>
          <w:sz w:val="20"/>
          <w:szCs w:val="20"/>
          <w:color w:val="auto"/>
        </w:rPr>
      </w:pPr>
    </w:p>
    <w:p>
      <w:pPr>
        <w:ind w:left="3284" w:hanging="217"/>
        <w:spacing w:after="0"/>
        <w:tabs>
          <w:tab w:leader="none" w:pos="3284" w:val="left"/>
        </w:tabs>
        <w:numPr>
          <w:ilvl w:val="0"/>
          <w:numId w:val="232"/>
        </w:numPr>
        <w:rPr>
          <w:rFonts w:ascii="MS PGothic" w:cs="MS PGothic" w:eastAsia="MS PGothic" w:hAnsi="MS PGothic"/>
          <w:sz w:val="18"/>
          <w:szCs w:val="18"/>
          <w:color w:val="auto"/>
        </w:rPr>
      </w:pPr>
      <w:r>
        <w:rPr>
          <w:rFonts w:ascii="Arial" w:cs="Arial" w:eastAsia="Arial" w:hAnsi="Arial"/>
          <w:sz w:val="18"/>
          <w:szCs w:val="18"/>
          <w:b w:val="1"/>
          <w:bCs w:val="1"/>
          <w:color w:val="auto"/>
        </w:rPr>
        <w:t>Check for distribution to PUBLIC and Private side Lenders</w:t>
      </w:r>
      <w:r>
        <w:rPr>
          <w:rFonts w:ascii="Arial" w:cs="Arial" w:eastAsia="Arial" w:hAnsi="Arial"/>
          <w:sz w:val="15"/>
          <w:szCs w:val="15"/>
          <w:b w:val="1"/>
          <w:bCs w:val="1"/>
          <w:color w:val="auto"/>
        </w:rPr>
        <w:t>3</w:t>
      </w:r>
    </w:p>
    <w:p>
      <w:pPr>
        <w:spacing w:after="0" w:line="212" w:lineRule="exact"/>
        <w:rPr>
          <w:sz w:val="20"/>
          <w:szCs w:val="20"/>
          <w:color w:val="auto"/>
        </w:rPr>
      </w:pPr>
    </w:p>
    <w:tbl>
      <w:tblPr>
        <w:tblLayout w:type="fixed"/>
        <w:tblInd w:w="8104"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Arial" w:cs="Arial" w:eastAsia="Arial" w:hAnsi="Arial"/>
                <w:sz w:val="18"/>
                <w:szCs w:val="18"/>
                <w:color w:val="auto"/>
                <w:w w:val="89"/>
              </w:rPr>
              <w:t>Financial Statement Date:</w:t>
            </w:r>
          </w:p>
        </w:tc>
        <w:tc>
          <w:tcPr>
            <w:tcW w:w="540" w:type="dxa"/>
            <w:vAlign w:val="bottom"/>
            <w:tcBorders>
              <w:bottom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 20</w:t>
            </w:r>
          </w:p>
        </w:tc>
        <w:tc>
          <w:tcPr>
            <w:tcW w:w="180" w:type="dxa"/>
            <w:vAlign w:val="bottom"/>
            <w:tcBorders>
              <w:bottom w:val="single" w:sz="8" w:color="auto"/>
            </w:tcBorders>
          </w:tcPr>
          <w:p>
            <w:pPr>
              <w:spacing w:after="0"/>
              <w:rPr>
                <w:sz w:val="17"/>
                <w:szCs w:val="17"/>
                <w:color w:val="auto"/>
              </w:rPr>
            </w:pPr>
          </w:p>
        </w:tc>
      </w:tr>
    </w:tbl>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Bank of America, N.A., as Administrative Agent Ladies and Gentlemen:</w:t>
      </w:r>
    </w:p>
    <w:p>
      <w:pPr>
        <w:spacing w:after="0" w:line="225" w:lineRule="exact"/>
        <w:rPr>
          <w:sz w:val="20"/>
          <w:szCs w:val="20"/>
          <w:color w:val="auto"/>
        </w:rPr>
      </w:pPr>
    </w:p>
    <w:p>
      <w:pPr>
        <w:ind w:left="4" w:right="60"/>
        <w:spacing w:after="0" w:line="279" w:lineRule="auto"/>
        <w:rPr>
          <w:sz w:val="20"/>
          <w:szCs w:val="20"/>
          <w:color w:val="auto"/>
        </w:rPr>
      </w:pPr>
      <w:r>
        <w:rPr>
          <w:rFonts w:ascii="Arial" w:cs="Arial" w:eastAsia="Arial" w:hAnsi="Arial"/>
          <w:sz w:val="17"/>
          <w:szCs w:val="17"/>
          <w:color w:val="auto"/>
        </w:rPr>
        <w:t>Reference is made to that certain Third Amended and Restated Credit Agreement, dated as of June 23, 2021 (as amended, restated, extended, supplemented or otherwise modified in writing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terms defined therein being used herein as therein defined), among Analog Devices, Inc., a Massachusetts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Designated Borrowers party thereto, the Lenders from time to time party thereto and Bank of America, N.A., as Administrative Agent, Swing Line Lender and an L/C Issuer.</w:t>
      </w:r>
    </w:p>
    <w:p>
      <w:pPr>
        <w:spacing w:after="0" w:line="171" w:lineRule="exact"/>
        <w:rPr>
          <w:sz w:val="20"/>
          <w:szCs w:val="20"/>
          <w:color w:val="auto"/>
        </w:rPr>
      </w:pPr>
    </w:p>
    <w:p>
      <w:pPr>
        <w:ind w:left="4" w:right="240"/>
        <w:spacing w:after="0" w:line="342" w:lineRule="auto"/>
        <w:rPr>
          <w:sz w:val="20"/>
          <w:szCs w:val="20"/>
          <w:color w:val="auto"/>
        </w:rPr>
      </w:pPr>
      <w:r>
        <w:rPr>
          <w:rFonts w:ascii="Arial" w:cs="Arial" w:eastAsia="Arial" w:hAnsi="Arial"/>
          <w:sz w:val="16"/>
          <w:szCs w:val="16"/>
          <w:color w:val="auto"/>
        </w:rPr>
        <w:t>The undersigned Responsible Officer hereby certifies as of the date hereof that he/she is the of the Company, and that, as such, he/she is authorized to execute and deliver this Compliance Certificate to the Administrative Agent (for delivery to the Lenders) on the behalf of the Company, and that:</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[Use following paragraph I for fiscal </w:t>
      </w:r>
      <w:r>
        <w:rPr>
          <w:rFonts w:ascii="Arial" w:cs="Arial" w:eastAsia="Arial" w:hAnsi="Arial"/>
          <w:sz w:val="18"/>
          <w:szCs w:val="18"/>
          <w:b w:val="1"/>
          <w:bCs w:val="1"/>
          <w:i w:val="1"/>
          <w:iCs w:val="1"/>
          <w:color w:val="auto"/>
        </w:rPr>
        <w:t>year-end</w:t>
      </w:r>
      <w:r>
        <w:rPr>
          <w:rFonts w:ascii="Arial" w:cs="Arial" w:eastAsia="Arial" w:hAnsi="Arial"/>
          <w:sz w:val="18"/>
          <w:szCs w:val="18"/>
          <w:i w:val="1"/>
          <w:iCs w:val="1"/>
          <w:color w:val="auto"/>
        </w:rPr>
        <w:t xml:space="preserve"> financial statements]</w:t>
      </w:r>
    </w:p>
    <w:p>
      <w:pPr>
        <w:spacing w:after="0" w:line="117" w:lineRule="exact"/>
        <w:rPr>
          <w:sz w:val="20"/>
          <w:szCs w:val="20"/>
          <w:color w:val="auto"/>
        </w:rPr>
      </w:pPr>
    </w:p>
    <w:p>
      <w:pPr>
        <w:ind w:left="4" w:right="100" w:hanging="4"/>
        <w:spacing w:after="0" w:line="263" w:lineRule="auto"/>
        <w:tabs>
          <w:tab w:leader="none" w:pos="18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the year-end audited financial statements required by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of the Credit Agreement for the fiscal year of the Company ended as of the above date, together with the report and opinion of an independent registered public accounting firm required by such Section.</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[Use following paragraph I for fiscal </w:t>
      </w:r>
      <w:r>
        <w:rPr>
          <w:rFonts w:ascii="Arial" w:cs="Arial" w:eastAsia="Arial" w:hAnsi="Arial"/>
          <w:sz w:val="18"/>
          <w:szCs w:val="18"/>
          <w:b w:val="1"/>
          <w:bCs w:val="1"/>
          <w:i w:val="1"/>
          <w:iCs w:val="1"/>
          <w:color w:val="auto"/>
        </w:rPr>
        <w:t>quarter-end</w:t>
      </w:r>
      <w:r>
        <w:rPr>
          <w:rFonts w:ascii="Arial" w:cs="Arial" w:eastAsia="Arial" w:hAnsi="Arial"/>
          <w:sz w:val="18"/>
          <w:szCs w:val="18"/>
          <w:i w:val="1"/>
          <w:iCs w:val="1"/>
          <w:color w:val="auto"/>
        </w:rPr>
        <w:t xml:space="preserve"> financial statements]</w:t>
      </w:r>
    </w:p>
    <w:p>
      <w:pPr>
        <w:spacing w:after="0" w:line="117" w:lineRule="exact"/>
        <w:rPr>
          <w:sz w:val="20"/>
          <w:szCs w:val="20"/>
          <w:color w:val="auto"/>
        </w:rPr>
      </w:pPr>
    </w:p>
    <w:p>
      <w:pPr>
        <w:ind w:left="4" w:right="120" w:hanging="4"/>
        <w:spacing w:after="0" w:line="259" w:lineRule="auto"/>
        <w:tabs>
          <w:tab w:leader="none" w:pos="18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the unaudited financial statements required by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of the Credit Agreement for the fiscal quarter of the Company ended as of the above date. Such financial statements fairly present in all material respects the financial condition, results of operations and cash flows of the Company and its Subsidiaries in accordance with GAAP as at such date and for the period covered thereby, subject only to normal year-end audit adjustments and the absence of footnotes.</w:t>
      </w:r>
    </w:p>
    <w:p>
      <w:pPr>
        <w:spacing w:after="0" w:line="78" w:lineRule="exact"/>
        <w:rPr>
          <w:rFonts w:ascii="Arial" w:cs="Arial" w:eastAsia="Arial" w:hAnsi="Arial"/>
          <w:sz w:val="18"/>
          <w:szCs w:val="18"/>
          <w:color w:val="auto"/>
        </w:rPr>
      </w:pPr>
    </w:p>
    <w:p>
      <w:pPr>
        <w:ind w:left="4" w:right="320" w:hanging="4"/>
        <w:spacing w:after="0" w:line="263" w:lineRule="auto"/>
        <w:tabs>
          <w:tab w:leader="none" w:pos="18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Credit Agreement and has made, or has caused to be made under his/her supervision, a detailed review of the transactions and condition (financial or otherwise) of the Company during the accounting period covered by the attached financial statements.</w:t>
      </w:r>
    </w:p>
    <w:p>
      <w:pPr>
        <w:spacing w:after="0" w:line="75" w:lineRule="exact"/>
        <w:rPr>
          <w:rFonts w:ascii="Arial" w:cs="Arial" w:eastAsia="Arial" w:hAnsi="Arial"/>
          <w:sz w:val="18"/>
          <w:szCs w:val="18"/>
          <w:color w:val="auto"/>
        </w:rPr>
      </w:pPr>
    </w:p>
    <w:p>
      <w:pPr>
        <w:ind w:left="4" w:right="840" w:hanging="4"/>
        <w:spacing w:after="0" w:line="342" w:lineRule="auto"/>
        <w:tabs>
          <w:tab w:leader="none" w:pos="18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 review of the activities of the Company during such fiscal period has been made under the supervision of the undersigned with a view to determining whether during such fiscal period the Company performed and observed all its Obligations under the Loan Documents, and</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[select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35"/>
        </w:numPr>
        <w:rPr>
          <w:rFonts w:ascii="Arial" w:cs="Arial" w:eastAsia="Arial" w:hAnsi="Arial"/>
          <w:sz w:val="15"/>
          <w:szCs w:val="15"/>
          <w:color w:val="auto"/>
        </w:rPr>
      </w:pPr>
      <w:r>
        <w:rPr>
          <w:rFonts w:ascii="Arial" w:cs="Arial" w:eastAsia="Arial" w:hAnsi="Arial"/>
          <w:sz w:val="18"/>
          <w:szCs w:val="18"/>
          <w:color w:val="auto"/>
        </w:rPr>
        <w:t>If this box is not checked, this Compliance Certificate will only be posted to private side Lenders.</w:t>
      </w:r>
    </w:p>
    <w:p>
      <w:pPr>
        <w:sectPr>
          <w:pgSz w:w="11900" w:h="16838" w:orient="portrait"/>
          <w:cols w:equalWidth="0" w:num="1">
            <w:col w:w="11024"/>
          </w:cols>
          <w:pgMar w:left="436" w:top="270" w:right="439" w:bottom="1440" w:gutter="0" w:footer="0" w:header="0"/>
        </w:sectPr>
      </w:pPr>
    </w:p>
    <w:bookmarkStart w:id="213" w:name="page214"/>
    <w:bookmarkEnd w:id="213"/>
    <w:p>
      <w:pPr>
        <w:ind w:left="4"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best knowledge of the undersigned during such fiscal period, the Company performed and observed each covenant and condition of the Loan Documents applicable to it, and no Default has occurred and is continuing.]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covenants or conditions have not been performed or observed and the following is a list of each such Default and its nature and status:]</w:t>
      </w:r>
    </w:p>
    <w:p>
      <w:pPr>
        <w:spacing w:after="0" w:line="140" w:lineRule="exact"/>
        <w:rPr>
          <w:sz w:val="20"/>
          <w:szCs w:val="20"/>
          <w:color w:val="auto"/>
        </w:rPr>
      </w:pPr>
    </w:p>
    <w:p>
      <w:pPr>
        <w:ind w:left="4" w:right="240" w:hanging="4"/>
        <w:spacing w:after="0" w:line="277" w:lineRule="auto"/>
        <w:tabs>
          <w:tab w:leader="none" w:pos="18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The calculations demonstrating compliance with the financial covenant set forth in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of the Credit Agreement set forth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are true and accurate on and as of the date of this Compliance Certificate.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WITNESS WHEREOF, the undersigned has executed this Compliance Certificate as of__________________ ,</w:t>
      </w:r>
      <w:r>
        <w:rPr>
          <w:rFonts w:ascii="Arial" w:cs="Arial" w:eastAsia="Arial" w:hAnsi="Arial"/>
          <w:sz w:val="18"/>
          <w:szCs w:val="18"/>
          <w:u w:val="single" w:color="auto"/>
          <w:color w:val="auto"/>
        </w:rPr>
        <w:t>________</w:t>
      </w:r>
      <w:r>
        <w:rPr>
          <w:rFonts w:ascii="Arial" w:cs="Arial" w:eastAsia="Arial" w:hAnsi="Arial"/>
          <w:sz w:val="18"/>
          <w:szCs w:val="18"/>
          <w:color w:val="auto"/>
        </w:rPr>
        <w:t xml:space="preserve"> .</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6"/>
          <w:szCs w:val="16"/>
          <w:color w:val="auto"/>
        </w:rPr>
        <w:t>ANALOG DEVICES, INC., a Massachusetts corporation</w:t>
      </w:r>
    </w:p>
    <w:p>
      <w:pPr>
        <w:spacing w:after="0" w:line="24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784"/>
          </w:cols>
          <w:pgMar w:left="436" w:top="274" w:right="67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Compliance Certificate</w:t>
      </w:r>
    </w:p>
    <w:p>
      <w:pPr>
        <w:spacing w:after="0" w:line="200" w:lineRule="exact"/>
        <w:rPr>
          <w:sz w:val="20"/>
          <w:szCs w:val="20"/>
          <w:color w:val="auto"/>
        </w:rPr>
      </w:pPr>
    </w:p>
    <w:p>
      <w:pPr>
        <w:spacing w:after="0" w:line="223"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Financial Statements</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i w:val="1"/>
          <w:iCs w:val="1"/>
          <w:color w:val="auto"/>
        </w:rPr>
        <w:t>[To be attached by Company]</w:t>
      </w:r>
    </w:p>
    <w:p>
      <w:pPr>
        <w:sectPr>
          <w:pgSz w:w="11900" w:h="16838" w:orient="portrait"/>
          <w:cols w:equalWidth="0" w:num="1">
            <w:col w:w="10020"/>
          </w:cols>
          <w:pgMar w:left="1440" w:top="274" w:right="4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Compliance Certificate</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the Quarter / Year ended (the “</w:t>
      </w:r>
      <w:r>
        <w:rPr>
          <w:rFonts w:ascii="Arial" w:cs="Arial" w:eastAsia="Arial" w:hAnsi="Arial"/>
          <w:sz w:val="18"/>
          <w:szCs w:val="18"/>
          <w:u w:val="single" w:color="auto"/>
          <w:color w:val="auto"/>
        </w:rPr>
        <w:t>Financial Statement Date</w:t>
      </w:r>
      <w:r>
        <w:rPr>
          <w:rFonts w:ascii="Arial" w:cs="Arial" w:eastAsia="Arial" w:hAnsi="Arial"/>
          <w:sz w:val="18"/>
          <w:szCs w:val="18"/>
          <w:color w:val="auto"/>
        </w:rPr>
        <w:t>”)</w:t>
      </w:r>
    </w:p>
    <w:p>
      <w:pPr>
        <w:spacing w:after="0" w:line="22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Consolidated Leverage Ratio</w:t>
      </w:r>
      <w:r>
        <w:rPr>
          <w:rFonts w:ascii="Arial" w:cs="Arial" w:eastAsia="Arial" w:hAnsi="Arial"/>
          <w:sz w:val="15"/>
          <w:szCs w:val="15"/>
          <w:b w:val="1"/>
          <w:bCs w:val="1"/>
          <w:color w:val="auto"/>
        </w:rPr>
        <w:t>1</w:t>
      </w:r>
    </w:p>
    <w:p>
      <w:pPr>
        <w:spacing w:after="0" w:line="256" w:lineRule="exact"/>
        <w:rPr>
          <w:sz w:val="20"/>
          <w:szCs w:val="20"/>
          <w:color w:val="auto"/>
        </w:rPr>
      </w:pPr>
    </w:p>
    <w:p>
      <w:pPr>
        <w:ind w:left="4"/>
        <w:spacing w:after="0"/>
        <w:tabs>
          <w:tab w:leader="none" w:pos="504" w:val="left"/>
          <w:tab w:leader="none" w:pos="10064" w:val="left"/>
          <w:tab w:leader="none" w:pos="10664"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Consolidated Funded Indebtedness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99516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7" w:lineRule="exact"/>
        <w:rPr>
          <w:sz w:val="20"/>
          <w:szCs w:val="20"/>
          <w:color w:val="auto"/>
        </w:rPr>
      </w:pPr>
    </w:p>
    <w:p>
      <w:pPr>
        <w:ind w:left="524" w:hanging="524"/>
        <w:spacing w:after="0"/>
        <w:tabs>
          <w:tab w:leader="none" w:pos="5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Consolidated EBITDA (For the period of the four prior fiscal quarters ending on the Financial Statement Date (see Schedule</w:t>
      </w:r>
    </w:p>
    <w:p>
      <w:pPr>
        <w:spacing w:after="0" w:line="23" w:lineRule="exact"/>
        <w:rPr>
          <w:sz w:val="20"/>
          <w:szCs w:val="20"/>
          <w:color w:val="auto"/>
        </w:rPr>
      </w:pPr>
    </w:p>
    <w:p>
      <w:pPr>
        <w:ind w:left="704"/>
        <w:spacing w:after="0"/>
        <w:tabs>
          <w:tab w:leader="none" w:pos="10064" w:val="left"/>
          <w:tab w:leader="none" w:pos="1066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___</w:t>
      </w:r>
    </w:p>
    <w:p>
      <w:pPr>
        <w:spacing w:after="0" w:line="103" w:lineRule="exact"/>
        <w:rPr>
          <w:sz w:val="20"/>
          <w:szCs w:val="20"/>
          <w:color w:val="auto"/>
        </w:rPr>
      </w:pPr>
    </w:p>
    <w:p>
      <w:pPr>
        <w:ind w:left="524" w:hanging="524"/>
        <w:spacing w:after="0"/>
        <w:tabs>
          <w:tab w:leader="none" w:pos="52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Consolidated EBITDA Adjustments (For the period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995160" cy="2825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282575"/>
                    </a:xfrm>
                    <a:prstGeom prst="rect">
                      <a:avLst/>
                    </a:prstGeom>
                    <a:noFill/>
                  </pic:spPr>
                </pic:pic>
              </a:graphicData>
            </a:graphic>
          </wp:anchor>
        </w:drawing>
      </w:r>
    </w:p>
    <w:p>
      <w:pPr>
        <w:spacing w:after="0" w:line="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the four prior fiscal quarters ending on the Financial Statement Date (see Schedule A))</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___</w:t>
            </w:r>
          </w:p>
        </w:tc>
      </w:tr>
      <w:tr>
        <w:trPr>
          <w:trHeight w:val="323"/>
        </w:trPr>
        <w:tc>
          <w:tcPr>
            <w:tcW w:w="360" w:type="dxa"/>
            <w:vAlign w:val="bottom"/>
          </w:tcPr>
          <w:p>
            <w:pPr>
              <w:spacing w:after="0"/>
              <w:rPr>
                <w:sz w:val="20"/>
                <w:szCs w:val="20"/>
                <w:color w:val="auto"/>
              </w:rPr>
            </w:pPr>
            <w:r>
              <w:rPr>
                <w:rFonts w:ascii="Arial" w:cs="Arial" w:eastAsia="Arial" w:hAnsi="Arial"/>
                <w:sz w:val="18"/>
                <w:szCs w:val="18"/>
                <w:color w:val="auto"/>
              </w:rPr>
              <w:t>IV.</w:t>
            </w:r>
          </w:p>
        </w:tc>
        <w:tc>
          <w:tcPr>
            <w:tcW w:w="8060" w:type="dxa"/>
            <w:vAlign w:val="bottom"/>
          </w:tcPr>
          <w:p>
            <w:pPr>
              <w:ind w:left="160"/>
              <w:spacing w:after="0"/>
              <w:rPr>
                <w:sz w:val="20"/>
                <w:szCs w:val="20"/>
                <w:color w:val="auto"/>
              </w:rPr>
            </w:pPr>
            <w:r>
              <w:rPr>
                <w:rFonts w:ascii="Arial" w:cs="Arial" w:eastAsia="Arial" w:hAnsi="Arial"/>
                <w:sz w:val="18"/>
                <w:szCs w:val="18"/>
                <w:color w:val="auto"/>
              </w:rPr>
              <w:t>Consolidated Leverage Ratio (I ÷ (II +/- III))</w:t>
            </w:r>
          </w:p>
        </w:tc>
        <w:tc>
          <w:tcPr>
            <w:tcW w:w="17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____to 1.0</w:t>
            </w:r>
          </w:p>
        </w:tc>
      </w:tr>
      <w:tr>
        <w:trPr>
          <w:trHeight w:val="216"/>
        </w:trPr>
        <w:tc>
          <w:tcPr>
            <w:tcW w:w="360" w:type="dxa"/>
            <w:vAlign w:val="bottom"/>
            <w:shd w:val="clear" w:color="auto" w:fill="CCEEFF"/>
          </w:tcPr>
          <w:p>
            <w:pPr>
              <w:spacing w:after="0"/>
              <w:rPr>
                <w:sz w:val="18"/>
                <w:szCs w:val="18"/>
                <w:color w:val="auto"/>
              </w:rPr>
            </w:pPr>
          </w:p>
        </w:tc>
        <w:tc>
          <w:tcPr>
            <w:tcW w:w="8060" w:type="dxa"/>
            <w:vAlign w:val="bottom"/>
            <w:shd w:val="clear" w:color="auto" w:fill="CCEEFF"/>
          </w:tcPr>
          <w:p>
            <w:pPr>
              <w:ind w:left="4020"/>
              <w:spacing w:after="0"/>
              <w:rPr>
                <w:sz w:val="20"/>
                <w:szCs w:val="20"/>
                <w:color w:val="auto"/>
              </w:rPr>
            </w:pPr>
            <w:r>
              <w:rPr>
                <w:rFonts w:ascii="Arial" w:cs="Arial" w:eastAsia="Arial" w:hAnsi="Arial"/>
                <w:sz w:val="18"/>
                <w:szCs w:val="18"/>
                <w:i w:val="1"/>
                <w:iCs w:val="1"/>
                <w:color w:val="auto"/>
              </w:rPr>
              <w:t>Maximum Permitted:</w:t>
            </w:r>
          </w:p>
        </w:tc>
        <w:tc>
          <w:tcPr>
            <w:tcW w:w="17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 ] to 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140" w:hanging="424"/>
        <w:spacing w:after="0" w:line="279" w:lineRule="auto"/>
        <w:tabs>
          <w:tab w:leader="none" w:pos="424" w:val="left"/>
        </w:tabs>
        <w:numPr>
          <w:ilvl w:val="0"/>
          <w:numId w:val="239"/>
        </w:numPr>
        <w:rPr>
          <w:rFonts w:ascii="Arial" w:cs="Arial" w:eastAsia="Arial" w:hAnsi="Arial"/>
          <w:sz w:val="14"/>
          <w:szCs w:val="14"/>
          <w:color w:val="auto"/>
        </w:rPr>
      </w:pPr>
      <w:r>
        <w:rPr>
          <w:rFonts w:ascii="Arial" w:cs="Arial" w:eastAsia="Arial" w:hAnsi="Arial"/>
          <w:sz w:val="17"/>
          <w:szCs w:val="17"/>
          <w:color w:val="auto"/>
        </w:rPr>
        <w:t>Note: at any time after the definitive agreement for any Qualified Acquisition shall have been executed (or, in the case of a Qualified Acquisition in the form of a tender offer or similar transaction, after the offer shall have been launched) and prior to the consummation of such Qualified Acquisition (or termination of the definitive documentation in respect thereof (or such later date as such Indebtedness ceases to constitute Acquisition Debt)), any Acquisition Debt shall be excluded from the determination of the Consolidated Leverage Ratio.</w:t>
      </w:r>
    </w:p>
    <w:p>
      <w:pPr>
        <w:sectPr>
          <w:pgSz w:w="11900" w:h="16838" w:orient="portrait"/>
          <w:cols w:equalWidth="0" w:num="1">
            <w:col w:w="11024"/>
          </w:cols>
          <w:pgMar w:left="436" w:top="274" w:right="4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to Compliance Certificate</w:t>
      </w:r>
    </w:p>
    <w:p>
      <w:pPr>
        <w:spacing w:after="0" w:line="200" w:lineRule="exact"/>
        <w:rPr>
          <w:sz w:val="20"/>
          <w:szCs w:val="20"/>
          <w:color w:val="auto"/>
        </w:rPr>
      </w:pPr>
    </w:p>
    <w:p>
      <w:pPr>
        <w:spacing w:after="0" w:line="223"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Consolidated EBITDA</w:t>
      </w:r>
    </w:p>
    <w:p>
      <w:pPr>
        <w:spacing w:after="0" w:line="229" w:lineRule="exact"/>
        <w:rPr>
          <w:sz w:val="20"/>
          <w:szCs w:val="20"/>
          <w:color w:val="auto"/>
        </w:rPr>
      </w:pPr>
    </w:p>
    <w:p>
      <w:pPr>
        <w:jc w:val="center"/>
        <w:ind w:right="16"/>
        <w:spacing w:after="0"/>
        <w:rPr>
          <w:sz w:val="20"/>
          <w:szCs w:val="20"/>
          <w:color w:val="auto"/>
        </w:rPr>
      </w:pPr>
      <w:r>
        <w:rPr>
          <w:rFonts w:ascii="Arial" w:cs="Arial" w:eastAsia="Arial" w:hAnsi="Arial"/>
          <w:sz w:val="16"/>
          <w:szCs w:val="16"/>
          <w:color w:val="auto"/>
        </w:rPr>
        <w:t>(in accordance with the definition of Consolidated EBITDA as set forth in the Credit Agreement)</w:t>
      </w:r>
    </w:p>
    <w:p>
      <w:pPr>
        <w:spacing w:after="0" w:line="46"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 in 000’s)</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4"/>
        <w:spacing w:after="0"/>
        <w:rPr>
          <w:sz w:val="20"/>
          <w:szCs w:val="20"/>
          <w:color w:val="auto"/>
        </w:rPr>
      </w:pPr>
      <w:r>
        <w:rPr>
          <w:rFonts w:ascii="Arial" w:cs="Arial" w:eastAsia="Arial" w:hAnsi="Arial"/>
          <w:sz w:val="13"/>
          <w:szCs w:val="13"/>
          <w:u w:val="single" w:color="auto"/>
          <w:color w:val="auto"/>
        </w:rPr>
        <w:t>Consolidated EBITDA</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color w:val="auto"/>
        </w:rPr>
        <w:t>Quarter</w:t>
      </w:r>
      <w:r>
        <w:rPr>
          <w:sz w:val="20"/>
          <w:szCs w:val="20"/>
          <w:color w:val="auto"/>
        </w:rPr>
        <w:tab/>
      </w:r>
      <w:r>
        <w:rPr>
          <w:rFonts w:ascii="Arial" w:cs="Arial" w:eastAsia="Arial" w:hAnsi="Arial"/>
          <w:sz w:val="12"/>
          <w:szCs w:val="12"/>
          <w:color w:val="auto"/>
        </w:rPr>
        <w:t>Quarter</w:t>
      </w:r>
    </w:p>
    <w:p>
      <w:pPr>
        <w:spacing w:after="0" w:line="23"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3"/>
          <w:szCs w:val="13"/>
          <w:color w:val="auto"/>
        </w:rPr>
        <w:t>Ended</w:t>
      </w:r>
      <w:r>
        <w:rPr>
          <w:sz w:val="20"/>
          <w:szCs w:val="20"/>
          <w:color w:val="auto"/>
        </w:rPr>
        <w:tab/>
      </w:r>
      <w:r>
        <w:rPr>
          <w:rFonts w:ascii="Arial" w:cs="Arial" w:eastAsia="Arial" w:hAnsi="Arial"/>
          <w:sz w:val="13"/>
          <w:szCs w:val="13"/>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12065</wp:posOffset>
            </wp:positionV>
            <wp:extent cx="7543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color w:val="auto"/>
        </w:rPr>
        <w:t>Quarter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12065</wp:posOffset>
            </wp:positionV>
            <wp:extent cx="3429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color w:val="auto"/>
        </w:rPr>
        <w:t>Quarter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12065</wp:posOffset>
            </wp:positionV>
            <wp:extent cx="3429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both"/>
        <w:ind w:right="60" w:firstLine="9"/>
        <w:spacing w:after="0" w:line="256" w:lineRule="auto"/>
        <w:rPr>
          <w:sz w:val="20"/>
          <w:szCs w:val="20"/>
          <w:color w:val="auto"/>
        </w:rPr>
      </w:pPr>
      <w:r>
        <w:rPr>
          <w:rFonts w:ascii="Arial" w:cs="Arial" w:eastAsia="Arial" w:hAnsi="Arial"/>
          <w:sz w:val="13"/>
          <w:szCs w:val="13"/>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0</wp:posOffset>
            </wp:positionV>
            <wp:extent cx="3429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5">
            <w:col w:w="6924" w:space="720"/>
            <w:col w:w="1080" w:space="300"/>
            <w:col w:w="420" w:space="320"/>
            <w:col w:w="440" w:space="320"/>
            <w:col w:w="500"/>
          </w:cols>
          <w:pgMar w:left="436" w:top="274" w:right="439" w:bottom="1440" w:gutter="0" w:footer="0" w:header="0"/>
          <w:type w:val="continuous"/>
        </w:sectPr>
      </w:pPr>
    </w:p>
    <w:p>
      <w:pPr>
        <w:ind w:left="224" w:hanging="224"/>
        <w:spacing w:after="0"/>
        <w:tabs>
          <w:tab w:leader="none" w:pos="2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Consolidated Net Income</w:t>
      </w:r>
    </w:p>
    <w:p>
      <w:pPr>
        <w:spacing w:after="0" w:line="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64" w:hanging="264"/>
        <w:spacing w:after="0"/>
        <w:tabs>
          <w:tab w:leader="none" w:pos="26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Consolidated Interest Charges</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324" w:hanging="324"/>
        <w:spacing w:after="0"/>
        <w:tabs>
          <w:tab w:leader="none" w:pos="3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provision for Federal, state, local and foreign income taxes</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304" w:hanging="304"/>
        <w:spacing w:after="0"/>
        <w:tabs>
          <w:tab w:leader="none" w:pos="30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depreciation expense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64" w:hanging="264"/>
        <w:spacing w:after="0"/>
        <w:tabs>
          <w:tab w:leader="none" w:pos="26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amortization expense</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304" w:hanging="304"/>
        <w:spacing w:after="0"/>
        <w:tabs>
          <w:tab w:leader="none" w:pos="30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non-cash stock-based compensation expense</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jc w:val="both"/>
        <w:ind w:left="4" w:right="3880" w:hanging="4"/>
        <w:spacing w:after="0" w:line="265" w:lineRule="auto"/>
        <w:tabs>
          <w:tab w:leader="none" w:pos="359" w:val="left"/>
        </w:tabs>
        <w:numPr>
          <w:ilvl w:val="0"/>
          <w:numId w:val="241"/>
        </w:numPr>
        <w:rPr>
          <w:rFonts w:ascii="Arial" w:cs="Arial" w:eastAsia="Arial" w:hAnsi="Arial"/>
          <w:sz w:val="17"/>
          <w:szCs w:val="17"/>
          <w:color w:val="auto"/>
        </w:rPr>
      </w:pPr>
      <w:r>
        <w:rPr>
          <w:rFonts w:ascii="Arial" w:cs="Arial" w:eastAsia="Arial" w:hAnsi="Arial"/>
          <w:sz w:val="17"/>
          <w:szCs w:val="17"/>
          <w:color w:val="auto"/>
        </w:rPr>
        <w:t>non-recurring expenses incurred prior to the Closing Date (as set forth on Schedule 1.01 to the Credit Agreement) and non-recurring cash expenses relating to pension liabilities incurred after the Closing Date, in an aggregate amount not to exceed $300,000,000</w:t>
      </w:r>
    </w:p>
    <w:p>
      <w:pPr>
        <w:ind w:left="4"/>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2" w:lineRule="exact"/>
        <w:rPr>
          <w:rFonts w:ascii="Arial" w:cs="Arial" w:eastAsia="Arial" w:hAnsi="Arial"/>
          <w:sz w:val="17"/>
          <w:szCs w:val="17"/>
          <w:color w:val="auto"/>
        </w:rPr>
      </w:pPr>
    </w:p>
    <w:p>
      <w:pPr>
        <w:ind w:left="404" w:hanging="404"/>
        <w:spacing w:after="0"/>
        <w:tabs>
          <w:tab w:leader="none" w:pos="40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non-recurring expenses which do not represent a cash item in such period or any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future period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 w:right="3740" w:hanging="4"/>
        <w:spacing w:after="0" w:line="250" w:lineRule="auto"/>
        <w:tabs>
          <w:tab w:leader="none" w:pos="30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non-recurring cash expenses to the extent such cash expenses are not paid in such period but will be paid in a future period</w:t>
      </w:r>
    </w:p>
    <w:p>
      <w:pPr>
        <w:ind w:left="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4" w:right="3700" w:hanging="4"/>
        <w:spacing w:after="0" w:line="250" w:lineRule="auto"/>
        <w:tabs>
          <w:tab w:leader="none" w:pos="25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execution and delivery of the Credit Agreement and the related transactions</w:t>
      </w:r>
    </w:p>
    <w:p>
      <w:pPr>
        <w:ind w:left="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304" w:hanging="304"/>
        <w:spacing w:after="0"/>
        <w:tabs>
          <w:tab w:leader="none" w:pos="30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fees and expenses incurred in connection with any Qualified Acquisition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both"/>
        <w:ind w:left="4" w:right="3660" w:hanging="4"/>
        <w:spacing w:after="0" w:line="323" w:lineRule="auto"/>
        <w:tabs>
          <w:tab w:leader="none" w:pos="35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non-recurring cash expenses that were previously added back to Consolidated EBITDA in a prior period pursuant to the entry in item (ix) above to the extent such cash expenses are paid in such period</w:t>
      </w:r>
    </w:p>
    <w:p>
      <w:pPr>
        <w:sectPr>
          <w:pgSz w:w="11900" w:h="16838" w:orient="portrait"/>
          <w:cols w:equalWidth="0" w:num="1">
            <w:col w:w="11024"/>
          </w:cols>
          <w:pgMar w:left="436" w:top="274" w:right="439" w:bottom="1440" w:gutter="0" w:footer="0" w:header="0"/>
          <w:type w:val="continuous"/>
        </w:sectPr>
      </w:pPr>
    </w:p>
    <w:bookmarkStart w:id="217" w:name="page218"/>
    <w:bookmarkEnd w:id="21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23" w:lineRule="exact"/>
        <w:rPr>
          <w:sz w:val="20"/>
          <w:szCs w:val="20"/>
          <w:color w:val="auto"/>
        </w:rPr>
      </w:pPr>
    </w:p>
    <w:p>
      <w:pPr>
        <w:ind w:left="4" w:right="4839" w:hanging="4"/>
        <w:spacing w:after="0" w:line="258" w:lineRule="auto"/>
        <w:tabs>
          <w:tab w:leader="none" w:pos="40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non-recurring non-cash items increasing Consolidated Net Income = Consolidated EBITDA</w:t>
      </w:r>
    </w:p>
    <w:p>
      <w:pPr>
        <w:ind w:left="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[Describe all Consolidated EBITDA Adjustments, if any]</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6"/>
          <w:szCs w:val="16"/>
          <w:color w:val="auto"/>
        </w:rPr>
        <w:t>= Consolidated EBITDA, after giving effect to Consolidated EBITDA Adjustments</w:t>
      </w:r>
    </w:p>
    <w:p>
      <w:pPr>
        <w:sectPr>
          <w:pgSz w:w="11900" w:h="16838" w:orient="portrait"/>
          <w:cols w:equalWidth="0" w:num="1">
            <w:col w:w="10023"/>
          </w:cols>
          <w:pgMar w:left="436" w:top="274" w:right="1440" w:bottom="1440" w:gutter="0" w:footer="0" w:header="0"/>
        </w:sectPr>
      </w:pPr>
    </w:p>
    <w:bookmarkStart w:id="218" w:name="page219"/>
    <w:bookmarkEnd w:id="218"/>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10.06</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[FORM OF]</w:t>
      </w:r>
    </w:p>
    <w:p>
      <w:pPr>
        <w:spacing w:after="0" w:line="9"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ASSIGNMENT AND ASSUMPTION</w:t>
      </w:r>
    </w:p>
    <w:p>
      <w:pPr>
        <w:spacing w:after="0" w:line="211" w:lineRule="exact"/>
        <w:rPr>
          <w:sz w:val="20"/>
          <w:szCs w:val="20"/>
          <w:color w:val="auto"/>
        </w:rPr>
      </w:pPr>
    </w:p>
    <w:p>
      <w:pPr>
        <w:ind w:left="4" w:right="60"/>
        <w:spacing w:after="0" w:line="254" w:lineRule="auto"/>
        <w:rPr>
          <w:sz w:val="20"/>
          <w:szCs w:val="20"/>
          <w:color w:val="auto"/>
        </w:rPr>
      </w:pPr>
      <w:r>
        <w:rPr>
          <w:rFonts w:ascii="Arial" w:cs="Arial" w:eastAsia="Arial" w:hAnsi="Arial"/>
          <w:sz w:val="18"/>
          <w:szCs w:val="18"/>
          <w:color w:val="auto"/>
        </w:rPr>
        <w:t>This Assignment and Assumption (this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[the][each]</w:t>
      </w:r>
      <w:r>
        <w:rPr>
          <w:rFonts w:ascii="Arial" w:cs="Arial" w:eastAsia="Arial" w:hAnsi="Arial"/>
          <w:sz w:val="15"/>
          <w:szCs w:val="15"/>
          <w:color w:val="auto"/>
        </w:rPr>
        <w:t>1</w:t>
      </w:r>
      <w:r>
        <w:rPr>
          <w:rFonts w:ascii="Arial" w:cs="Arial" w:eastAsia="Arial" w:hAnsi="Arial"/>
          <w:sz w:val="18"/>
          <w:szCs w:val="18"/>
          <w:color w:val="auto"/>
        </w:rPr>
        <w:t xml:space="preserve"> Assignor identified in item 1 below ([the][each, an] “</w:t>
      </w:r>
      <w:r>
        <w:rPr>
          <w:rFonts w:ascii="Arial" w:cs="Arial" w:eastAsia="Arial" w:hAnsi="Arial"/>
          <w:sz w:val="18"/>
          <w:szCs w:val="18"/>
          <w:u w:val="single" w:color="auto"/>
          <w:color w:val="auto"/>
        </w:rPr>
        <w:t>Assignor</w:t>
      </w:r>
      <w:r>
        <w:rPr>
          <w:rFonts w:ascii="Arial" w:cs="Arial" w:eastAsia="Arial" w:hAnsi="Arial"/>
          <w:sz w:val="18"/>
          <w:szCs w:val="18"/>
          <w:color w:val="auto"/>
        </w:rPr>
        <w:t>”) and [the][each]</w:t>
      </w:r>
      <w:r>
        <w:rPr>
          <w:rFonts w:ascii="Arial" w:cs="Arial" w:eastAsia="Arial" w:hAnsi="Arial"/>
          <w:sz w:val="15"/>
          <w:szCs w:val="15"/>
          <w:color w:val="auto"/>
        </w:rPr>
        <w:t>2</w:t>
      </w:r>
      <w:r>
        <w:rPr>
          <w:rFonts w:ascii="Arial" w:cs="Arial" w:eastAsia="Arial" w:hAnsi="Arial"/>
          <w:sz w:val="18"/>
          <w:szCs w:val="18"/>
          <w:color w:val="auto"/>
        </w:rPr>
        <w:t xml:space="preserve"> Assignee identified in item 2 below ([the][each, an] “</w:t>
      </w:r>
      <w:r>
        <w:rPr>
          <w:rFonts w:ascii="Arial" w:cs="Arial" w:eastAsia="Arial" w:hAnsi="Arial"/>
          <w:sz w:val="18"/>
          <w:szCs w:val="18"/>
          <w:u w:val="single" w:color="auto"/>
          <w:color w:val="auto"/>
        </w:rPr>
        <w:t>Assignee</w:t>
      </w:r>
      <w:r>
        <w:rPr>
          <w:rFonts w:ascii="Arial" w:cs="Arial" w:eastAsia="Arial" w:hAnsi="Arial"/>
          <w:sz w:val="18"/>
          <w:szCs w:val="18"/>
          <w:color w:val="auto"/>
        </w:rPr>
        <w:t>”). [It is understood and agreed that the rights and obligations of [the Assignors][the Assignees]</w:t>
      </w:r>
      <w:r>
        <w:rPr>
          <w:rFonts w:ascii="Arial" w:cs="Arial" w:eastAsia="Arial" w:hAnsi="Arial"/>
          <w:sz w:val="15"/>
          <w:szCs w:val="15"/>
          <w:color w:val="auto"/>
        </w:rPr>
        <w:t>3</w:t>
      </w:r>
      <w:r>
        <w:rPr>
          <w:rFonts w:ascii="Arial" w:cs="Arial" w:eastAsia="Arial" w:hAnsi="Arial"/>
          <w:sz w:val="18"/>
          <w:szCs w:val="18"/>
          <w:color w:val="auto"/>
        </w:rPr>
        <w:t xml:space="preserve"> hereunder are several and not joint.]</w:t>
      </w:r>
      <w:r>
        <w:rPr>
          <w:rFonts w:ascii="Arial" w:cs="Arial" w:eastAsia="Arial" w:hAnsi="Arial"/>
          <w:sz w:val="15"/>
          <w:szCs w:val="15"/>
          <w:color w:val="auto"/>
        </w:rPr>
        <w:t>4</w:t>
      </w:r>
      <w:r>
        <w:rPr>
          <w:rFonts w:ascii="Arial" w:cs="Arial" w:eastAsia="Arial" w:hAnsi="Arial"/>
          <w:sz w:val="18"/>
          <w:szCs w:val="18"/>
          <w:color w:val="auto"/>
        </w:rPr>
        <w:t xml:space="preserve"> Capitalized terms used but not defined herein shall have the meanings given to them in the Amended and Restated Credit Agreement identified below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receipt of a copy of which is hereby acknowledged by [the][each] Assignee. The Standard Terms and Conditions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attached hereto are hereby agreed to and incorporated herein by reference and made a part of this Assignment and Assumption as if set forth herein in full.</w:t>
      </w:r>
    </w:p>
    <w:p>
      <w:pPr>
        <w:spacing w:after="0" w:line="195"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For an agreed consideration, [the][each] Assignor hereby irrevocably sells and assigns to [the Assignee][the respective Assignees], and [the][each] Assignee hereby irrevocably purchases and assumes from [the Assignor] [the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the Letters of Credit and the Swing Line Loans included in such facilities)</w:t>
      </w:r>
      <w:r>
        <w:rPr>
          <w:rFonts w:ascii="Arial" w:cs="Arial" w:eastAsia="Arial" w:hAnsi="Arial"/>
          <w:sz w:val="14"/>
          <w:szCs w:val="14"/>
          <w:color w:val="auto"/>
        </w:rPr>
        <w:t>5</w:t>
      </w:r>
      <w:r>
        <w:rPr>
          <w:rFonts w:ascii="Arial" w:cs="Arial" w:eastAsia="Arial" w:hAnsi="Arial"/>
          <w:sz w:val="17"/>
          <w:szCs w:val="17"/>
          <w:color w:val="auto"/>
        </w:rPr>
        <w:t xml:space="preserve">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(the rights and obligations sold and assigned by [the][any] Assignor to [the] [any] Assignee pursuant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being referred to herein collectively as [the][an] “</w:t>
      </w:r>
      <w:r>
        <w:rPr>
          <w:rFonts w:ascii="Arial" w:cs="Arial" w:eastAsia="Arial" w:hAnsi="Arial"/>
          <w:sz w:val="17"/>
          <w:szCs w:val="17"/>
          <w:u w:val="single" w:color="auto"/>
          <w:color w:val="auto"/>
        </w:rPr>
        <w:t>Assigned Interest</w:t>
      </w:r>
      <w:r>
        <w:rPr>
          <w:rFonts w:ascii="Arial" w:cs="Arial" w:eastAsia="Arial" w:hAnsi="Arial"/>
          <w:sz w:val="17"/>
          <w:szCs w:val="17"/>
          <w:color w:val="auto"/>
        </w:rPr>
        <w:t>”). Each such sale and assignment is without recourse to [the][any] Assignor and, except as expressly provided in this Assignment and Assumption, without representation or warranty by [the][any] Assignor.</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8"/>
          <w:szCs w:val="18"/>
          <w:color w:val="auto"/>
        </w:rPr>
        <w:t>1. Assignor[s]: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7715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-10160</wp:posOffset>
            </wp:positionV>
            <wp:extent cx="33991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991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4" w:hanging="424"/>
        <w:spacing w:after="0"/>
        <w:tabs>
          <w:tab w:leader="none" w:pos="424" w:val="left"/>
        </w:tabs>
        <w:numPr>
          <w:ilvl w:val="0"/>
          <w:numId w:val="245"/>
        </w:numPr>
        <w:rPr>
          <w:rFonts w:ascii="Arial" w:cs="Arial" w:eastAsia="Arial" w:hAnsi="Arial"/>
          <w:sz w:val="13"/>
          <w:szCs w:val="13"/>
          <w:color w:val="auto"/>
        </w:rPr>
      </w:pPr>
      <w:r>
        <w:rPr>
          <w:rFonts w:ascii="Arial" w:cs="Arial" w:eastAsia="Arial" w:hAnsi="Arial"/>
          <w:sz w:val="16"/>
          <w:szCs w:val="16"/>
          <w:color w:val="auto"/>
        </w:rPr>
        <w:t>For bracketed language here and elsewhere in this form relating to the Assignor(s), if the assignment is from a single Assignor, choose the first</w:t>
      </w:r>
    </w:p>
    <w:p>
      <w:pPr>
        <w:spacing w:after="0" w:line="46" w:lineRule="exact"/>
        <w:rPr>
          <w:sz w:val="20"/>
          <w:szCs w:val="20"/>
          <w:color w:val="auto"/>
        </w:rPr>
      </w:pPr>
    </w:p>
    <w:p>
      <w:pPr>
        <w:ind w:left="424"/>
        <w:spacing w:after="0"/>
        <w:rPr>
          <w:sz w:val="20"/>
          <w:szCs w:val="20"/>
          <w:color w:val="auto"/>
        </w:rPr>
      </w:pPr>
      <w:r>
        <w:rPr>
          <w:rFonts w:ascii="Arial" w:cs="Arial" w:eastAsia="Arial" w:hAnsi="Arial"/>
          <w:sz w:val="18"/>
          <w:szCs w:val="18"/>
          <w:color w:val="auto"/>
        </w:rPr>
        <w:t>bracketed language. If the assignment is from multiple Assignors, choose the second bracketed language.</w:t>
      </w:r>
    </w:p>
    <w:p>
      <w:pPr>
        <w:spacing w:after="0" w:line="8" w:lineRule="exact"/>
        <w:rPr>
          <w:sz w:val="20"/>
          <w:szCs w:val="20"/>
          <w:color w:val="auto"/>
        </w:rPr>
      </w:pPr>
    </w:p>
    <w:p>
      <w:pPr>
        <w:ind w:left="424" w:hanging="424"/>
        <w:spacing w:after="0"/>
        <w:tabs>
          <w:tab w:leader="none" w:pos="424" w:val="left"/>
        </w:tabs>
        <w:numPr>
          <w:ilvl w:val="0"/>
          <w:numId w:val="246"/>
        </w:numPr>
        <w:rPr>
          <w:rFonts w:ascii="Arial" w:cs="Arial" w:eastAsia="Arial" w:hAnsi="Arial"/>
          <w:sz w:val="13"/>
          <w:szCs w:val="13"/>
          <w:color w:val="auto"/>
        </w:rPr>
      </w:pPr>
      <w:r>
        <w:rPr>
          <w:rFonts w:ascii="Arial" w:cs="Arial" w:eastAsia="Arial" w:hAnsi="Arial"/>
          <w:sz w:val="16"/>
          <w:szCs w:val="16"/>
          <w:color w:val="auto"/>
        </w:rPr>
        <w:t>For bracketed language here and elsewhere in this form relating to the Assignee(s), if the assignment is to a single Assignee, choose the first</w:t>
      </w:r>
    </w:p>
    <w:p>
      <w:pPr>
        <w:spacing w:after="0" w:line="3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bracketed language. If the assignment is to multiple Assignees, choose the second bracketed language.</w:t>
      </w:r>
    </w:p>
    <w:p>
      <w:pPr>
        <w:spacing w:after="0" w:line="8" w:lineRule="exact"/>
        <w:rPr>
          <w:sz w:val="20"/>
          <w:szCs w:val="20"/>
          <w:color w:val="auto"/>
        </w:rPr>
      </w:pPr>
    </w:p>
    <w:p>
      <w:pPr>
        <w:ind w:left="424" w:hanging="424"/>
        <w:spacing w:after="0"/>
        <w:tabs>
          <w:tab w:leader="none" w:pos="424" w:val="left"/>
        </w:tabs>
        <w:numPr>
          <w:ilvl w:val="0"/>
          <w:numId w:val="247"/>
        </w:numPr>
        <w:rPr>
          <w:rFonts w:ascii="Arial" w:cs="Arial" w:eastAsia="Arial" w:hAnsi="Arial"/>
          <w:sz w:val="15"/>
          <w:szCs w:val="15"/>
          <w:color w:val="auto"/>
        </w:rPr>
      </w:pPr>
      <w:r>
        <w:rPr>
          <w:rFonts w:ascii="Arial" w:cs="Arial" w:eastAsia="Arial" w:hAnsi="Arial"/>
          <w:sz w:val="18"/>
          <w:szCs w:val="18"/>
          <w:color w:val="auto"/>
        </w:rPr>
        <w:t>Select as appropriate.</w:t>
      </w:r>
    </w:p>
    <w:p>
      <w:pPr>
        <w:spacing w:after="0" w:line="9" w:lineRule="exact"/>
        <w:rPr>
          <w:sz w:val="20"/>
          <w:szCs w:val="20"/>
          <w:color w:val="auto"/>
        </w:rPr>
      </w:pPr>
    </w:p>
    <w:p>
      <w:pPr>
        <w:ind w:left="424" w:hanging="424"/>
        <w:spacing w:after="0"/>
        <w:tabs>
          <w:tab w:leader="none" w:pos="424" w:val="left"/>
        </w:tabs>
        <w:numPr>
          <w:ilvl w:val="0"/>
          <w:numId w:val="248"/>
        </w:numPr>
        <w:rPr>
          <w:rFonts w:ascii="Arial" w:cs="Arial" w:eastAsia="Arial" w:hAnsi="Arial"/>
          <w:sz w:val="15"/>
          <w:szCs w:val="15"/>
          <w:color w:val="auto"/>
        </w:rPr>
      </w:pPr>
      <w:r>
        <w:rPr>
          <w:rFonts w:ascii="Arial" w:cs="Arial" w:eastAsia="Arial" w:hAnsi="Arial"/>
          <w:sz w:val="18"/>
          <w:szCs w:val="18"/>
          <w:color w:val="auto"/>
        </w:rPr>
        <w:t>Include bracketed language if there are either multiple Assignors or multiple Assignees.</w:t>
      </w:r>
    </w:p>
    <w:p>
      <w:pPr>
        <w:spacing w:after="0" w:line="9" w:lineRule="exact"/>
        <w:rPr>
          <w:sz w:val="20"/>
          <w:szCs w:val="20"/>
          <w:color w:val="auto"/>
        </w:rPr>
      </w:pPr>
    </w:p>
    <w:p>
      <w:pPr>
        <w:ind w:left="424" w:hanging="424"/>
        <w:spacing w:after="0"/>
        <w:tabs>
          <w:tab w:leader="none" w:pos="424" w:val="left"/>
        </w:tabs>
        <w:numPr>
          <w:ilvl w:val="0"/>
          <w:numId w:val="249"/>
        </w:numPr>
        <w:rPr>
          <w:rFonts w:ascii="Arial" w:cs="Arial" w:eastAsia="Arial" w:hAnsi="Arial"/>
          <w:sz w:val="15"/>
          <w:szCs w:val="15"/>
          <w:color w:val="auto"/>
        </w:rPr>
      </w:pPr>
      <w:r>
        <w:rPr>
          <w:rFonts w:ascii="Arial" w:cs="Arial" w:eastAsia="Arial" w:hAnsi="Arial"/>
          <w:sz w:val="18"/>
          <w:szCs w:val="18"/>
          <w:color w:val="auto"/>
        </w:rPr>
        <w:t>Include all applicable subfacilities.</w:t>
      </w:r>
    </w:p>
    <w:p>
      <w:pPr>
        <w:sectPr>
          <w:pgSz w:w="11900" w:h="16838" w:orient="portrait"/>
          <w:cols w:equalWidth="0" w:num="1">
            <w:col w:w="10924"/>
          </w:cols>
          <w:pgMar w:left="436" w:top="270" w:right="539" w:bottom="1440" w:gutter="0" w:footer="0" w:header="0"/>
        </w:sectPr>
      </w:pPr>
    </w:p>
    <w:bookmarkStart w:id="219" w:name="page220"/>
    <w:bookmarkEnd w:id="219"/>
    <w:tbl>
      <w:tblPr>
        <w:tblLayout w:type="fixed"/>
        <w:tblInd w:w="4" w:type="dxa"/>
        <w:tblCellMar>
          <w:top w:w="0" w:type="dxa"/>
          <w:left w:w="0" w:type="dxa"/>
          <w:bottom w:w="0" w:type="dxa"/>
          <w:right w:w="0" w:type="dxa"/>
        </w:tblCellMar>
      </w:tblPr>
      <w:tr>
        <w:trPr>
          <w:trHeight w:val="243"/>
        </w:trPr>
        <w:tc>
          <w:tcPr>
            <w:tcW w:w="220" w:type="dxa"/>
            <w:vAlign w:val="bottom"/>
          </w:tcPr>
          <w:p>
            <w:pPr>
              <w:spacing w:after="0"/>
              <w:rPr>
                <w:sz w:val="20"/>
                <w:szCs w:val="20"/>
                <w:color w:val="auto"/>
              </w:rPr>
            </w:pPr>
            <w:r>
              <w:rPr>
                <w:rFonts w:ascii="Arial" w:cs="Arial" w:eastAsia="Arial" w:hAnsi="Arial"/>
                <w:sz w:val="18"/>
                <w:szCs w:val="18"/>
                <w:color w:val="auto"/>
              </w:rPr>
              <w:t>2.</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Assignee[s]:</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w w:val="97"/>
              </w:rPr>
              <w:t xml:space="preserve">[for each Assignee, indicate [Lender] [[Affiliate] [Approved Fund] of </w:t>
            </w:r>
            <w:r>
              <w:rPr>
                <w:rFonts w:ascii="Arial" w:cs="Arial" w:eastAsia="Arial" w:hAnsi="Arial"/>
                <w:sz w:val="18"/>
                <w:szCs w:val="18"/>
                <w:i w:val="1"/>
                <w:iCs w:val="1"/>
                <w:color w:val="auto"/>
                <w:w w:val="97"/>
              </w:rPr>
              <w:t>[identify Lender]</w:t>
            </w:r>
            <w:r>
              <w:rPr>
                <w:rFonts w:ascii="Arial" w:cs="Arial" w:eastAsia="Arial" w:hAnsi="Arial"/>
                <w:sz w:val="18"/>
                <w:szCs w:val="18"/>
                <w:color w:val="auto"/>
                <w:w w:val="97"/>
              </w:rPr>
              <w:t>]]</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3.</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Company:</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gridSpan w:val="5"/>
          </w:tcPr>
          <w:p>
            <w:pPr>
              <w:spacing w:after="0"/>
              <w:rPr>
                <w:sz w:val="20"/>
                <w:szCs w:val="20"/>
                <w:color w:val="auto"/>
              </w:rPr>
            </w:pPr>
            <w:r>
              <w:rPr>
                <w:rFonts w:ascii="Arial" w:cs="Arial" w:eastAsia="Arial" w:hAnsi="Arial"/>
                <w:sz w:val="18"/>
                <w:szCs w:val="18"/>
                <w:color w:val="auto"/>
              </w:rPr>
              <w:t>Analog Devices, Inc., a Massachusetts corporation</w:t>
            </w: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4.</w:t>
            </w:r>
          </w:p>
        </w:tc>
        <w:tc>
          <w:tcPr>
            <w:tcW w:w="1900" w:type="dxa"/>
            <w:vAlign w:val="bottom"/>
            <w:gridSpan w:val="5"/>
          </w:tcPr>
          <w:p>
            <w:pPr>
              <w:ind w:left="20"/>
              <w:spacing w:after="0"/>
              <w:rPr>
                <w:sz w:val="20"/>
                <w:szCs w:val="20"/>
                <w:color w:val="auto"/>
              </w:rPr>
            </w:pPr>
            <w:r>
              <w:rPr>
                <w:rFonts w:ascii="Arial" w:cs="Arial" w:eastAsia="Arial" w:hAnsi="Arial"/>
                <w:sz w:val="18"/>
                <w:szCs w:val="18"/>
                <w:color w:val="auto"/>
              </w:rPr>
              <w:t>Administrative Agent:</w:t>
            </w:r>
          </w:p>
        </w:tc>
        <w:tc>
          <w:tcPr>
            <w:tcW w:w="1420" w:type="dxa"/>
            <w:vAlign w:val="bottom"/>
          </w:tcPr>
          <w:p>
            <w:pPr>
              <w:spacing w:after="0"/>
              <w:rPr>
                <w:sz w:val="18"/>
                <w:szCs w:val="18"/>
                <w:color w:val="auto"/>
              </w:rPr>
            </w:pPr>
          </w:p>
        </w:tc>
        <w:tc>
          <w:tcPr>
            <w:tcW w:w="5020" w:type="dxa"/>
            <w:vAlign w:val="bottom"/>
            <w:gridSpan w:val="5"/>
          </w:tcPr>
          <w:p>
            <w:pPr>
              <w:spacing w:after="0"/>
              <w:rPr>
                <w:sz w:val="20"/>
                <w:szCs w:val="20"/>
                <w:color w:val="auto"/>
              </w:rPr>
            </w:pPr>
            <w:r>
              <w:rPr>
                <w:rFonts w:ascii="Arial" w:cs="Arial" w:eastAsia="Arial" w:hAnsi="Arial"/>
                <w:sz w:val="18"/>
                <w:szCs w:val="18"/>
                <w:color w:val="auto"/>
                <w:w w:val="93"/>
              </w:rPr>
              <w:t>Bank of America, N.A., as the administrative agent under the Credit</w:t>
            </w: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Agreement</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5.</w:t>
            </w:r>
          </w:p>
        </w:tc>
        <w:tc>
          <w:tcPr>
            <w:tcW w:w="1900" w:type="dxa"/>
            <w:vAlign w:val="bottom"/>
            <w:gridSpan w:val="5"/>
          </w:tcPr>
          <w:p>
            <w:pPr>
              <w:ind w:left="20"/>
              <w:spacing w:after="0"/>
              <w:rPr>
                <w:sz w:val="20"/>
                <w:szCs w:val="20"/>
                <w:color w:val="auto"/>
              </w:rPr>
            </w:pPr>
            <w:r>
              <w:rPr>
                <w:rFonts w:ascii="Arial" w:cs="Arial" w:eastAsia="Arial" w:hAnsi="Arial"/>
                <w:sz w:val="18"/>
                <w:szCs w:val="18"/>
                <w:color w:val="auto"/>
              </w:rPr>
              <w:t>Credit Agreement:</w:t>
            </w:r>
          </w:p>
        </w:tc>
        <w:tc>
          <w:tcPr>
            <w:tcW w:w="1420" w:type="dxa"/>
            <w:vAlign w:val="bottom"/>
          </w:tcPr>
          <w:p>
            <w:pPr>
              <w:spacing w:after="0"/>
              <w:rPr>
                <w:sz w:val="18"/>
                <w:szCs w:val="18"/>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Third Amended and Restated Credit Agreement, dated as of June 23, 2021,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among the Company, the Designated Borrowers, the Lenders from time to</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time party thereto, and Bank of America, N.A., as Administrative Agent,</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Swing Line Lender and an L/C Issuer, as amended, restated, extended,</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vMerge w:val="restart"/>
          </w:tcPr>
          <w:p>
            <w:pPr>
              <w:spacing w:after="0"/>
              <w:rPr>
                <w:sz w:val="20"/>
                <w:szCs w:val="20"/>
                <w:color w:val="auto"/>
              </w:rPr>
            </w:pPr>
            <w:r>
              <w:rPr>
                <w:rFonts w:ascii="Arial" w:cs="Arial" w:eastAsia="Arial" w:hAnsi="Arial"/>
                <w:sz w:val="18"/>
                <w:szCs w:val="18"/>
                <w:color w:val="auto"/>
              </w:rPr>
              <w:t>6.</w:t>
            </w:r>
          </w:p>
        </w:tc>
        <w:tc>
          <w:tcPr>
            <w:tcW w:w="1900" w:type="dxa"/>
            <w:vAlign w:val="bottom"/>
            <w:gridSpan w:val="5"/>
            <w:vMerge w:val="restart"/>
          </w:tcPr>
          <w:p>
            <w:pPr>
              <w:ind w:left="20"/>
              <w:spacing w:after="0"/>
              <w:rPr>
                <w:sz w:val="20"/>
                <w:szCs w:val="20"/>
                <w:color w:val="auto"/>
              </w:rPr>
            </w:pPr>
            <w:r>
              <w:rPr>
                <w:rFonts w:ascii="Arial" w:cs="Arial" w:eastAsia="Arial" w:hAnsi="Arial"/>
                <w:sz w:val="18"/>
                <w:szCs w:val="18"/>
                <w:color w:val="auto"/>
              </w:rPr>
              <w:t>Assigned Interest:</w:t>
            </w:r>
          </w:p>
        </w:tc>
        <w:tc>
          <w:tcPr>
            <w:tcW w:w="1420" w:type="dxa"/>
            <w:vAlign w:val="bottom"/>
          </w:tcPr>
          <w:p>
            <w:pPr>
              <w:spacing w:after="0"/>
              <w:rPr>
                <w:sz w:val="20"/>
                <w:szCs w:val="20"/>
                <w:color w:val="auto"/>
              </w:rPr>
            </w:pPr>
          </w:p>
        </w:tc>
        <w:tc>
          <w:tcPr>
            <w:tcW w:w="5020" w:type="dxa"/>
            <w:vAlign w:val="bottom"/>
            <w:gridSpan w:val="5"/>
          </w:tcPr>
          <w:p>
            <w:pPr>
              <w:spacing w:after="0"/>
              <w:rPr>
                <w:sz w:val="20"/>
                <w:szCs w:val="20"/>
                <w:color w:val="auto"/>
              </w:rPr>
            </w:pPr>
            <w:r>
              <w:rPr>
                <w:rFonts w:ascii="Arial" w:cs="Arial" w:eastAsia="Arial" w:hAnsi="Arial"/>
                <w:sz w:val="18"/>
                <w:szCs w:val="18"/>
                <w:color w:val="auto"/>
                <w:w w:val="98"/>
              </w:rPr>
              <w:t>supplemented or otherwise modified in writing from time to time.</w:t>
            </w: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1900" w:type="dxa"/>
            <w:vAlign w:val="bottom"/>
            <w:gridSpan w:val="5"/>
            <w:vMerge w:val="continue"/>
          </w:tcPr>
          <w:p>
            <w:pPr>
              <w:spacing w:after="0"/>
              <w:rPr>
                <w:sz w:val="18"/>
                <w:szCs w:val="18"/>
                <w:color w:val="auto"/>
              </w:rPr>
            </w:pPr>
          </w:p>
        </w:tc>
        <w:tc>
          <w:tcPr>
            <w:tcW w:w="14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Aggregate</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Amount of</w:t>
            </w:r>
          </w:p>
        </w:tc>
        <w:tc>
          <w:tcPr>
            <w:tcW w:w="15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4"/>
              </w:rPr>
              <w:t>Amount of</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Commitment/</w:t>
            </w:r>
          </w:p>
        </w:tc>
        <w:tc>
          <w:tcPr>
            <w:tcW w:w="15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Loans</w:t>
            </w: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Commitment/</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Assigned of</w:t>
            </w:r>
          </w:p>
        </w:tc>
        <w:tc>
          <w:tcPr>
            <w:tcW w:w="0" w:type="dxa"/>
            <w:vAlign w:val="bottom"/>
          </w:tcPr>
          <w:p>
            <w:pPr>
              <w:spacing w:after="0"/>
              <w:rPr>
                <w:sz w:val="1"/>
                <w:szCs w:val="1"/>
                <w:color w:val="auto"/>
              </w:rPr>
            </w:pPr>
          </w:p>
        </w:tc>
      </w:tr>
      <w:tr>
        <w:trPr>
          <w:trHeight w:val="148"/>
        </w:trPr>
        <w:tc>
          <w:tcPr>
            <w:tcW w:w="1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Assignor[s]</w:t>
            </w:r>
            <w:r>
              <w:rPr>
                <w:rFonts w:ascii="Arial" w:cs="Arial" w:eastAsia="Arial" w:hAnsi="Arial"/>
                <w:sz w:val="12"/>
                <w:szCs w:val="12"/>
                <w:b w:val="1"/>
                <w:bCs w:val="1"/>
                <w:color w:val="auto"/>
              </w:rPr>
              <w:t>1</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Assignee[s]</w:t>
            </w:r>
            <w:r>
              <w:rPr>
                <w:rFonts w:ascii="Arial" w:cs="Arial" w:eastAsia="Arial" w:hAnsi="Arial"/>
                <w:sz w:val="12"/>
                <w:szCs w:val="12"/>
                <w:b w:val="1"/>
                <w:bCs w:val="1"/>
                <w:color w:val="auto"/>
              </w:rPr>
              <w:t>2</w:t>
            </w: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for all</w:t>
            </w: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Loans</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Commitment/</w:t>
            </w:r>
          </w:p>
        </w:tc>
        <w:tc>
          <w:tcPr>
            <w:tcW w:w="0" w:type="dxa"/>
            <w:vAlign w:val="bottom"/>
          </w:tcPr>
          <w:p>
            <w:pPr>
              <w:spacing w:after="0"/>
              <w:rPr>
                <w:sz w:val="1"/>
                <w:szCs w:val="1"/>
                <w:color w:val="auto"/>
              </w:rPr>
            </w:pPr>
          </w:p>
        </w:tc>
      </w:tr>
      <w:tr>
        <w:trPr>
          <w:trHeight w:val="165"/>
        </w:trPr>
        <w:tc>
          <w:tcPr>
            <w:tcW w:w="150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4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1"/>
              </w:rPr>
              <w:t>Lenders</w:t>
            </w:r>
            <w:r>
              <w:rPr>
                <w:rFonts w:ascii="Arial" w:cs="Arial" w:eastAsia="Arial" w:hAnsi="Arial"/>
                <w:sz w:val="12"/>
                <w:szCs w:val="12"/>
                <w:b w:val="1"/>
                <w:bCs w:val="1"/>
                <w:color w:val="auto"/>
                <w:w w:val="91"/>
              </w:rPr>
              <w:t>3</w:t>
            </w:r>
          </w:p>
        </w:tc>
        <w:tc>
          <w:tcPr>
            <w:tcW w:w="154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85"/>
              </w:rPr>
              <w:t>Assigned</w:t>
            </w:r>
          </w:p>
        </w:tc>
        <w:tc>
          <w:tcPr>
            <w:tcW w:w="9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Loans</w:t>
            </w:r>
            <w:r>
              <w:rPr>
                <w:rFonts w:ascii="Arial" w:cs="Arial" w:eastAsia="Arial" w:hAnsi="Arial"/>
                <w:sz w:val="12"/>
                <w:szCs w:val="12"/>
                <w:b w:val="1"/>
                <w:bCs w:val="1"/>
                <w:color w:val="auto"/>
                <w:w w:val="91"/>
              </w:rPr>
              <w:t>4</w:t>
            </w:r>
          </w:p>
        </w:tc>
        <w:tc>
          <w:tcPr>
            <w:tcW w:w="0" w:type="dxa"/>
            <w:vAlign w:val="bottom"/>
          </w:tcPr>
          <w:p>
            <w:pPr>
              <w:spacing w:after="0"/>
              <w:rPr>
                <w:sz w:val="1"/>
                <w:szCs w:val="1"/>
                <w:color w:val="auto"/>
              </w:rPr>
            </w:pPr>
          </w:p>
        </w:tc>
      </w:tr>
      <w:tr>
        <w:trPr>
          <w:trHeight w:val="216"/>
        </w:trPr>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20" w:type="dxa"/>
            <w:vAlign w:val="bottom"/>
          </w:tcPr>
          <w:p>
            <w:pPr>
              <w:spacing w:after="0"/>
              <w:rPr>
                <w:sz w:val="20"/>
                <w:szCs w:val="20"/>
                <w:color w:val="auto"/>
              </w:rPr>
            </w:pPr>
            <w:r>
              <w:rPr>
                <w:rFonts w:ascii="Arial" w:cs="Arial" w:eastAsia="Arial" w:hAnsi="Arial"/>
                <w:sz w:val="18"/>
                <w:szCs w:val="18"/>
                <w:color w:val="auto"/>
                <w:w w:val="99"/>
              </w:rPr>
              <w:t>[7.</w:t>
            </w:r>
          </w:p>
        </w:tc>
        <w:tc>
          <w:tcPr>
            <w:tcW w:w="6800" w:type="dxa"/>
            <w:vAlign w:val="bottom"/>
            <w:gridSpan w:val="9"/>
          </w:tcPr>
          <w:p>
            <w:pPr>
              <w:ind w:left="320"/>
              <w:spacing w:after="0"/>
              <w:rPr>
                <w:sz w:val="20"/>
                <w:szCs w:val="20"/>
                <w:color w:val="auto"/>
              </w:rPr>
            </w:pPr>
            <w:r>
              <w:rPr>
                <w:rFonts w:ascii="Arial" w:cs="Arial" w:eastAsia="Arial" w:hAnsi="Arial"/>
                <w:sz w:val="18"/>
                <w:szCs w:val="18"/>
                <w:color w:val="auto"/>
              </w:rPr>
              <w:t>Trade Date:___________ ]</w:t>
            </w:r>
            <w:r>
              <w:rPr>
                <w:rFonts w:ascii="Arial" w:cs="Arial" w:eastAsia="Arial" w:hAnsi="Arial"/>
                <w:sz w:val="15"/>
                <w:szCs w:val="15"/>
                <w:color w:val="auto"/>
              </w:rPr>
              <w:t>5</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gridSpan w:val="3"/>
          </w:tcPr>
          <w:p>
            <w:pPr>
              <w:spacing w:after="0"/>
              <w:rPr>
                <w:sz w:val="20"/>
                <w:szCs w:val="20"/>
                <w:color w:val="auto"/>
              </w:rPr>
            </w:pPr>
            <w:r>
              <w:rPr>
                <w:rFonts w:ascii="Arial" w:cs="Arial" w:eastAsia="Arial" w:hAnsi="Arial"/>
                <w:sz w:val="18"/>
                <w:szCs w:val="18"/>
                <w:color w:val="auto"/>
                <w:w w:val="95"/>
              </w:rPr>
              <w:t>Effective Date:</w:t>
            </w:r>
          </w:p>
        </w:tc>
        <w:tc>
          <w:tcPr>
            <w:tcW w:w="360" w:type="dxa"/>
            <w:vAlign w:val="bottom"/>
          </w:tcPr>
          <w:p>
            <w:pPr>
              <w:spacing w:after="0"/>
              <w:rPr>
                <w:sz w:val="24"/>
                <w:szCs w:val="2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 20</w:t>
            </w:r>
          </w:p>
        </w:tc>
        <w:tc>
          <w:tcPr>
            <w:tcW w:w="8900" w:type="dxa"/>
            <w:vAlign w:val="bottom"/>
            <w:gridSpan w:val="10"/>
          </w:tcPr>
          <w:p>
            <w:pPr>
              <w:ind w:left="40"/>
              <w:spacing w:after="0"/>
              <w:rPr>
                <w:sz w:val="20"/>
                <w:szCs w:val="20"/>
                <w:color w:val="auto"/>
              </w:rPr>
            </w:pPr>
            <w:r>
              <w:rPr>
                <w:rFonts w:ascii="Arial" w:cs="Arial" w:eastAsia="Arial" w:hAnsi="Arial"/>
                <w:sz w:val="18"/>
                <w:szCs w:val="18"/>
                <w:color w:val="auto"/>
              </w:rPr>
              <w:t>[TO BE INSERTED BY ADMINISTRATIVE AGENT AND WHICH SHALL BE THE EFFECTIVE DATE OF</w:t>
            </w: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gridSpan w:val="10"/>
          </w:tcPr>
          <w:p>
            <w:pPr>
              <w:spacing w:after="0"/>
              <w:rPr>
                <w:sz w:val="20"/>
                <w:szCs w:val="20"/>
                <w:color w:val="auto"/>
              </w:rPr>
            </w:pPr>
            <w:r>
              <w:rPr>
                <w:rFonts w:ascii="Arial" w:cs="Arial" w:eastAsia="Arial" w:hAnsi="Arial"/>
                <w:sz w:val="18"/>
                <w:szCs w:val="18"/>
                <w:color w:val="auto"/>
              </w:rPr>
              <w:t>RECORDATION OF TRANSFER IN THE REGISTER THEREFOR.]</w:t>
            </w: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2522855</wp:posOffset>
            </wp:positionH>
            <wp:positionV relativeFrom="page">
              <wp:posOffset>320675</wp:posOffset>
            </wp:positionV>
            <wp:extent cx="47491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250"/>
        </w:numPr>
        <w:rPr>
          <w:rFonts w:ascii="Arial" w:cs="Arial" w:eastAsia="Arial" w:hAnsi="Arial"/>
          <w:sz w:val="15"/>
          <w:szCs w:val="15"/>
          <w:color w:val="auto"/>
        </w:rPr>
      </w:pPr>
      <w:r>
        <w:rPr>
          <w:rFonts w:ascii="Arial" w:cs="Arial" w:eastAsia="Arial" w:hAnsi="Arial"/>
          <w:sz w:val="18"/>
          <w:szCs w:val="18"/>
          <w:color w:val="auto"/>
        </w:rPr>
        <w:t>List each Assignor, as appropriate.</w:t>
      </w:r>
    </w:p>
    <w:p>
      <w:pPr>
        <w:spacing w:after="0" w:line="22" w:lineRule="exact"/>
        <w:rPr>
          <w:sz w:val="20"/>
          <w:szCs w:val="20"/>
          <w:color w:val="auto"/>
        </w:rPr>
      </w:pPr>
    </w:p>
    <w:p>
      <w:pPr>
        <w:ind w:left="424" w:hanging="424"/>
        <w:spacing w:after="0"/>
        <w:tabs>
          <w:tab w:leader="none" w:pos="424" w:val="left"/>
        </w:tabs>
        <w:numPr>
          <w:ilvl w:val="0"/>
          <w:numId w:val="251"/>
        </w:numPr>
        <w:rPr>
          <w:rFonts w:ascii="Arial" w:cs="Arial" w:eastAsia="Arial" w:hAnsi="Arial"/>
          <w:sz w:val="15"/>
          <w:szCs w:val="15"/>
          <w:color w:val="auto"/>
        </w:rPr>
      </w:pPr>
      <w:r>
        <w:rPr>
          <w:rFonts w:ascii="Arial" w:cs="Arial" w:eastAsia="Arial" w:hAnsi="Arial"/>
          <w:sz w:val="18"/>
          <w:szCs w:val="18"/>
          <w:color w:val="auto"/>
        </w:rPr>
        <w:t>List each Assignee, as appropriate.</w:t>
      </w:r>
    </w:p>
    <w:p>
      <w:pPr>
        <w:spacing w:after="0" w:line="9" w:lineRule="exact"/>
        <w:rPr>
          <w:sz w:val="20"/>
          <w:szCs w:val="20"/>
          <w:color w:val="auto"/>
        </w:rPr>
      </w:pPr>
    </w:p>
    <w:p>
      <w:pPr>
        <w:ind w:left="424" w:hanging="424"/>
        <w:spacing w:after="0"/>
        <w:tabs>
          <w:tab w:leader="none" w:pos="424" w:val="left"/>
        </w:tabs>
        <w:numPr>
          <w:ilvl w:val="0"/>
          <w:numId w:val="252"/>
        </w:numPr>
        <w:rPr>
          <w:rFonts w:ascii="Arial" w:cs="Arial" w:eastAsia="Arial" w:hAnsi="Arial"/>
          <w:sz w:val="14"/>
          <w:szCs w:val="14"/>
          <w:color w:val="auto"/>
        </w:rPr>
      </w:pPr>
      <w:r>
        <w:rPr>
          <w:rFonts w:ascii="Arial" w:cs="Arial" w:eastAsia="Arial" w:hAnsi="Arial"/>
          <w:sz w:val="17"/>
          <w:szCs w:val="17"/>
          <w:color w:val="auto"/>
        </w:rPr>
        <w:t>Amounts in this column and in the column immediately to the right to be adjusted by the counterparties to take into account any payments or</w:t>
      </w:r>
    </w:p>
    <w:p>
      <w:pPr>
        <w:spacing w:after="0" w:line="2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prepayments made between the Trade Date and the Effective Date.</w:t>
      </w:r>
    </w:p>
    <w:p>
      <w:pPr>
        <w:spacing w:after="0" w:line="8" w:lineRule="exact"/>
        <w:rPr>
          <w:sz w:val="20"/>
          <w:szCs w:val="20"/>
          <w:color w:val="auto"/>
        </w:rPr>
      </w:pPr>
    </w:p>
    <w:p>
      <w:pPr>
        <w:ind w:left="424" w:hanging="424"/>
        <w:spacing w:after="0"/>
        <w:tabs>
          <w:tab w:leader="none" w:pos="424" w:val="left"/>
        </w:tabs>
        <w:numPr>
          <w:ilvl w:val="0"/>
          <w:numId w:val="253"/>
        </w:numPr>
        <w:rPr>
          <w:rFonts w:ascii="Arial" w:cs="Arial" w:eastAsia="Arial" w:hAnsi="Arial"/>
          <w:sz w:val="15"/>
          <w:szCs w:val="15"/>
          <w:color w:val="auto"/>
        </w:rPr>
      </w:pPr>
      <w:r>
        <w:rPr>
          <w:rFonts w:ascii="Arial" w:cs="Arial" w:eastAsia="Arial" w:hAnsi="Arial"/>
          <w:sz w:val="18"/>
          <w:szCs w:val="18"/>
          <w:color w:val="auto"/>
        </w:rPr>
        <w:t>Set forth, to at least 9 decimals, as a percentage of the Commitment/Loans of all Lenders thereunder.</w:t>
      </w:r>
    </w:p>
    <w:p>
      <w:pPr>
        <w:spacing w:after="0" w:line="9" w:lineRule="exact"/>
        <w:rPr>
          <w:sz w:val="20"/>
          <w:szCs w:val="20"/>
          <w:color w:val="auto"/>
        </w:rPr>
      </w:pPr>
    </w:p>
    <w:p>
      <w:pPr>
        <w:ind w:left="424" w:hanging="424"/>
        <w:spacing w:after="0"/>
        <w:tabs>
          <w:tab w:leader="none" w:pos="424" w:val="left"/>
        </w:tabs>
        <w:numPr>
          <w:ilvl w:val="0"/>
          <w:numId w:val="254"/>
        </w:numPr>
        <w:rPr>
          <w:rFonts w:ascii="Arial" w:cs="Arial" w:eastAsia="Arial" w:hAnsi="Arial"/>
          <w:sz w:val="14"/>
          <w:szCs w:val="14"/>
          <w:color w:val="auto"/>
        </w:rPr>
      </w:pPr>
      <w:r>
        <w:rPr>
          <w:rFonts w:ascii="Arial" w:cs="Arial" w:eastAsia="Arial" w:hAnsi="Arial"/>
          <w:sz w:val="17"/>
          <w:szCs w:val="17"/>
          <w:color w:val="auto"/>
        </w:rPr>
        <w:t>To be completed if the Assignor and the Assignee intend that the minimum assignment amount is to be determined as of the Trade Date.</w:t>
      </w:r>
    </w:p>
    <w:p>
      <w:pPr>
        <w:sectPr>
          <w:pgSz w:w="11900" w:h="16838" w:orient="portrait"/>
          <w:cols w:equalWidth="0" w:num="1">
            <w:col w:w="11024"/>
          </w:cols>
          <w:pgMar w:left="436" w:top="727" w:right="439" w:bottom="1440" w:gutter="0" w:footer="0" w:header="0"/>
        </w:sectPr>
      </w:pPr>
    </w:p>
    <w:bookmarkStart w:id="220" w:name="page221"/>
    <w:bookmarkEnd w:id="22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set forth in this Assignment and Assumption are hereby agreed to:</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ASSIGNOR [NAME OF ASSIGNOR]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ASSIGNEE [NAME OF ASSIGNEE]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[Consented to and]</w:t>
      </w:r>
      <w:r>
        <w:rPr>
          <w:rFonts w:ascii="Arial" w:cs="Arial" w:eastAsia="Arial" w:hAnsi="Arial"/>
          <w:sz w:val="15"/>
          <w:szCs w:val="15"/>
          <w:color w:val="auto"/>
        </w:rPr>
        <w:t>1</w:t>
      </w:r>
      <w:r>
        <w:rPr>
          <w:rFonts w:ascii="Arial" w:cs="Arial" w:eastAsia="Arial" w:hAnsi="Arial"/>
          <w:sz w:val="18"/>
          <w:szCs w:val="18"/>
          <w:color w:val="auto"/>
        </w:rPr>
        <w:t xml:space="preserve"> Accepted: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[Consented to:]</w:t>
      </w:r>
      <w:r>
        <w:rPr>
          <w:rFonts w:ascii="Arial" w:cs="Arial" w:eastAsia="Arial" w:hAnsi="Arial"/>
          <w:sz w:val="15"/>
          <w:szCs w:val="15"/>
          <w:color w:val="auto"/>
        </w:rPr>
        <w:t>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55"/>
        </w:numPr>
        <w:rPr>
          <w:rFonts w:ascii="Arial" w:cs="Arial" w:eastAsia="Arial" w:hAnsi="Arial"/>
          <w:sz w:val="15"/>
          <w:szCs w:val="15"/>
          <w:color w:val="auto"/>
        </w:rPr>
      </w:pPr>
      <w:r>
        <w:rPr>
          <w:rFonts w:ascii="Arial" w:cs="Arial" w:eastAsia="Arial" w:hAnsi="Arial"/>
          <w:sz w:val="18"/>
          <w:szCs w:val="18"/>
          <w:color w:val="auto"/>
        </w:rPr>
        <w:t>To be added only if the consent of the Administrative Agent is required by the terms of the Credit Agreement.</w:t>
      </w:r>
    </w:p>
    <w:p>
      <w:pPr>
        <w:spacing w:after="0" w:line="22" w:lineRule="exact"/>
        <w:rPr>
          <w:sz w:val="20"/>
          <w:szCs w:val="20"/>
          <w:color w:val="auto"/>
        </w:rPr>
      </w:pPr>
    </w:p>
    <w:p>
      <w:pPr>
        <w:ind w:left="424" w:hanging="424"/>
        <w:spacing w:after="0" w:line="262" w:lineRule="auto"/>
        <w:tabs>
          <w:tab w:leader="none" w:pos="424" w:val="left"/>
        </w:tabs>
        <w:numPr>
          <w:ilvl w:val="0"/>
          <w:numId w:val="256"/>
        </w:numPr>
        <w:rPr>
          <w:rFonts w:ascii="Arial" w:cs="Arial" w:eastAsia="Arial" w:hAnsi="Arial"/>
          <w:sz w:val="15"/>
          <w:szCs w:val="15"/>
          <w:color w:val="auto"/>
        </w:rPr>
      </w:pPr>
      <w:r>
        <w:rPr>
          <w:rFonts w:ascii="Arial" w:cs="Arial" w:eastAsia="Arial" w:hAnsi="Arial"/>
          <w:sz w:val="18"/>
          <w:szCs w:val="18"/>
          <w:color w:val="auto"/>
        </w:rPr>
        <w:t>To be added only if the consent of the Company and/or other parties (</w:t>
      </w:r>
      <w:r>
        <w:rPr>
          <w:rFonts w:ascii="Arial" w:cs="Arial" w:eastAsia="Arial" w:hAnsi="Arial"/>
          <w:sz w:val="18"/>
          <w:szCs w:val="18"/>
          <w:u w:val="single" w:color="auto"/>
          <w:color w:val="auto"/>
        </w:rPr>
        <w:t>e.g.</w:t>
      </w:r>
      <w:r>
        <w:rPr>
          <w:rFonts w:ascii="Arial" w:cs="Arial" w:eastAsia="Arial" w:hAnsi="Arial"/>
          <w:sz w:val="18"/>
          <w:szCs w:val="18"/>
          <w:color w:val="auto"/>
        </w:rPr>
        <w:t>, Swing Line Lender, L/C Issuers) is required by the terms of the Credit Agreement.</w:t>
      </w:r>
    </w:p>
    <w:p>
      <w:pPr>
        <w:sectPr>
          <w:pgSz w:w="11900" w:h="16838" w:orient="portrait"/>
          <w:cols w:equalWidth="0" w:num="1">
            <w:col w:w="10844"/>
          </w:cols>
          <w:pgMar w:left="436" w:top="274" w:right="619" w:bottom="1440" w:gutter="0" w:footer="0" w:header="0"/>
        </w:sectPr>
      </w:pPr>
    </w:p>
    <w:bookmarkStart w:id="221" w:name="page222"/>
    <w:bookmarkEnd w:id="221"/>
    <w:p>
      <w:pPr>
        <w:ind w:left="70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 TO ASSIGNMENT AND ASSUMPTION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STANDARD TERMS AND CONDITIONS FOR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ASSIGNMENT AND ASSUMPTION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1. Representations and Warranties.</w:t>
      </w:r>
    </w:p>
    <w:p>
      <w:pPr>
        <w:spacing w:after="0" w:line="117" w:lineRule="exact"/>
        <w:rPr>
          <w:sz w:val="20"/>
          <w:szCs w:val="20"/>
          <w:color w:val="auto"/>
        </w:rPr>
      </w:pPr>
    </w:p>
    <w:p>
      <w:pPr>
        <w:ind w:left="4" w:right="40"/>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other than its representations and warranties set forth herein,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57" w:lineRule="exact"/>
        <w:rPr>
          <w:sz w:val="20"/>
          <w:szCs w:val="20"/>
          <w:color w:val="auto"/>
        </w:rPr>
      </w:pPr>
    </w:p>
    <w:p>
      <w:pPr>
        <w:jc w:val="both"/>
        <w:ind w:left="4" w:right="20"/>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ind w:left="4" w:right="40" w:hanging="4"/>
        <w:spacing w:after="0" w:line="281" w:lineRule="auto"/>
        <w:tabs>
          <w:tab w:leader="none" w:pos="269"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it meets all the requirements to be an Eligible Assignee under the Credit Agreement (subject to such consents, if any, as may be required under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thereof and such other documents and information as it deems appropriate to make its own credit analysis and decision to enter into this Assignment and Assumption and to purchase [the][such] Assigned Interest, (vi) it has, independently and without reliance upon the Administrative Agent, the Sustainability Structuring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w:t>
      </w:r>
    </w:p>
    <w:p>
      <w:pPr>
        <w:spacing w:after="0" w:line="6" w:lineRule="exact"/>
        <w:rPr>
          <w:rFonts w:ascii="Arial" w:cs="Arial" w:eastAsia="Arial" w:hAnsi="Arial"/>
          <w:sz w:val="16"/>
          <w:szCs w:val="16"/>
          <w:color w:val="auto"/>
        </w:rPr>
      </w:pPr>
    </w:p>
    <w:p>
      <w:pPr>
        <w:ind w:left="4" w:right="60" w:hanging="4"/>
        <w:spacing w:after="0" w:line="252" w:lineRule="auto"/>
        <w:tabs>
          <w:tab w:leader="none" w:pos="25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agrees that (i) it will, independently and without reliance upon the Administrative Agent or the Sustainability Structuring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The Assignee represents and warrants as of the Effective Date that it is not (A) an employee benefit plan subject to Title I of ERISA, (B) a plan or account subject to Section 4975 of the Internal Revenue Code, (C) an entity deemed to hold “plan assets” of any such plans or accounts for purposes of ERISA or the Internal Revenue Code, or (D) a “governmental plan” within the meaning of ERISA.</w:t>
      </w:r>
    </w:p>
    <w:p>
      <w:pPr>
        <w:spacing w:after="0" w:line="84" w:lineRule="exact"/>
        <w:rPr>
          <w:sz w:val="20"/>
          <w:szCs w:val="20"/>
          <w:color w:val="auto"/>
        </w:rPr>
      </w:pPr>
    </w:p>
    <w:p>
      <w:pPr>
        <w:ind w:left="4" w:right="80" w:hanging="4"/>
        <w:spacing w:after="0" w:line="286" w:lineRule="auto"/>
        <w:tabs>
          <w:tab w:leader="none" w:pos="184"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ectPr>
          <w:pgSz w:w="11900" w:h="16838" w:orient="portrait"/>
          <w:cols w:equalWidth="0" w:num="1">
            <w:col w:w="11024"/>
          </w:cols>
          <w:pgMar w:left="436" w:top="270" w:right="439" w:bottom="1440" w:gutter="0" w:footer="0" w:header="0"/>
        </w:sectPr>
      </w:pPr>
    </w:p>
    <w:bookmarkStart w:id="222" w:name="page223"/>
    <w:bookmarkEnd w:id="222"/>
    <w:p>
      <w:pPr>
        <w:ind w:left="4" w:hanging="4"/>
        <w:spacing w:after="0" w:line="255" w:lineRule="auto"/>
        <w:tabs>
          <w:tab w:leader="none" w:pos="184"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counterparts (and by different parties hereto in different counterparts), each of which shall constitute an original, but all of which when taken together shall constitute a single contract. Delivery of an executed counterpart of a signature page of this Assignment and Assumption by facsimile or other electronic imaging means (e.g., “pdf” or “tif”)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004"/>
          </w:cols>
          <w:pgMar w:left="436" w:top="274" w:right="45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Announces $2.5 Billion Sustainability-Linked Revolving Credit Facility</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June 23, 2021 – Wilmington, MA – Analog Devices, Inc. (Nasdaq: ADI) today announced that it has successfully executed a $2.5 billion sustainability-linked senior revolving credit facility (the “facility”), replacing its existing $1.25 billion senior revolving credit facility. Half of the $2.5 billion facility will become available only upon the consummation of ADI’s acquisition of Maxim Integrated Products, Inc.</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ADI is one of the first U.S semiconductor companies to issue a sustainability-linked revolving credit facility, reinforcing the company’s commitment to sustainability. Under the terms of the facility, ADI receives a pricing adjustment based on its performance against environmental criteria during the facility’s five-year term. ADI’s progress will be measured on two key performance indicators within the company’s main manufacturing facilities, namely using renewable energy and reducing greenhouse gas emissions.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ADI, we are dedicated to playing a leading role across the semiconductor industry in enabling the transition towards a low-carbon economy. This sustainability-linked revolving credit facility will help mobilize our company’s resources in the fight against climate change,” said Prashanth Mahendra-Rajah, Chief Financial Officer of Analog Devices. “Additionally, incorporating environmental impact metrics into the financing structure allows us to strive toward our sustainability and financial goals in tandem.”</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facility supports ADI’s broader climate strategy, including aiming to achieve carbon neutrality by 2030 and net zero emissions by 2050; committing to set targets to be verified by the Science Based Targets initiative (SBTi); signing the United Nations’ Business Ambition for 1.5°C pledge; and partnering with the Woods Hole Oceanographic Institution (WHOI) to launch a consortium to advance knowledge of the ocean’s role in combatting climate change. More details on these commitments and initiatives can be found in ADI’s </w:t>
      </w:r>
      <w:r>
        <w:rPr>
          <w:rFonts w:ascii="Arial" w:cs="Arial" w:eastAsia="Arial" w:hAnsi="Arial"/>
          <w:sz w:val="18"/>
          <w:szCs w:val="18"/>
          <w:u w:val="single" w:color="auto"/>
          <w:color w:val="auto"/>
        </w:rPr>
        <w:t>2020 Corporate Responsibility Report</w:t>
      </w:r>
      <w:r>
        <w:rPr>
          <w:rFonts w:ascii="Arial" w:cs="Arial" w:eastAsia="Arial" w:hAnsi="Arial"/>
          <w:sz w:val="18"/>
          <w:szCs w:val="18"/>
          <w:color w:val="auto"/>
        </w:rPr>
        <w:t xml:space="preserve"> published earlier this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Analog Devices, Inc.</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Analog Devices (Nasdaq: ADI) is a leading global high-performance semiconductor company dedicated to solving the toughest engineering challenges. We enable our customers to interpret the world around us by intelligently bridging the physical and digital with unmatched technologies that sense, measure, power, connect and interpret. Visit </w:t>
      </w:r>
      <w:r>
        <w:rPr>
          <w:rFonts w:ascii="Arial" w:cs="Arial" w:eastAsia="Arial" w:hAnsi="Arial"/>
          <w:sz w:val="18"/>
          <w:szCs w:val="18"/>
          <w:u w:val="single" w:color="auto"/>
          <w:color w:val="auto"/>
        </w:rPr>
        <w:t>http://www.analog.com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(ADI-WEB)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 for ADI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Michael Lucarelli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investor.relations@analog.com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Brittany 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917-935-1456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Brittany.Stone@teneo.com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E0858A"/>
    <w:multiLevelType w:val="hybridMultilevel"/>
    <w:lvl w:ilvl="0">
      <w:lvlJc w:val="left"/>
      <w:lvlText w:val="☐"/>
      <w:numFmt w:val="bullet"/>
      <w:start w:val="1"/>
    </w:lvl>
  </w:abstractNum>
  <w:abstractNum w:abstractNumId="1">
    <w:nsid w:val="57A61A29"/>
    <w:multiLevelType w:val="hybridMultilevel"/>
    <w:lvl w:ilvl="0">
      <w:lvlJc w:val="left"/>
      <w:lvlText w:val="(%1)"/>
      <w:numFmt w:val="lowerLetter"/>
      <w:start w:val="1"/>
    </w:lvl>
  </w:abstractNum>
  <w:abstractNum w:abstractNumId="2">
    <w:nsid w:val="5399C654"/>
    <w:multiLevelType w:val="hybridMultilevel"/>
    <w:lvl w:ilvl="0">
      <w:lvlJc w:val="left"/>
      <w:lvlText w:val="(%1)"/>
      <w:numFmt w:val="lowerLetter"/>
      <w:start w:val="1"/>
    </w:lvl>
  </w:abstractNum>
  <w:abstractNum w:abstractNumId="3">
    <w:nsid w:val="20EE1348"/>
    <w:multiLevelType w:val="hybridMultilevel"/>
    <w:lvl w:ilvl="0">
      <w:lvlJc w:val="left"/>
      <w:lvlText w:val="(%1)"/>
      <w:numFmt w:val="decimal"/>
      <w:start w:val="1"/>
    </w:lvl>
    <w:lvl w:ilvl="1">
      <w:lvlJc w:val="left"/>
      <w:lvlText w:val="(%2)"/>
      <w:numFmt w:val="lowerLetter"/>
      <w:start w:val="1"/>
    </w:lvl>
  </w:abstractNum>
  <w:abstractNum w:abstractNumId="4">
    <w:nsid w:val="4427069A"/>
    <w:multiLevelType w:val="hybridMultilevel"/>
    <w:lvl w:ilvl="0">
      <w:lvlJc w:val="left"/>
      <w:lvlText w:val="(%1)"/>
      <w:numFmt w:val="decimal"/>
      <w:start w:val="2"/>
    </w:lvl>
  </w:abstractNum>
  <w:abstractNum w:abstractNumId="5">
    <w:nsid w:val="B37E80A"/>
    <w:multiLevelType w:val="hybridMultilevel"/>
    <w:lvl w:ilvl="0">
      <w:lvlJc w:val="left"/>
      <w:lvlText w:val="(%1)"/>
      <w:numFmt w:val="lowerLetter"/>
      <w:start w:val="1"/>
    </w:lvl>
  </w:abstractNum>
  <w:abstractNum w:abstractNumId="6">
    <w:nsid w:val="2157F6BC"/>
    <w:multiLevelType w:val="hybridMultilevel"/>
    <w:lvl w:ilvl="0">
      <w:lvlJc w:val="left"/>
      <w:lvlText w:val="(%1)"/>
      <w:numFmt w:val="lowerLetter"/>
      <w:start w:val="1"/>
    </w:lvl>
  </w:abstractNum>
  <w:abstractNum w:abstractNumId="7">
    <w:nsid w:val="704E1DD5"/>
    <w:multiLevelType w:val="hybridMultilevel"/>
    <w:lvl w:ilvl="0">
      <w:lvlJc w:val="left"/>
      <w:lvlText w:val="(%1)"/>
      <w:numFmt w:val="lowerLetter"/>
      <w:start w:val="3"/>
    </w:lvl>
  </w:abstractNum>
  <w:abstractNum w:abstractNumId="8">
    <w:nsid w:val="57D2F10E"/>
    <w:multiLevelType w:val="hybridMultilevel"/>
    <w:lvl w:ilvl="0">
      <w:lvlJc w:val="left"/>
      <w:lvlText w:val="(%1)"/>
      <w:numFmt w:val="lowerRoman"/>
      <w:start w:val="1"/>
    </w:lvl>
  </w:abstractNum>
  <w:abstractNum w:abstractNumId="9">
    <w:nsid w:val="BFFAE18"/>
    <w:multiLevelType w:val="hybridMultilevel"/>
    <w:lvl w:ilvl="0">
      <w:lvlJc w:val="left"/>
      <w:lvlText w:val="(%1)"/>
      <w:numFmt w:val="lowerRoman"/>
      <w:start w:val="2"/>
    </w:lvl>
  </w:abstractNum>
  <w:abstractNum w:abstractNumId="10">
    <w:nsid w:val="E3E47A8"/>
    <w:multiLevelType w:val="hybridMultilevel"/>
    <w:lvl w:ilvl="0">
      <w:lvlJc w:val="left"/>
      <w:lvlText w:val="(%1)"/>
      <w:numFmt w:val="lowerLetter"/>
      <w:start w:val="3"/>
    </w:lvl>
  </w:abstractNum>
  <w:abstractNum w:abstractNumId="11">
    <w:nsid w:val="2E48F044"/>
    <w:multiLevelType w:val="hybridMultilevel"/>
    <w:lvl w:ilvl="0">
      <w:lvlJc w:val="left"/>
      <w:lvlText w:val="(%1)"/>
      <w:numFmt w:val="decimal"/>
      <w:start w:val="1"/>
    </w:lvl>
  </w:abstractNum>
  <w:abstractNum w:abstractNumId="12">
    <w:nsid w:val="49D0FEAC"/>
    <w:multiLevelType w:val="hybridMultilevel"/>
    <w:lvl w:ilvl="0">
      <w:lvlJc w:val="left"/>
      <w:lvlText w:val="(%1)"/>
      <w:numFmt w:val="lowerLetter"/>
      <w:start w:val="1"/>
    </w:lvl>
    <w:lvl w:ilvl="1">
      <w:lvlJc w:val="left"/>
      <w:lvlText w:val="(%2)"/>
      <w:numFmt w:val="lowerRoman"/>
      <w:start w:val="1"/>
    </w:lvl>
  </w:abstractNum>
  <w:abstractNum w:abstractNumId="13">
    <w:nsid w:val="4BEE5A5B"/>
    <w:multiLevelType w:val="hybridMultilevel"/>
    <w:lvl w:ilvl="0">
      <w:lvlJc w:val="left"/>
      <w:lvlText w:val="(%1)"/>
      <w:numFmt w:val="lowerLetter"/>
      <w:start w:val="2"/>
    </w:lvl>
  </w:abstractNum>
  <w:abstractNum w:abstractNumId="14">
    <w:nsid w:val="5551B9F3"/>
    <w:multiLevelType w:val="hybridMultilevel"/>
    <w:lvl w:ilvl="0">
      <w:lvlJc w:val="left"/>
      <w:lvlText w:val="(%1)"/>
      <w:numFmt w:val="lowerLetter"/>
      <w:start w:val="2"/>
    </w:lvl>
  </w:abstractNum>
  <w:abstractNum w:abstractNumId="15">
    <w:nsid w:val="24F6AB8E"/>
    <w:multiLevelType w:val="hybridMultilevel"/>
    <w:lvl w:ilvl="0">
      <w:lvlJc w:val="left"/>
      <w:lvlText w:val="(%1)"/>
      <w:numFmt w:val="lowerLetter"/>
      <w:start w:val="1"/>
    </w:lvl>
  </w:abstractNum>
  <w:abstractNum w:abstractNumId="16">
    <w:nsid w:val="634C574C"/>
    <w:multiLevelType w:val="hybridMultilevel"/>
    <w:lvl w:ilvl="0">
      <w:lvlJc w:val="left"/>
      <w:lvlText w:val="(%1)"/>
      <w:numFmt w:val="lowerLetter"/>
      <w:start w:val="6"/>
    </w:lvl>
  </w:abstractNum>
  <w:abstractNum w:abstractNumId="17">
    <w:nsid w:val="24E99DD7"/>
    <w:multiLevelType w:val="hybridMultilevel"/>
    <w:lvl w:ilvl="0">
      <w:lvlJc w:val="left"/>
      <w:lvlText w:val="(%1)"/>
      <w:numFmt w:val="lowerLetter"/>
      <w:start w:val="1"/>
    </w:lvl>
  </w:abstractNum>
  <w:abstractNum w:abstractNumId="18">
    <w:nsid w:val="2A31B62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
    <w:nsid w:val="1849C29B"/>
    <w:multiLevelType w:val="hybridMultilevel"/>
    <w:lvl w:ilvl="0">
      <w:lvlJc w:val="left"/>
      <w:lvlText w:val="%1"/>
      <w:numFmt w:val="lowerRoman"/>
      <w:start w:val="1"/>
    </w:lvl>
    <w:lvl w:ilvl="1">
      <w:lvlJc w:val="left"/>
      <w:lvlText w:val="(%2)"/>
      <w:numFmt w:val="upperLetter"/>
      <w:start w:val="2"/>
    </w:lvl>
  </w:abstractNum>
  <w:abstractNum w:abstractNumId="20">
    <w:nsid w:val="7DFF9D09"/>
    <w:multiLevelType w:val="hybridMultilevel"/>
    <w:lvl w:ilvl="0">
      <w:lvlJc w:val="left"/>
      <w:lvlText w:val="(%1)"/>
      <w:numFmt w:val="lowerRoman"/>
      <w:start w:val="4"/>
    </w:lvl>
    <w:lvl w:ilvl="1">
      <w:lvlJc w:val="left"/>
      <w:lvlText w:val="(%2)"/>
      <w:numFmt w:val="upperLetter"/>
      <w:start w:val="1"/>
    </w:lvl>
  </w:abstractNum>
  <w:abstractNum w:abstractNumId="21">
    <w:nsid w:val="754342"/>
    <w:multiLevelType w:val="hybridMultilevel"/>
    <w:lvl w:ilvl="0">
      <w:lvlJc w:val="left"/>
      <w:lvlText w:val="(%1)"/>
      <w:numFmt w:val="lowerLetter"/>
      <w:start w:val="3"/>
    </w:lvl>
  </w:abstractNum>
  <w:abstractNum w:abstractNumId="22">
    <w:nsid w:val="69E7F3E5"/>
    <w:multiLevelType w:val="hybridMultilevel"/>
    <w:lvl w:ilvl="0">
      <w:lvlJc w:val="left"/>
      <w:lvlText w:val="(%1)"/>
      <w:numFmt w:val="lowerRoman"/>
      <w:start w:val="2"/>
    </w:lvl>
  </w:abstractNum>
  <w:abstractNum w:abstractNumId="23">
    <w:nsid w:val="2A6DE806"/>
    <w:multiLevelType w:val="hybridMultilevel"/>
    <w:lvl w:ilvl="0">
      <w:lvlJc w:val="left"/>
      <w:lvlText w:val="(%1)"/>
      <w:numFmt w:val="lowerLetter"/>
      <w:start w:val="1"/>
    </w:lvl>
  </w:abstractNum>
  <w:abstractNum w:abstractNumId="24">
    <w:nsid w:val="1816F8C4"/>
    <w:multiLevelType w:val="hybridMultilevel"/>
    <w:lvl w:ilvl="0">
      <w:lvlJc w:val="left"/>
      <w:lvlText w:val="(%1)"/>
      <w:numFmt w:val="lowerLetter"/>
      <w:start w:val="1"/>
    </w:lvl>
  </w:abstractNum>
  <w:abstractNum w:abstractNumId="25">
    <w:nsid w:val="37DF2233"/>
    <w:multiLevelType w:val="hybridMultilevel"/>
    <w:lvl w:ilvl="0">
      <w:lvlJc w:val="left"/>
      <w:lvlText w:val="(%1)"/>
      <w:numFmt w:val="lowerLetter"/>
      <w:start w:val="1"/>
    </w:lvl>
  </w:abstractNum>
  <w:abstractNum w:abstractNumId="26">
    <w:nsid w:val="7AB49DAF"/>
    <w:multiLevelType w:val="hybridMultilevel"/>
    <w:lvl w:ilvl="0">
      <w:lvlJc w:val="left"/>
      <w:lvlText w:val="(%1)"/>
      <w:numFmt w:val="lowerLetter"/>
      <w:start w:val="2"/>
    </w:lvl>
  </w:abstractNum>
  <w:abstractNum w:abstractNumId="27">
    <w:nsid w:val="759F82CD"/>
    <w:multiLevelType w:val="hybridMultilevel"/>
    <w:lvl w:ilvl="0">
      <w:lvlJc w:val="left"/>
      <w:lvlText w:val="(%1)"/>
      <w:numFmt w:val="lowerLetter"/>
      <w:start w:val="1"/>
    </w:lvl>
  </w:abstractNum>
  <w:abstractNum w:abstractNumId="28">
    <w:nsid w:val="61E74EA3"/>
    <w:multiLevelType w:val="hybridMultilevel"/>
    <w:lvl w:ilvl="0">
      <w:lvlJc w:val="left"/>
      <w:lvlText w:val="(%1)"/>
      <w:numFmt w:val="lowerLetter"/>
      <w:start w:val="1"/>
    </w:lvl>
  </w:abstractNum>
  <w:abstractNum w:abstractNumId="29">
    <w:nsid w:val="597B4D84"/>
    <w:multiLevelType w:val="hybridMultilevel"/>
    <w:lvl w:ilvl="0">
      <w:lvlJc w:val="left"/>
      <w:lvlText w:val="%1"/>
      <w:numFmt w:val="decimal"/>
      <w:start w:val="1"/>
    </w:lvl>
    <w:lvl w:ilvl="1">
      <w:lvlJc w:val="left"/>
      <w:lvlText w:val="(%2)"/>
      <w:numFmt w:val="lowerLetter"/>
      <w:start w:val="1"/>
    </w:lvl>
  </w:abstractNum>
  <w:abstractNum w:abstractNumId="30">
    <w:nsid w:val="F819E7F"/>
    <w:multiLevelType w:val="hybridMultilevel"/>
    <w:lvl w:ilvl="0">
      <w:lvlJc w:val="left"/>
      <w:lvlText w:val="(%1)"/>
      <w:numFmt w:val="decimal"/>
      <w:start w:val="10"/>
    </w:lvl>
    <w:lvl w:ilvl="1">
      <w:lvlJc w:val="left"/>
      <w:lvlText w:val="(%2)"/>
      <w:numFmt w:val="lowerLetter"/>
      <w:start w:val="3"/>
    </w:lvl>
  </w:abstractNum>
  <w:abstractNum w:abstractNumId="31">
    <w:nsid w:val="57C7D42D"/>
    <w:multiLevelType w:val="hybridMultilevel"/>
    <w:lvl w:ilvl="0">
      <w:lvlJc w:val="left"/>
      <w:lvlText w:val="(%1)"/>
      <w:numFmt w:val="lowerLetter"/>
      <w:start w:val="1"/>
    </w:lvl>
  </w:abstractNum>
  <w:abstractNum w:abstractNumId="32">
    <w:nsid w:val="312167AD"/>
    <w:multiLevelType w:val="hybridMultilevel"/>
    <w:lvl w:ilvl="0">
      <w:lvlJc w:val="left"/>
      <w:lvlText w:val="(%1)"/>
      <w:numFmt w:val="lowerLetter"/>
      <w:start w:val="2"/>
    </w:lvl>
  </w:abstractNum>
  <w:abstractNum w:abstractNumId="33">
    <w:nsid w:val="631B64D4"/>
    <w:multiLevelType w:val="hybridMultilevel"/>
    <w:lvl w:ilvl="0">
      <w:lvlJc w:val="left"/>
      <w:lvlText w:val="%1"/>
      <w:numFmt w:val="lowerLetter"/>
      <w:start w:val="1"/>
    </w:lvl>
    <w:lvl w:ilvl="1">
      <w:lvlJc w:val="left"/>
      <w:lvlText w:val="(%2)"/>
      <w:numFmt w:val="lowerLetter"/>
      <w:start w:val="1"/>
    </w:lvl>
  </w:abstractNum>
  <w:abstractNum w:abstractNumId="34">
    <w:nsid w:val="78B5E776"/>
    <w:multiLevelType w:val="hybridMultilevel"/>
    <w:lvl w:ilvl="0">
      <w:lvlJc w:val="left"/>
      <w:lvlText w:val="(%1)"/>
      <w:numFmt w:val="lowerLetter"/>
      <w:start w:val="9"/>
    </w:lvl>
    <w:lvl w:ilvl="1">
      <w:lvlJc w:val="left"/>
      <w:lvlText w:val="%2"/>
      <w:numFmt w:val="lowerLetter"/>
      <w:start w:val="1"/>
    </w:lvl>
  </w:abstractNum>
  <w:abstractNum w:abstractNumId="35">
    <w:nsid w:val="75486E47"/>
    <w:multiLevelType w:val="hybridMultilevel"/>
    <w:lvl w:ilvl="0">
      <w:lvlJc w:val="left"/>
      <w:lvlText w:val="(%1)"/>
      <w:numFmt w:val="lowerLetter"/>
      <w:start w:val="22"/>
    </w:lvl>
    <w:lvl w:ilvl="1">
      <w:lvlJc w:val="left"/>
      <w:lvlText w:val="(%2)"/>
      <w:numFmt w:val="lowerLetter"/>
      <w:start w:val="2"/>
    </w:lvl>
  </w:abstractNum>
  <w:abstractNum w:abstractNumId="36">
    <w:nsid w:val="6E534CDE"/>
    <w:multiLevelType w:val="hybridMultilevel"/>
    <w:lvl w:ilvl="0">
      <w:lvlJc w:val="left"/>
      <w:lvlText w:val="(%1)"/>
      <w:numFmt w:val="lowerLetter"/>
      <w:start w:val="3"/>
    </w:lvl>
  </w:abstractNum>
  <w:abstractNum w:abstractNumId="37">
    <w:nsid w:val="1A0DDE32"/>
    <w:multiLevelType w:val="hybridMultilevel"/>
    <w:lvl w:ilvl="0">
      <w:lvlJc w:val="left"/>
      <w:lvlText w:val="(%1)"/>
      <w:numFmt w:val="lowerLetter"/>
      <w:start w:val="1"/>
    </w:lvl>
    <w:lvl w:ilvl="1">
      <w:lvlJc w:val="left"/>
      <w:lvlText w:val="(%2)"/>
      <w:numFmt w:val="lowerLetter"/>
      <w:start w:val="9"/>
    </w:lvl>
  </w:abstractNum>
  <w:abstractNum w:abstractNumId="38">
    <w:nsid w:val="65968C1C"/>
    <w:multiLevelType w:val="hybridMultilevel"/>
    <w:lvl w:ilvl="0">
      <w:lvlJc w:val="left"/>
      <w:lvlText w:val="(%1)"/>
      <w:numFmt w:val="lowerLetter"/>
      <w:start w:val="23"/>
    </w:lvl>
    <w:lvl w:ilvl="1">
      <w:lvlJc w:val="left"/>
      <w:lvlText w:val="%2"/>
      <w:numFmt w:val="lowerLetter"/>
      <w:start w:val="1"/>
    </w:lvl>
  </w:abstractNum>
  <w:abstractNum w:abstractNumId="39">
    <w:nsid w:val="46263DEC"/>
    <w:multiLevelType w:val="hybridMultilevel"/>
    <w:lvl w:ilvl="0">
      <w:lvlJc w:val="left"/>
      <w:lvlText w:val="(%1)"/>
      <w:numFmt w:val="lowerRoman"/>
      <w:start w:val="2"/>
    </w:lvl>
    <w:lvl w:ilvl="1">
      <w:lvlJc w:val="left"/>
      <w:lvlText w:val="(%2)"/>
      <w:numFmt w:val="upperLetter"/>
      <w:start w:val="1"/>
    </w:lvl>
  </w:abstractNum>
  <w:abstractNum w:abstractNumId="40">
    <w:nsid w:val="260D8C4A"/>
    <w:multiLevelType w:val="hybridMultilevel"/>
    <w:lvl w:ilvl="0">
      <w:lvlJc w:val="left"/>
      <w:lvlText w:val="%1"/>
      <w:numFmt w:val="lowerLetter"/>
      <w:start w:val="1"/>
    </w:lvl>
    <w:lvl w:ilvl="1">
      <w:lvlJc w:val="left"/>
      <w:lvlText w:val="(%2)"/>
      <w:numFmt w:val="lowerRoman"/>
      <w:start w:val="4"/>
    </w:lvl>
  </w:abstractNum>
  <w:abstractNum w:abstractNumId="41">
    <w:nsid w:val="73D4D3C4"/>
    <w:multiLevelType w:val="hybridMultilevel"/>
    <w:lvl w:ilvl="0">
      <w:lvlJc w:val="left"/>
      <w:lvlText w:val="(%1)"/>
      <w:numFmt w:val="lowerLetter"/>
      <w:start w:val="2"/>
    </w:lvl>
    <w:lvl w:ilvl="1">
      <w:lvlJc w:val="left"/>
      <w:lvlText w:val="(%2)"/>
      <w:numFmt w:val="lowerRoman"/>
      <w:start w:val="1"/>
    </w:lvl>
  </w:abstractNum>
  <w:abstractNum w:abstractNumId="42">
    <w:nsid w:val="746F2E30"/>
    <w:multiLevelType w:val="hybridMultilevel"/>
    <w:lvl w:ilvl="0">
      <w:lvlJc w:val="left"/>
      <w:lvlText w:val="%1"/>
      <w:numFmt w:val="lowerLetter"/>
      <w:start w:val="1"/>
    </w:lvl>
    <w:lvl w:ilvl="1">
      <w:lvlJc w:val="left"/>
      <w:lvlText w:val="(%2)"/>
      <w:numFmt w:val="lowerRoman"/>
      <w:start w:val="2"/>
    </w:lvl>
  </w:abstractNum>
  <w:abstractNum w:abstractNumId="43">
    <w:nsid w:val="6FDE8AF6"/>
    <w:multiLevelType w:val="hybridMultilevel"/>
    <w:lvl w:ilvl="0">
      <w:lvlJc w:val="left"/>
      <w:lvlText w:val="(%1)"/>
      <w:numFmt w:val="lowerLetter"/>
      <w:start w:val="3"/>
    </w:lvl>
    <w:lvl w:ilvl="1">
      <w:lvlJc w:val="left"/>
      <w:lvlText w:val="(%2)"/>
      <w:numFmt w:val="lowerRoman"/>
      <w:start w:val="1"/>
    </w:lvl>
  </w:abstractNum>
  <w:abstractNum w:abstractNumId="44">
    <w:nsid w:val="3FC32E20"/>
    <w:multiLevelType w:val="hybridMultilevel"/>
    <w:lvl w:ilvl="0">
      <w:lvlJc w:val="left"/>
      <w:lvlText w:val="(%1)"/>
      <w:numFmt w:val="decimal"/>
      <w:start w:val="1"/>
    </w:lvl>
    <w:lvl w:ilvl="1">
      <w:lvlJc w:val="left"/>
      <w:lvlText w:val="(%2)"/>
      <w:numFmt w:val="lowerRoman"/>
      <w:start w:val="2"/>
    </w:lvl>
  </w:abstractNum>
  <w:abstractNum w:abstractNumId="45">
    <w:nsid w:val="49C0E823"/>
    <w:multiLevelType w:val="hybridMultilevel"/>
    <w:lvl w:ilvl="0">
      <w:lvlJc w:val="left"/>
      <w:lvlText w:val="%1"/>
      <w:numFmt w:val="lowerLetter"/>
      <w:start w:val="1"/>
    </w:lvl>
    <w:lvl w:ilvl="1">
      <w:lvlJc w:val="left"/>
      <w:lvlText w:val="(%2)"/>
      <w:numFmt w:val="lowerRoman"/>
      <w:start w:val="4"/>
    </w:lvl>
  </w:abstractNum>
  <w:abstractNum w:abstractNumId="46">
    <w:nsid w:val="14D53685"/>
    <w:multiLevelType w:val="hybridMultilevel"/>
    <w:lvl w:ilvl="0">
      <w:lvlJc w:val="left"/>
      <w:lvlText w:val="(%1)"/>
      <w:numFmt w:val="lowerLetter"/>
      <w:start w:val="4"/>
    </w:lvl>
    <w:lvl w:ilvl="1">
      <w:lvlJc w:val="left"/>
      <w:lvlText w:val="(%2)"/>
      <w:numFmt w:val="lowerRoman"/>
      <w:start w:val="1"/>
    </w:lvl>
  </w:abstractNum>
  <w:abstractNum w:abstractNumId="47">
    <w:nsid w:val="230F856C"/>
    <w:multiLevelType w:val="hybridMultilevel"/>
    <w:lvl w:ilvl="0">
      <w:lvlJc w:val="left"/>
      <w:lvlText w:val="(%1)"/>
      <w:numFmt w:val="lowerLetter"/>
      <w:start w:val="5"/>
    </w:lvl>
    <w:lvl w:ilvl="1">
      <w:lvlJc w:val="left"/>
      <w:lvlText w:val="(%2)"/>
      <w:numFmt w:val="lowerRoman"/>
      <w:start w:val="1"/>
    </w:lvl>
  </w:abstractNum>
  <w:abstractNum w:abstractNumId="48">
    <w:nsid w:val="6EAA85FB"/>
    <w:multiLevelType w:val="hybridMultilevel"/>
    <w:lvl w:ilvl="0">
      <w:lvlJc w:val="left"/>
      <w:lvlText w:val="(%1)"/>
      <w:numFmt w:val="lowerRoman"/>
      <w:start w:val="9"/>
    </w:lvl>
  </w:abstractNum>
  <w:abstractNum w:abstractNumId="49">
    <w:nsid w:val="3F06ECB2"/>
    <w:multiLevelType w:val="hybridMultilevel"/>
    <w:lvl w:ilvl="0">
      <w:lvlJc w:val="left"/>
      <w:lvlText w:val="(%1)"/>
      <w:numFmt w:val="lowerLetter"/>
      <w:start w:val="6"/>
    </w:lvl>
  </w:abstractNum>
  <w:abstractNum w:abstractNumId="50">
    <w:nsid w:val="3B594807"/>
    <w:multiLevelType w:val="hybridMultilevel"/>
    <w:lvl w:ilvl="0">
      <w:lvlJc w:val="left"/>
      <w:lvlText w:val="(%1)"/>
      <w:numFmt w:val="lowerLetter"/>
      <w:start w:val="8"/>
    </w:lvl>
    <w:lvl w:ilvl="1">
      <w:lvlJc w:val="left"/>
      <w:lvlText w:val="(%2)"/>
      <w:numFmt w:val="lowerLetter"/>
      <w:start w:val="9"/>
    </w:lvl>
  </w:abstractNum>
  <w:abstractNum w:abstractNumId="51">
    <w:nsid w:val="6CAA2304"/>
    <w:multiLevelType w:val="hybridMultilevel"/>
    <w:lvl w:ilvl="0">
      <w:lvlJc w:val="left"/>
      <w:lvlText w:val="%1"/>
      <w:numFmt w:val="upperLetter"/>
      <w:start w:val="1"/>
    </w:lvl>
    <w:lvl w:ilvl="1">
      <w:lvlJc w:val="left"/>
      <w:lvlText w:val="(%2)"/>
      <w:numFmt w:val="lowerRoman"/>
      <w:start w:val="2"/>
    </w:lvl>
  </w:abstractNum>
  <w:abstractNum w:abstractNumId="52">
    <w:nsid w:val="3F7C2FF4"/>
    <w:multiLevelType w:val="hybridMultilevel"/>
    <w:lvl w:ilvl="0">
      <w:lvlJc w:val="left"/>
      <w:lvlText w:val="(%1)"/>
      <w:numFmt w:val="upperLetter"/>
      <w:start w:val="1"/>
    </w:lvl>
    <w:lvl w:ilvl="1">
      <w:lvlJc w:val="left"/>
      <w:lvlText w:val="%2"/>
      <w:numFmt w:val="lowerRoman"/>
      <w:start w:val="1"/>
    </w:lvl>
  </w:abstractNum>
  <w:abstractNum w:abstractNumId="53">
    <w:nsid w:val="25413BEC"/>
    <w:multiLevelType w:val="hybridMultilevel"/>
    <w:lvl w:ilvl="0">
      <w:lvlJc w:val="left"/>
      <w:lvlText w:val="(%1)"/>
      <w:numFmt w:val="lowerLetter"/>
      <w:start w:val="1"/>
    </w:lvl>
  </w:abstractNum>
  <w:abstractNum w:abstractNumId="54">
    <w:nsid w:val="17180B0B"/>
    <w:multiLevelType w:val="hybridMultilevel"/>
    <w:lvl w:ilvl="0">
      <w:lvlJc w:val="left"/>
      <w:lvlText w:val="(%1)"/>
      <w:numFmt w:val="lowerLetter"/>
      <w:start w:val="3"/>
    </w:lvl>
    <w:lvl w:ilvl="1">
      <w:lvlJc w:val="left"/>
      <w:lvlText w:val="(%2)"/>
      <w:numFmt w:val="lowerRoman"/>
      <w:start w:val="1"/>
    </w:lvl>
  </w:abstractNum>
  <w:abstractNum w:abstractNumId="55">
    <w:nsid w:val="579328B9"/>
    <w:multiLevelType w:val="hybridMultilevel"/>
    <w:lvl w:ilvl="0">
      <w:lvlJc w:val="left"/>
      <w:lvlText w:val="%1"/>
      <w:numFmt w:val="lowerLetter"/>
      <w:start w:val="1"/>
    </w:lvl>
    <w:lvl w:ilvl="1">
      <w:lvlJc w:val="left"/>
      <w:lvlText w:val="(%2)"/>
      <w:numFmt w:val="lowerRoman"/>
      <w:start w:val="4"/>
    </w:lvl>
  </w:abstractNum>
  <w:abstractNum w:abstractNumId="56">
    <w:nsid w:val="5D205E20"/>
    <w:multiLevelType w:val="hybridMultilevel"/>
    <w:lvl w:ilvl="0">
      <w:lvlJc w:val="left"/>
      <w:lvlText w:val="(%1)"/>
      <w:numFmt w:val="lowerLetter"/>
      <w:start w:val="4"/>
    </w:lvl>
    <w:lvl w:ilvl="1">
      <w:lvlJc w:val="left"/>
      <w:lvlText w:val="(%2)"/>
      <w:numFmt w:val="lowerRoman"/>
      <w:start w:val="1"/>
    </w:lvl>
  </w:abstractNum>
  <w:abstractNum w:abstractNumId="57">
    <w:nsid w:val="11CCA8BA"/>
    <w:multiLevelType w:val="hybridMultilevel"/>
    <w:lvl w:ilvl="0">
      <w:lvlJc w:val="left"/>
      <w:lvlText w:val="(%1)"/>
      <w:numFmt w:val="lowerLetter"/>
      <w:start w:val="1"/>
    </w:lvl>
  </w:abstractNum>
  <w:abstractNum w:abstractNumId="58">
    <w:nsid w:val="4D32AB86"/>
    <w:multiLevelType w:val="hybridMultilevel"/>
    <w:lvl w:ilvl="0">
      <w:lvlJc w:val="left"/>
      <w:lvlText w:val="(%1)"/>
      <w:numFmt w:val="lowerLetter"/>
      <w:start w:val="1"/>
    </w:lvl>
    <w:lvl w:ilvl="1">
      <w:lvlJc w:val="left"/>
      <w:lvlText w:val="(%2)"/>
      <w:numFmt w:val="lowerRoman"/>
      <w:start w:val="2"/>
    </w:lvl>
  </w:abstractNum>
  <w:abstractNum w:abstractNumId="59">
    <w:nsid w:val="3F07ACC3"/>
    <w:multiLevelType w:val="hybridMultilevel"/>
    <w:lvl w:ilvl="0">
      <w:lvlJc w:val="left"/>
      <w:lvlText w:val="%1"/>
      <w:numFmt w:val="lowerLetter"/>
      <w:start w:val="1"/>
    </w:lvl>
    <w:lvl w:ilvl="1">
      <w:lvlJc w:val="left"/>
      <w:lvlText w:val="(%2)"/>
      <w:numFmt w:val="lowerRoman"/>
      <w:start w:val="4"/>
    </w:lvl>
  </w:abstractNum>
  <w:abstractNum w:abstractNumId="60">
    <w:nsid w:val="6B47F63E"/>
    <w:multiLevelType w:val="hybridMultilevel"/>
    <w:lvl w:ilvl="0">
      <w:lvlJc w:val="left"/>
      <w:lvlText w:val="(%1)"/>
      <w:numFmt w:val="lowerLetter"/>
      <w:start w:val="3"/>
    </w:lvl>
    <w:lvl w:ilvl="1">
      <w:lvlJc w:val="left"/>
      <w:lvlText w:val="%2"/>
      <w:numFmt w:val="lowerRoman"/>
      <w:start w:val="1"/>
    </w:lvl>
  </w:abstractNum>
  <w:abstractNum w:abstractNumId="61">
    <w:nsid w:val="5CB44A05"/>
    <w:multiLevelType w:val="hybridMultilevel"/>
    <w:lvl w:ilvl="0">
      <w:lvlJc w:val="left"/>
      <w:lvlText w:val="(%1)"/>
      <w:numFmt w:val="lowerLetter"/>
      <w:start w:val="1"/>
    </w:lvl>
    <w:lvl w:ilvl="1">
      <w:lvlJc w:val="left"/>
      <w:lvlText w:val="(%2)"/>
      <w:numFmt w:val="lowerRoman"/>
      <w:start w:val="1"/>
    </w:lvl>
  </w:abstractNum>
  <w:abstractNum w:abstractNumId="62">
    <w:nsid w:val="16CF80F1"/>
    <w:multiLevelType w:val="hybridMultilevel"/>
    <w:lvl w:ilvl="0">
      <w:lvlJc w:val="left"/>
      <w:lvlText w:val="(%1)"/>
      <w:numFmt w:val="lowerLetter"/>
      <w:start w:val="1"/>
    </w:lvl>
  </w:abstractNum>
  <w:abstractNum w:abstractNumId="63">
    <w:nsid w:val="1C695DEC"/>
    <w:multiLevelType w:val="hybridMultilevel"/>
    <w:lvl w:ilvl="0">
      <w:lvlJc w:val="left"/>
      <w:lvlText w:val="(%1)"/>
      <w:numFmt w:val="lowerLetter"/>
      <w:start w:val="1"/>
    </w:lvl>
  </w:abstractNum>
  <w:abstractNum w:abstractNumId="64">
    <w:nsid w:val="3FCFAED9"/>
    <w:multiLevelType w:val="hybridMultilevel"/>
    <w:lvl w:ilvl="0">
      <w:lvlJc w:val="left"/>
      <w:lvlText w:val="(%1)"/>
      <w:numFmt w:val="lowerLetter"/>
      <w:start w:val="2"/>
    </w:lvl>
    <w:lvl w:ilvl="1">
      <w:lvlJc w:val="left"/>
      <w:lvlText w:val="(%2)"/>
      <w:numFmt w:val="lowerLetter"/>
      <w:start w:val="35"/>
    </w:lvl>
  </w:abstractNum>
  <w:abstractNum w:abstractNumId="65">
    <w:nsid w:val="F856867"/>
    <w:multiLevelType w:val="hybridMultilevel"/>
    <w:lvl w:ilvl="0">
      <w:lvlJc w:val="left"/>
      <w:lvlText w:val="(%1)"/>
      <w:numFmt w:val="lowerLetter"/>
      <w:start w:val="3"/>
    </w:lvl>
  </w:abstractNum>
  <w:abstractNum w:abstractNumId="66">
    <w:nsid w:val="11B1CC33"/>
    <w:multiLevelType w:val="hybridMultilevel"/>
    <w:lvl w:ilvl="0">
      <w:lvlJc w:val="left"/>
      <w:lvlText w:val="%1"/>
      <w:numFmt w:val="lowerLetter"/>
      <w:start w:val="1"/>
    </w:lvl>
    <w:lvl w:ilvl="1">
      <w:lvlJc w:val="left"/>
      <w:lvlText w:val="(%2)"/>
      <w:numFmt w:val="lowerRoman"/>
      <w:start w:val="1"/>
    </w:lvl>
  </w:abstractNum>
  <w:abstractNum w:abstractNumId="67">
    <w:nsid w:val="2E22FBB7"/>
    <w:multiLevelType w:val="hybridMultilevel"/>
    <w:lvl w:ilvl="0">
      <w:lvlJc w:val="left"/>
      <w:lvlText w:val="(%1)"/>
      <w:numFmt w:val="lowerLetter"/>
      <w:start w:val="25"/>
    </w:lvl>
    <w:lvl w:ilvl="1">
      <w:lvlJc w:val="left"/>
      <w:lvlText w:val="%2"/>
      <w:numFmt w:val="lowerRoman"/>
      <w:start w:val="1"/>
    </w:lvl>
  </w:abstractNum>
  <w:abstractNum w:abstractNumId="68">
    <w:nsid w:val="29934699"/>
    <w:multiLevelType w:val="hybridMultilevel"/>
    <w:lvl w:ilvl="0">
      <w:lvlJc w:val="left"/>
      <w:lvlText w:val="(%1)"/>
      <w:numFmt w:val="lowerLetter"/>
      <w:start w:val="1"/>
    </w:lvl>
  </w:abstractNum>
  <w:abstractNum w:abstractNumId="69">
    <w:nsid w:val="77485850"/>
    <w:multiLevelType w:val="hybridMultilevel"/>
    <w:lvl w:ilvl="0">
      <w:lvlJc w:val="left"/>
      <w:lvlText w:val="(%1)"/>
      <w:numFmt w:val="lowerLetter"/>
      <w:start w:val="4"/>
    </w:lvl>
  </w:abstractNum>
  <w:abstractNum w:abstractNumId="70">
    <w:nsid w:val="744939A3"/>
    <w:multiLevelType w:val="hybridMultilevel"/>
    <w:lvl w:ilvl="0">
      <w:lvlJc w:val="left"/>
      <w:lvlText w:val="(%1)"/>
      <w:numFmt w:val="lowerLetter"/>
      <w:start w:val="7"/>
    </w:lvl>
  </w:abstractNum>
  <w:abstractNum w:abstractNumId="71">
    <w:nsid w:val="4FA0D2E3"/>
    <w:multiLevelType w:val="hybridMultilevel"/>
    <w:lvl w:ilvl="0">
      <w:lvlJc w:val="left"/>
      <w:lvlText w:val="(%1)"/>
      <w:numFmt w:val="lowerLetter"/>
      <w:start w:val="1"/>
    </w:lvl>
  </w:abstractNum>
  <w:abstractNum w:abstractNumId="72">
    <w:nsid w:val="6B1D2C14"/>
    <w:multiLevelType w:val="hybridMultilevel"/>
    <w:lvl w:ilvl="0">
      <w:lvlJc w:val="left"/>
      <w:lvlText w:val="(%1)"/>
      <w:numFmt w:val="lowerLetter"/>
      <w:start w:val="5"/>
    </w:lvl>
    <w:lvl w:ilvl="1">
      <w:lvlJc w:val="left"/>
      <w:lvlText w:val="(%2)"/>
      <w:numFmt w:val="lowerRoman"/>
      <w:start w:val="1"/>
    </w:lvl>
  </w:abstractNum>
  <w:abstractNum w:abstractNumId="73">
    <w:nsid w:val="68B867D3"/>
    <w:multiLevelType w:val="hybridMultilevel"/>
    <w:lvl w:ilvl="0">
      <w:lvlJc w:val="left"/>
      <w:lvlText w:val="(%1)"/>
      <w:numFmt w:val="lowerLetter"/>
      <w:start w:val="1"/>
    </w:lvl>
  </w:abstractNum>
  <w:abstractNum w:abstractNumId="74">
    <w:nsid w:val="3F7F5DD9"/>
    <w:multiLevelType w:val="hybridMultilevel"/>
    <w:lvl w:ilvl="0">
      <w:lvlJc w:val="left"/>
      <w:lvlText w:val="(%1)"/>
      <w:numFmt w:val="lowerLetter"/>
      <w:start w:val="2"/>
    </w:lvl>
  </w:abstractNum>
  <w:abstractNum w:abstractNumId="75">
    <w:nsid w:val="2AE05A34"/>
    <w:multiLevelType w:val="hybridMultilevel"/>
    <w:lvl w:ilvl="0">
      <w:lvlJc w:val="left"/>
      <w:lvlText w:val="(%1)"/>
      <w:numFmt w:val="lowerLetter"/>
      <w:start w:val="1"/>
    </w:lvl>
    <w:lvl w:ilvl="1">
      <w:lvlJc w:val="left"/>
      <w:lvlText w:val="(%2)"/>
      <w:numFmt w:val="lowerLetter"/>
      <w:start w:val="9"/>
    </w:lvl>
  </w:abstractNum>
  <w:abstractNum w:abstractNumId="76">
    <w:nsid w:val="32794FF7"/>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77">
    <w:nsid w:val="5454945E"/>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78">
    <w:nsid w:val="4DEFDFA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79">
    <w:nsid w:val="2123D5F2"/>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80">
    <w:nsid w:val="135B811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1">
    <w:nsid w:val="94927A8"/>
    <w:multiLevelType w:val="hybridMultilevel"/>
    <w:lvl w:ilvl="0">
      <w:lvlJc w:val="left"/>
      <w:lvlText w:val="(%1)"/>
      <w:numFmt w:val="lowerLetter"/>
      <w:start w:val="1"/>
    </w:lvl>
  </w:abstractNum>
  <w:abstractNum w:abstractNumId="82">
    <w:nsid w:val="DCDF8F6"/>
    <w:multiLevelType w:val="hybridMultilevel"/>
    <w:lvl w:ilvl="0">
      <w:lvlJc w:val="left"/>
      <w:lvlText w:val="(%1)"/>
      <w:numFmt w:val="lowerLetter"/>
      <w:start w:val="1"/>
    </w:lvl>
  </w:abstractNum>
  <w:abstractNum w:abstractNumId="83">
    <w:nsid w:val="52D7B105"/>
    <w:multiLevelType w:val="hybridMultilevel"/>
    <w:lvl w:ilvl="0">
      <w:lvlJc w:val="left"/>
      <w:lvlText w:val="(%1)"/>
      <w:numFmt w:val="lowerLetter"/>
      <w:start w:val="2"/>
    </w:lvl>
  </w:abstractNum>
  <w:abstractNum w:abstractNumId="84">
    <w:nsid w:val="2E8A6394"/>
    <w:multiLevelType w:val="hybridMultilevel"/>
    <w:lvl w:ilvl="0">
      <w:lvlJc w:val="left"/>
      <w:lvlText w:val="%1"/>
      <w:numFmt w:val="lowerLetter"/>
      <w:start w:val="1"/>
    </w:lvl>
    <w:lvl w:ilvl="1">
      <w:lvlJc w:val="left"/>
      <w:lvlText w:val="(%2)"/>
      <w:numFmt w:val="lowerLetter"/>
      <w:start w:val="5"/>
    </w:lvl>
  </w:abstractNum>
  <w:abstractNum w:abstractNumId="85">
    <w:nsid w:val="24E60401"/>
    <w:multiLevelType w:val="hybridMultilevel"/>
    <w:lvl w:ilvl="0">
      <w:lvlJc w:val="left"/>
      <w:lvlText w:val="(%1)"/>
      <w:numFmt w:val="lowerLetter"/>
      <w:start w:val="61"/>
    </w:lvl>
    <w:lvl w:ilvl="1">
      <w:lvlJc w:val="left"/>
      <w:lvlText w:val="(%2)"/>
      <w:numFmt w:val="lowerLetter"/>
      <w:start w:val="6"/>
    </w:lvl>
  </w:abstractNum>
  <w:abstractNum w:abstractNumId="86">
    <w:nsid w:val="2A6AD9BE"/>
    <w:multiLevelType w:val="hybridMultilevel"/>
    <w:lvl w:ilvl="0">
      <w:lvlJc w:val="left"/>
      <w:lvlText w:val="(%1)"/>
      <w:numFmt w:val="lowerLetter"/>
      <w:start w:val="1"/>
    </w:lvl>
    <w:lvl w:ilvl="1">
      <w:lvlJc w:val="left"/>
      <w:lvlText w:val="(%2)"/>
      <w:numFmt w:val="lowerLetter"/>
      <w:start w:val="9"/>
    </w:lvl>
  </w:abstractNum>
  <w:abstractNum w:abstractNumId="87">
    <w:nsid w:val="BAAC1B4"/>
    <w:multiLevelType w:val="hybridMultilevel"/>
    <w:lvl w:ilvl="0">
      <w:lvlJc w:val="left"/>
      <w:lvlText w:val="(%1)"/>
      <w:numFmt w:val="lowerLetter"/>
      <w:start w:val="2"/>
    </w:lvl>
    <w:lvl w:ilvl="1">
      <w:lvlJc w:val="left"/>
      <w:lvlText w:val="(%2)"/>
      <w:numFmt w:val="lowerLetter"/>
      <w:start w:val="9"/>
    </w:lvl>
  </w:abstractNum>
  <w:abstractNum w:abstractNumId="88">
    <w:nsid w:val="36B2ACB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89">
    <w:nsid w:val="779D8544"/>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90">
    <w:nsid w:val="4AB26E78"/>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91">
    <w:nsid w:val="21FAA2FA"/>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92">
    <w:nsid w:val="5451CF49"/>
    <w:multiLevelType w:val="hybridMultilevel"/>
    <w:lvl w:ilvl="0">
      <w:lvlJc w:val="left"/>
      <w:lvlText w:val="(%1)"/>
      <w:numFmt w:val="upperLetter"/>
      <w:start w:val="2"/>
    </w:lvl>
  </w:abstractNum>
  <w:abstractNum w:abstractNumId="93">
    <w:nsid w:val="6181EF69"/>
    <w:multiLevelType w:val="hybridMultilevel"/>
    <w:lvl w:ilvl="0">
      <w:lvlJc w:val="left"/>
      <w:lvlText w:val="(%1)"/>
      <w:numFmt w:val="lowerLetter"/>
      <w:start w:val="6"/>
    </w:lvl>
  </w:abstractNum>
  <w:abstractNum w:abstractNumId="94">
    <w:nsid w:val="3E6400E6"/>
    <w:multiLevelType w:val="hybridMultilevel"/>
    <w:lvl w:ilvl="0">
      <w:lvlJc w:val="left"/>
      <w:lvlText w:val="%1"/>
      <w:numFmt w:val="lowerLetter"/>
      <w:start w:val="1"/>
    </w:lvl>
    <w:lvl w:ilvl="1">
      <w:lvlJc w:val="left"/>
      <w:lvlText w:val="(%2)"/>
      <w:numFmt w:val="lowerLetter"/>
      <w:start w:val="1"/>
    </w:lvl>
  </w:abstractNum>
  <w:abstractNum w:abstractNumId="95">
    <w:nsid w:val="14217E23"/>
    <w:multiLevelType w:val="hybridMultilevel"/>
    <w:lvl w:ilvl="0">
      <w:lvlJc w:val="left"/>
      <w:lvlText w:val="(%1)"/>
      <w:numFmt w:val="lowerLetter"/>
      <w:start w:val="24"/>
    </w:lvl>
    <w:lvl w:ilvl="1">
      <w:lvlJc w:val="left"/>
      <w:lvlText w:val="(%2)"/>
      <w:numFmt w:val="lowerLetter"/>
      <w:start w:val="2"/>
    </w:lvl>
  </w:abstractNum>
  <w:abstractNum w:abstractNumId="96">
    <w:nsid w:val="710757D0"/>
    <w:multiLevelType w:val="hybridMultilevel"/>
    <w:lvl w:ilvl="0">
      <w:lvlJc w:val="left"/>
      <w:lvlText w:val="%1"/>
      <w:numFmt w:val="lowerLetter"/>
      <w:start w:val="1"/>
    </w:lvl>
    <w:lvl w:ilvl="1">
      <w:lvlJc w:val="left"/>
      <w:lvlText w:val="(%2)"/>
      <w:numFmt w:val="lowerLetter"/>
      <w:start w:val="1"/>
    </w:lvl>
  </w:abstractNum>
  <w:abstractNum w:abstractNumId="97">
    <w:nsid w:val="5015CD1A"/>
    <w:multiLevelType w:val="hybridMultilevel"/>
    <w:lvl w:ilvl="0">
      <w:lvlJc w:val="left"/>
      <w:lvlText w:val="(%1)"/>
      <w:numFmt w:val="lowerLetter"/>
      <w:start w:val="9"/>
    </w:lvl>
    <w:lvl w:ilvl="1">
      <w:lvlJc w:val="left"/>
      <w:lvlText w:val="(%2)"/>
      <w:numFmt w:val="lowerLetter"/>
      <w:start w:val="2"/>
    </w:lvl>
  </w:abstractNum>
  <w:abstractNum w:abstractNumId="98">
    <w:nsid w:val="424479DA"/>
    <w:multiLevelType w:val="hybridMultilevel"/>
    <w:lvl w:ilvl="0">
      <w:lvlJc w:val="left"/>
      <w:lvlText w:val="%1"/>
      <w:numFmt w:val="upperLetter"/>
      <w:start w:val="1"/>
    </w:lvl>
    <w:lvl w:ilvl="1">
      <w:lvlJc w:val="left"/>
      <w:lvlText w:val="(%2)"/>
      <w:numFmt w:val="lowerRoman"/>
      <w:start w:val="1"/>
    </w:lvl>
  </w:abstractNum>
  <w:abstractNum w:abstractNumId="99">
    <w:nsid w:val="1A9A9E69"/>
    <w:multiLevelType w:val="hybridMultilevel"/>
    <w:lvl w:ilvl="0">
      <w:lvlJc w:val="left"/>
      <w:lvlText w:val="(%1)"/>
      <w:numFmt w:val="upperLetter"/>
      <w:start w:val="2"/>
    </w:lvl>
    <w:lvl w:ilvl="1">
      <w:lvlJc w:val="left"/>
      <w:lvlText w:val="(%2)"/>
      <w:numFmt w:val="lowerRoman"/>
      <w:start w:val="2"/>
    </w:lvl>
  </w:abstractNum>
  <w:abstractNum w:abstractNumId="100">
    <w:nsid w:val="475E256A"/>
    <w:multiLevelType w:val="hybridMultilevel"/>
    <w:lvl w:ilvl="0">
      <w:lvlJc w:val="left"/>
      <w:lvlText w:val="(%1)"/>
      <w:numFmt w:val="lowerLetter"/>
      <w:start w:val="25"/>
    </w:lvl>
  </w:abstractNum>
  <w:abstractNum w:abstractNumId="101">
    <w:nsid w:val="368DB37E"/>
    <w:multiLevelType w:val="hybridMultilevel"/>
    <w:lvl w:ilvl="0">
      <w:lvlJc w:val="left"/>
      <w:lvlText w:val="(%1)"/>
      <w:numFmt w:val="lowerRoman"/>
      <w:start w:val="3"/>
    </w:lvl>
  </w:abstractNum>
  <w:abstractNum w:abstractNumId="102">
    <w:nsid w:val="6A3B714C"/>
    <w:multiLevelType w:val="hybridMultilevel"/>
    <w:lvl w:ilvl="0">
      <w:lvlJc w:val="left"/>
      <w:lvlText w:val="%1"/>
      <w:numFmt w:val="upperLetter"/>
      <w:start w:val="1"/>
    </w:lvl>
    <w:lvl w:ilvl="1">
      <w:lvlJc w:val="left"/>
      <w:lvlText w:val="(%2)"/>
      <w:numFmt w:val="lowerRoman"/>
      <w:start w:val="4"/>
    </w:lvl>
  </w:abstractNum>
  <w:abstractNum w:abstractNumId="103">
    <w:nsid w:val="327B517E"/>
    <w:multiLevelType w:val="hybridMultilevel"/>
    <w:lvl w:ilvl="0">
      <w:lvlJc w:val="left"/>
      <w:lvlText w:val="(%1)"/>
      <w:numFmt w:val="upperLetter"/>
      <w:start w:val="2"/>
    </w:lvl>
    <w:lvl w:ilvl="1">
      <w:lvlJc w:val="left"/>
      <w:lvlText w:val="(%2)"/>
      <w:numFmt w:val="lowerRoman"/>
      <w:start w:val="6"/>
    </w:lvl>
  </w:abstractNum>
  <w:abstractNum w:abstractNumId="104">
    <w:nsid w:val="1F461B51"/>
    <w:multiLevelType w:val="hybridMultilevel"/>
    <w:lvl w:ilvl="0">
      <w:lvlJc w:val="left"/>
      <w:lvlText w:val="(%1)"/>
      <w:numFmt w:val="lowerLetter"/>
      <w:start w:val="1"/>
    </w:lvl>
    <w:lvl w:ilvl="1">
      <w:lvlJc w:val="left"/>
      <w:lvlText w:val="(%2)"/>
      <w:numFmt w:val="lowerRoman"/>
      <w:start w:val="1"/>
    </w:lvl>
  </w:abstractNum>
  <w:abstractNum w:abstractNumId="105">
    <w:nsid w:val="29BACF25"/>
    <w:multiLevelType w:val="hybridMultilevel"/>
    <w:lvl w:ilvl="0">
      <w:lvlJc w:val="left"/>
      <w:lvlText w:val="%1"/>
      <w:numFmt w:val="lowerLetter"/>
      <w:start w:val="1"/>
    </w:lvl>
    <w:lvl w:ilvl="1">
      <w:lvlJc w:val="left"/>
      <w:lvlText w:val="(%2)"/>
      <w:numFmt w:val="lowerLetter"/>
      <w:start w:val="2"/>
    </w:lvl>
  </w:abstractNum>
  <w:abstractNum w:abstractNumId="106">
    <w:nsid w:val="5D5BABB3"/>
    <w:multiLevelType w:val="hybridMultilevel"/>
    <w:lvl w:ilvl="0">
      <w:lvlJc w:val="left"/>
      <w:lvlText w:val="(%1)"/>
      <w:numFmt w:val="lowerLetter"/>
      <w:start w:val="35"/>
    </w:lvl>
    <w:lvl w:ilvl="1">
      <w:lvlJc w:val="left"/>
      <w:lvlText w:val="%2"/>
      <w:numFmt w:val="lowerLetter"/>
      <w:start w:val="1"/>
    </w:lvl>
  </w:abstractNum>
  <w:abstractNum w:abstractNumId="107">
    <w:nsid w:val="51BF6B48"/>
    <w:multiLevelType w:val="hybridMultilevel"/>
    <w:lvl w:ilvl="0">
      <w:lvlJc w:val="left"/>
      <w:lvlText w:val="(%1)"/>
      <w:numFmt w:val="lowerLetter"/>
      <w:start w:val="1"/>
    </w:lvl>
  </w:abstractNum>
  <w:abstractNum w:abstractNumId="108">
    <w:nsid w:val="7E0F6384"/>
    <w:multiLevelType w:val="hybridMultilevel"/>
    <w:lvl w:ilvl="0">
      <w:lvlJc w:val="left"/>
      <w:lvlText w:val="(%1)"/>
      <w:numFmt w:val="lowerLetter"/>
      <w:start w:val="1"/>
    </w:lvl>
  </w:abstractNum>
  <w:abstractNum w:abstractNumId="109">
    <w:nsid w:val="2B4B8B53"/>
    <w:multiLevelType w:val="hybridMultilevel"/>
    <w:lvl w:ilvl="0">
      <w:lvlJc w:val="left"/>
      <w:lvlText w:val="(%1)"/>
      <w:numFmt w:val="lowerLetter"/>
      <w:start w:val="2"/>
    </w:lvl>
  </w:abstractNum>
  <w:abstractNum w:abstractNumId="110">
    <w:nsid w:val="72E3413A"/>
    <w:multiLevelType w:val="hybridMultilevel"/>
    <w:lvl w:ilvl="0">
      <w:lvlJc w:val="left"/>
      <w:lvlText w:val="(%1)"/>
      <w:numFmt w:val="lowerLetter"/>
      <w:start w:val="1"/>
    </w:lvl>
    <w:lvl w:ilvl="1">
      <w:lvlJc w:val="left"/>
      <w:lvlText w:val="(%2)"/>
      <w:numFmt w:val="lowerRoman"/>
      <w:start w:val="1"/>
    </w:lvl>
  </w:abstractNum>
  <w:abstractNum w:abstractNumId="111">
    <w:nsid w:val="116AE494"/>
    <w:multiLevelType w:val="hybridMultilevel"/>
    <w:lvl w:ilvl="0">
      <w:lvlJc w:val="left"/>
      <w:lvlText w:val="%1"/>
      <w:numFmt w:val="lowerLetter"/>
      <w:start w:val="1"/>
    </w:lvl>
    <w:lvl w:ilvl="1">
      <w:lvlJc w:val="left"/>
      <w:lvlText w:val="(%2)"/>
      <w:numFmt w:val="lowerLetter"/>
      <w:start w:val="61"/>
    </w:lvl>
  </w:abstractNum>
  <w:abstractNum w:abstractNumId="112">
    <w:nsid w:val="3494B2FB"/>
    <w:multiLevelType w:val="hybridMultilevel"/>
    <w:lvl w:ilvl="0">
      <w:lvlJc w:val="left"/>
      <w:lvlText w:val="(%1)"/>
      <w:numFmt w:val="lowerLetter"/>
      <w:start w:val="5"/>
    </w:lvl>
    <w:lvl w:ilvl="1">
      <w:lvlJc w:val="left"/>
      <w:lvlText w:val="%2"/>
      <w:numFmt w:val="lowerLetter"/>
      <w:start w:val="1"/>
    </w:lvl>
  </w:abstractNum>
  <w:abstractNum w:abstractNumId="113">
    <w:nsid w:val="B13A31"/>
    <w:multiLevelType w:val="hybridMultilevel"/>
    <w:lvl w:ilvl="0">
      <w:lvlJc w:val="left"/>
      <w:lvlText w:val="%1"/>
      <w:numFmt w:val="lowerLetter"/>
      <w:start w:val="1"/>
    </w:lvl>
    <w:lvl w:ilvl="1">
      <w:lvlJc w:val="left"/>
      <w:lvlText w:val="(%2)"/>
      <w:numFmt w:val="lowerLetter"/>
      <w:start w:val="1"/>
    </w:lvl>
  </w:abstractNum>
  <w:abstractNum w:abstractNumId="114">
    <w:nsid w:val="64429599"/>
    <w:multiLevelType w:val="hybridMultilevel"/>
    <w:lvl w:ilvl="0">
      <w:lvlJc w:val="left"/>
      <w:lvlText w:val="(%1)"/>
      <w:numFmt w:val="lowerLetter"/>
      <w:start w:val="35"/>
    </w:lvl>
    <w:lvl w:ilvl="1">
      <w:lvlJc w:val="left"/>
      <w:lvlText w:val="(%2)"/>
      <w:numFmt w:val="lowerLetter"/>
      <w:start w:val="2"/>
    </w:lvl>
  </w:abstractNum>
  <w:abstractNum w:abstractNumId="115">
    <w:nsid w:val="631F1690"/>
    <w:multiLevelType w:val="hybridMultilevel"/>
    <w:lvl w:ilvl="0">
      <w:lvlJc w:val="left"/>
      <w:lvlText w:val="(%1)"/>
      <w:numFmt w:val="lowerLetter"/>
      <w:start w:val="1"/>
    </w:lvl>
  </w:abstractNum>
  <w:abstractNum w:abstractNumId="116">
    <w:nsid w:val="25973E32"/>
    <w:multiLevelType w:val="hybridMultilevel"/>
    <w:lvl w:ilvl="0">
      <w:lvlJc w:val="left"/>
      <w:lvlText w:val="(%1)"/>
      <w:numFmt w:val="lowerRoman"/>
      <w:start w:val="1"/>
    </w:lvl>
  </w:abstractNum>
  <w:abstractNum w:abstractNumId="117">
    <w:nsid w:val="EAD6F57"/>
    <w:multiLevelType w:val="hybridMultilevel"/>
    <w:lvl w:ilvl="0">
      <w:lvlJc w:val="left"/>
      <w:lvlText w:val="(%1)"/>
      <w:numFmt w:val="lowerLetter"/>
      <w:start w:val="2"/>
    </w:lvl>
  </w:abstractNum>
  <w:abstractNum w:abstractNumId="118">
    <w:nsid w:val="6EC9D844"/>
    <w:multiLevelType w:val="hybridMultilevel"/>
    <w:lvl w:ilvl="0">
      <w:lvlJc w:val="left"/>
      <w:lvlText w:val="(%1)"/>
      <w:numFmt w:val="lowerLetter"/>
      <w:start w:val="1"/>
    </w:lvl>
  </w:abstractNum>
  <w:abstractNum w:abstractNumId="119">
    <w:nsid w:val="5C49EAEE"/>
    <w:multiLevelType w:val="hybridMultilevel"/>
    <w:lvl w:ilvl="0">
      <w:lvlJc w:val="left"/>
      <w:lvlText w:val="(%1)"/>
      <w:numFmt w:val="lowerLetter"/>
      <w:start w:val="1"/>
    </w:lvl>
  </w:abstractNum>
  <w:abstractNum w:abstractNumId="120">
    <w:nsid w:val="64AF49B"/>
    <w:multiLevelType w:val="hybridMultilevel"/>
    <w:lvl w:ilvl="0">
      <w:lvlJc w:val="left"/>
      <w:lvlText w:val="(%1)"/>
      <w:numFmt w:val="lowerLetter"/>
      <w:start w:val="2"/>
    </w:lvl>
  </w:abstractNum>
  <w:abstractNum w:abstractNumId="121">
    <w:nsid w:val="397C46BC"/>
    <w:multiLevelType w:val="hybridMultilevel"/>
    <w:lvl w:ilvl="0">
      <w:lvlJc w:val="left"/>
      <w:lvlText w:val="(%1)"/>
      <w:numFmt w:val="lowerLetter"/>
      <w:start w:val="1"/>
    </w:lvl>
  </w:abstractNum>
  <w:abstractNum w:abstractNumId="122">
    <w:nsid w:val="7E448DE9"/>
    <w:multiLevelType w:val="hybridMultilevel"/>
    <w:lvl w:ilvl="0">
      <w:lvlJc w:val="left"/>
      <w:lvlText w:val="(%1)"/>
      <w:numFmt w:val="lowerLetter"/>
      <w:start w:val="1"/>
    </w:lvl>
  </w:abstractNum>
  <w:abstractNum w:abstractNumId="123">
    <w:nsid w:val="5A9CC3E5"/>
    <w:multiLevelType w:val="hybridMultilevel"/>
    <w:lvl w:ilvl="0">
      <w:lvlJc w:val="left"/>
      <w:lvlText w:val="(%1)"/>
      <w:numFmt w:val="lowerLetter"/>
      <w:start w:val="1"/>
    </w:lvl>
  </w:abstractNum>
  <w:abstractNum w:abstractNumId="124">
    <w:nsid w:val="1AFE3625"/>
    <w:multiLevelType w:val="hybridMultilevel"/>
    <w:lvl w:ilvl="0">
      <w:lvlJc w:val="left"/>
      <w:lvlText w:val="(%1)"/>
      <w:numFmt w:val="lowerLetter"/>
      <w:start w:val="1"/>
    </w:lvl>
  </w:abstractNum>
  <w:abstractNum w:abstractNumId="125">
    <w:nsid w:val="3CA88ECF"/>
    <w:multiLevelType w:val="hybridMultilevel"/>
    <w:lvl w:ilvl="0">
      <w:lvlJc w:val="left"/>
      <w:lvlText w:val="(%1)"/>
      <w:numFmt w:val="lowerLetter"/>
      <w:start w:val="2"/>
    </w:lvl>
  </w:abstractNum>
  <w:abstractNum w:abstractNumId="126">
    <w:nsid w:val="6EBE4208"/>
    <w:multiLevelType w:val="hybridMultilevel"/>
    <w:lvl w:ilvl="0">
      <w:lvlJc w:val="left"/>
      <w:lvlText w:val="(%1)"/>
      <w:numFmt w:val="lowerLetter"/>
      <w:start w:val="1"/>
    </w:lvl>
  </w:abstractNum>
  <w:abstractNum w:abstractNumId="127">
    <w:nsid w:val="C058DF5"/>
    <w:multiLevelType w:val="hybridMultilevel"/>
    <w:lvl w:ilvl="0">
      <w:lvlJc w:val="left"/>
      <w:lvlText w:val="(%1)"/>
      <w:numFmt w:val="lowerLetter"/>
      <w:start w:val="3"/>
    </w:lvl>
  </w:abstractNum>
  <w:abstractNum w:abstractNumId="128">
    <w:nsid w:val="CBE5BE9"/>
    <w:multiLevelType w:val="hybridMultilevel"/>
    <w:lvl w:ilvl="0">
      <w:lvlJc w:val="left"/>
      <w:lvlText w:val="(%1)"/>
      <w:numFmt w:val="lowerLetter"/>
      <w:start w:val="1"/>
    </w:lvl>
  </w:abstractNum>
  <w:abstractNum w:abstractNumId="129">
    <w:nsid w:val="3102BBE2"/>
    <w:multiLevelType w:val="hybridMultilevel"/>
    <w:lvl w:ilvl="0">
      <w:lvlJc w:val="left"/>
      <w:lvlText w:val="(%1)"/>
      <w:numFmt w:val="lowerLetter"/>
      <w:start w:val="1"/>
    </w:lvl>
  </w:abstractNum>
  <w:abstractNum w:abstractNumId="130">
    <w:nsid w:val="26A02C5E"/>
    <w:multiLevelType w:val="hybridMultilevel"/>
    <w:lvl w:ilvl="0">
      <w:lvlJc w:val="left"/>
      <w:lvlText w:val="(%1)"/>
      <w:numFmt w:val="lowerLetter"/>
      <w:start w:val="1"/>
    </w:lvl>
  </w:abstractNum>
  <w:abstractNum w:abstractNumId="131">
    <w:nsid w:val="541C8153"/>
    <w:multiLevelType w:val="hybridMultilevel"/>
    <w:lvl w:ilvl="0">
      <w:lvlJc w:val="left"/>
      <w:lvlText w:val="(%1)"/>
      <w:numFmt w:val="lowerLetter"/>
      <w:start w:val="1"/>
    </w:lvl>
  </w:abstractNum>
  <w:abstractNum w:abstractNumId="132">
    <w:nsid w:val="67906F60"/>
    <w:multiLevelType w:val="hybridMultilevel"/>
    <w:lvl w:ilvl="0">
      <w:lvlJc w:val="left"/>
      <w:lvlText w:val="(%1)"/>
      <w:numFmt w:val="lowerLetter"/>
      <w:start w:val="1"/>
    </w:lvl>
  </w:abstractNum>
  <w:abstractNum w:abstractNumId="133">
    <w:nsid w:val="10DB9DAA"/>
    <w:multiLevelType w:val="hybridMultilevel"/>
    <w:lvl w:ilvl="0">
      <w:lvlJc w:val="left"/>
      <w:lvlText w:val="(%1)"/>
      <w:numFmt w:val="lowerLetter"/>
      <w:start w:val="7"/>
    </w:lvl>
  </w:abstractNum>
  <w:abstractNum w:abstractNumId="134">
    <w:nsid w:val="697D2D2"/>
    <w:multiLevelType w:val="hybridMultilevel"/>
    <w:lvl w:ilvl="0">
      <w:lvlJc w:val="left"/>
      <w:lvlText w:val="(%1)"/>
      <w:numFmt w:val="lowerLetter"/>
      <w:start w:val="1"/>
    </w:lvl>
  </w:abstractNum>
  <w:abstractNum w:abstractNumId="135">
    <w:nsid w:val="6D68AB2"/>
    <w:multiLevelType w:val="hybridMultilevel"/>
    <w:lvl w:ilvl="0">
      <w:lvlJc w:val="left"/>
      <w:lvlText w:val="(%1)"/>
      <w:numFmt w:val="lowerLetter"/>
      <w:start w:val="5"/>
    </w:lvl>
  </w:abstractNum>
  <w:abstractNum w:abstractNumId="136">
    <w:nsid w:val="3A966CD0"/>
    <w:multiLevelType w:val="hybridMultilevel"/>
    <w:lvl w:ilvl="0">
      <w:lvlJc w:val="left"/>
      <w:lvlText w:val="(%1)"/>
      <w:numFmt w:val="lowerLetter"/>
      <w:start w:val="1"/>
    </w:lvl>
    <w:lvl w:ilvl="1">
      <w:lvlJc w:val="left"/>
      <w:lvlText w:val="(%2)"/>
      <w:numFmt w:val="lowerRoman"/>
      <w:start w:val="1"/>
    </w:lvl>
  </w:abstractNum>
  <w:abstractNum w:abstractNumId="137">
    <w:nsid w:val="63F37E85"/>
    <w:multiLevelType w:val="hybridMultilevel"/>
    <w:lvl w:ilvl="0">
      <w:lvlJc w:val="left"/>
      <w:lvlText w:val="(%1)"/>
      <w:numFmt w:val="lowerLetter"/>
      <w:start w:val="1"/>
    </w:lvl>
  </w:abstractNum>
  <w:abstractNum w:abstractNumId="138">
    <w:nsid w:val="5895F5FA"/>
    <w:multiLevelType w:val="hybridMultilevel"/>
    <w:lvl w:ilvl="0">
      <w:lvlJc w:val="left"/>
      <w:lvlText w:val="%1"/>
      <w:numFmt w:val="upperLetter"/>
      <w:start w:val="1"/>
    </w:lvl>
    <w:lvl w:ilvl="1">
      <w:lvlJc w:val="left"/>
      <w:lvlText w:val="(%2)"/>
      <w:numFmt w:val="lowerLetter"/>
      <w:start w:val="3"/>
    </w:lvl>
  </w:abstractNum>
  <w:abstractNum w:abstractNumId="139">
    <w:nsid w:val="38A5D054"/>
    <w:multiLevelType w:val="hybridMultilevel"/>
    <w:lvl w:ilvl="0">
      <w:lvlJc w:val="left"/>
      <w:lvlText w:val="(%1)"/>
      <w:numFmt w:val="upperLetter"/>
      <w:start w:val="1"/>
    </w:lvl>
    <w:lvl w:ilvl="1">
      <w:lvlJc w:val="left"/>
      <w:lvlText w:val="%2"/>
      <w:numFmt w:val="lowerLetter"/>
      <w:start w:val="1"/>
    </w:lvl>
  </w:abstractNum>
  <w:abstractNum w:abstractNumId="140">
    <w:nsid w:val="F3F09D8"/>
    <w:multiLevelType w:val="hybridMultilevel"/>
    <w:lvl w:ilvl="0">
      <w:lvlJc w:val="left"/>
      <w:lvlText w:val="(%1)"/>
      <w:numFmt w:val="lowerLetter"/>
      <w:start w:val="6"/>
    </w:lvl>
  </w:abstractNum>
  <w:abstractNum w:abstractNumId="141">
    <w:nsid w:val="4B793735"/>
    <w:multiLevelType w:val="hybridMultilevel"/>
    <w:lvl w:ilvl="0">
      <w:lvlJc w:val="left"/>
      <w:lvlText w:val="(%1)"/>
      <w:numFmt w:val="lowerLetter"/>
      <w:start w:val="1"/>
    </w:lvl>
  </w:abstractNum>
  <w:abstractNum w:abstractNumId="142">
    <w:nsid w:val="4A10B4E8"/>
    <w:multiLevelType w:val="hybridMultilevel"/>
    <w:lvl w:ilvl="0">
      <w:lvlJc w:val="left"/>
      <w:lvlText w:val="(%1)"/>
      <w:numFmt w:val="lowerLetter"/>
      <w:start w:val="4"/>
    </w:lvl>
  </w:abstractNum>
  <w:abstractNum w:abstractNumId="143">
    <w:nsid w:val="43D3BCD4"/>
    <w:multiLevelType w:val="hybridMultilevel"/>
    <w:lvl w:ilvl="0">
      <w:lvlJc w:val="left"/>
      <w:lvlText w:val="(%1)"/>
      <w:numFmt w:val="lowerLetter"/>
      <w:start w:val="1"/>
    </w:lvl>
  </w:abstractNum>
  <w:abstractNum w:abstractNumId="144">
    <w:nsid w:val="4C2A7166"/>
    <w:multiLevelType w:val="hybridMultilevel"/>
    <w:lvl w:ilvl="0">
      <w:lvlJc w:val="left"/>
      <w:lvlText w:val="(%1)"/>
      <w:numFmt w:val="lowerLetter"/>
      <w:start w:val="3"/>
    </w:lvl>
  </w:abstractNum>
  <w:abstractNum w:abstractNumId="145">
    <w:nsid w:val="2E534A82"/>
    <w:multiLevelType w:val="hybridMultilevel"/>
    <w:lvl w:ilvl="0">
      <w:lvlJc w:val="left"/>
      <w:lvlText w:val="(%1)"/>
      <w:numFmt w:val="lowerLetter"/>
      <w:start w:val="1"/>
    </w:lvl>
  </w:abstractNum>
  <w:abstractNum w:abstractNumId="146">
    <w:nsid w:val="26F2D364"/>
    <w:multiLevelType w:val="hybridMultilevel"/>
    <w:lvl w:ilvl="0">
      <w:lvlJc w:val="left"/>
      <w:lvlText w:val="(%1)"/>
      <w:numFmt w:val="lowerLetter"/>
      <w:start w:val="1"/>
    </w:lvl>
  </w:abstractNum>
  <w:abstractNum w:abstractNumId="147">
    <w:nsid w:val="71C1AF98"/>
    <w:multiLevelType w:val="hybridMultilevel"/>
    <w:lvl w:ilvl="0">
      <w:lvlJc w:val="left"/>
      <w:lvlText w:val="(%1)"/>
      <w:numFmt w:val="lowerLetter"/>
      <w:start w:val="1"/>
    </w:lvl>
    <w:lvl w:ilvl="1">
      <w:lvlJc w:val="left"/>
      <w:lvlText w:val="(%2)"/>
      <w:numFmt w:val="lowerRoman"/>
      <w:start w:val="1"/>
    </w:lvl>
  </w:abstractNum>
  <w:abstractNum w:abstractNumId="148">
    <w:nsid w:val="3D00B9D9"/>
    <w:multiLevelType w:val="hybridMultilevel"/>
    <w:lvl w:ilvl="0">
      <w:lvlJc w:val="left"/>
      <w:lvlText w:val="%1"/>
      <w:numFmt w:val="lowerLetter"/>
      <w:start w:val="1"/>
    </w:lvl>
    <w:lvl w:ilvl="1">
      <w:lvlJc w:val="left"/>
      <w:lvlText w:val="(%2)"/>
      <w:numFmt w:val="lowerLetter"/>
      <w:start w:val="2"/>
    </w:lvl>
  </w:abstractNum>
  <w:abstractNum w:abstractNumId="149">
    <w:nsid w:val="15BCABA8"/>
    <w:multiLevelType w:val="hybridMultilevel"/>
    <w:lvl w:ilvl="0">
      <w:lvlJc w:val="left"/>
      <w:lvlText w:val="(%1)"/>
      <w:numFmt w:val="lowerLetter"/>
      <w:start w:val="24"/>
    </w:lvl>
    <w:lvl w:ilvl="1">
      <w:lvlJc w:val="left"/>
      <w:lvlText w:val="%2"/>
      <w:numFmt w:val="lowerLetter"/>
      <w:start w:val="1"/>
    </w:lvl>
  </w:abstractNum>
  <w:abstractNum w:abstractNumId="150">
    <w:nsid w:val="4E0B9A87"/>
    <w:multiLevelType w:val="hybridMultilevel"/>
    <w:lvl w:ilvl="0">
      <w:lvlJc w:val="left"/>
      <w:lvlText w:val="(%1)"/>
      <w:numFmt w:val="lowerLetter"/>
      <w:start w:val="1"/>
    </w:lvl>
    <w:lvl w:ilvl="1">
      <w:lvlJc w:val="left"/>
      <w:lvlText w:val="(%2)"/>
      <w:numFmt w:val="lowerLetter"/>
      <w:start w:val="35"/>
    </w:lvl>
  </w:abstractNum>
  <w:abstractNum w:abstractNumId="151">
    <w:nsid w:val="434BAE75"/>
    <w:multiLevelType w:val="hybridMultilevel"/>
    <w:lvl w:ilvl="0">
      <w:lvlJc w:val="left"/>
      <w:lvlText w:val="%1"/>
      <w:numFmt w:val="lowerLetter"/>
      <w:start w:val="1"/>
    </w:lvl>
    <w:lvl w:ilvl="1">
      <w:lvlJc w:val="left"/>
      <w:lvlText w:val="(%2)"/>
      <w:numFmt w:val="lowerRoman"/>
      <w:start w:val="3"/>
    </w:lvl>
  </w:abstractNum>
  <w:abstractNum w:abstractNumId="152">
    <w:nsid w:val="4F38F265"/>
    <w:multiLevelType w:val="hybridMultilevel"/>
    <w:lvl w:ilvl="0">
      <w:lvlJc w:val="left"/>
      <w:lvlText w:val="(%1)"/>
      <w:numFmt w:val="lowerLetter"/>
      <w:start w:val="2"/>
    </w:lvl>
    <w:lvl w:ilvl="1">
      <w:lvlJc w:val="left"/>
      <w:lvlText w:val="%2"/>
      <w:numFmt w:val="lowerRoman"/>
      <w:start w:val="1"/>
    </w:lvl>
  </w:abstractNum>
  <w:abstractNum w:abstractNumId="153">
    <w:nsid w:val="4C502870"/>
    <w:multiLevelType w:val="hybridMultilevel"/>
    <w:lvl w:ilvl="0">
      <w:lvlJc w:val="left"/>
      <w:lvlText w:val="(%1)"/>
      <w:numFmt w:val="lowerLetter"/>
      <w:start w:val="1"/>
    </w:lvl>
    <w:lvl w:ilvl="1">
      <w:lvlJc w:val="left"/>
      <w:lvlText w:val="(%2)"/>
      <w:numFmt w:val="lowerRoman"/>
      <w:start w:val="1"/>
    </w:lvl>
  </w:abstractNum>
  <w:abstractNum w:abstractNumId="154">
    <w:nsid w:val="1DE8725A"/>
    <w:multiLevelType w:val="hybridMultilevel"/>
    <w:lvl w:ilvl="0">
      <w:lvlJc w:val="left"/>
      <w:lvlText w:val="(%1)"/>
      <w:numFmt w:val="lowerLetter"/>
      <w:start w:val="2"/>
    </w:lvl>
  </w:abstractNum>
  <w:abstractNum w:abstractNumId="155">
    <w:nsid w:val="6A37288A"/>
    <w:multiLevelType w:val="hybridMultilevel"/>
    <w:lvl w:ilvl="0">
      <w:lvlJc w:val="left"/>
      <w:lvlText w:val="(%1)"/>
      <w:numFmt w:val="lowerLetter"/>
      <w:start w:val="3"/>
    </w:lvl>
  </w:abstractNum>
  <w:abstractNum w:abstractNumId="156">
    <w:nsid w:val="8F8B73F"/>
    <w:multiLevelType w:val="hybridMultilevel"/>
    <w:lvl w:ilvl="0">
      <w:lvlJc w:val="left"/>
      <w:lvlText w:val="(%1)"/>
      <w:numFmt w:val="lowerLetter"/>
      <w:start w:val="1"/>
    </w:lvl>
  </w:abstractNum>
  <w:abstractNum w:abstractNumId="157">
    <w:nsid w:val="CA6B462"/>
    <w:multiLevelType w:val="hybridMultilevel"/>
    <w:lvl w:ilvl="0">
      <w:lvlJc w:val="left"/>
      <w:lvlText w:val="(%1)"/>
      <w:numFmt w:val="lowerLetter"/>
      <w:start w:val="26"/>
    </w:lvl>
    <w:lvl w:ilvl="1">
      <w:lvlJc w:val="left"/>
      <w:lvlText w:val="(%2)"/>
      <w:numFmt w:val="lowerLetter"/>
      <w:start w:val="3"/>
    </w:lvl>
  </w:abstractNum>
  <w:abstractNum w:abstractNumId="158">
    <w:nsid w:val="763CB680"/>
    <w:multiLevelType w:val="hybridMultilevel"/>
    <w:lvl w:ilvl="0">
      <w:lvlJc w:val="left"/>
      <w:lvlText w:val="(%1)"/>
      <w:numFmt w:val="lowerLetter"/>
      <w:start w:val="2"/>
    </w:lvl>
    <w:lvl w:ilvl="1">
      <w:lvlJc w:val="left"/>
      <w:lvlText w:val="(%2)"/>
      <w:numFmt w:val="lowerLetter"/>
      <w:start w:val="4"/>
    </w:lvl>
  </w:abstractNum>
  <w:abstractNum w:abstractNumId="159">
    <w:nsid w:val="15B71329"/>
    <w:multiLevelType w:val="hybridMultilevel"/>
    <w:lvl w:ilvl="0">
      <w:lvlJc w:val="left"/>
      <w:lvlText w:val="(%1)"/>
      <w:numFmt w:val="lowerLetter"/>
      <w:start w:val="2"/>
    </w:lvl>
    <w:lvl w:ilvl="1">
      <w:lvlJc w:val="left"/>
      <w:lvlText w:val="%2"/>
      <w:numFmt w:val="lowerLetter"/>
      <w:start w:val="1"/>
    </w:lvl>
  </w:abstractNum>
  <w:abstractNum w:abstractNumId="160">
    <w:nsid w:val="3DA97044"/>
    <w:multiLevelType w:val="hybridMultilevel"/>
    <w:lvl w:ilvl="0">
      <w:lvlJc w:val="left"/>
      <w:lvlText w:val="(%1)"/>
      <w:numFmt w:val="lowerLetter"/>
      <w:start w:val="5"/>
    </w:lvl>
  </w:abstractNum>
  <w:abstractNum w:abstractNumId="161">
    <w:nsid w:val="1CDCE2DE"/>
    <w:multiLevelType w:val="hybridMultilevel"/>
    <w:lvl w:ilvl="0">
      <w:lvlJc w:val="left"/>
      <w:lvlText w:val="(%1)"/>
      <w:numFmt w:val="lowerLetter"/>
      <w:start w:val="1"/>
    </w:lvl>
  </w:abstractNum>
  <w:abstractNum w:abstractNumId="162">
    <w:nsid w:val="69D3947C"/>
    <w:multiLevelType w:val="hybridMultilevel"/>
    <w:lvl w:ilvl="0">
      <w:lvlJc w:val="left"/>
      <w:lvlText w:val="(%1)"/>
      <w:numFmt w:val="lowerRoman"/>
      <w:start w:val="1"/>
    </w:lvl>
    <w:lvl w:ilvl="1">
      <w:lvlJc w:val="left"/>
      <w:lvlText w:val="(%2)"/>
      <w:numFmt w:val="upperLetter"/>
      <w:start w:val="1"/>
    </w:lvl>
  </w:abstractNum>
  <w:abstractNum w:abstractNumId="163">
    <w:nsid w:val="2539DFA5"/>
    <w:multiLevelType w:val="hybridMultilevel"/>
    <w:lvl w:ilvl="0">
      <w:lvlJc w:val="left"/>
      <w:lvlText w:val="(%1)"/>
      <w:numFmt w:val="lowerRoman"/>
      <w:start w:val="6"/>
    </w:lvl>
  </w:abstractNum>
  <w:abstractNum w:abstractNumId="164">
    <w:nsid w:val="2DB88089"/>
    <w:multiLevelType w:val="hybridMultilevel"/>
    <w:lvl w:ilvl="0">
      <w:lvlJc w:val="left"/>
      <w:lvlText w:val="(%1)"/>
      <w:numFmt w:val="lowerLetter"/>
      <w:start w:val="3"/>
    </w:lvl>
  </w:abstractNum>
  <w:abstractNum w:abstractNumId="165">
    <w:nsid w:val="706B674E"/>
    <w:multiLevelType w:val="hybridMultilevel"/>
    <w:lvl w:ilvl="0">
      <w:lvlJc w:val="left"/>
      <w:lvlText w:val="(%1)"/>
      <w:numFmt w:val="lowerRoman"/>
      <w:start w:val="2"/>
    </w:lvl>
  </w:abstractNum>
  <w:abstractNum w:abstractNumId="166">
    <w:nsid w:val="2C106A57"/>
    <w:multiLevelType w:val="hybridMultilevel"/>
    <w:lvl w:ilvl="0">
      <w:lvlJc w:val="left"/>
      <w:lvlText w:val="(%1)"/>
      <w:numFmt w:val="lowerLetter"/>
      <w:start w:val="4"/>
    </w:lvl>
  </w:abstractNum>
  <w:abstractNum w:abstractNumId="167">
    <w:nsid w:val="684EED59"/>
    <w:multiLevelType w:val="hybridMultilevel"/>
    <w:lvl w:ilvl="0">
      <w:lvlJc w:val="left"/>
      <w:lvlText w:val="(%1)"/>
      <w:numFmt w:val="lowerLetter"/>
      <w:start w:val="5"/>
    </w:lvl>
  </w:abstractNum>
  <w:abstractNum w:abstractNumId="168">
    <w:nsid w:val="545EE5D3"/>
    <w:multiLevelType w:val="hybridMultilevel"/>
    <w:lvl w:ilvl="0">
      <w:lvlJc w:val="left"/>
      <w:lvlText w:val="(%1)"/>
      <w:numFmt w:val="lowerLetter"/>
      <w:start w:val="6"/>
    </w:lvl>
  </w:abstractNum>
  <w:abstractNum w:abstractNumId="169">
    <w:nsid w:val="4A66051"/>
    <w:multiLevelType w:val="hybridMultilevel"/>
    <w:lvl w:ilvl="0">
      <w:lvlJc w:val="left"/>
      <w:lvlText w:val="(%1)"/>
      <w:numFmt w:val="lowerLetter"/>
      <w:start w:val="35"/>
    </w:lvl>
  </w:abstractNum>
  <w:abstractNum w:abstractNumId="170">
    <w:nsid w:val="20F4BDAD"/>
    <w:multiLevelType w:val="hybridMultilevel"/>
    <w:lvl w:ilvl="0">
      <w:lvlJc w:val="left"/>
      <w:lvlText w:val="(%1)"/>
      <w:numFmt w:val="lowerLetter"/>
      <w:start w:val="7"/>
    </w:lvl>
  </w:abstractNum>
  <w:abstractNum w:abstractNumId="171">
    <w:nsid w:val="639DEFAC"/>
    <w:multiLevelType w:val="hybridMultilevel"/>
    <w:lvl w:ilvl="0">
      <w:lvlJc w:val="left"/>
      <w:lvlText w:val="(%1)"/>
      <w:numFmt w:val="lowerRoman"/>
      <w:start w:val="10"/>
    </w:lvl>
  </w:abstractNum>
  <w:abstractNum w:abstractNumId="172">
    <w:nsid w:val="501F9786"/>
    <w:multiLevelType w:val="hybridMultilevel"/>
    <w:lvl w:ilvl="0">
      <w:lvlJc w:val="left"/>
      <w:lvlText w:val="(%1)"/>
      <w:numFmt w:val="lowerLetter"/>
      <w:start w:val="25"/>
    </w:lvl>
  </w:abstractNum>
  <w:abstractNum w:abstractNumId="173">
    <w:nsid w:val="6B057295"/>
    <w:multiLevelType w:val="hybridMultilevel"/>
    <w:lvl w:ilvl="0">
      <w:lvlJc w:val="left"/>
      <w:lvlText w:val="(%1)"/>
      <w:numFmt w:val="lowerLetter"/>
      <w:start w:val="2"/>
    </w:lvl>
  </w:abstractNum>
  <w:abstractNum w:abstractNumId="174">
    <w:nsid w:val="2771AC80"/>
    <w:multiLevelType w:val="hybridMultilevel"/>
    <w:lvl w:ilvl="0">
      <w:lvlJc w:val="left"/>
      <w:lvlText w:val="(%1)"/>
      <w:numFmt w:val="lowerLetter"/>
      <w:start w:val="1"/>
    </w:lvl>
  </w:abstractNum>
  <w:abstractNum w:abstractNumId="175">
    <w:nsid w:val="1C4A08EC"/>
    <w:multiLevelType w:val="hybridMultilevel"/>
    <w:lvl w:ilvl="0">
      <w:lvlJc w:val="left"/>
      <w:lvlText w:val="(%1)"/>
      <w:numFmt w:val="upperLetter"/>
      <w:start w:val="2"/>
    </w:lvl>
  </w:abstractNum>
  <w:abstractNum w:abstractNumId="176">
    <w:nsid w:val="1958BD17"/>
    <w:multiLevelType w:val="hybridMultilevel"/>
    <w:lvl w:ilvl="0">
      <w:lvlJc w:val="left"/>
      <w:lvlText w:val="(%1)"/>
      <w:numFmt w:val="lowerLetter"/>
      <w:start w:val="1"/>
    </w:lvl>
    <w:lvl w:ilvl="1">
      <w:lvlJc w:val="left"/>
      <w:lvlText w:val="(%2)"/>
      <w:numFmt w:val="lowerRoman"/>
      <w:start w:val="1"/>
    </w:lvl>
  </w:abstractNum>
  <w:abstractNum w:abstractNumId="177">
    <w:nsid w:val="4E647FE4"/>
    <w:multiLevelType w:val="hybridMultilevel"/>
    <w:lvl w:ilvl="0">
      <w:lvlJc w:val="left"/>
      <w:lvlText w:val="(%1)"/>
      <w:numFmt w:val="lowerLetter"/>
      <w:start w:val="1"/>
    </w:lvl>
  </w:abstractNum>
  <w:abstractNum w:abstractNumId="178">
    <w:nsid w:val="E0BB885"/>
    <w:multiLevelType w:val="hybridMultilevel"/>
    <w:lvl w:ilvl="0">
      <w:lvlJc w:val="left"/>
      <w:lvlText w:val="(%1)"/>
      <w:numFmt w:val="lowerLetter"/>
      <w:start w:val="2"/>
    </w:lvl>
  </w:abstractNum>
  <w:abstractNum w:abstractNumId="179">
    <w:nsid w:val="565976F1"/>
    <w:multiLevelType w:val="hybridMultilevel"/>
    <w:lvl w:ilvl="0">
      <w:lvlJc w:val="left"/>
      <w:lvlText w:val="%1."/>
      <w:numFmt w:val="decimal"/>
      <w:start w:val="1"/>
    </w:lvl>
    <w:lvl w:ilvl="1">
      <w:lvlJc w:val="left"/>
      <w:lvlText w:val="%2."/>
      <w:numFmt w:val="lowerRoman"/>
      <w:start w:val="1"/>
    </w:lvl>
  </w:abstractNum>
  <w:abstractNum w:abstractNumId="180">
    <w:nsid w:val="64212B8C"/>
    <w:multiLevelType w:val="hybridMultilevel"/>
    <w:lvl w:ilvl="0">
      <w:lvlJc w:val="left"/>
      <w:lvlText w:val="(%1)"/>
      <w:numFmt w:val="lowerLetter"/>
      <w:start w:val="1"/>
    </w:lvl>
  </w:abstractNum>
  <w:abstractNum w:abstractNumId="181">
    <w:nsid w:val="5C17530C"/>
    <w:multiLevelType w:val="hybridMultilevel"/>
    <w:lvl w:ilvl="0">
      <w:lvlJc w:val="left"/>
      <w:lvlText w:val="(%1)"/>
      <w:numFmt w:val="lowerLetter"/>
      <w:start w:val="3"/>
    </w:lvl>
  </w:abstractNum>
  <w:abstractNum w:abstractNumId="182">
    <w:nsid w:val="19A52566"/>
    <w:multiLevelType w:val="hybridMultilevel"/>
    <w:lvl w:ilvl="0">
      <w:lvlJc w:val="left"/>
      <w:lvlText w:val="(%1)"/>
      <w:numFmt w:val="lowerLetter"/>
      <w:start w:val="1"/>
    </w:lvl>
    <w:lvl w:ilvl="1">
      <w:lvlJc w:val="left"/>
      <w:lvlText w:val="(%2)"/>
      <w:numFmt w:val="lowerRoman"/>
      <w:start w:val="1"/>
    </w:lvl>
  </w:abstractNum>
  <w:abstractNum w:abstractNumId="183">
    <w:nsid w:val="335A1DF1"/>
    <w:multiLevelType w:val="hybridMultilevel"/>
    <w:lvl w:ilvl="0">
      <w:lvlJc w:val="left"/>
      <w:lvlText w:val="(%1)"/>
      <w:numFmt w:val="lowerRoman"/>
      <w:start w:val="9"/>
    </w:lvl>
  </w:abstractNum>
  <w:abstractNum w:abstractNumId="184">
    <w:nsid w:val="28677B7C"/>
    <w:multiLevelType w:val="hybridMultilevel"/>
    <w:lvl w:ilvl="0">
      <w:lvlJc w:val="left"/>
      <w:lvlText w:val="(%1)"/>
      <w:numFmt w:val="lowerLetter"/>
      <w:start w:val="1"/>
    </w:lvl>
  </w:abstractNum>
  <w:abstractNum w:abstractNumId="185">
    <w:nsid w:val="378D97C0"/>
    <w:multiLevelType w:val="hybridMultilevel"/>
    <w:lvl w:ilvl="0">
      <w:lvlJc w:val="left"/>
      <w:lvlText w:val="(%1)"/>
      <w:numFmt w:val="lowerLetter"/>
      <w:start w:val="1"/>
    </w:lvl>
  </w:abstractNum>
  <w:abstractNum w:abstractNumId="186">
    <w:nsid w:val="1D91467C"/>
    <w:multiLevelType w:val="hybridMultilevel"/>
    <w:lvl w:ilvl="0">
      <w:lvlJc w:val="left"/>
      <w:lvlText w:val="%1"/>
      <w:numFmt w:val="lowerLetter"/>
      <w:start w:val="1"/>
    </w:lvl>
    <w:lvl w:ilvl="1">
      <w:lvlJc w:val="left"/>
      <w:lvlText w:val="(%2)"/>
      <w:numFmt w:val="lowerRoman"/>
      <w:start w:val="1"/>
    </w:lvl>
  </w:abstractNum>
  <w:abstractNum w:abstractNumId="187">
    <w:nsid w:val="316032BB"/>
    <w:multiLevelType w:val="hybridMultilevel"/>
    <w:lvl w:ilvl="0">
      <w:lvlJc w:val="left"/>
      <w:lvlText w:val="(%1)"/>
      <w:numFmt w:val="lowerLetter"/>
      <w:start w:val="2"/>
    </w:lvl>
    <w:lvl w:ilvl="1">
      <w:lvlJc w:val="left"/>
      <w:lvlText w:val="(%2)"/>
      <w:numFmt w:val="lowerRoman"/>
      <w:start w:val="1"/>
    </w:lvl>
  </w:abstractNum>
  <w:abstractNum w:abstractNumId="188">
    <w:nsid w:val="44344C2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89">
    <w:nsid w:val="13CDFCF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90">
    <w:nsid w:val="471745E4"/>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191">
    <w:nsid w:val="1DDBC66"/>
    <w:multiLevelType w:val="hybridMultilevel"/>
    <w:lvl w:ilvl="0">
      <w:lvlJc w:val="left"/>
      <w:lvlText w:val="(%1)"/>
      <w:numFmt w:val="lowerLetter"/>
      <w:start w:val="2"/>
    </w:lvl>
  </w:abstractNum>
  <w:abstractNum w:abstractNumId="192">
    <w:nsid w:val="30AADFDA"/>
    <w:multiLevelType w:val="hybridMultilevel"/>
    <w:lvl w:ilvl="0">
      <w:lvlJc w:val="left"/>
      <w:lvlText w:val="(%1)"/>
      <w:numFmt w:val="lowerLetter"/>
      <w:start w:val="1"/>
    </w:lvl>
  </w:abstractNum>
  <w:abstractNum w:abstractNumId="193">
    <w:nsid w:val="30EADA61"/>
    <w:multiLevelType w:val="hybridMultilevel"/>
    <w:lvl w:ilvl="0">
      <w:lvlJc w:val="left"/>
      <w:lvlText w:val="(%1)"/>
      <w:numFmt w:val="lowerLetter"/>
      <w:start w:val="1"/>
    </w:lvl>
  </w:abstractNum>
  <w:abstractNum w:abstractNumId="194">
    <w:nsid w:val="27179C0B"/>
    <w:multiLevelType w:val="hybridMultilevel"/>
    <w:lvl w:ilvl="0">
      <w:lvlJc w:val="left"/>
      <w:lvlText w:val="(%1)"/>
      <w:numFmt w:val="lowerLetter"/>
      <w:start w:val="3"/>
    </w:lvl>
  </w:abstractNum>
  <w:abstractNum w:abstractNumId="195">
    <w:nsid w:val="5E636063"/>
    <w:multiLevelType w:val="hybridMultilevel"/>
    <w:lvl w:ilvl="0">
      <w:lvlJc w:val="left"/>
      <w:lvlText w:val="(%1)"/>
      <w:numFmt w:val="lowerLetter"/>
      <w:start w:val="2"/>
    </w:lvl>
  </w:abstractNum>
  <w:abstractNum w:abstractNumId="196">
    <w:nsid w:val="215641AF"/>
    <w:multiLevelType w:val="hybridMultilevel"/>
    <w:lvl w:ilvl="0">
      <w:lvlJc w:val="left"/>
      <w:lvlText w:val="(%1)"/>
      <w:numFmt w:val="lowerLetter"/>
      <w:start w:val="1"/>
    </w:lvl>
  </w:abstractNum>
  <w:abstractNum w:abstractNumId="197">
    <w:nsid w:val="53280662"/>
    <w:multiLevelType w:val="hybridMultilevel"/>
    <w:lvl w:ilvl="0">
      <w:lvlJc w:val="left"/>
      <w:lvlText w:val="(%1)"/>
      <w:numFmt w:val="lowerLetter"/>
      <w:start w:val="2"/>
    </w:lvl>
  </w:abstractNum>
  <w:abstractNum w:abstractNumId="198">
    <w:nsid w:val="46B24DBC"/>
    <w:multiLevelType w:val="hybridMultilevel"/>
    <w:lvl w:ilvl="0">
      <w:lvlJc w:val="left"/>
      <w:lvlText w:val="(%1)"/>
      <w:numFmt w:val="lowerLetter"/>
      <w:start w:val="1"/>
    </w:lvl>
  </w:abstractNum>
  <w:abstractNum w:abstractNumId="199">
    <w:nsid w:val="75B52783"/>
    <w:multiLevelType w:val="hybridMultilevel"/>
    <w:lvl w:ilvl="0">
      <w:lvlJc w:val="left"/>
      <w:lvlText w:val="(%1)"/>
      <w:numFmt w:val="lowerLetter"/>
      <w:start w:val="4"/>
    </w:lvl>
  </w:abstractNum>
  <w:abstractNum w:abstractNumId="200">
    <w:nsid w:val="57CE66B4"/>
    <w:multiLevelType w:val="hybridMultilevel"/>
    <w:lvl w:ilvl="0">
      <w:lvlJc w:val="left"/>
      <w:lvlText w:val="(%1)"/>
      <w:numFmt w:val="lowerLetter"/>
      <w:start w:val="1"/>
    </w:lvl>
  </w:abstractNum>
  <w:abstractNum w:abstractNumId="201">
    <w:nsid w:val="67A70B69"/>
    <w:multiLevelType w:val="hybridMultilevel"/>
    <w:lvl w:ilvl="0">
      <w:lvlJc w:val="left"/>
      <w:lvlText w:val="(%1)"/>
      <w:numFmt w:val="lowerLetter"/>
      <w:start w:val="3"/>
    </w:lvl>
  </w:abstractNum>
  <w:abstractNum w:abstractNumId="202">
    <w:nsid w:val="5953172F"/>
    <w:multiLevelType w:val="hybridMultilevel"/>
    <w:lvl w:ilvl="0">
      <w:lvlJc w:val="left"/>
      <w:lvlText w:val="(%1)"/>
      <w:numFmt w:val="lowerLetter"/>
      <w:start w:val="1"/>
    </w:lvl>
  </w:abstractNum>
  <w:abstractNum w:abstractNumId="203">
    <w:nsid w:val="27EDFE3A"/>
    <w:multiLevelType w:val="hybridMultilevel"/>
    <w:lvl w:ilvl="0">
      <w:lvlJc w:val="left"/>
      <w:lvlText w:val="(%1)"/>
      <w:numFmt w:val="lowerLetter"/>
      <w:start w:val="2"/>
    </w:lvl>
  </w:abstractNum>
  <w:abstractNum w:abstractNumId="204">
    <w:nsid w:val="52AC7DFF"/>
    <w:multiLevelType w:val="hybridMultilevel"/>
    <w:lvl w:ilvl="0">
      <w:lvlJc w:val="left"/>
      <w:lvlText w:val="(%1)"/>
      <w:numFmt w:val="lowerLetter"/>
      <w:start w:val="1"/>
    </w:lvl>
    <w:lvl w:ilvl="1">
      <w:lvlJc w:val="left"/>
      <w:lvlText w:val="(%2)"/>
      <w:numFmt w:val="lowerRoman"/>
      <w:start w:val="1"/>
    </w:lvl>
  </w:abstractNum>
  <w:abstractNum w:abstractNumId="205">
    <w:nsid w:val="C4C3AF"/>
    <w:multiLevelType w:val="hybridMultilevel"/>
    <w:lvl w:ilvl="0">
      <w:lvlJc w:val="left"/>
      <w:lvlText w:val="(%1)"/>
      <w:numFmt w:val="lowerRoman"/>
      <w:start w:val="6"/>
    </w:lvl>
  </w:abstractNum>
  <w:abstractNum w:abstractNumId="206">
    <w:nsid w:val="44380727"/>
    <w:multiLevelType w:val="hybridMultilevel"/>
    <w:lvl w:ilvl="0">
      <w:lvlJc w:val="left"/>
      <w:lvlText w:val="(%1)"/>
      <w:numFmt w:val="lowerLetter"/>
      <w:start w:val="1"/>
    </w:lvl>
  </w:abstractNum>
  <w:abstractNum w:abstractNumId="207">
    <w:nsid w:val="6C053B16"/>
    <w:multiLevelType w:val="hybridMultilevel"/>
    <w:lvl w:ilvl="0">
      <w:lvlJc w:val="left"/>
      <w:lvlText w:val="(%1)"/>
      <w:numFmt w:val="lowerLetter"/>
      <w:start w:val="1"/>
    </w:lvl>
    <w:lvl w:ilvl="1">
      <w:lvlJc w:val="left"/>
      <w:lvlText w:val="(%2)"/>
      <w:numFmt w:val="lowerRoman"/>
      <w:start w:val="1"/>
    </w:lvl>
  </w:abstractNum>
  <w:abstractNum w:abstractNumId="208">
    <w:nsid w:val="4F29439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09">
    <w:nsid w:val="5243BFAC"/>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10">
    <w:nsid w:val="425EB207"/>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211">
    <w:nsid w:val="334A6F1F"/>
    <w:multiLevelType w:val="hybridMultilevel"/>
    <w:lvl w:ilvl="0">
      <w:lvlJc w:val="left"/>
      <w:lvlText w:val="(%1)"/>
      <w:numFmt w:val="lowerLetter"/>
      <w:start w:val="1"/>
    </w:lvl>
  </w:abstractNum>
  <w:abstractNum w:abstractNumId="212">
    <w:nsid w:val="2E5B12B8"/>
    <w:multiLevelType w:val="hybridMultilevel"/>
    <w:lvl w:ilvl="0">
      <w:lvlJc w:val="left"/>
      <w:lvlText w:val="(%1)"/>
      <w:numFmt w:val="lowerLetter"/>
      <w:start w:val="1"/>
    </w:lvl>
  </w:abstractNum>
  <w:abstractNum w:abstractNumId="213">
    <w:nsid w:val="5C03D76D"/>
    <w:multiLevelType w:val="hybridMultilevel"/>
    <w:lvl w:ilvl="0">
      <w:lvlJc w:val="left"/>
      <w:lvlText w:val="(%1)"/>
      <w:numFmt w:val="lowerLetter"/>
      <w:start w:val="2"/>
    </w:lvl>
  </w:abstractNum>
  <w:abstractNum w:abstractNumId="214">
    <w:nsid w:val="66A48D11"/>
    <w:multiLevelType w:val="hybridMultilevel"/>
    <w:lvl w:ilvl="0">
      <w:lvlJc w:val="left"/>
      <w:lvlText w:val="(%1)"/>
      <w:numFmt w:val="lowerLetter"/>
      <w:start w:val="1"/>
    </w:lvl>
  </w:abstractNum>
  <w:abstractNum w:abstractNumId="215">
    <w:nsid w:val="56C28E34"/>
    <w:multiLevelType w:val="hybridMultilevel"/>
    <w:lvl w:ilvl="0">
      <w:lvlJc w:val="left"/>
      <w:lvlText w:val="(%1)"/>
      <w:numFmt w:val="lowerLetter"/>
      <w:start w:val="1"/>
    </w:lvl>
  </w:abstractNum>
  <w:abstractNum w:abstractNumId="216">
    <w:nsid w:val="13916F2D"/>
    <w:multiLevelType w:val="hybridMultilevel"/>
    <w:lvl w:ilvl="0">
      <w:lvlJc w:val="left"/>
      <w:lvlText w:val="(%1)"/>
      <w:numFmt w:val="lowerLetter"/>
      <w:start w:val="1"/>
    </w:lvl>
  </w:abstractNum>
  <w:abstractNum w:abstractNumId="217">
    <w:nsid w:val="435D38D"/>
    <w:multiLevelType w:val="hybridMultilevel"/>
    <w:lvl w:ilvl="0">
      <w:lvlJc w:val="left"/>
      <w:lvlText w:val="(%1)"/>
      <w:numFmt w:val="lowerLetter"/>
      <w:start w:val="1"/>
    </w:lvl>
  </w:abstractNum>
  <w:abstractNum w:abstractNumId="218">
    <w:nsid w:val="822C0EF"/>
    <w:multiLevelType w:val="hybridMultilevel"/>
    <w:lvl w:ilvl="0">
      <w:lvlJc w:val="left"/>
      <w:lvlText w:val="%1."/>
      <w:numFmt w:val="decimal"/>
      <w:start w:val="1"/>
    </w:lvl>
  </w:abstractNum>
  <w:abstractNum w:abstractNumId="219">
    <w:nsid w:val="57C5BB4F"/>
    <w:multiLevelType w:val="hybridMultilevel"/>
    <w:lvl w:ilvl="0">
      <w:lvlJc w:val="left"/>
      <w:lvlText w:val="%1."/>
      <w:numFmt w:val="decimal"/>
      <w:start w:val="4"/>
    </w:lvl>
  </w:abstractNum>
  <w:abstractNum w:abstractNumId="220">
    <w:nsid w:val="1803D089"/>
    <w:multiLevelType w:val="hybridMultilevel"/>
    <w:lvl w:ilvl="0">
      <w:lvlJc w:val="left"/>
      <w:lvlText w:val="%1."/>
      <w:numFmt w:val="decimal"/>
      <w:start w:val="1"/>
    </w:lvl>
    <w:lvl w:ilvl="1">
      <w:lvlJc w:val="left"/>
      <w:lvlText w:val="•"/>
      <w:numFmt w:val="bullet"/>
      <w:start w:val="1"/>
    </w:lvl>
  </w:abstractNum>
  <w:abstractNum w:abstractNumId="221">
    <w:nsid w:val="4F3A06D4"/>
    <w:multiLevelType w:val="hybridMultilevel"/>
    <w:lvl w:ilvl="0">
      <w:lvlJc w:val="left"/>
      <w:lvlText w:val="%1."/>
      <w:numFmt w:val="decimal"/>
      <w:start w:val="5"/>
    </w:lvl>
    <w:lvl w:ilvl="1">
      <w:lvlJc w:val="left"/>
      <w:lvlText w:val="•"/>
      <w:numFmt w:val="bullet"/>
      <w:start w:val="1"/>
    </w:lvl>
  </w:abstractNum>
  <w:abstractNum w:abstractNumId="222">
    <w:nsid w:val="59A377B6"/>
    <w:multiLevelType w:val="hybridMultilevel"/>
    <w:lvl w:ilvl="0">
      <w:lvlJc w:val="left"/>
      <w:lvlText w:val="1"/>
      <w:numFmt w:val="bullet"/>
      <w:start w:val="1"/>
    </w:lvl>
  </w:abstractNum>
  <w:abstractNum w:abstractNumId="223">
    <w:nsid w:val="48AEB063"/>
    <w:multiLevelType w:val="hybridMultilevel"/>
    <w:lvl w:ilvl="0">
      <w:lvlJc w:val="left"/>
      <w:lvlText w:val="%1."/>
      <w:numFmt w:val="decimal"/>
      <w:start w:val="1"/>
    </w:lvl>
  </w:abstractNum>
  <w:abstractNum w:abstractNumId="224">
    <w:nsid w:val="24E135"/>
    <w:multiLevelType w:val="hybridMultilevel"/>
    <w:lvl w:ilvl="0">
      <w:lvlJc w:val="left"/>
      <w:lvlText w:val="%1."/>
      <w:numFmt w:val="decimal"/>
      <w:start w:val="1"/>
    </w:lvl>
  </w:abstractNum>
  <w:abstractNum w:abstractNumId="225">
    <w:nsid w:val="BB13C1"/>
    <w:multiLevelType w:val="hybridMultilevel"/>
    <w:lvl w:ilvl="0">
      <w:lvlJc w:val="left"/>
      <w:lvlText w:val="%1."/>
      <w:numFmt w:val="decimal"/>
      <w:start w:val="2"/>
    </w:lvl>
  </w:abstractNum>
  <w:abstractNum w:abstractNumId="226">
    <w:nsid w:val="271210C7"/>
    <w:multiLevelType w:val="hybridMultilevel"/>
    <w:lvl w:ilvl="0">
      <w:lvlJc w:val="left"/>
      <w:lvlText w:val="%1"/>
      <w:numFmt w:val="decimal"/>
      <w:start w:val="1"/>
    </w:lvl>
    <w:lvl w:ilvl="1">
      <w:lvlJc w:val="left"/>
      <w:lvlText w:val="(%2)"/>
      <w:numFmt w:val="lowerLetter"/>
      <w:start w:val="1"/>
    </w:lvl>
  </w:abstractNum>
  <w:abstractNum w:abstractNumId="227">
    <w:nsid w:val="217B22E4"/>
    <w:multiLevelType w:val="hybridMultilevel"/>
    <w:lvl w:ilvl="0">
      <w:lvlJc w:val="left"/>
      <w:lvlText w:val="%1."/>
      <w:numFmt w:val="decimal"/>
      <w:start w:val="1"/>
    </w:lvl>
  </w:abstractNum>
  <w:abstractNum w:abstractNumId="228">
    <w:nsid w:val="53E31A24"/>
    <w:multiLevelType w:val="hybridMultilevel"/>
    <w:lvl w:ilvl="0">
      <w:lvlJc w:val="left"/>
      <w:lvlText w:val="(%1)"/>
      <w:numFmt w:val="lowerRoman"/>
      <w:start w:val="4"/>
    </w:lvl>
  </w:abstractNum>
  <w:abstractNum w:abstractNumId="229">
    <w:nsid w:val="6DC45E83"/>
    <w:multiLevelType w:val="hybridMultilevel"/>
    <w:lvl w:ilvl="0">
      <w:lvlJc w:val="left"/>
      <w:lvlText w:val="(%1)"/>
      <w:numFmt w:val="lowerRoman"/>
      <w:start w:val="4"/>
    </w:lvl>
  </w:abstractNum>
  <w:abstractNum w:abstractNumId="230">
    <w:nsid w:val="17304A67"/>
    <w:multiLevelType w:val="hybridMultilevel"/>
    <w:lvl w:ilvl="0">
      <w:lvlJc w:val="left"/>
      <w:lvlText w:val="(%1)"/>
      <w:numFmt w:val="lowerRoman"/>
      <w:start w:val="2"/>
    </w:lvl>
  </w:abstractNum>
  <w:abstractNum w:abstractNumId="231">
    <w:nsid w:val="2BB180D8"/>
    <w:multiLevelType w:val="hybridMultilevel"/>
    <w:lvl w:ilvl="0">
      <w:lvlJc w:val="left"/>
      <w:lvlText w:val="☐"/>
      <w:numFmt w:val="bullet"/>
      <w:start w:val="1"/>
    </w:lvl>
  </w:abstractNum>
  <w:abstractNum w:abstractNumId="232">
    <w:nsid w:val="556B69ED"/>
    <w:multiLevelType w:val="hybridMultilevel"/>
    <w:lvl w:ilvl="0">
      <w:lvlJc w:val="left"/>
      <w:lvlText w:val="%1."/>
      <w:numFmt w:val="decimal"/>
      <w:start w:val="1"/>
    </w:lvl>
  </w:abstractNum>
  <w:abstractNum w:abstractNumId="233">
    <w:nsid w:val="70836196"/>
    <w:multiLevelType w:val="hybridMultilevel"/>
    <w:lvl w:ilvl="0">
      <w:lvlJc w:val="left"/>
      <w:lvlText w:val="%1."/>
      <w:numFmt w:val="decimal"/>
      <w:start w:val="1"/>
    </w:lvl>
  </w:abstractNum>
  <w:abstractNum w:abstractNumId="234">
    <w:nsid w:val="539F7F12"/>
    <w:multiLevelType w:val="hybridMultilevel"/>
    <w:lvl w:ilvl="0">
      <w:lvlJc w:val="left"/>
      <w:lvlText w:val="3"/>
      <w:numFmt w:val="bullet"/>
      <w:start w:val="1"/>
    </w:lvl>
  </w:abstractNum>
  <w:abstractNum w:abstractNumId="235">
    <w:nsid w:val="2817E7EC"/>
    <w:multiLevelType w:val="hybridMultilevel"/>
    <w:lvl w:ilvl="0">
      <w:lvlJc w:val="left"/>
      <w:lvlText w:val="%1."/>
      <w:numFmt w:val="decimal"/>
      <w:start w:val="4"/>
    </w:lvl>
  </w:abstractNum>
  <w:abstractNum w:abstractNumId="236">
    <w:nsid w:val="71482545"/>
    <w:multiLevelType w:val="hybridMultilevel"/>
    <w:lvl w:ilvl="0">
      <w:lvlJc w:val="left"/>
      <w:lvlText w:val="%1."/>
      <w:numFmt w:val="upperLetter"/>
      <w:start w:val="35"/>
    </w:lvl>
  </w:abstractNum>
  <w:abstractNum w:abstractNumId="237">
    <w:nsid w:val="17D78639"/>
    <w:multiLevelType w:val="hybridMultilevel"/>
    <w:lvl w:ilvl="0">
      <w:lvlJc w:val="left"/>
      <w:lvlText w:val="%1."/>
      <w:numFmt w:val="upperLetter"/>
      <w:start w:val="61"/>
    </w:lvl>
  </w:abstractNum>
  <w:abstractNum w:abstractNumId="238">
    <w:nsid w:val="141D2302"/>
    <w:multiLevelType w:val="hybridMultilevel"/>
    <w:lvl w:ilvl="0">
      <w:lvlJc w:val="left"/>
      <w:lvlText w:val="1"/>
      <w:numFmt w:val="bullet"/>
      <w:start w:val="1"/>
    </w:lvl>
  </w:abstractNum>
  <w:abstractNum w:abstractNumId="239">
    <w:nsid w:val="407168D8"/>
    <w:multiLevelType w:val="hybridMultilevel"/>
    <w:lvl w:ilvl="0">
      <w:lvlJc w:val="left"/>
      <w:lvlText w:val="(%1)"/>
      <w:numFmt w:val="lowerRoman"/>
      <w:start w:val="1"/>
    </w:lvl>
  </w:abstractNum>
  <w:abstractNum w:abstractNumId="240">
    <w:nsid w:val="6A1B45E5"/>
    <w:multiLevelType w:val="hybridMultilevel"/>
    <w:lvl w:ilvl="0">
      <w:lvlJc w:val="left"/>
      <w:lvlText w:val="(%1)"/>
      <w:numFmt w:val="lowerRoman"/>
      <w:start w:val="5"/>
    </w:lvl>
  </w:abstractNum>
  <w:abstractNum w:abstractNumId="241">
    <w:nsid w:val="567BD50A"/>
    <w:multiLevelType w:val="hybridMultilevel"/>
    <w:lvl w:ilvl="0">
      <w:lvlJc w:val="left"/>
      <w:lvlText w:val="(%1)"/>
      <w:numFmt w:val="lowerRoman"/>
      <w:start w:val="9"/>
    </w:lvl>
  </w:abstractNum>
  <w:abstractNum w:abstractNumId="242">
    <w:nsid w:val="73BBD7F8"/>
    <w:multiLevelType w:val="hybridMultilevel"/>
    <w:lvl w:ilvl="0">
      <w:lvlJc w:val="left"/>
      <w:lvlText w:val="(%1)"/>
      <w:numFmt w:val="lowerRoman"/>
      <w:start w:val="12"/>
    </w:lvl>
  </w:abstractNum>
  <w:abstractNum w:abstractNumId="243">
    <w:nsid w:val="1876589D"/>
    <w:multiLevelType w:val="hybridMultilevel"/>
    <w:lvl w:ilvl="0">
      <w:lvlJc w:val="left"/>
      <w:lvlText w:val="(%1)"/>
      <w:numFmt w:val="lowerRoman"/>
      <w:start w:val="13"/>
    </w:lvl>
  </w:abstractNum>
  <w:abstractNum w:abstractNumId="244">
    <w:nsid w:val="327FAC77"/>
    <w:multiLevelType w:val="hybridMultilevel"/>
    <w:lvl w:ilvl="0">
      <w:lvlJc w:val="left"/>
      <w:lvlText w:val="1"/>
      <w:numFmt w:val="bullet"/>
      <w:start w:val="1"/>
    </w:lvl>
  </w:abstractNum>
  <w:abstractNum w:abstractNumId="245">
    <w:nsid w:val="5A606509"/>
    <w:multiLevelType w:val="hybridMultilevel"/>
    <w:lvl w:ilvl="0">
      <w:lvlJc w:val="left"/>
      <w:lvlText w:val="2"/>
      <w:numFmt w:val="bullet"/>
      <w:start w:val="1"/>
    </w:lvl>
  </w:abstractNum>
  <w:abstractNum w:abstractNumId="246">
    <w:nsid w:val="6F38E6D1"/>
    <w:multiLevelType w:val="hybridMultilevel"/>
    <w:lvl w:ilvl="0">
      <w:lvlJc w:val="left"/>
      <w:lvlText w:val="3"/>
      <w:numFmt w:val="bullet"/>
      <w:start w:val="1"/>
    </w:lvl>
  </w:abstractNum>
  <w:abstractNum w:abstractNumId="247">
    <w:nsid w:val="46111BA5"/>
    <w:multiLevelType w:val="hybridMultilevel"/>
    <w:lvl w:ilvl="0">
      <w:lvlJc w:val="left"/>
      <w:lvlText w:val="4"/>
      <w:numFmt w:val="bullet"/>
      <w:start w:val="1"/>
    </w:lvl>
  </w:abstractNum>
  <w:abstractNum w:abstractNumId="248">
    <w:nsid w:val="5E963896"/>
    <w:multiLevelType w:val="hybridMultilevel"/>
    <w:lvl w:ilvl="0">
      <w:lvlJc w:val="left"/>
      <w:lvlText w:val="5"/>
      <w:numFmt w:val="bullet"/>
      <w:start w:val="1"/>
    </w:lvl>
  </w:abstractNum>
  <w:abstractNum w:abstractNumId="249">
    <w:nsid w:val="775BA7C1"/>
    <w:multiLevelType w:val="hybridMultilevel"/>
    <w:lvl w:ilvl="0">
      <w:lvlJc w:val="left"/>
      <w:lvlText w:val="1"/>
      <w:numFmt w:val="bullet"/>
      <w:start w:val="1"/>
    </w:lvl>
  </w:abstractNum>
  <w:abstractNum w:abstractNumId="250">
    <w:nsid w:val="1DD6D6F4"/>
    <w:multiLevelType w:val="hybridMultilevel"/>
    <w:lvl w:ilvl="0">
      <w:lvlJc w:val="left"/>
      <w:lvlText w:val="2"/>
      <w:numFmt w:val="bullet"/>
      <w:start w:val="1"/>
    </w:lvl>
  </w:abstractNum>
  <w:abstractNum w:abstractNumId="251">
    <w:nsid w:val="769A091F"/>
    <w:multiLevelType w:val="hybridMultilevel"/>
    <w:lvl w:ilvl="0">
      <w:lvlJc w:val="left"/>
      <w:lvlText w:val="3"/>
      <w:numFmt w:val="bullet"/>
      <w:start w:val="1"/>
    </w:lvl>
  </w:abstractNum>
  <w:abstractNum w:abstractNumId="252">
    <w:nsid w:val="4695AE95"/>
    <w:multiLevelType w:val="hybridMultilevel"/>
    <w:lvl w:ilvl="0">
      <w:lvlJc w:val="left"/>
      <w:lvlText w:val="4"/>
      <w:numFmt w:val="bullet"/>
      <w:start w:val="1"/>
    </w:lvl>
  </w:abstractNum>
  <w:abstractNum w:abstractNumId="253">
    <w:nsid w:val="777A4EAA"/>
    <w:multiLevelType w:val="hybridMultilevel"/>
    <w:lvl w:ilvl="0">
      <w:lvlJc w:val="left"/>
      <w:lvlText w:val="5"/>
      <w:numFmt w:val="bullet"/>
      <w:start w:val="1"/>
    </w:lvl>
  </w:abstractNum>
  <w:abstractNum w:abstractNumId="254">
    <w:nsid w:val="3F48B982"/>
    <w:multiLevelType w:val="hybridMultilevel"/>
    <w:lvl w:ilvl="0">
      <w:lvlJc w:val="left"/>
      <w:lvlText w:val="1"/>
      <w:numFmt w:val="bullet"/>
      <w:start w:val="1"/>
    </w:lvl>
  </w:abstractNum>
  <w:abstractNum w:abstractNumId="255">
    <w:nsid w:val="46BA8FCA"/>
    <w:multiLevelType w:val="hybridMultilevel"/>
    <w:lvl w:ilvl="0">
      <w:lvlJc w:val="left"/>
      <w:lvlText w:val="2"/>
      <w:numFmt w:val="bullet"/>
      <w:start w:val="1"/>
    </w:lvl>
  </w:abstractNum>
  <w:abstractNum w:abstractNumId="256">
    <w:nsid w:val="7835626C"/>
    <w:multiLevelType w:val="hybridMultilevel"/>
    <w:lvl w:ilvl="0">
      <w:lvlJc w:val="left"/>
      <w:lvlText w:val="(%1)"/>
      <w:numFmt w:val="lowerLetter"/>
      <w:start w:val="35"/>
    </w:lvl>
  </w:abstractNum>
  <w:abstractNum w:abstractNumId="257">
    <w:nsid w:val="665ACA49"/>
    <w:multiLevelType w:val="hybridMultilevel"/>
    <w:lvl w:ilvl="0">
      <w:lvlJc w:val="left"/>
      <w:lvlText w:val="(%1)"/>
      <w:numFmt w:val="lowerLetter"/>
      <w:start w:val="2"/>
    </w:lvl>
  </w:abstractNum>
  <w:abstractNum w:abstractNumId="258">
    <w:nsid w:val="6835B2AE"/>
    <w:multiLevelType w:val="hybridMultilevel"/>
    <w:lvl w:ilvl="0">
      <w:lvlJc w:val="left"/>
      <w:lvlText w:val="%1."/>
      <w:numFmt w:val="decimal"/>
      <w:start w:val="2"/>
    </w:lvl>
  </w:abstractNum>
  <w:abstractNum w:abstractNumId="259">
    <w:nsid w:val="4C187C9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2021-06-23T15:04:32Z</dcterms:created>
  <dcterms:modified xsi:type="dcterms:W3CDTF">2021-06-23T15:04:32Z</dcterms:modified>
</cp:coreProperties>
</file>