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1424"/>
        <w:spacing w:after="0"/>
        <w:rPr>
          <w:sz w:val="20"/>
          <w:szCs w:val="20"/>
          <w:color w:val="auto"/>
        </w:rPr>
      </w:pPr>
      <w:r>
        <w:rPr>
          <w:rFonts w:ascii="Arial" w:cs="Arial" w:eastAsia="Arial" w:hAnsi="Arial"/>
          <w:sz w:val="16"/>
          <w:szCs w:val="16"/>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01887</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2.01 </w:t>
      </w:r>
      <w:r>
        <w:rPr>
          <w:rFonts w:ascii="Arial" w:cs="Arial" w:eastAsia="Arial" w:hAnsi="Arial"/>
          <w:sz w:val="18"/>
          <w:szCs w:val="18"/>
          <w:b w:val="1"/>
          <w:bCs w:val="1"/>
          <w:u w:val="single" w:color="auto"/>
          <w:color w:val="auto"/>
        </w:rPr>
        <w:t>Completion of Acquisition or Disposition of Assets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On August 26, 2021, Analog Devices, Inc., a Massachusetts corporation (the “Company”), completed its previously announced acquisition of Maxim Integrated Products, Inc., a Delaware corporation (“Maxim”). Pursuant to the Agreement and Plan of Merger, dated as of July 12, 2020 (the “Merger Agreement”), by and among the Company, Maxim, and Magneto Corp. (“Merger Sub”), a Delaware corporation and a wholly owned subsidiary of the Company, Merger Sub merged with and into Maxim (the “Merger”), with Maxim surviving the Merger as a wholly owned subsidiary of the Company. At the effective time of the Merger (the “Effective Time”), each share of common stock, par value $0.001 per share, of Maxim (the “Maxim Common Stock”), issued and outstanding immediately prior to the Effective Time (other than treasury shares and any shares of Maxim Common Stock held directly by the Company or Merger Sub) was converted into the right to receive 0.6300 (the “Exchange Ratio”) of a fully paid and non-assessable share of common stock, par value $0.16 2/3 per share, of the Company (the “Company Common Stock”) and, if applicable, cash in lieu of fractional shares, subject to any applicable tax withholding.</w:t>
      </w:r>
    </w:p>
    <w:p>
      <w:pPr>
        <w:spacing w:after="0" w:line="181"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At the Effective Time, (i) all Maxim restricted stock units and Maxim restricted shares (excluding any Maxim restricted stock units and Maxim restricted shares that by their terms vested and settled upon the Effective Time) outstanding as of immediately prior to the Effective Time were automatically converted into restricted stock units or restricted shares, as applicable, denominated in shares of Company Common Stock based on the Exchange Ratio and (ii) all Maxim performance-based market stock units (“Maxim MSUs”) outstanding as of immediately prior to the Effective Time (other than any Maxim MSUs that by their terms vested and settled immediately prior to the Effective Time) were automatically converted into time-based restricted stock unit awards denominated in shares of Company Common Stock based on (x) the number of shares of Maxim Common Stock subject to each Maxim MSU after giving effect to any applicable provisions in the award agreement governing the Maxim MSU with respect to a “change in control” and (y) the Exchange Ratio. Other than the foregoing adjustments, the awards governing such converted restricted stock units or restricted shares, as applicable, will generally remain subject to the same vesting and other terms and conditions that applied to the awards immediately prior to the Effective Time (including the terms and conditions of Maxim’s applicable change in control plans).</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issuance of shares of Company Common Stock in connection with the Merger was registered under the Securities Act of 1933, as amended, pursuant to the Company’s registration statement on Form S-4 (File No. 333-248092), declared effective by the Securities and Exchange Commission (the “SEC”) on September 3, 2020. The joint proxy statement/prospectus included in the registration statement contains additional information about the Merger.</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foregoing description of the Merger Agreement and the Merger is not intended to be complete and is qualified in its entirety by reference to the full text of the Merger Agreement, a copy of which was filed as Exhibit 2.1 to the Company’s Current Report on Form 8-K filed with the SEC on July 15, 2020, and which is incorporated herein by reference. The Merger Agreement is intended to provide investors with information regarding its terms and not to provide any factual information about the Company or Maxim.</w:t>
      </w:r>
    </w:p>
    <w:p>
      <w:pPr>
        <w:spacing w:after="0" w:line="29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Officers</w:t>
      </w:r>
      <w:r>
        <w:rPr>
          <w:rFonts w:ascii="Arial" w:cs="Arial" w:eastAsia="Arial" w:hAnsi="Arial"/>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Effective as of the Effective Time, the size of the Company’s Board of Directors (the “Board”) was expanded to 13 and Tunç Doluca and Mercedes Johnson were appointed to the Board. Ms. Johnson was also appointed to the Audit Committee of the Board. Mr. Doluca and Ms. Johnson will be compensated in accordance with the Company’s non-employee director compensation policy as disclosed in the Company’s annual proxy statement filed on January 22, 2021.</w:t>
      </w:r>
    </w:p>
    <w:p>
      <w:pPr>
        <w:sectPr>
          <w:pgSz w:w="11900" w:h="16838" w:orient="portrait"/>
          <w:cols w:equalWidth="0" w:num="1">
            <w:col w:w="10980"/>
          </w:cols>
          <w:pgMar w:left="440" w:top="297" w:right="479" w:bottom="1440" w:gutter="0" w:footer="0" w:header="0"/>
        </w:sectPr>
      </w:pPr>
    </w:p>
    <w:bookmarkStart w:id="2" w:name="page3"/>
    <w:bookmarkEnd w:id="2"/>
    <w:p>
      <w:pPr>
        <w:ind w:right="6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Mr. Doluca and Ms. Johnson will each become party to the Company’s Form of Indemnification Agreement for Directors and Officers, filed as Exhibit 10.33 to the Company’s Annual Report on Form 10-K for the fiscal year ended November 1, 2008.</w:t>
      </w:r>
    </w:p>
    <w:p>
      <w:pPr>
        <w:spacing w:after="0" w:line="146"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At the Effective Time, (i) all outstanding Maxim restricted stock units and Maxim restricted shares held by Mr. Doluca, Ms. Johnson and their respective affiliates converted into restricted stock units or restricted shares, as applicable, denominated in shares of Company Common Stock, (ii) all outstanding Maxim MSUs held by Mr. Doluca, Ms. Johnson, and their respective affiliates converted into time-based restricted stock unit awards denominated in shares of Company Common Stock, and (iii) all outstanding all Maxim options held by Mr. Doluca, Ms. Johnson, and their respective affiliates converted into options to acquire a number of shares of Company Common Stock, in each case, as described under Item 2.01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August 26, 2021, the Company issued a press release announcing the completion of the Merger, which is filed as Exhibit 99.1 to this Form 8-K and is incorporated herein by reference.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addition, on August 25, 2021, the Company announced that its Board had approved an $8.5 billion increase to the Company’s share repurchase authorization. A copy of the Company’s press release announcing the increased repurchase authorization is attached as Exhibit 99.2 to this Form 8-K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21" w:lineRule="exact"/>
        <w:rPr>
          <w:sz w:val="20"/>
          <w:szCs w:val="20"/>
          <w:color w:val="auto"/>
        </w:rPr>
      </w:pPr>
    </w:p>
    <w:p>
      <w:pPr>
        <w:ind w:left="680" w:hanging="24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financial statements required by Item 9.01(a) of Form 8-K will be filed by amendment within 71 calendar days after the date upon which this current report on Form 8-K must be filed.</w:t>
      </w:r>
    </w:p>
    <w:p>
      <w:pPr>
        <w:spacing w:after="0" w:line="278" w:lineRule="exact"/>
        <w:rPr>
          <w:sz w:val="20"/>
          <w:szCs w:val="20"/>
          <w:color w:val="auto"/>
        </w:rPr>
      </w:pPr>
    </w:p>
    <w:p>
      <w:pPr>
        <w:ind w:left="700" w:hanging="26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pro forma financial information required by Item 9.01(b) of Form 8-K will be filed by amendment within 71 calendar days after the date upon which this current report on Form 8-K must be filed.</w:t>
      </w:r>
    </w:p>
    <w:p>
      <w:pPr>
        <w:spacing w:after="0" w:line="278" w:lineRule="exact"/>
        <w:rPr>
          <w:sz w:val="20"/>
          <w:szCs w:val="20"/>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180" w:type="dxa"/>
            <w:vAlign w:val="bottom"/>
            <w:gridSpan w:val="3"/>
          </w:tcPr>
          <w:p>
            <w:pPr>
              <w:spacing w:after="0"/>
              <w:rPr>
                <w:sz w:val="14"/>
                <w:szCs w:val="14"/>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520" w:type="dxa"/>
            <w:vAlign w:val="bottom"/>
            <w:tcBorders>
              <w:bottom w:val="single" w:sz="8" w:color="0000EE"/>
            </w:tcBorders>
            <w:gridSpan w:val="4"/>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Agreement and Plan of Merger, dated as of July 12, 2020, by and among Analog Devices, Inc., Maxim Integrated Products, Inc. and</w:t>
              </w:r>
            </w:hyperlink>
          </w:p>
        </w:tc>
        <w:tc>
          <w:tcPr>
            <w:tcW w:w="2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Magneto Corp. (incorporated by reference to Exhibit 2.1 of the Company’s Current Report on Form 8-K filed with the SEC on July 15,</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
              <w:r>
                <w:rPr>
                  <w:rFonts w:ascii="Arial" w:cs="Arial" w:eastAsia="Arial" w:hAnsi="Arial"/>
                  <w:sz w:val="18"/>
                  <w:szCs w:val="18"/>
                  <w:color w:val="0000EE"/>
                  <w:w w:val="86"/>
                </w:rPr>
                <w:t>2020).</w:t>
              </w:r>
            </w:hyperlink>
          </w:p>
        </w:tc>
        <w:tc>
          <w:tcPr>
            <w:tcW w:w="1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3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dated August 26, 2021 (filed herewith).</w:t>
              </w:r>
            </w:hyperlink>
          </w:p>
        </w:tc>
        <w:tc>
          <w:tcPr>
            <w:tcW w:w="5800" w:type="dxa"/>
            <w:vAlign w:val="bottom"/>
            <w:gridSpan w:val="2"/>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3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Press Release, dated August 25, 2021 (filed herewith).</w:t>
              </w:r>
            </w:hyperlink>
          </w:p>
        </w:tc>
        <w:tc>
          <w:tcPr>
            <w:tcW w:w="5800" w:type="dxa"/>
            <w:vAlign w:val="bottom"/>
            <w:gridSpan w:val="2"/>
          </w:tcPr>
          <w:p>
            <w:pPr>
              <w:spacing w:after="0"/>
              <w:rPr>
                <w:sz w:val="24"/>
                <w:szCs w:val="24"/>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0"/>
          </w:cols>
          <w:pgMar w:left="440" w:top="301"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August 26, 2021</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20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2863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Margaret K. Seif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People Officer and Chief Legal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7985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798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Analog Devices Completes Acquisition of Maxim Integrated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WILMINGTON, Mass. – August 26, 2021 – Analog Devices, Inc. (NASDAQ: ADI) today announced the completion of its previously announced</w:t>
      </w:r>
    </w:p>
    <w:p>
      <w:pPr>
        <w:spacing w:after="0" w:line="35"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acquisition of Maxim Integrated Products, Inc. (NASDAQ: MXIM). The combination further strengthens ADI’s position as a high-performance analog semiconductor company with trailing twelve-month revenue of over $9 billion</w:t>
      </w:r>
      <w:r>
        <w:rPr>
          <w:rFonts w:ascii="Arial" w:cs="Arial" w:eastAsia="Arial" w:hAnsi="Arial"/>
          <w:sz w:val="15"/>
          <w:szCs w:val="15"/>
          <w:color w:val="auto"/>
        </w:rPr>
        <w:t>1</w:t>
      </w:r>
      <w:r>
        <w:rPr>
          <w:rFonts w:ascii="Arial" w:cs="Arial" w:eastAsia="Arial" w:hAnsi="Arial"/>
          <w:sz w:val="18"/>
          <w:szCs w:val="18"/>
          <w:color w:val="auto"/>
        </w:rPr>
        <w:t>, industry leading margins, and free cash flow of over $3 billion</w:t>
      </w:r>
      <w:r>
        <w:rPr>
          <w:rFonts w:ascii="Arial" w:cs="Arial" w:eastAsia="Arial" w:hAnsi="Arial"/>
          <w:sz w:val="15"/>
          <w:szCs w:val="15"/>
          <w:color w:val="auto"/>
        </w:rPr>
        <w:t>1</w:t>
      </w:r>
      <w:r>
        <w:rPr>
          <w:rFonts w:ascii="Arial" w:cs="Arial" w:eastAsia="Arial" w:hAnsi="Arial"/>
          <w:sz w:val="18"/>
          <w:szCs w:val="18"/>
          <w:color w:val="auto"/>
        </w:rPr>
        <w:t xml:space="preserve"> on a pro forma basis.</w:t>
      </w:r>
    </w:p>
    <w:p>
      <w:pPr>
        <w:spacing w:after="0" w:line="190"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“Today is a tremendous milestone for ADI and I’m delighted to welcome the Maxim team, who share our passion for solving our customers’ most complex technology problems,” said Vincent Roche, President and CEO. “With more than 10,000 engineers and the increased breadth and depth of our best-in-class technologies, we are well-positioned to develop even more complete, cutting-edge solutions for our customers. Together, we will drive the next waves of analog semiconductor innovation, while engineering a healthier, safer and more sustainable future for all.”</w:t>
      </w:r>
    </w:p>
    <w:p>
      <w:pPr>
        <w:spacing w:after="0" w:line="15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Under the terms of the definitive agreement, Maxim stockholders received 0.63 of a share of ADI common stock for each share of Maxim common stock. Maxim common stock will no longer be listed for trading on the NASDAQ stock market.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Combined Board of Directors</w:t>
      </w:r>
    </w:p>
    <w:p>
      <w:pPr>
        <w:spacing w:after="0" w:line="121"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In connection with the closing of the transaction, Tunç Doluca, former President and Chief Executive Officer of Maxim, and Mercedes Johnson, former Founding Executive of Avago Technologies, will join the ADI Board of Directors. Mr. Doluca and Ms. Johnson served on Maxim’s Board of Directors until the closing of the transaction.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Special Investor Conference Call and Webcast</w:t>
      </w:r>
    </w:p>
    <w:p>
      <w:pPr>
        <w:spacing w:after="0" w:line="121"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ADI plans to host a webcast to discuss its upcoming capital allocation priorities and the updated fourth quarter fiscal 2021 outlook. The webcast is scheduled to begin at approximately 8:30 a.m. Eastern Time on September 8</w:t>
      </w:r>
      <w:r>
        <w:rPr>
          <w:rFonts w:ascii="Arial" w:cs="Arial" w:eastAsia="Arial" w:hAnsi="Arial"/>
          <w:sz w:val="13"/>
          <w:szCs w:val="13"/>
          <w:color w:val="auto"/>
        </w:rPr>
        <w:t>th</w:t>
      </w:r>
      <w:r>
        <w:rPr>
          <w:rFonts w:ascii="Arial" w:cs="Arial" w:eastAsia="Arial" w:hAnsi="Arial"/>
          <w:sz w:val="16"/>
          <w:szCs w:val="16"/>
          <w:color w:val="auto"/>
        </w:rPr>
        <w:t>, 2021 with Vincent Roche, President and Chief Executive Officer, Prashanth Mahendra-Rajah, Senior Vice President, Finance and Chief Financial Officer, and Michael Lucarelli, Senior Director of Investor Relations.</w:t>
      </w:r>
    </w:p>
    <w:p>
      <w:pPr>
        <w:spacing w:after="0" w:line="149" w:lineRule="exact"/>
        <w:rPr>
          <w:sz w:val="20"/>
          <w:szCs w:val="20"/>
          <w:color w:val="auto"/>
        </w:rPr>
      </w:pPr>
    </w:p>
    <w:p>
      <w:pPr>
        <w:ind w:left="4" w:right="1540"/>
        <w:spacing w:after="0" w:line="277" w:lineRule="auto"/>
        <w:rPr>
          <w:sz w:val="20"/>
          <w:szCs w:val="20"/>
          <w:color w:val="auto"/>
        </w:rPr>
      </w:pPr>
      <w:r>
        <w:rPr>
          <w:rFonts w:ascii="Arial" w:cs="Arial" w:eastAsia="Arial" w:hAnsi="Arial"/>
          <w:sz w:val="18"/>
          <w:szCs w:val="18"/>
          <w:color w:val="auto"/>
        </w:rPr>
        <w:t>The webcast and accompanying presentation may be accessed live on the internet on Analog Devices’ Investor Relations website at investor.analog.com, or by telephone as follows: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 Dial-In (domestic &amp; international): (833) 423-0297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International Participant Passcode: 8334230297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*no passcode required for domestic dial-in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40" w:hanging="424"/>
        <w:spacing w:after="0" w:line="263"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trailing twelve months ending July 31, 2021 for Analog Devices and trailing twelve months ending June 26, 2021 for Maxim. Free cash flow is defined as net cash provided by operating activities, determined in accordance with GAAP, less additions to property, plant and equipment, net.</w:t>
      </w:r>
    </w:p>
    <w:p>
      <w:pPr>
        <w:sectPr>
          <w:pgSz w:w="11900" w:h="16838" w:orient="portrait"/>
          <w:cols w:equalWidth="0" w:num="1">
            <w:col w:w="11024"/>
          </w:cols>
          <w:pgMar w:left="436" w:top="121" w:right="43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replay of the conference call will be available approximately two hours after the call concludes and may be accessed for up to two weeks, by dialing 855-859-2056 and entering the conference ID: 7115409.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Both the press release and archived version of the webcast will be available at investor.analog.com.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Analog Devices, Inc. (NASDAQ: ADI) operates at the center of the modern digital economy, converting real-world phenomena into actionable insight with its comprehensive suite of analog and mixed signal, power management, radio frequency (RF), and digital and sensor technologies. ADI serves 125,000 customers worldwide with more than 75,000 products in the industrial, communications, automotive, and consumer markets. ADI is headquartered in Wilmington, MA. Visit http://www.analog.com.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i w:val="1"/>
          <w:iCs w:val="1"/>
          <w:color w:val="auto"/>
        </w:rPr>
        <w:t>This communication contains “forward-looking statements” within the meaning of the federal securities laws. Forward-looking statements address a variety of subjects, including, for example, statements as to the anticipated benefits of the transaction, the anticipated impact of the transaction on the combined organization’s business and future financial and operating results, and the expected amount and timing of synergies from the transaction.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Statements that are not historical facts, including statements about ADI’s beliefs, plans and expectations, are forward-looking statements. Such statements are based on ADI’s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estimate of its expected tax rate based on current tax law; ADI’s ability to successfully integrate Maxim’s businesses and technologies; the risk that the expected benefits and synergies of the transaction and growth prospects of the combined company may not be fully achieved in a timely manner, or at all; adverse results in litigation matters, including the potential for litigation related to the transaction; the risk that ADI will be unable to retain and hire key personnel; unanticipated difficulties or expenditures relating to the transaction, the response of business partners and retention as a result of the transaction; uncertainty as to the long-term value of ADI’s common stock; and the diversion of management time on transaction-related matters. For additional information about other factors that could cause actual results to differ materially from those described in the forward-looking statements, please refer to ADI’s and Maxim’s respective periodic reports and other filings with the Securities and Exchange Commission,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ADI does not undertake or assume any obligation to update any forward-looking statements, whether as a result of new information or to reflect subsequent events or circumstances or otherwise.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(ADI-WEB)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investor.relations@analog.com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Brittany.Stone@teneo.com</w:t>
      </w:r>
    </w:p>
    <w:p>
      <w:pPr>
        <w:sectPr>
          <w:pgSz w:w="11900" w:h="16838" w:orient="portrait"/>
          <w:cols w:equalWidth="0" w:num="1">
            <w:col w:w="10019"/>
          </w:cols>
          <w:pgMar w:left="4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137985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3798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Increases Share Repurchase Authorization by $8.5 Billion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Approximately $10 Billion</w:t>
      </w:r>
    </w:p>
    <w:p>
      <w:pPr>
        <w:spacing w:after="0" w:line="21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August 25, 2021 – Wilmington, MA – Analog Devices, Inc. (Nasdaq: ADI) today announced that the Board of Directors authorized the company to repurchase an additional $8.5 billion of its common stock. This brings the total remaining authorization to approximately $10 billion. ADI expects to fund the repurchases through cash generation from operations as well as cash from the closing of the Maxim Integrated acquisition.</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“Today’s announcement to significantly expand our share repurchase program reflects the strength of our balance sheet and our ability to generate robust cash flow,” said Vincent Roche, President and CEO. “The diversity of ADI’s business and our alignment to secular growth drivers give us confidence that we are well-positioned to return 100% of free cash flow to shareholders, while continuing to invest in disruptive innovation.”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ADI commenced its common stock repurchase program in fiscal year 2004, and since then the company has repurchased a total of approximately</w:t>
      </w:r>
    </w:p>
    <w:p>
      <w:pPr>
        <w:spacing w:after="0" w:line="35"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$6.7 billion of its common stock. Under the program, the company may repurchase outstanding shares of its common stock from time to time on the open market or through privately negotiated transactions. ADI management will determine the timing and number of shares to be repurchased.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Analog Devices (Nasdaq: ADI) is a leading global semiconductor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i w:val="1"/>
          <w:iCs w:val="1"/>
          <w:color w:val="auto"/>
        </w:rPr>
        <w:t>This communication contains “forward-looking statements” within the meaning of the federal securities laws. Forward-looking statements address a variety of subjects, including, for example, statements as to the anticipated benefits of the transaction, the anticipated impact of the transaction on the combined organization’s business and future financial and operating results, and the expected amount and timing of synergies from the transaction.</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Statements that are not historical facts, including statements about ADI’s beliefs, plans and expectations, are forward-looking statements. Such statements are based on ADI’s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estimate of its expected tax rate based on current tax law; ADI’s ability to successfully integrate Maxim’s businesses and technologies; the risk that the expected benefits and synergies of the transaction and growth prospects of the combined company may not be fully achieved in a timely manner, or at all; adverse results in litigation matters, including the potential for litigation related to the transaction; the risk that ADI will be unable to retain and hire key personnel; unanticipated difficulties or expenditures relating to the transaction, the response of business partners and retention as a result of the transaction; uncertainty as to the long-term value of ADI’s common stock; and the diversion of management time on transaction-related matters. For additional information about other factors that could cause actual results to differ materially from those described in the forward-looking statements, please refer to ADI’s periodic reports and other filings with the Securities and Exchange Commission, including the risk factors contained in ADI’s most recent Quarterly Reports on Form</w:t>
      </w:r>
    </w:p>
    <w:p>
      <w:pPr>
        <w:spacing w:after="0" w:line="9"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i w:val="1"/>
          <w:iCs w:val="1"/>
          <w:color w:val="auto"/>
        </w:rPr>
        <w:t>10-Q and Annual Reports on Form 10-K. Forward-looking statements represent management’s current expectations and are inherently uncertain and are made only as of the date hereof. Except as required by law, ADI does not undertake or assume any obligation to update any forward-looking statements, whether as a result of new information or to reflect subsequent events or circumstances or otherwise.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Brittany.Stone@teneo.com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19" Type="http://schemas.openxmlformats.org/officeDocument/2006/relationships/hyperlink" Target="http://www.sec.gov/Archives/edgar/data/6281/000119312520192918/d93472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2021-08-26T15:45:03Z</dcterms:created>
  <dcterms:modified xsi:type="dcterms:W3CDTF">2021-08-26T15:45:03Z</dcterms:modified>
</cp:coreProperties>
</file>