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15, 2017</w:t>
      </w:r>
    </w:p>
    <w:p>
      <w:pPr>
        <w:spacing w:after="0" w:line="27" w:lineRule="exact"/>
        <w:rPr>
          <w:sz w:val="24"/>
          <w:szCs w:val="24"/>
          <w:color w:val="auto"/>
        </w:rPr>
      </w:pPr>
    </w:p>
    <w:p>
      <w:pPr>
        <w:ind w:left="902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6765925</wp:posOffset>
            </wp:positionH>
            <wp:positionV relativeFrom="paragraph">
              <wp:posOffset>-19050</wp:posOffset>
            </wp:positionV>
            <wp:extent cx="485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85"/>
              </w:rPr>
              <w:t>Massachusetts</w:t>
            </w:r>
          </w:p>
        </w:tc>
        <w:tc>
          <w:tcPr>
            <w:tcW w:w="3120" w:type="dxa"/>
            <w:vAlign w:val="bottom"/>
          </w:tcPr>
          <w:p>
            <w:pPr>
              <w:jc w:val="center"/>
              <w:ind w:left="1901"/>
              <w:spacing w:after="0"/>
              <w:rPr>
                <w:sz w:val="20"/>
                <w:szCs w:val="20"/>
                <w:color w:val="auto"/>
              </w:rPr>
            </w:pPr>
            <w:r>
              <w:rPr>
                <w:rFonts w:ascii="Arial" w:cs="Arial" w:eastAsia="Arial" w:hAnsi="Arial"/>
                <w:sz w:val="18"/>
                <w:szCs w:val="18"/>
                <w:b w:val="1"/>
                <w:bCs w:val="1"/>
                <w:color w:val="auto"/>
                <w:w w:val="89"/>
              </w:rPr>
              <w:t>04-2348234</w:t>
            </w:r>
          </w:p>
        </w:tc>
      </w:tr>
      <w:tr>
        <w:trPr>
          <w:trHeight w:val="149"/>
        </w:trPr>
        <w:tc>
          <w:tcPr>
            <w:tcW w:w="4440" w:type="dxa"/>
            <w:vAlign w:val="bottom"/>
          </w:tcPr>
          <w:p>
            <w:pPr>
              <w:jc w:val="center"/>
              <w:ind w:right="18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9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440" w:type="dxa"/>
            <w:vAlign w:val="bottom"/>
          </w:tcPr>
          <w:p>
            <w:pPr>
              <w:jc w:val="center"/>
              <w:ind w:right="1879"/>
              <w:spacing w:after="0"/>
              <w:rPr>
                <w:sz w:val="20"/>
                <w:szCs w:val="20"/>
                <w:color w:val="auto"/>
              </w:rPr>
            </w:pPr>
            <w:r>
              <w:rPr>
                <w:rFonts w:ascii="Arial" w:cs="Arial" w:eastAsia="Arial" w:hAnsi="Arial"/>
                <w:sz w:val="14"/>
                <w:szCs w:val="14"/>
                <w:b w:val="1"/>
                <w:bCs w:val="1"/>
                <w:color w:val="auto"/>
                <w:w w:val="94"/>
              </w:rPr>
              <w:t>incorporation or organization)</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88"/>
              </w:rPr>
              <w:t>One Technology Way,</w:t>
            </w:r>
          </w:p>
        </w:tc>
        <w:tc>
          <w:tcPr>
            <w:tcW w:w="3120" w:type="dxa"/>
            <w:vAlign w:val="bottom"/>
          </w:tcPr>
          <w:p>
            <w:pPr>
              <w:spacing w:after="0"/>
              <w:rPr>
                <w:sz w:val="24"/>
                <w:szCs w:val="24"/>
                <w:color w:val="auto"/>
              </w:rPr>
            </w:pPr>
          </w:p>
        </w:tc>
      </w:tr>
      <w:tr>
        <w:trPr>
          <w:trHeight w:val="225"/>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5"/>
              </w:rPr>
              <w:t>Norwood MA</w:t>
            </w:r>
          </w:p>
        </w:tc>
        <w:tc>
          <w:tcPr>
            <w:tcW w:w="3120" w:type="dxa"/>
            <w:vAlign w:val="bottom"/>
          </w:tcPr>
          <w:p>
            <w:pPr>
              <w:jc w:val="center"/>
              <w:ind w:left="1901"/>
              <w:spacing w:after="0"/>
              <w:rPr>
                <w:sz w:val="20"/>
                <w:szCs w:val="20"/>
                <w:color w:val="auto"/>
              </w:rPr>
            </w:pPr>
            <w:r>
              <w:rPr>
                <w:rFonts w:ascii="Arial" w:cs="Arial" w:eastAsia="Arial" w:hAnsi="Arial"/>
                <w:sz w:val="18"/>
                <w:szCs w:val="18"/>
                <w:b w:val="1"/>
                <w:bCs w:val="1"/>
                <w:color w:val="auto"/>
                <w:w w:val="89"/>
              </w:rPr>
              <w:t>02062-9106</w:t>
            </w:r>
          </w:p>
        </w:tc>
      </w:tr>
      <w:tr>
        <w:trPr>
          <w:trHeight w:val="186"/>
        </w:trPr>
        <w:tc>
          <w:tcPr>
            <w:tcW w:w="44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ANALOG DEVICES, INC. AMENDED AND RESTATED 2010 EQUITY INCENTIVE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Margaret K. Seif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Chief Legal Officer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Technology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Norwood, MA 02062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including area code, of agent for service: (781) 329-4700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120" w:type="dxa"/>
            <w:vAlign w:val="bottom"/>
            <w:gridSpan w:val="2"/>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ind w:left="19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120" w:type="dxa"/>
            <w:vAlign w:val="bottom"/>
            <w:gridSpan w:val="2"/>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4140" w:type="dxa"/>
            <w:vAlign w:val="bottom"/>
          </w:tcPr>
          <w:p>
            <w:pPr>
              <w:ind w:left="19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5"/>
        </w:trPr>
        <w:tc>
          <w:tcPr>
            <w:tcW w:w="17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Amount</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1"/>
              </w:rPr>
              <w:t>(number of shares)</w:t>
            </w:r>
          </w:p>
        </w:tc>
        <w:tc>
          <w:tcPr>
            <w:tcW w:w="1600" w:type="dxa"/>
            <w:vAlign w:val="bottom"/>
            <w:tcBorders>
              <w:right w:val="single" w:sz="8" w:color="auto"/>
            </w:tcBorders>
          </w:tcPr>
          <w:p>
            <w:pPr>
              <w:jc w:val="center"/>
              <w:ind w:left="26"/>
              <w:spacing w:after="0" w:line="149" w:lineRule="exact"/>
              <w:rPr>
                <w:sz w:val="20"/>
                <w:szCs w:val="20"/>
                <w:color w:val="auto"/>
              </w:rPr>
            </w:pPr>
            <w:r>
              <w:rPr>
                <w:rFonts w:ascii="Arial" w:cs="Arial" w:eastAsia="Arial" w:hAnsi="Arial"/>
                <w:sz w:val="14"/>
                <w:szCs w:val="14"/>
                <w:b w:val="1"/>
                <w:bCs w:val="1"/>
                <w:color w:val="auto"/>
                <w:w w:val="94"/>
              </w:rPr>
              <w:t>maximum</w:t>
            </w:r>
          </w:p>
        </w:tc>
        <w:tc>
          <w:tcPr>
            <w:tcW w:w="1600" w:type="dxa"/>
            <w:vAlign w:val="bottom"/>
            <w:tcBorders>
              <w:right w:val="single" w:sz="8" w:color="auto"/>
            </w:tcBorders>
          </w:tcPr>
          <w:p>
            <w:pPr>
              <w:jc w:val="center"/>
              <w:ind w:left="26"/>
              <w:spacing w:after="0" w:line="149" w:lineRule="exact"/>
              <w:rPr>
                <w:sz w:val="20"/>
                <w:szCs w:val="20"/>
                <w:color w:val="auto"/>
              </w:rPr>
            </w:pPr>
            <w:r>
              <w:rPr>
                <w:rFonts w:ascii="Arial" w:cs="Arial" w:eastAsia="Arial" w:hAnsi="Arial"/>
                <w:sz w:val="14"/>
                <w:szCs w:val="14"/>
                <w:b w:val="1"/>
                <w:bCs w:val="1"/>
                <w:color w:val="auto"/>
                <w:w w:val="94"/>
              </w:rPr>
              <w:t>maximum</w:t>
            </w:r>
          </w:p>
        </w:tc>
        <w:tc>
          <w:tcPr>
            <w:tcW w:w="156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89"/>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to be Registered</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2"/>
              </w:rPr>
              <w:t>registered</w:t>
            </w:r>
            <w:r>
              <w:rPr>
                <w:rFonts w:ascii="Arial" w:cs="Arial" w:eastAsia="Arial" w:hAnsi="Arial"/>
                <w:sz w:val="12"/>
                <w:szCs w:val="12"/>
                <w:b w:val="1"/>
                <w:bCs w:val="1"/>
                <w:color w:val="auto"/>
                <w:w w:val="92"/>
              </w:rPr>
              <w:t>(1)</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8"/>
              </w:rPr>
              <w:t>per share</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3"/>
              </w:rPr>
              <w:t>offering price</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$0.16 2/3 par value per share</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91"/>
              </w:rPr>
              <w:t>829,144</w:t>
            </w:r>
            <w:r>
              <w:rPr>
                <w:rFonts w:ascii="Arial" w:cs="Arial" w:eastAsia="Arial" w:hAnsi="Arial"/>
                <w:sz w:val="15"/>
                <w:szCs w:val="15"/>
                <w:color w:val="auto"/>
                <w:w w:val="91"/>
              </w:rPr>
              <w:t>(2)</w:t>
            </w:r>
          </w:p>
        </w:tc>
        <w:tc>
          <w:tcPr>
            <w:tcW w:w="1600" w:type="dxa"/>
            <w:vAlign w:val="bottom"/>
            <w:tcBorders>
              <w:bottom w:val="single" w:sz="8" w:color="auto"/>
              <w:right w:val="single" w:sz="8" w:color="auto"/>
            </w:tcBorders>
          </w:tcPr>
          <w:p>
            <w:pPr>
              <w:jc w:val="center"/>
              <w:ind w:left="26"/>
              <w:spacing w:after="0"/>
              <w:rPr>
                <w:sz w:val="20"/>
                <w:szCs w:val="20"/>
                <w:color w:val="auto"/>
              </w:rPr>
            </w:pPr>
            <w:r>
              <w:rPr>
                <w:rFonts w:ascii="Arial" w:cs="Arial" w:eastAsia="Arial" w:hAnsi="Arial"/>
                <w:sz w:val="18"/>
                <w:szCs w:val="18"/>
                <w:color w:val="auto"/>
                <w:w w:val="90"/>
              </w:rPr>
              <w:t>$82.95</w:t>
            </w:r>
          </w:p>
        </w:tc>
        <w:tc>
          <w:tcPr>
            <w:tcW w:w="1600" w:type="dxa"/>
            <w:vAlign w:val="bottom"/>
            <w:tcBorders>
              <w:bottom w:val="single" w:sz="8" w:color="auto"/>
              <w:right w:val="single" w:sz="8" w:color="auto"/>
            </w:tcBorders>
          </w:tcPr>
          <w:p>
            <w:pPr>
              <w:jc w:val="center"/>
              <w:ind w:left="26"/>
              <w:spacing w:after="0"/>
              <w:rPr>
                <w:sz w:val="20"/>
                <w:szCs w:val="20"/>
                <w:color w:val="auto"/>
              </w:rPr>
            </w:pPr>
            <w:r>
              <w:rPr>
                <w:rFonts w:ascii="Arial" w:cs="Arial" w:eastAsia="Arial" w:hAnsi="Arial"/>
                <w:sz w:val="18"/>
                <w:szCs w:val="18"/>
                <w:color w:val="auto"/>
                <w:w w:val="89"/>
              </w:rPr>
              <w:t>$68,777,494</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89"/>
              </w:rPr>
              <w:t>$7,971.31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hanging="452"/>
        <w:spacing w:after="0" w:line="273" w:lineRule="auto"/>
        <w:tabs>
          <w:tab w:leader="none" w:pos="460" w:val="left"/>
        </w:tabs>
        <w:numPr>
          <w:ilvl w:val="0"/>
          <w:numId w:val="1"/>
        </w:numPr>
        <w:rPr>
          <w:rFonts w:ascii="Arial" w:cs="Arial" w:eastAsia="Arial" w:hAnsi="Arial"/>
          <w:sz w:val="14"/>
          <w:szCs w:val="14"/>
          <w:color w:val="auto"/>
        </w:rPr>
      </w:pPr>
      <w:r>
        <w:rPr>
          <w:rFonts w:ascii="Arial" w:cs="Arial" w:eastAsia="Arial" w:hAnsi="Arial"/>
          <w:sz w:val="17"/>
          <w:szCs w:val="17"/>
          <w:color w:val="auto"/>
        </w:rPr>
        <w:t>In accordance with Rule 416 under the Securities Act of 1933, as amended, this registration statement shall be deemed to cover any additional securities that may from time to time be offered or issued to prevent dilution from stock splits, stock dividends or similar transactions.</w:t>
      </w:r>
    </w:p>
    <w:p>
      <w:pPr>
        <w:ind w:left="460" w:right="140" w:hanging="452"/>
        <w:spacing w:after="0" w:line="277" w:lineRule="auto"/>
        <w:tabs>
          <w:tab w:leader="none" w:pos="460" w:val="left"/>
        </w:tabs>
        <w:numPr>
          <w:ilvl w:val="0"/>
          <w:numId w:val="1"/>
        </w:numPr>
        <w:rPr>
          <w:rFonts w:ascii="Arial" w:cs="Arial" w:eastAsia="Arial" w:hAnsi="Arial"/>
          <w:sz w:val="14"/>
          <w:szCs w:val="14"/>
          <w:color w:val="auto"/>
        </w:rPr>
      </w:pPr>
      <w:r>
        <w:rPr>
          <w:rFonts w:ascii="Arial" w:cs="Arial" w:eastAsia="Arial" w:hAnsi="Arial"/>
          <w:sz w:val="17"/>
          <w:szCs w:val="17"/>
          <w:color w:val="auto"/>
        </w:rPr>
        <w:t>Represents the maximum number of shares of common stock of Analog Devices, Inc. (“Analog” or the “Registrant”), $0.16 2/3 par value per share (“Analog common stock”) issuable pursuant to awards to be granted after the date hereof under the Analog Devices, Inc. Amended and Restated 2010 Equity Incentive Plan (f/k/a the Linear Technology Corporation 2010 Equity Incentive Plan), as assumed by Analog.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Analog Devices, Inc. (“Analog” or the “Registrant”) is filing this Form S-8 relating to shares of Analog common stock issuable pursuant to awards to be granted after the date hereof under the Analog Devices, Inc. Amended and Restated 2010 Equity Incentive Plan (f/k/a the Linear Technology Corporation 2010 Equity Incentive Plan) (the “2010 Plan”), a portion of which plan was assumed by Analog in connection with completion of the merger contemplated by the Agreement and Plan of Merger (the “Merger Agreement”), dated as of July 26, 2016 by and among Analog, Linear Technology Corporation (“Linear”) and Tahoe Acquisition Corp. (the “Merger”).</w:t>
      </w:r>
    </w:p>
    <w:p>
      <w:pPr>
        <w:spacing w:after="0" w:line="18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At the effective time of the Merger, Analog assumed a portion of the 2010 Plan for the purpose of granting future equity awards relating to Analog common stock to employees who were employed by Linear immediately prior to the effective time of the Merger, or who are hired after the Merger. This Registration Statement has been filed for the purpose of registering up to 829,144 shares of Analog common stock issuable pursuant to awards to be granted after the date hereof under the 2010 Plan.</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11" w:lineRule="exact"/>
        <w:rPr>
          <w:sz w:val="20"/>
          <w:szCs w:val="20"/>
          <w:color w:val="auto"/>
        </w:rPr>
      </w:pPr>
    </w:p>
    <w:p>
      <w:pPr>
        <w:jc w:val="both"/>
        <w:ind w:right="740" w:firstLine="434"/>
        <w:spacing w:after="0" w:line="286" w:lineRule="auto"/>
        <w:rPr>
          <w:sz w:val="20"/>
          <w:szCs w:val="20"/>
          <w:color w:val="auto"/>
        </w:rPr>
      </w:pPr>
      <w:r>
        <w:rPr>
          <w:rFonts w:ascii="Arial" w:cs="Arial" w:eastAsia="Arial" w:hAnsi="Arial"/>
          <w:sz w:val="17"/>
          <w:szCs w:val="17"/>
          <w:color w:val="auto"/>
        </w:rPr>
        <w:t>The documents containing the information specified in this Part I will be sent or given to employees as specified by Rule 428(b)(1) under the Securities Act. In accordance with the rules and regulations of the Securities and Exchange Commission (the “Commission”) and the instructions to Form S-8, such documents are not being filed with the Commission as part of this registration statement.</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which have heretofore been filed by the Registrant with the Commission, are incorporated by reference herein:</w:t>
      </w:r>
    </w:p>
    <w:p>
      <w:pPr>
        <w:spacing w:after="0" w:line="131"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October 29, 2016;</w:t>
      </w:r>
    </w:p>
    <w:p>
      <w:pPr>
        <w:spacing w:after="0" w:line="130"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Securities Exchange Act of 1934, as amended (the “Exchange Act”) since October 29, 2016; and</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$0.16 2/3 par value per share, contained in the Registrant’s Form 8-A, filed with the Securities and Exchange Commission on March 21, 2012.</w:t>
      </w:r>
    </w:p>
    <w:p>
      <w:pPr>
        <w:spacing w:after="0" w:line="17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All documents subsequently filed by the Registrant pursuant to Sections 13(a), 13(c), 14 or 15(d) of the Exchange Act and prior to the filing of a post-effective amendment to this registration statement which indicates that all securities offered have been sold or which deregisters all securities then remaining unsold shall be deemed to be incorporated by reference into this registration statement and to be a part hereof from the date of filing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13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Not</w:t>
      </w:r>
      <w:r>
        <w:rPr>
          <w:sz w:val="20"/>
          <w:szCs w:val="20"/>
          <w:color w:val="auto"/>
        </w:rPr>
        <w:tab/>
      </w:r>
      <w:r>
        <w:rPr>
          <w:rFonts w:ascii="Arial" w:cs="Arial" w:eastAsia="Arial" w:hAnsi="Arial"/>
          <w:sz w:val="17"/>
          <w:szCs w:val="17"/>
          <w:color w:val="auto"/>
        </w:rPr>
        <w:t>Applicable.</w:t>
      </w:r>
    </w:p>
    <w:p>
      <w:pPr>
        <w:sectPr>
          <w:pgSz w:w="11900" w:h="16838" w:orient="portrait"/>
          <w:cols w:equalWidth="0" w:num="1">
            <w:col w:w="11400"/>
          </w:cols>
          <w:pgMar w:left="240" w:top="270" w:right="259" w:bottom="1440" w:gutter="0" w:footer="0" w:header="0"/>
        </w:sectPr>
      </w:pPr>
    </w:p>
    <w:bookmarkStart w:id="3" w:name="page4"/>
    <w:bookmarkEnd w:id="3"/>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Officers and Directors.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Article 6A of the Company’s Restated Articles of Organization, as amended (the “Restated Articles”) provides that the Registrant shall indemnify each person who is, or was, a director or officer of the Registrant or who is or was a director or employee of the Registrant and is serving or has served as a director of another organization at the request of the Registrant or in any capacity with respect to an employee benefit plan of the Registrant, against all liabilities and expenses, including judgments, fines, penalties, amounts paid or to be paid in settlement, and reasonable attorneys’ fees, imposed upon or incurred by any such person in connection with, or arising out of, the defense or disposition of any action, suit or other proceedings, whether civil or criminal, to which such individual may be made a defendant or with which such individual may become involved or threatened, directly or indirectly, by reason of having been an officer or director of the Registrant or as a result of his having served with respect to any such employee benefit plan. Article 6A further provides that the Registrant shall provide no indemnification with respect to any matter as to which any director or officer shall be finally adjudicated in such action, suit or proceeding not to have acted in good faith in the reasonable belief that his action was in the best interests of the Registrant or, if the matter relates to an employee benefit plan, the participants or beneficiaries of such employee benefit plan. The right to indemnification conferred by Article 6A includes the right to be paid by the Registrant for liabilities and expenses incurred in connection with settlement or compromise of any such action pursuant to a consent decree or otherwise, unless a determination is made by the board of directors that such settlement or compromise is not in the best interests of the Registrant or, if the matter relates to an employee benefit plan, the participants or beneficiaries of such employee benefit plan.</w:t>
      </w:r>
    </w:p>
    <w:p>
      <w:pPr>
        <w:spacing w:after="0" w:line="17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Article 6A of the Restated Articles includes the right to payment by the Registrant of expenses, including reasonable attorney’s fees, incurred in defending a civil or criminal action, suit or proceeding in advance of its final disposition, subject to receipt of an undertaking by the individual person to repay such payment if it is ultimately determined that such person is not entitled to indemnification under the Restated Articles. However, no advance may be made if the board of directors reasonably and promptly determines, by a majority vote of a quorum consisting of disinterested directors (or, if such quorum is not obtainable, by a majority of the disinterested directors of the Registrant or if two disinterested directors are not then in office, by independent legal counsel in a written opinion), based on facts known to the board of directors or such independent legal counsel at such time, that such person did not act in good faith in the reasonable belief that his action was in the best interest of the Registrant or the participants or beneficiaries of such employee benefit plan, as the case may be.</w:t>
      </w:r>
    </w:p>
    <w:p>
      <w:pPr>
        <w:spacing w:after="0" w:line="19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Article 6A of the Restated Articles, if an individual is entitled under any provision of Article 6 of the Restated Articles to indemnification by the Registrant for some or a portion of the liabilities or expenses imposed upon or incurred by such individual in the investigation, defense, appeal or settlement of any action, suit or proceeding but not, however, for the total amount thereof, the Registrant shall nevertheless indemnify such individual for the portion of such liabilities or expenses to which such individual is entitled. The Registrant’s obligation to provide indemnification under the Restated Articles shall be offset to the extent of any other source of indemnification or any otherwise applicable insurance coverage under a policy maintained by the Registrant or any other person.</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Under Article 6D of the Restated Articles, to the fullest extent permitted by the Massachusetts Business Corporation Act, as may be amended from time to time, no director shall be personally liable to the Registrant or its stockholders for monetary damages for breach of his fiduciary duty as a director, notwithstanding any provision of law imposing such liability.</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Registrant has also entered into indemnification agreements with its directors and executive officers, each of which creates a direct contractual obligation of the Registrant to indemnify the individual under certain circumstances. Each agreement generally provides that the Registrant will indemnify the director or officer to the fullest extent permitted under Massachusetts law for claims arising in such individual’s capacity as a director or officer of the Registrant or in connection with his or her service at the request of the Registrant for another entity. Each agreement, among other things, establishes certain remedies for claims and contains deadlines and procedures to be followed in connection with a request for indemnification and/or advancement of expenses, including in the event of a change in control of the Registrant.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Registrant has directors and officers liability insurance for the benefit of its directors and officers.</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4" w:name="page5"/>
    <w:bookmarkEnd w:id="4"/>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135" w:lineRule="exact"/>
        <w:rPr>
          <w:sz w:val="20"/>
          <w:szCs w:val="20"/>
          <w:color w:val="auto"/>
        </w:rPr>
      </w:pPr>
    </w:p>
    <w:p>
      <w:pPr>
        <w:ind w:left="580" w:right="180" w:hanging="490"/>
        <w:spacing w:after="0" w:line="277" w:lineRule="auto"/>
        <w:tabs>
          <w:tab w:leader="none" w:pos="560" w:val="left"/>
        </w:tabs>
        <w:rPr>
          <w:sz w:val="20"/>
          <w:szCs w:val="20"/>
          <w:color w:val="auto"/>
        </w:rPr>
      </w:pPr>
      <w:r>
        <w:rPr>
          <w:rFonts w:ascii="Arial" w:cs="Arial" w:eastAsia="Arial" w:hAnsi="Arial"/>
          <w:sz w:val="18"/>
          <w:szCs w:val="18"/>
          <w:color w:val="auto"/>
        </w:rPr>
        <w:t>4.1</w:t>
        <w:tab/>
        <w:t>Analog Devices, Inc. Amended and Restated 2010 Equity Incentive Plan (incorporated by reference to Exhibit 4.2 of the Company’s Post-Effective Amendment to Form S-4 on Form S-8, filed with the Commission on March 15, 2017).</w:t>
      </w:r>
    </w:p>
    <w:p>
      <w:pPr>
        <w:spacing w:after="0" w:line="62"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Wilmer Cutler Pickering Hale and Dorr LLP, counsel to the Registrant.</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Wilmer Cutler Pickering Hale and Dorr LLP (included in Exhibit 5.1).</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Ernst &amp; Young LLP (independent registered public accounting firm of Analog Devices, Inc.).</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Ernst &amp; Young LLP (independent registered public accounting firm of Linear Technology Corporation).</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Power of Attorney is included on the signature page.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700" w:hanging="23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w:t>
      </w:r>
    </w:p>
    <w:p>
      <w:pPr>
        <w:spacing w:after="0" w:line="117" w:lineRule="exact"/>
        <w:rPr>
          <w:rFonts w:ascii="Arial" w:cs="Arial" w:eastAsia="Arial" w:hAnsi="Arial"/>
          <w:sz w:val="18"/>
          <w:szCs w:val="18"/>
          <w:color w:val="auto"/>
        </w:rPr>
      </w:pPr>
    </w:p>
    <w:p>
      <w:pPr>
        <w:ind w:left="920" w:right="120" w:firstLine="421"/>
        <w:spacing w:after="0" w:line="255" w:lineRule="auto"/>
        <w:tabs>
          <w:tab w:leader="none" w:pos="1605"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81" w:lineRule="exact"/>
        <w:rPr>
          <w:rFonts w:ascii="Arial" w:cs="Arial" w:eastAsia="Arial" w:hAnsi="Arial"/>
          <w:sz w:val="18"/>
          <w:szCs w:val="18"/>
          <w:color w:val="auto"/>
        </w:rPr>
      </w:pPr>
    </w:p>
    <w:p>
      <w:pPr>
        <w:ind w:left="920" w:firstLine="421"/>
        <w:spacing w:after="0" w:line="277" w:lineRule="auto"/>
        <w:tabs>
          <w:tab w:leader="none" w:pos="1655"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jc w:val="both"/>
        <w:ind w:left="460" w:right="160"/>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 </w:t>
      </w:r>
      <w:r>
        <w:rPr>
          <w:rFonts w:ascii="Arial" w:cs="Arial" w:eastAsia="Arial" w:hAnsi="Arial"/>
          <w:sz w:val="18"/>
          <w:szCs w:val="18"/>
          <w:color w:val="auto"/>
        </w:rPr>
        <w:t>that paragraphs (a)(1)(i) and (a)(1)(ii) above do not apply if the information required to be included in a post-effective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by those paragraphs is contained in reports filed with or furnished to the Commission by the Registrant pursuant to Section 13 or Section 15(d) of the Exchange Act that are incorporated by reference in the registration statement.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5" w:name="page6"/>
    <w:bookmarkEnd w:id="5"/>
    <w:p>
      <w:pPr>
        <w:ind w:left="460" w:right="80" w:firstLine="443"/>
        <w:spacing w:after="0" w:line="264" w:lineRule="auto"/>
        <w:tabs>
          <w:tab w:leader="none" w:pos="1153" w:val="left"/>
        </w:tabs>
        <w:numPr>
          <w:ilvl w:val="1"/>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3" w:lineRule="exact"/>
        <w:rPr>
          <w:rFonts w:ascii="Arial" w:cs="Arial" w:eastAsia="Arial" w:hAnsi="Arial"/>
          <w:sz w:val="18"/>
          <w:szCs w:val="18"/>
          <w:color w:val="auto"/>
        </w:rPr>
      </w:pPr>
    </w:p>
    <w:p>
      <w:pPr>
        <w:ind w:left="460" w:right="580" w:firstLine="443"/>
        <w:spacing w:after="0" w:line="277" w:lineRule="auto"/>
        <w:tabs>
          <w:tab w:leader="none" w:pos="1153"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jc w:val="both"/>
        <w:ind w:right="40" w:firstLine="464"/>
        <w:spacing w:after="0" w:line="259" w:lineRule="auto"/>
        <w:tabs>
          <w:tab w:leader="none" w:pos="71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8" w:lineRule="exact"/>
        <w:rPr>
          <w:rFonts w:ascii="Arial" w:cs="Arial" w:eastAsia="Arial" w:hAnsi="Arial"/>
          <w:sz w:val="18"/>
          <w:szCs w:val="18"/>
          <w:color w:val="auto"/>
        </w:rPr>
      </w:pPr>
    </w:p>
    <w:p>
      <w:pPr>
        <w:ind w:firstLine="464"/>
        <w:spacing w:after="0" w:line="291" w:lineRule="auto"/>
        <w:tabs>
          <w:tab w:leader="none" w:pos="701" w:val="left"/>
        </w:tabs>
        <w:numPr>
          <w:ilvl w:val="0"/>
          <w:numId w:val="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Town of Norwood, Commonwealth of Massachusetts, on this 14th day of March, 2017.</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Vincent Roche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the undersigned officers and directors of Analog Devices, Inc., hereby severally constitute and appoint Vincent Roche, David A. Zinsner and Margaret K. Seif,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on our behalf in our capacities as officers and directors to enable Analog Devices,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6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508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 Stata</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March 14, 2017</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Ray Stata</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Vincent Roche</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March 14, 2017</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Vincent Roche</w:t>
            </w:r>
          </w:p>
        </w:tc>
        <w:tc>
          <w:tcPr>
            <w:tcW w:w="10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Zinsner</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Senior Vice President, Finance and Chief Financial Officer</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March 14, 2017</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David A. Zinsner</w:t>
            </w:r>
          </w:p>
        </w:tc>
        <w:tc>
          <w:tcPr>
            <w:tcW w:w="10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1740" w:type="dxa"/>
            <w:vAlign w:val="bottom"/>
          </w:tcPr>
          <w:p>
            <w:pPr>
              <w:spacing w:after="0"/>
              <w:rPr>
                <w:sz w:val="19"/>
                <w:szCs w:val="19"/>
                <w:color w:val="auto"/>
              </w:rPr>
            </w:pPr>
          </w:p>
        </w:tc>
      </w:tr>
      <w:tr>
        <w:trPr>
          <w:trHeight w:val="647"/>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Eileen Wynne</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Vice President and Chief Accounting Officer</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March 14, 2017</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Eileen Wynne</w:t>
            </w:r>
          </w:p>
        </w:tc>
        <w:tc>
          <w:tcPr>
            <w:tcW w:w="10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 Champy</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March 14, 2017</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James A. Champy</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R. Evans</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March 14, 2017</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Bruce R. Evans</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64"/>
        </w:trPr>
        <w:tc>
          <w:tcPr>
            <w:tcW w:w="4280" w:type="dxa"/>
            <w:vAlign w:val="bottom"/>
          </w:tcPr>
          <w:p>
            <w:pPr>
              <w:spacing w:after="0"/>
              <w:rPr>
                <w:sz w:val="24"/>
                <w:szCs w:val="24"/>
                <w:color w:val="auto"/>
              </w:rPr>
            </w:pPr>
          </w:p>
        </w:tc>
        <w:tc>
          <w:tcPr>
            <w:tcW w:w="5180" w:type="dxa"/>
            <w:vAlign w:val="bottom"/>
            <w:gridSpan w:val="2"/>
          </w:tcPr>
          <w:p>
            <w:pPr>
              <w:jc w:val="right"/>
              <w:ind w:right="3552"/>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Edward H. Frank</w:t>
            </w:r>
          </w:p>
        </w:tc>
        <w:tc>
          <w:tcPr>
            <w:tcW w:w="9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780" w:type="dxa"/>
            <w:vAlign w:val="bottom"/>
          </w:tcPr>
          <w:p>
            <w:pPr>
              <w:spacing w:after="0"/>
              <w:rPr>
                <w:sz w:val="20"/>
                <w:szCs w:val="20"/>
                <w:color w:val="auto"/>
              </w:rPr>
            </w:pPr>
          </w:p>
        </w:tc>
        <w:tc>
          <w:tcPr>
            <w:tcW w:w="32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March 14, 2017</w:t>
            </w:r>
          </w:p>
        </w:tc>
      </w:tr>
      <w:tr>
        <w:trPr>
          <w:trHeight w:val="224"/>
        </w:trPr>
        <w:tc>
          <w:tcPr>
            <w:tcW w:w="4460" w:type="dxa"/>
            <w:vAlign w:val="bottom"/>
            <w:gridSpan w:val="2"/>
          </w:tcPr>
          <w:p>
            <w:pPr>
              <w:spacing w:after="0"/>
              <w:rPr>
                <w:sz w:val="20"/>
                <w:szCs w:val="20"/>
                <w:color w:val="auto"/>
              </w:rPr>
            </w:pPr>
            <w:r>
              <w:rPr>
                <w:rFonts w:ascii="Arial" w:cs="Arial" w:eastAsia="Arial" w:hAnsi="Arial"/>
                <w:sz w:val="18"/>
                <w:szCs w:val="18"/>
                <w:color w:val="auto"/>
              </w:rPr>
              <w:t>Edward H. Frank</w:t>
            </w:r>
          </w:p>
        </w:tc>
        <w:tc>
          <w:tcPr>
            <w:tcW w:w="9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431"/>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Little</w:t>
            </w:r>
          </w:p>
        </w:tc>
        <w:tc>
          <w:tcPr>
            <w:tcW w:w="9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780" w:type="dxa"/>
            <w:vAlign w:val="bottom"/>
          </w:tcPr>
          <w:p>
            <w:pPr>
              <w:spacing w:after="0"/>
              <w:rPr>
                <w:sz w:val="24"/>
                <w:szCs w:val="24"/>
                <w:color w:val="auto"/>
              </w:rPr>
            </w:pPr>
          </w:p>
        </w:tc>
        <w:tc>
          <w:tcPr>
            <w:tcW w:w="32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March 14, 2017</w:t>
            </w:r>
          </w:p>
        </w:tc>
      </w:tr>
      <w:tr>
        <w:trPr>
          <w:trHeight w:val="224"/>
        </w:trPr>
        <w:tc>
          <w:tcPr>
            <w:tcW w:w="4460" w:type="dxa"/>
            <w:vAlign w:val="bottom"/>
            <w:gridSpan w:val="2"/>
          </w:tcPr>
          <w:p>
            <w:pPr>
              <w:spacing w:after="0"/>
              <w:rPr>
                <w:sz w:val="20"/>
                <w:szCs w:val="20"/>
                <w:color w:val="auto"/>
              </w:rPr>
            </w:pPr>
            <w:r>
              <w:rPr>
                <w:rFonts w:ascii="Arial" w:cs="Arial" w:eastAsia="Arial" w:hAnsi="Arial"/>
                <w:sz w:val="18"/>
                <w:szCs w:val="18"/>
                <w:color w:val="auto"/>
              </w:rPr>
              <w:t>Mark Little</w:t>
            </w:r>
          </w:p>
        </w:tc>
        <w:tc>
          <w:tcPr>
            <w:tcW w:w="9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431"/>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Neil Novich</w:t>
            </w:r>
          </w:p>
        </w:tc>
        <w:tc>
          <w:tcPr>
            <w:tcW w:w="9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780" w:type="dxa"/>
            <w:vAlign w:val="bottom"/>
          </w:tcPr>
          <w:p>
            <w:pPr>
              <w:spacing w:after="0"/>
              <w:rPr>
                <w:sz w:val="24"/>
                <w:szCs w:val="24"/>
                <w:color w:val="auto"/>
              </w:rPr>
            </w:pPr>
          </w:p>
        </w:tc>
        <w:tc>
          <w:tcPr>
            <w:tcW w:w="32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March 14, 2017</w:t>
            </w:r>
          </w:p>
        </w:tc>
      </w:tr>
      <w:tr>
        <w:trPr>
          <w:trHeight w:val="224"/>
        </w:trPr>
        <w:tc>
          <w:tcPr>
            <w:tcW w:w="4460" w:type="dxa"/>
            <w:vAlign w:val="bottom"/>
            <w:gridSpan w:val="2"/>
          </w:tcPr>
          <w:p>
            <w:pPr>
              <w:spacing w:after="0"/>
              <w:rPr>
                <w:sz w:val="20"/>
                <w:szCs w:val="20"/>
                <w:color w:val="auto"/>
              </w:rPr>
            </w:pPr>
            <w:r>
              <w:rPr>
                <w:rFonts w:ascii="Arial" w:cs="Arial" w:eastAsia="Arial" w:hAnsi="Arial"/>
                <w:sz w:val="18"/>
                <w:szCs w:val="18"/>
                <w:color w:val="auto"/>
              </w:rPr>
              <w:t>Neil Novich</w:t>
            </w:r>
          </w:p>
        </w:tc>
        <w:tc>
          <w:tcPr>
            <w:tcW w:w="9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431"/>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Kenton J. Sicchitano</w:t>
            </w:r>
          </w:p>
        </w:tc>
        <w:tc>
          <w:tcPr>
            <w:tcW w:w="9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780" w:type="dxa"/>
            <w:vAlign w:val="bottom"/>
          </w:tcPr>
          <w:p>
            <w:pPr>
              <w:spacing w:after="0"/>
              <w:rPr>
                <w:sz w:val="24"/>
                <w:szCs w:val="24"/>
                <w:color w:val="auto"/>
              </w:rPr>
            </w:pPr>
          </w:p>
        </w:tc>
        <w:tc>
          <w:tcPr>
            <w:tcW w:w="32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March 14, 2017</w:t>
            </w:r>
          </w:p>
        </w:tc>
      </w:tr>
      <w:tr>
        <w:trPr>
          <w:trHeight w:val="224"/>
        </w:trPr>
        <w:tc>
          <w:tcPr>
            <w:tcW w:w="4460" w:type="dxa"/>
            <w:vAlign w:val="bottom"/>
            <w:gridSpan w:val="2"/>
          </w:tcPr>
          <w:p>
            <w:pPr>
              <w:spacing w:after="0"/>
              <w:rPr>
                <w:sz w:val="20"/>
                <w:szCs w:val="20"/>
                <w:color w:val="auto"/>
              </w:rPr>
            </w:pPr>
            <w:r>
              <w:rPr>
                <w:rFonts w:ascii="Arial" w:cs="Arial" w:eastAsia="Arial" w:hAnsi="Arial"/>
                <w:sz w:val="18"/>
                <w:szCs w:val="18"/>
                <w:color w:val="auto"/>
              </w:rPr>
              <w:t>Kenton J. Sicchitano</w:t>
            </w:r>
          </w:p>
        </w:tc>
        <w:tc>
          <w:tcPr>
            <w:tcW w:w="9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431"/>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Lisa Su</w:t>
            </w:r>
          </w:p>
        </w:tc>
        <w:tc>
          <w:tcPr>
            <w:tcW w:w="9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780" w:type="dxa"/>
            <w:vAlign w:val="bottom"/>
          </w:tcPr>
          <w:p>
            <w:pPr>
              <w:spacing w:after="0"/>
              <w:rPr>
                <w:sz w:val="24"/>
                <w:szCs w:val="24"/>
                <w:color w:val="auto"/>
              </w:rPr>
            </w:pPr>
          </w:p>
        </w:tc>
        <w:tc>
          <w:tcPr>
            <w:tcW w:w="32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March 14, 2017</w:t>
            </w:r>
          </w:p>
        </w:tc>
      </w:tr>
      <w:tr>
        <w:trPr>
          <w:trHeight w:val="224"/>
        </w:trPr>
        <w:tc>
          <w:tcPr>
            <w:tcW w:w="4460" w:type="dxa"/>
            <w:vAlign w:val="bottom"/>
            <w:gridSpan w:val="2"/>
          </w:tcPr>
          <w:p>
            <w:pPr>
              <w:spacing w:after="0"/>
              <w:rPr>
                <w:sz w:val="20"/>
                <w:szCs w:val="20"/>
                <w:color w:val="auto"/>
              </w:rPr>
            </w:pPr>
            <w:r>
              <w:rPr>
                <w:rFonts w:ascii="Arial" w:cs="Arial" w:eastAsia="Arial" w:hAnsi="Arial"/>
                <w:sz w:val="18"/>
                <w:szCs w:val="18"/>
                <w:color w:val="auto"/>
              </w:rPr>
              <w:t>Lisa Su</w:t>
            </w:r>
          </w:p>
        </w:tc>
        <w:tc>
          <w:tcPr>
            <w:tcW w:w="9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780" w:type="dxa"/>
            <w:vAlign w:val="bottom"/>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Robert H. Swanson, Jr.</w:t>
            </w:r>
          </w:p>
        </w:tc>
        <w:tc>
          <w:tcPr>
            <w:tcW w:w="9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364"/>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80" w:type="dxa"/>
            <w:vAlign w:val="bottom"/>
          </w:tcPr>
          <w:p>
            <w:pPr>
              <w:jc w:val="right"/>
              <w:ind w:right="2250"/>
              <w:spacing w:after="0"/>
              <w:rPr>
                <w:sz w:val="20"/>
                <w:szCs w:val="20"/>
                <w:color w:val="auto"/>
              </w:rPr>
            </w:pPr>
            <w:r>
              <w:rPr>
                <w:rFonts w:ascii="Arial" w:cs="Arial" w:eastAsia="Arial" w:hAnsi="Arial"/>
                <w:sz w:val="18"/>
                <w:szCs w:val="18"/>
                <w:color w:val="auto"/>
              </w:rPr>
              <w:t>-6-</w:t>
            </w:r>
          </w:p>
        </w:tc>
        <w:tc>
          <w:tcPr>
            <w:tcW w:w="32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520" w:type="dxa"/>
            <w:vAlign w:val="bottom"/>
            <w:gridSpan w:val="3"/>
          </w:tcPr>
          <w:p>
            <w:pPr>
              <w:ind w:left="450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171"/>
        </w:trPr>
        <w:tc>
          <w:tcPr>
            <w:tcW w:w="52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b w:val="1"/>
                <w:bCs w:val="1"/>
                <w:color w:val="auto"/>
                <w:w w:val="94"/>
              </w:rPr>
              <w:t>Number</w:t>
            </w:r>
          </w:p>
        </w:tc>
        <w:tc>
          <w:tcPr>
            <w:tcW w:w="10520" w:type="dxa"/>
            <w:vAlign w:val="bottom"/>
            <w:gridSpan w:val="3"/>
          </w:tcPr>
          <w:p>
            <w:pPr>
              <w:ind w:left="5380"/>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5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290"/>
        </w:trPr>
        <w:tc>
          <w:tcPr>
            <w:tcW w:w="520" w:type="dxa"/>
            <w:vAlign w:val="bottom"/>
          </w:tcPr>
          <w:p>
            <w:pPr>
              <w:jc w:val="right"/>
              <w:ind w:right="114"/>
              <w:spacing w:after="0"/>
              <w:rPr>
                <w:sz w:val="20"/>
                <w:szCs w:val="20"/>
                <w:color w:val="auto"/>
              </w:rPr>
            </w:pPr>
            <w:r>
              <w:rPr>
                <w:rFonts w:ascii="Arial" w:cs="Arial" w:eastAsia="Arial" w:hAnsi="Arial"/>
                <w:sz w:val="18"/>
                <w:szCs w:val="18"/>
                <w:color w:val="auto"/>
              </w:rPr>
              <w:t>4.1</w:t>
            </w:r>
          </w:p>
        </w:tc>
        <w:tc>
          <w:tcPr>
            <w:tcW w:w="10520" w:type="dxa"/>
            <w:vAlign w:val="bottom"/>
            <w:gridSpan w:val="3"/>
          </w:tcPr>
          <w:p>
            <w:pPr>
              <w:ind w:left="560"/>
              <w:spacing w:after="0"/>
              <w:rPr>
                <w:sz w:val="20"/>
                <w:szCs w:val="20"/>
                <w:color w:val="auto"/>
              </w:rPr>
            </w:pPr>
            <w:r>
              <w:rPr>
                <w:rFonts w:ascii="Arial" w:cs="Arial" w:eastAsia="Arial" w:hAnsi="Arial"/>
                <w:sz w:val="18"/>
                <w:szCs w:val="18"/>
                <w:color w:val="auto"/>
                <w:w w:val="90"/>
              </w:rPr>
              <w:t>Analog Devices, Inc. Amended and Restated 2010 Equity Incentive Plan (incorporated by reference to Exhibit 4.2 of the Company’s Post-</w:t>
            </w:r>
          </w:p>
        </w:tc>
      </w:tr>
      <w:tr>
        <w:trPr>
          <w:trHeight w:val="230"/>
        </w:trPr>
        <w:tc>
          <w:tcPr>
            <w:tcW w:w="520" w:type="dxa"/>
            <w:vAlign w:val="bottom"/>
          </w:tcPr>
          <w:p>
            <w:pPr>
              <w:spacing w:after="0"/>
              <w:rPr>
                <w:sz w:val="20"/>
                <w:szCs w:val="20"/>
                <w:color w:val="auto"/>
              </w:rPr>
            </w:pPr>
          </w:p>
        </w:tc>
        <w:tc>
          <w:tcPr>
            <w:tcW w:w="10520" w:type="dxa"/>
            <w:vAlign w:val="bottom"/>
            <w:gridSpan w:val="3"/>
          </w:tcPr>
          <w:p>
            <w:pPr>
              <w:ind w:left="560"/>
              <w:spacing w:after="0"/>
              <w:rPr>
                <w:sz w:val="20"/>
                <w:szCs w:val="20"/>
                <w:color w:val="auto"/>
              </w:rPr>
            </w:pPr>
            <w:r>
              <w:rPr>
                <w:rFonts w:ascii="Arial" w:cs="Arial" w:eastAsia="Arial" w:hAnsi="Arial"/>
                <w:sz w:val="18"/>
                <w:szCs w:val="18"/>
                <w:color w:val="auto"/>
              </w:rPr>
              <w:t>Effective Amendment to Form S-4 on Form S-8, filed with the Commission on March 15, 2017).</w:t>
            </w:r>
          </w:p>
        </w:tc>
      </w:tr>
      <w:tr>
        <w:trPr>
          <w:trHeight w:val="324"/>
        </w:trPr>
        <w:tc>
          <w:tcPr>
            <w:tcW w:w="520" w:type="dxa"/>
            <w:vAlign w:val="bottom"/>
          </w:tcPr>
          <w:p>
            <w:pPr>
              <w:jc w:val="right"/>
              <w:ind w:right="114"/>
              <w:spacing w:after="0"/>
              <w:rPr>
                <w:sz w:val="20"/>
                <w:szCs w:val="20"/>
                <w:color w:val="auto"/>
              </w:rPr>
            </w:pPr>
            <w:r>
              <w:rPr>
                <w:rFonts w:ascii="Arial" w:cs="Arial" w:eastAsia="Arial" w:hAnsi="Arial"/>
                <w:sz w:val="18"/>
                <w:szCs w:val="18"/>
                <w:color w:val="auto"/>
              </w:rPr>
              <w:t>5.1</w:t>
            </w:r>
          </w:p>
        </w:tc>
        <w:tc>
          <w:tcPr>
            <w:tcW w:w="10520" w:type="dxa"/>
            <w:vAlign w:val="bottom"/>
            <w:gridSpan w:val="3"/>
          </w:tcPr>
          <w:p>
            <w:pPr>
              <w:ind w:left="560"/>
              <w:spacing w:after="0"/>
              <w:rPr>
                <w:sz w:val="20"/>
                <w:szCs w:val="20"/>
                <w:color w:val="auto"/>
              </w:rPr>
            </w:pPr>
            <w:r>
              <w:rPr>
                <w:rFonts w:ascii="Arial" w:cs="Arial" w:eastAsia="Arial" w:hAnsi="Arial"/>
                <w:sz w:val="18"/>
                <w:szCs w:val="18"/>
                <w:color w:val="auto"/>
              </w:rPr>
              <w:t>Opinion of Wilmer Cutler Pickering Hale and Dorr LLP, counsel to the Registrant.</w:t>
            </w:r>
          </w:p>
        </w:tc>
      </w:tr>
      <w:tr>
        <w:trPr>
          <w:trHeight w:val="324"/>
        </w:trPr>
        <w:tc>
          <w:tcPr>
            <w:tcW w:w="520" w:type="dxa"/>
            <w:vAlign w:val="bottom"/>
          </w:tcPr>
          <w:p>
            <w:pPr>
              <w:jc w:val="right"/>
              <w:ind w:right="114"/>
              <w:spacing w:after="0"/>
              <w:rPr>
                <w:sz w:val="20"/>
                <w:szCs w:val="20"/>
                <w:color w:val="auto"/>
              </w:rPr>
            </w:pPr>
            <w:r>
              <w:rPr>
                <w:rFonts w:ascii="Arial" w:cs="Arial" w:eastAsia="Arial" w:hAnsi="Arial"/>
                <w:sz w:val="18"/>
                <w:szCs w:val="18"/>
                <w:color w:val="auto"/>
                <w:w w:val="85"/>
              </w:rPr>
              <w:t>23.1</w:t>
            </w:r>
          </w:p>
        </w:tc>
        <w:tc>
          <w:tcPr>
            <w:tcW w:w="10520" w:type="dxa"/>
            <w:vAlign w:val="bottom"/>
            <w:gridSpan w:val="3"/>
          </w:tcPr>
          <w:p>
            <w:pPr>
              <w:ind w:left="560"/>
              <w:spacing w:after="0"/>
              <w:rPr>
                <w:sz w:val="20"/>
                <w:szCs w:val="20"/>
                <w:color w:val="auto"/>
              </w:rPr>
            </w:pPr>
            <w:r>
              <w:rPr>
                <w:rFonts w:ascii="Arial" w:cs="Arial" w:eastAsia="Arial" w:hAnsi="Arial"/>
                <w:sz w:val="18"/>
                <w:szCs w:val="18"/>
                <w:color w:val="auto"/>
              </w:rPr>
              <w:t>Consent of Wilmer Cutler Pickering Hale and Dorr LLP (included in Exhibit 5.1).</w:t>
            </w:r>
          </w:p>
        </w:tc>
      </w:tr>
      <w:tr>
        <w:trPr>
          <w:trHeight w:val="324"/>
        </w:trPr>
        <w:tc>
          <w:tcPr>
            <w:tcW w:w="520" w:type="dxa"/>
            <w:vAlign w:val="bottom"/>
          </w:tcPr>
          <w:p>
            <w:pPr>
              <w:jc w:val="right"/>
              <w:ind w:right="114"/>
              <w:spacing w:after="0"/>
              <w:rPr>
                <w:sz w:val="20"/>
                <w:szCs w:val="20"/>
                <w:color w:val="auto"/>
              </w:rPr>
            </w:pPr>
            <w:r>
              <w:rPr>
                <w:rFonts w:ascii="Arial" w:cs="Arial" w:eastAsia="Arial" w:hAnsi="Arial"/>
                <w:sz w:val="18"/>
                <w:szCs w:val="18"/>
                <w:color w:val="auto"/>
                <w:w w:val="85"/>
              </w:rPr>
              <w:t>23.2</w:t>
            </w:r>
          </w:p>
        </w:tc>
        <w:tc>
          <w:tcPr>
            <w:tcW w:w="10520" w:type="dxa"/>
            <w:vAlign w:val="bottom"/>
            <w:gridSpan w:val="3"/>
          </w:tcPr>
          <w:p>
            <w:pPr>
              <w:ind w:left="560"/>
              <w:spacing w:after="0"/>
              <w:rPr>
                <w:sz w:val="20"/>
                <w:szCs w:val="20"/>
                <w:color w:val="auto"/>
              </w:rPr>
            </w:pPr>
            <w:r>
              <w:rPr>
                <w:rFonts w:ascii="Arial" w:cs="Arial" w:eastAsia="Arial" w:hAnsi="Arial"/>
                <w:sz w:val="18"/>
                <w:szCs w:val="18"/>
                <w:color w:val="auto"/>
              </w:rPr>
              <w:t>Consent of Ernst &amp; Young LLP (independent registered public accounting firm of Analog Devices, Inc.).</w:t>
            </w:r>
          </w:p>
        </w:tc>
      </w:tr>
      <w:tr>
        <w:trPr>
          <w:trHeight w:val="324"/>
        </w:trPr>
        <w:tc>
          <w:tcPr>
            <w:tcW w:w="520" w:type="dxa"/>
            <w:vAlign w:val="bottom"/>
          </w:tcPr>
          <w:p>
            <w:pPr>
              <w:jc w:val="right"/>
              <w:ind w:right="114"/>
              <w:spacing w:after="0"/>
              <w:rPr>
                <w:sz w:val="20"/>
                <w:szCs w:val="20"/>
                <w:color w:val="auto"/>
              </w:rPr>
            </w:pPr>
            <w:r>
              <w:rPr>
                <w:rFonts w:ascii="Arial" w:cs="Arial" w:eastAsia="Arial" w:hAnsi="Arial"/>
                <w:sz w:val="18"/>
                <w:szCs w:val="18"/>
                <w:color w:val="auto"/>
                <w:w w:val="85"/>
              </w:rPr>
              <w:t>23.3</w:t>
            </w:r>
          </w:p>
        </w:tc>
        <w:tc>
          <w:tcPr>
            <w:tcW w:w="10520" w:type="dxa"/>
            <w:vAlign w:val="bottom"/>
            <w:gridSpan w:val="3"/>
          </w:tcPr>
          <w:p>
            <w:pPr>
              <w:ind w:left="560"/>
              <w:spacing w:after="0"/>
              <w:rPr>
                <w:sz w:val="20"/>
                <w:szCs w:val="20"/>
                <w:color w:val="auto"/>
              </w:rPr>
            </w:pPr>
            <w:r>
              <w:rPr>
                <w:rFonts w:ascii="Arial" w:cs="Arial" w:eastAsia="Arial" w:hAnsi="Arial"/>
                <w:sz w:val="18"/>
                <w:szCs w:val="18"/>
                <w:color w:val="auto"/>
              </w:rPr>
              <w:t>Consent of Ernst &amp; Young LLP (independent registered public accounting firm of Linear Technology Corporation).</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24</w:t>
            </w:r>
          </w:p>
        </w:tc>
        <w:tc>
          <w:tcPr>
            <w:tcW w:w="10520" w:type="dxa"/>
            <w:vAlign w:val="bottom"/>
            <w:gridSpan w:val="3"/>
          </w:tcPr>
          <w:p>
            <w:pPr>
              <w:ind w:left="560"/>
              <w:spacing w:after="0"/>
              <w:rPr>
                <w:sz w:val="20"/>
                <w:szCs w:val="20"/>
                <w:color w:val="auto"/>
              </w:rPr>
            </w:pPr>
            <w:r>
              <w:rPr>
                <w:rFonts w:ascii="Arial" w:cs="Arial" w:eastAsia="Arial" w:hAnsi="Arial"/>
                <w:sz w:val="18"/>
                <w:szCs w:val="18"/>
                <w:color w:val="auto"/>
              </w:rPr>
              <w:t>Power of Attorney is included on the signature page.</w:t>
            </w:r>
          </w:p>
        </w:tc>
      </w:tr>
      <w:tr>
        <w:trPr>
          <w:trHeight w:val="365"/>
        </w:trPr>
        <w:tc>
          <w:tcPr>
            <w:tcW w:w="520" w:type="dxa"/>
            <w:vAlign w:val="bottom"/>
          </w:tcPr>
          <w:p>
            <w:pPr>
              <w:spacing w:after="0"/>
              <w:rPr>
                <w:sz w:val="24"/>
                <w:szCs w:val="24"/>
                <w:color w:val="auto"/>
              </w:rPr>
            </w:pPr>
          </w:p>
        </w:tc>
        <w:tc>
          <w:tcPr>
            <w:tcW w:w="5380" w:type="dxa"/>
            <w:vAlign w:val="bottom"/>
          </w:tcPr>
          <w:p>
            <w:pPr>
              <w:ind w:left="5080"/>
              <w:spacing w:after="0"/>
              <w:rPr>
                <w:sz w:val="20"/>
                <w:szCs w:val="20"/>
                <w:color w:val="auto"/>
              </w:rPr>
            </w:pPr>
            <w:r>
              <w:rPr>
                <w:rFonts w:ascii="Arial" w:cs="Arial" w:eastAsia="Arial" w:hAnsi="Arial"/>
                <w:sz w:val="18"/>
                <w:szCs w:val="18"/>
                <w:color w:val="auto"/>
              </w:rPr>
              <w:t>-7-</w:t>
            </w:r>
          </w:p>
        </w:tc>
        <w:tc>
          <w:tcPr>
            <w:tcW w:w="700" w:type="dxa"/>
            <w:vAlign w:val="bottom"/>
          </w:tcPr>
          <w:p>
            <w:pPr>
              <w:spacing w:after="0"/>
              <w:rPr>
                <w:sz w:val="24"/>
                <w:szCs w:val="24"/>
                <w:color w:val="auto"/>
              </w:rPr>
            </w:pPr>
          </w:p>
        </w:tc>
        <w:tc>
          <w:tcPr>
            <w:tcW w:w="4440" w:type="dxa"/>
            <w:vAlign w:val="bottom"/>
          </w:tcPr>
          <w:p>
            <w:pPr>
              <w:spacing w:after="0"/>
              <w:rPr>
                <w:sz w:val="24"/>
                <w:szCs w:val="24"/>
                <w:color w:val="auto"/>
              </w:rPr>
            </w:pPr>
          </w:p>
        </w:tc>
      </w:tr>
    </w:tbl>
    <w:p>
      <w:pPr>
        <w:sectPr>
          <w:pgSz w:w="11900" w:h="16838" w:orient="portrait"/>
          <w:cols w:equalWidth="0" w:num="1">
            <w:col w:w="11040"/>
          </w:cols>
          <w:pgMar w:left="240" w:top="270" w:right="61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6153785</wp:posOffset>
            </wp:positionH>
            <wp:positionV relativeFrom="paragraph">
              <wp:posOffset>334645</wp:posOffset>
            </wp:positionV>
            <wp:extent cx="1097915"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9791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10220" w:val="left"/>
        </w:tabs>
        <w:rPr>
          <w:sz w:val="20"/>
          <w:szCs w:val="20"/>
          <w:color w:val="auto"/>
        </w:rPr>
      </w:pPr>
      <w:r>
        <w:rPr>
          <w:rFonts w:ascii="Arial" w:cs="Arial" w:eastAsia="Arial" w:hAnsi="Arial"/>
          <w:sz w:val="36"/>
          <w:szCs w:val="36"/>
          <w:color w:val="auto"/>
          <w:vertAlign w:val="subscript"/>
        </w:rPr>
        <w:t>March 14, 2017</w:t>
      </w:r>
      <w:r>
        <w:rPr>
          <w:sz w:val="20"/>
          <w:szCs w:val="20"/>
          <w:color w:val="auto"/>
        </w:rPr>
        <w:tab/>
      </w:r>
      <w:r>
        <w:rPr>
          <w:rFonts w:ascii="Arial" w:cs="Arial" w:eastAsia="Arial" w:hAnsi="Arial"/>
          <w:sz w:val="12"/>
          <w:szCs w:val="12"/>
          <w:b w:val="1"/>
          <w:bCs w:val="1"/>
          <w:color w:val="auto"/>
        </w:rPr>
        <w:t>Joseph B. Conahan</w:t>
      </w:r>
    </w:p>
    <w:p>
      <w:pPr>
        <w:spacing w:after="0" w:line="92" w:lineRule="exact"/>
        <w:rPr>
          <w:sz w:val="20"/>
          <w:szCs w:val="20"/>
          <w:color w:val="auto"/>
        </w:rPr>
      </w:pPr>
    </w:p>
    <w:p>
      <w:pPr>
        <w:ind w:left="10260"/>
        <w:spacing w:after="0"/>
        <w:rPr>
          <w:sz w:val="20"/>
          <w:szCs w:val="20"/>
          <w:color w:val="auto"/>
        </w:rPr>
      </w:pPr>
      <w:r>
        <w:rPr>
          <w:rFonts w:ascii="Arial" w:cs="Arial" w:eastAsia="Arial" w:hAnsi="Arial"/>
          <w:sz w:val="13"/>
          <w:szCs w:val="13"/>
          <w:color w:val="auto"/>
        </w:rPr>
        <w:t>+1 617 526 6000 (t)</w:t>
      </w:r>
    </w:p>
    <w:p>
      <w:pPr>
        <w:spacing w:after="0" w:line="195" w:lineRule="auto"/>
        <w:tabs>
          <w:tab w:leader="none" w:pos="10240" w:val="left"/>
        </w:tabs>
        <w:rPr>
          <w:sz w:val="20"/>
          <w:szCs w:val="20"/>
          <w:color w:val="auto"/>
        </w:rPr>
      </w:pPr>
      <w:r>
        <w:rPr>
          <w:rFonts w:ascii="Arial" w:cs="Arial" w:eastAsia="Arial" w:hAnsi="Arial"/>
          <w:sz w:val="14"/>
          <w:szCs w:val="14"/>
          <w:color w:val="auto"/>
        </w:rPr>
        <w:t>Analog Devices, Inc.</w:t>
      </w:r>
      <w:r>
        <w:rPr>
          <w:sz w:val="20"/>
          <w:szCs w:val="20"/>
          <w:color w:val="auto"/>
        </w:rPr>
        <w:tab/>
      </w:r>
      <w:r>
        <w:rPr>
          <w:rFonts w:ascii="Arial" w:cs="Arial" w:eastAsia="Arial" w:hAnsi="Arial"/>
          <w:sz w:val="17"/>
          <w:szCs w:val="17"/>
          <w:color w:val="auto"/>
          <w:vertAlign w:val="superscript"/>
        </w:rPr>
        <w:t>+1 617 526 5000 (f)</w:t>
      </w:r>
    </w:p>
    <w:p>
      <w:pPr>
        <w:ind w:left="10480"/>
        <w:spacing w:after="0" w:line="188" w:lineRule="auto"/>
        <w:rPr>
          <w:sz w:val="20"/>
          <w:szCs w:val="20"/>
          <w:color w:val="auto"/>
        </w:rPr>
      </w:pPr>
      <w:r>
        <w:rPr>
          <w:rFonts w:ascii="Arial" w:cs="Arial" w:eastAsia="Arial" w:hAnsi="Arial"/>
          <w:sz w:val="13"/>
          <w:szCs w:val="13"/>
          <w:color w:val="auto"/>
        </w:rPr>
        <w:t>wilmerhale.com</w:t>
      </w:r>
    </w:p>
    <w:p>
      <w:pPr>
        <w:spacing w:after="0"/>
        <w:rPr>
          <w:sz w:val="20"/>
          <w:szCs w:val="20"/>
          <w:color w:val="auto"/>
        </w:rPr>
      </w:pPr>
      <w:r>
        <w:rPr>
          <w:rFonts w:ascii="Arial" w:cs="Arial" w:eastAsia="Arial" w:hAnsi="Arial"/>
          <w:sz w:val="18"/>
          <w:szCs w:val="18"/>
          <w:color w:val="auto"/>
        </w:rPr>
        <w:t>One Technology Way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Norwood, Massachusetts 02062</w:t>
      </w:r>
    </w:p>
    <w:p>
      <w:pPr>
        <w:spacing w:after="0" w:line="2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This opinion is furnished to you in connection with a Registration Statement on Form S-8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to be filed by Analog Devices, Inc., a Massachusetts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relating to an aggregate of 829,144 shares of common stock, $0.16 2/3 par value per share (the “</w:t>
      </w:r>
      <w:r>
        <w:rPr>
          <w:rFonts w:ascii="Arial" w:cs="Arial" w:eastAsia="Arial" w:hAnsi="Arial"/>
          <w:sz w:val="17"/>
          <w:szCs w:val="17"/>
          <w:u w:val="single" w:color="auto"/>
          <w:color w:val="auto"/>
        </w:rPr>
        <w:t>Shares</w:t>
      </w:r>
      <w:r>
        <w:rPr>
          <w:rFonts w:ascii="Arial" w:cs="Arial" w:eastAsia="Arial" w:hAnsi="Arial"/>
          <w:sz w:val="17"/>
          <w:szCs w:val="17"/>
          <w:color w:val="auto"/>
        </w:rPr>
        <w:t>”), of the Company issuable under the Analog Devices, Inc. Amended and Restated 2010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which was assumed by the Company in connection with the completion of the transactions contemplated by the Agreement and Plan of Merger, dated as of July 26, 2016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by and among the Company, Linear Technology Corporation and Tahoe Acquisition Corp.</w:t>
      </w:r>
    </w:p>
    <w:p>
      <w:pPr>
        <w:spacing w:after="0" w:line="178"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We have examined the Articles of Organization and By-Laws of the Company, each as amended and restated to date, and originals, or copies certified to our satisfaction, of all pertinent records of the meetings of the directors of the Company, the Registration Statement, the Plan, the Merger Agreement and such other documents relating to the Company as we have deemed material for the purposes of this opinion.</w:t>
      </w:r>
    </w:p>
    <w:p>
      <w:pPr>
        <w:spacing w:after="0" w:line="1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assume that the appropriate action will be taken, prior to the offer and sale of the Shares in accordance with the Plan, to register and qualify the Shares for sale under all applicable state securities or “blue sky” laws.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express no opinion herein as to the laws of any state or jurisdiction other than the state laws of the Commonwealth of Massachusetts.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It is understood that this opinion is to be used only in connection with the offer and sale of the Shares while the Registration Statement is in effect.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271145</wp:posOffset>
            </wp:positionV>
            <wp:extent cx="5385435" cy="283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85435" cy="2832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6306185</wp:posOffset>
            </wp:positionH>
            <wp:positionV relativeFrom="page">
              <wp:posOffset>183515</wp:posOffset>
            </wp:positionV>
            <wp:extent cx="1097915"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97915" cy="205740"/>
                    </a:xfrm>
                    <a:prstGeom prst="rect">
                      <a:avLst/>
                    </a:prstGeom>
                    <a:noFill/>
                  </pic:spPr>
                </pic:pic>
              </a:graphicData>
            </a:graphic>
          </wp:anchor>
        </w:drawing>
        <w:t>Analog Devices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2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for issuance and, when the Shares are issued and paid for in accordance with the terms and conditions of the Plan, the Shares will be validly issued, fully paid and nonassessable.</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Wilmer Cutler Pickering Hale and Dorr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Joseph B. Conahan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Joseph B. Conahan, a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ectPr>
          <w:pgSz w:w="11900" w:h="16838" w:orient="portrait"/>
          <w:cols w:equalWidth="0" w:num="1">
            <w:col w:w="11380"/>
          </w:cols>
          <w:pgMar w:left="240" w:top="598" w:right="27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Analog Devices, Inc. Amended and Restated 2010 Equity Incentive Plan of our reports dated November 22, 2016, with respect to the consolidated financial statements and schedule of Analog Devices, Inc. and the effectiveness of internal control over financial reporting of Analog Devices, Inc. included in its Annual Report (Form 10-K) for the year ended October 29, 2016, filed with the Securities and Exchange Commission.</w:t>
      </w:r>
    </w:p>
    <w:p>
      <w:pPr>
        <w:spacing w:after="0" w:line="187"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14, 2017</w:t>
      </w:r>
    </w:p>
    <w:p>
      <w:pPr>
        <w:sectPr>
          <w:pgSz w:w="11900" w:h="16838" w:orient="portrait"/>
          <w:cols w:equalWidth="0" w:num="1">
            <w:col w:w="11420"/>
          </w:cols>
          <w:pgMar w:left="240" w:top="121"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23.3</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Analog Devices, Inc. Amended and Restated 2010 Equity Incentive Plan of our report dated August 25, 2016, with respect to the consolidated financial statements and schedule of Linear Technology Corporation for the year ended July 3, 2016, included in Analog Devices, Inc.’s Current Report on Form 8-K dated November 30, 2016 filed with the Securities and Exchange Commission.</w:t>
      </w:r>
    </w:p>
    <w:p>
      <w:pPr>
        <w:spacing w:after="0" w:line="187"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14,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238E1F29"/>
    <w:multiLevelType w:val="hybridMultilevel"/>
    <w:lvl w:ilvl="0">
      <w:lvlJc w:val="left"/>
      <w:lvlText w:val="%1"/>
      <w:numFmt w:val="lowerLetter"/>
      <w:start w:val="1"/>
    </w:lvl>
    <w:lvl w:ilvl="1">
      <w:lvlJc w:val="left"/>
      <w:lvlText w:val="(%2)"/>
      <w:numFmt w:val="decimal"/>
      <w:start w:val="2"/>
    </w:lvl>
  </w:abstractNum>
  <w:abstractNum w:abstractNumId="4">
    <w:nsid w:val="46E87CCD"/>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2019-12-05T01:23:01Z</dcterms:created>
  <dcterms:modified xsi:type="dcterms:W3CDTF">2019-12-05T01:23:01Z</dcterms:modified>
</cp:coreProperties>
</file>