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jc w:val="center"/>
        <w:ind w:left="1280" w:right="3039" w:hanging="1061"/>
        <w:spacing w:after="0" w:line="235" w:lineRule="auto"/>
        <w:tabs>
          <w:tab w:leader="none" w:pos="-5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For the quarterly period ended January 31, 1998</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1160" w:right="3039" w:hanging="941"/>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8"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(781) 329-4700</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February 27, 1998 was 162,687,271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4100" w:type="dxa"/>
            <w:vAlign w:val="bottom"/>
          </w:tcPr>
          <w:p>
            <w:pPr>
              <w:ind w:left="2620"/>
              <w:spacing w:after="0"/>
              <w:rPr>
                <w:sz w:val="20"/>
                <w:szCs w:val="20"/>
                <w:color w:val="auto"/>
              </w:rPr>
            </w:pPr>
            <w:r>
              <w:rPr>
                <w:rFonts w:ascii="Courier New" w:cs="Courier New" w:eastAsia="Courier New" w:hAnsi="Courier New"/>
                <w:sz w:val="18"/>
                <w:szCs w:val="18"/>
                <w:color w:val="auto"/>
              </w:rPr>
              <w:t>PART I</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10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w w:val="96"/>
              </w:rPr>
              <w:t>FINANCIAL INFORMATION</w:t>
            </w: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608"/>
        </w:trPr>
        <w:tc>
          <w:tcPr>
            <w:tcW w:w="1280" w:type="dxa"/>
            <w:vAlign w:val="bottom"/>
          </w:tcPr>
          <w:p>
            <w:pPr>
              <w:spacing w:after="0"/>
              <w:rPr>
                <w:sz w:val="24"/>
                <w:szCs w:val="24"/>
                <w:color w:val="auto"/>
              </w:rPr>
            </w:pPr>
          </w:p>
        </w:tc>
        <w:tc>
          <w:tcPr>
            <w:tcW w:w="54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JANUARY 31, 1998</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FEBRUARY 1, 1997</w:t>
            </w:r>
          </w:p>
        </w:tc>
      </w:tr>
      <w:tr>
        <w:trPr>
          <w:trHeight w:val="203"/>
        </w:trPr>
        <w:tc>
          <w:tcPr>
            <w:tcW w:w="1280" w:type="dxa"/>
            <w:vAlign w:val="bottom"/>
          </w:tcPr>
          <w:p>
            <w:pPr>
              <w:spacing w:after="0"/>
              <w:rPr>
                <w:sz w:val="17"/>
                <w:szCs w:val="17"/>
                <w:color w:val="auto"/>
              </w:rPr>
            </w:pPr>
          </w:p>
        </w:tc>
        <w:tc>
          <w:tcPr>
            <w:tcW w:w="5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10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$330,721</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$292,063</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162,660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148,621</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10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168,061</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143,442</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54,975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45,704</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55,646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45,131</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110,621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90,835</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57,440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52,607</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2,429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3,780</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(3,394)</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379</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58,207</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52,228</w:t>
            </w: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13,923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13,048</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10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$ 44,284</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$ 39,180</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basic earnings per share</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161,023</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158,515</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Basic earnings per share of common stock</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$0.28</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$0.25</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diluted earnings per share</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178,146</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175,950</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Diluted earnings per share of common stock</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$0.26</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$0.23</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JANUARY 31, 1998</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NOVEMBER 1, 1997</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FEBRUARY 1, 1997</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217,198</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289,601</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248,142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76,546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51,006</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19,682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245,738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255,886</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234,160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83,776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66,253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63,724</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128,587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128,187</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118,142</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29,145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31,526</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30,441</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241,508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225,966</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212,307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54,761</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45,000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19,585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18,209</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15,896</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860,575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895,429</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775,187</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w:t>
            </w: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158,346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145,952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143,183</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979,570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938,602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831,436</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59,910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58,714</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50,123</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92,617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87,407</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81,320</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1,290,443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1,230,675</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1,106,062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595,922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569,040</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504,150</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694,521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661,635</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601,912</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188,690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131,468</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116,059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17,925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14,768</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16,310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58,415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60,553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26,257</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265,030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206,789</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158,626</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$1,820,126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$1,763,853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$1,535,725</w:t>
            </w:r>
          </w:p>
        </w:tc>
      </w:tr>
      <w:tr>
        <w:trPr>
          <w:trHeight w:val="203"/>
        </w:trPr>
        <w:tc>
          <w:tcPr>
            <w:tcW w:w="3280" w:type="dxa"/>
            <w:vAlign w:val="bottom"/>
          </w:tcPr>
          <w:p>
            <w:pPr>
              <w:spacing w:after="0"/>
              <w:rPr>
                <w:sz w:val="17"/>
                <w:szCs w:val="17"/>
                <w:color w:val="auto"/>
              </w:rPr>
            </w:pP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JANUARY 31, 1998</w:t>
            </w: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NOVEMBER 1, 1997</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FEBRUARY 1, 1997</w:t>
            </w:r>
          </w:p>
        </w:tc>
      </w:tr>
      <w:tr>
        <w:trPr>
          <w:trHeight w:val="203"/>
        </w:trPr>
        <w:tc>
          <w:tcPr>
            <w:tcW w:w="3380" w:type="dxa"/>
            <w:vAlign w:val="bottom"/>
          </w:tcPr>
          <w:p>
            <w:pPr>
              <w:spacing w:after="0"/>
              <w:rPr>
                <w:sz w:val="17"/>
                <w:szCs w:val="17"/>
                <w:color w:val="auto"/>
              </w:rPr>
            </w:pP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5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1,434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Obligations under capital leases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11,844</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11,733</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11,445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95,447</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97,654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79,167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44,224</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37,013</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34,074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60,525</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52,550</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50,393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70,648</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75,444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61,746</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284,177</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274,394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238,259</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310,000</w:t>
            </w:r>
          </w:p>
        </w:tc>
        <w:tc>
          <w:tcPr>
            <w:tcW w:w="54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310,000</w:t>
            </w:r>
          </w:p>
        </w:tc>
        <w:tc>
          <w:tcPr>
            <w:tcW w:w="260" w:type="dxa"/>
            <w:vAlign w:val="bottom"/>
          </w:tcPr>
          <w:p>
            <w:pPr>
              <w:spacing w:after="0"/>
              <w:rPr>
                <w:sz w:val="24"/>
                <w:szCs w:val="24"/>
                <w:color w:val="auto"/>
              </w:rPr>
            </w:pP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310,000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35,871</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38,852</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47,625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20,740</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18,000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32,327</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31,737</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15,797</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402,198</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401,329</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391,422</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Preferred stock, $1.00 par value,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Common stock, $.16 2/3 par value,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162,317,316 shares issued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(161,941,094 in November 1997,</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159,886,615 in February 1997)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27,053</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26,991</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26,648</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224,800</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223,885</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181,379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875,868</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831,584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692,546</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6,185</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6,724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5,982</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1,133,906</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1,089,184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906,555</w:t>
            </w:r>
          </w:p>
        </w:tc>
      </w:tr>
      <w:tr>
        <w:trPr>
          <w:trHeight w:val="203"/>
        </w:trPr>
        <w:tc>
          <w:tcPr>
            <w:tcW w:w="3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Less 19,934 shares in treasury,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(35,094 in November 1997</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and 21,120 in February 1997)</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1,054</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1,133,751</w:t>
            </w:r>
          </w:p>
        </w:tc>
        <w:tc>
          <w:tcPr>
            <w:tcW w:w="5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1,088,130</w:t>
            </w:r>
          </w:p>
        </w:tc>
        <w:tc>
          <w:tcPr>
            <w:tcW w:w="2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906,044</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$1,820,126</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$1,763,853</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$1,535,725</w:t>
            </w:r>
          </w:p>
        </w:tc>
      </w:tr>
      <w:tr>
        <w:trPr>
          <w:trHeight w:val="203"/>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60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gridSpan w:val="3"/>
          </w:tcPr>
          <w:p>
            <w:pPr>
              <w:ind w:left="5280"/>
              <w:spacing w:after="0"/>
              <w:rPr>
                <w:sz w:val="20"/>
                <w:szCs w:val="20"/>
                <w:color w:val="auto"/>
              </w:rPr>
            </w:pPr>
            <w:r>
              <w:rPr>
                <w:rFonts w:ascii="Courier New" w:cs="Courier New" w:eastAsia="Courier New" w:hAnsi="Courier New"/>
                <w:sz w:val="18"/>
                <w:szCs w:val="18"/>
                <w:color w:val="auto"/>
              </w:rPr>
              <w:t>JANUARY 31, 1998</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1, 1997</w:t>
            </w:r>
          </w:p>
        </w:tc>
      </w:tr>
      <w:tr>
        <w:trPr>
          <w:trHeight w:val="203"/>
        </w:trPr>
        <w:tc>
          <w:tcPr>
            <w:tcW w:w="7120" w:type="dxa"/>
            <w:vAlign w:val="bottom"/>
            <w:gridSpan w:val="3"/>
          </w:tcPr>
          <w:p>
            <w:pPr>
              <w:ind w:left="528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$ 44,284</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$39,180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29,744</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23,792</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3,274</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995</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 (income)</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586</w:t>
            </w:r>
          </w:p>
        </w:tc>
        <w:tc>
          <w:tcPr>
            <w:tcW w:w="4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(5,307)</w:t>
            </w:r>
          </w:p>
        </w:tc>
        <w:tc>
          <w:tcPr>
            <w:tcW w:w="4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(16,993)</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28,297</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7,713</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72,581</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46,893</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(62,200)</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(42,022)</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(56,520)</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(47,677)</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(43,364)</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17,824</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70,128</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decrease in other assets</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(2,532)</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5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(146,792)</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(19,259)</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1,283</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3,985</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(2,870)</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(2,718)</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7,123</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borrowings</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1,489</w:t>
            </w:r>
          </w:p>
        </w:tc>
        <w:tc>
          <w:tcPr>
            <w:tcW w:w="4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for) provided by</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2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7,417</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200" w:type="dxa"/>
            <w:vAlign w:val="bottom"/>
          </w:tcPr>
          <w:p>
            <w:pPr>
              <w:spacing w:after="0"/>
              <w:rPr>
                <w:sz w:val="24"/>
                <w:szCs w:val="24"/>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1,906</w:t>
            </w:r>
          </w:p>
        </w:tc>
        <w:tc>
          <w:tcPr>
            <w:tcW w:w="4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2,982</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Net (decrease) increase in cash and cash equivalents</w:t>
            </w:r>
          </w:p>
        </w:tc>
        <w:tc>
          <w:tcPr>
            <w:tcW w:w="20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4"/>
              </w:rPr>
              <w:t>(72,403)</w:t>
            </w:r>
          </w:p>
        </w:tc>
        <w:tc>
          <w:tcPr>
            <w:tcW w:w="4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38,033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0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289,601</w:t>
            </w:r>
          </w:p>
        </w:tc>
        <w:tc>
          <w:tcPr>
            <w:tcW w:w="48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210,109</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$217,198</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$248,142</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6,839</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4,559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4,688</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564"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January 31, 1998</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which are necessary to fairly state the results for this interim period and should be read in conjunction with the most recent Annual Report to Stockholders.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1998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Investments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quarter of fiscal 1998 the Company made the final payment of $56 million in connection with its joint venture with Taiwan Semiconductor Manufacturing Company and other investors for the construction and operation of a semiconductor fabrication facility in Camas, Washington ("WaferTech"). The Company has invested $140 million in WaferTech and has an 18% equity ownership in the joint venture.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Earnings Per Share</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No. 128, "Earnings per Share", which the Company adopted in the first quarter of fiscal 1998. The Company changed the method used to compute earnings per share and will restate all prior periods. Under the new requirements, primary and fully diluted earnings per share were replaced by basic and diluted earnings per share. Basic earnings per share is computed based only on the weighted average number of common shares outstanding during the period and the dilutive effect of future issues of common stock relating to stock option programs and convertible debt financing is excluded. Diluted earnings per share is computed essentially in the same manner as fully diluted earnings per share with some exceptions. The primary exception affecting the Company's calculation of diluted EPS is that the dilutive effect of stock options is always based on the average market price of the stock during the period, not the higher of the average and period end market price which was required under APB 15.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9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060" w:type="dxa"/>
            <w:vAlign w:val="bottom"/>
          </w:tcPr>
          <w:p>
            <w:pPr>
              <w:spacing w:after="0"/>
              <w:rPr>
                <w:sz w:val="17"/>
                <w:szCs w:val="17"/>
                <w:color w:val="auto"/>
              </w:rPr>
            </w:pPr>
          </w:p>
        </w:tc>
        <w:tc>
          <w:tcPr>
            <w:tcW w:w="39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JANUARY 31, 1998</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FEBRUARY 1, 1997</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$ 44,284</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$ 39,180</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161,023</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158,515</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$0.28</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$0.25</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$ 44,284</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$ 39,180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available for common stock</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$ 45,695</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$ 40,605</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2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160,942</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158,195</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Assumed exercise of common stock equivalents</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6,219</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6,770</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10,985</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178,146</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175,950</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0.26</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0.23</w:t>
            </w:r>
          </w:p>
        </w:tc>
      </w:tr>
      <w:tr>
        <w:trPr>
          <w:trHeight w:val="203"/>
        </w:trPr>
        <w:tc>
          <w:tcPr>
            <w:tcW w:w="5060" w:type="dxa"/>
            <w:vAlign w:val="bottom"/>
          </w:tcPr>
          <w:p>
            <w:pPr>
              <w:spacing w:after="0"/>
              <w:rPr>
                <w:sz w:val="17"/>
                <w:szCs w:val="17"/>
                <w:color w:val="auto"/>
              </w:rPr>
            </w:pP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379"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379"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information should be read in connection with the unaudited consolidated condensed financial statements and the notes thereto included in Item 1 of this Quarterly Report and the audited consolidated financial statements and notes thereto and Management's Analysis for the fiscal year ended November 1, 1997, contained in the Annual Report on Form 10-K.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may contain forward-looking statements. Such statements are subject to certain risks and uncertainties, including those discussed below or in the Company's Form 10-K for the fiscal year ended November 1, 1997,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for the first quarter of fiscal 1998 were $331 million, an increase of $39 million or 13% from the first quarter of fiscal 1997. Higher sales volumes of standard linear IC ("SLICs") products was the primary reason for the increase. SLICs are primarily high-performance, single function devices. Demand for the Company's SLICs was broad based across all served application markets and geographies with the greatest strength in North America. In addition to the continued growth in the industrial and instrumentation markets, applications such as cellular base stations, ultrasound imaging, analog and digital camcorders, scanners and graphics digitizing products for flat panel display monitors are providing growth opportunities for the Company.</w:t>
      </w:r>
    </w:p>
    <w:p>
      <w:pPr>
        <w:spacing w:after="0" w:line="3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gross margin for the first quarter of fiscal 1998 was 50.8% compared to 49.1% for the first quarter of fiscal 1997. The increase in gross margin was primarily due to the 13% revenue growth combined with a mix shift in favor of higher margin products in the quarter ended January 31, 1998.</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Research and development expenses were 16.6% of sales for the three months ended January 31, 1998, compared to 15.6% of sales for the three months ended February 1, 1997. This increase is mainly due to an increase in customer funded initiatives and to the continued development of innovative SLIC products and processes and higher spending in the development of new products utilizing the Company's high-speed linear and digital signal processing technologies. The Company believes that a continued commitment to research and development is essential in order to maintain product leadership with its existing products and to provide innovative new product offerings, and therefore, expects to continue to make significant investments in research and development in the future.</w:t>
      </w:r>
    </w:p>
    <w:p>
      <w:pPr>
        <w:spacing w:after="0" w:line="1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expenses for the first quarter of fiscal 1998 included a special charge of $8 million attributable to collection difficulties the Company experienced with a GSM customer whose business and financing have been adversely affected by the Southeast Asia economic situation, and other reserves to cover the increased risks associated with accounts receivable from customers in Southeast Asia. SMG&amp;A expenses, excluding the $8 million special charge, declined as a percentage of sales to 14.4%, compared to 15.5% for the year ago quarter.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effective</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income tax</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w w:val="99"/>
              </w:rPr>
              <w:t>rate decreased from 25%</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for the first three month</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period of fiscal 1997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24% for the first three</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month period of fiscal 1998 due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to a shift in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mix</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worldwide profits.</w:t>
            </w:r>
          </w:p>
        </w:tc>
        <w:tc>
          <w:tcPr>
            <w:tcW w:w="3320" w:type="dxa"/>
            <w:vAlign w:val="bottom"/>
          </w:tcPr>
          <w:p>
            <w:pPr>
              <w:spacing w:after="0"/>
              <w:rPr>
                <w:sz w:val="17"/>
                <w:szCs w:val="17"/>
                <w:color w:val="auto"/>
              </w:rPr>
            </w:pPr>
          </w:p>
        </w:tc>
      </w:tr>
      <w:tr>
        <w:trPr>
          <w:trHeight w:val="608"/>
        </w:trPr>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7</w:t>
            </w:r>
          </w:p>
        </w:tc>
        <w:tc>
          <w:tcPr>
            <w:tcW w:w="33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Net income for the first quarter of fiscal 1998 of $44 million increased 13% compared to the first quarter of fiscal 1997. Diluted earnings per share were $0.26, compared to $0.23 for the first quarter of fiscal 1997. Excluding the effect of the $8 million special charge recorded in G&amp;A, diluted earnings per share were $0.29 which is an increase of 26% compared to the quarter ended February 1,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January 31, 1998, cash, cash equivalents and short-term investments totaled $294 million. The Company's primary source of funds for the first three months of fiscal 1998 was $73 million of cash provided by operations. The principal uses of funds in the first quarter of fiscal 1998 were a $56 million payment made in connection with the Company's joint venture agreement and the purchase of $62 million of property, plant and equipment.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additions to property, plant and equipment of $62 million for the first quarter of fiscal 1998 were funded with a combination of cash on hand and cash generated from operations. Capital expenditures for the quarter included approximately $10 million for the purchase of land in San Jose, California, which the Company plans to use for future expansion. The remainder of the expenditures related to the Company's continued upgrade and expansion of its existing manufacturing facilities worldwide.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quarter of fiscal 1998 the Company made the final payment of $56 million in connection with its joint venture with Taiwan Semiconductor Manufacturing Company and other investors for the construction and operation of a semiconductor fabrication facility in Camas, Washington ("WaferTech"). The Company has invested $140 million in WaferTech and has an 18% equity ownership in the joint venture.</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currently plans to make capital expenditures of approximately $275 million during fiscal 1998, primarily in connection with the continued expansion of its manufacturing capacity.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January 31, 1998, the Company's principal sources of liquidity were $294 million of cash and cash equivalents and short-term investments. In addition, the Company has various lines of credit both in the U.S. and overseas, including a $60 million credit facility in the U.S. which expires in 2000, all of which were substantially unused at January 31, 1998. At January 31, 1998, the Company's debt-to-equity ratio was 32%.</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 is exposed to the risk of obsolescence of its inventory depending on the mix of future business. As a result of these and other factors, there can be no assurance that the Company will not experience material fluctuations in future operating results on a quarterly or annual basis.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currently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substantially increased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if the demand were to increase significantly that the increased capacity would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While the Company tries to ensure that its manufacturing capacity and demand for its products are in relative balance, no assurance can be given that from time to time an imbalance between the Company's manufacturing capacity and the demand for its products would not occur. Any such imbalance could adversely affect the Company's consolidated results of operations.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first three months of fiscal 1998, 51% of the Company's revenues were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$26 million on deposit with two of these suppliers. The Company also has a $21 million investment with one of these suppliers. In addition, the Company's major partner in its joint venture, WaferTech, is TSMC which is located in the SEA region. The Company is therefore subject to the economic and political risks inherent in international operations, including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Annual Report on form 10-K for the fiscal year ended November 1, 1997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already has installed Year 2000 compliant software in many of its major systems. A task force is engaged in the ongoing effort to complete this activity for the balance of the Company's systems. The cost of these efforts is not expected to be material. The Company presently believes that the Year 2000 issue will not pose significant operational problems. However, Year 2000 issues could have a significant impact on the Company's operations and its financial results if modifications cannot be completed on a timely basis; unforeseen needs or problems arise; or, if the systems operated by the Company's customers, vendors or subcontractors are not Year 2000 compliant.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ind w:left="33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January 31, 1998.</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Jerald G. Fishman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Jerald G. Fishman</w:t>
      </w:r>
    </w:p>
    <w:p>
      <w:pPr>
        <w:ind w:left="740"/>
        <w:spacing w:after="0" w:line="237" w:lineRule="auto"/>
        <w:rPr>
          <w:sz w:val="20"/>
          <w:szCs w:val="20"/>
          <w:color w:val="auto"/>
        </w:rPr>
      </w:pPr>
      <w:r>
        <w:rPr>
          <w:rFonts w:ascii="Courier New" w:cs="Courier New" w:eastAsia="Courier New" w:hAnsi="Courier New"/>
          <w:sz w:val="18"/>
          <w:szCs w:val="18"/>
          <w:color w:val="auto"/>
        </w:rPr>
        <w:t>President and</w:t>
      </w:r>
    </w:p>
    <w:p>
      <w:pPr>
        <w:ind w:left="7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2340" w:space="720"/>
            <w:col w:w="6419"/>
          </w:cols>
          <w:pgMar w:left="240" w:top="31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1998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Joseph E. McDonough</w:t>
      </w:r>
    </w:p>
    <w:p>
      <w:pPr>
        <w:ind w:left="740"/>
        <w:spacing w:after="0" w:line="237"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(Principal Financial and</w:t>
      </w:r>
    </w:p>
    <w:p>
      <w:pPr>
        <w:ind w:left="7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340" w:space="720"/>
            <w:col w:w="6419"/>
          </w:cols>
          <w:pgMar w:left="240" w:top="312"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INDEX</w:t>
      </w:r>
    </w:p>
    <w:p>
      <w:pPr>
        <w:jc w:val="right"/>
        <w:ind w:right="461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OCT-31-1998</w:t>
      </w:r>
    </w:p>
    <w:p>
      <w:pPr>
        <w:ind w:left="2940"/>
        <w:spacing w:after="0"/>
        <w:rPr>
          <w:sz w:val="20"/>
          <w:szCs w:val="20"/>
          <w:color w:val="auto"/>
        </w:rPr>
      </w:pPr>
      <w:r>
        <w:rPr>
          <w:rFonts w:ascii="Courier New" w:cs="Courier New" w:eastAsia="Courier New" w:hAnsi="Courier New"/>
          <w:sz w:val="18"/>
          <w:szCs w:val="18"/>
          <w:color w:val="auto"/>
        </w:rPr>
        <w:t>NOV-02-1997</w:t>
      </w:r>
    </w:p>
    <w:p>
      <w:pPr>
        <w:ind w:left="3160"/>
        <w:spacing w:after="0" w:line="237" w:lineRule="auto"/>
        <w:rPr>
          <w:sz w:val="20"/>
          <w:szCs w:val="20"/>
          <w:color w:val="auto"/>
        </w:rPr>
      </w:pPr>
      <w:r>
        <w:rPr>
          <w:rFonts w:ascii="Courier New" w:cs="Courier New" w:eastAsia="Courier New" w:hAnsi="Courier New"/>
          <w:sz w:val="18"/>
          <w:szCs w:val="18"/>
          <w:color w:val="auto"/>
        </w:rPr>
        <w:t>JAN-31-1998</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217,198</w:t>
      </w:r>
    </w:p>
    <w:p>
      <w:pPr>
        <w:ind w:left="3680"/>
        <w:spacing w:after="0" w:line="237" w:lineRule="auto"/>
        <w:rPr>
          <w:sz w:val="20"/>
          <w:szCs w:val="20"/>
          <w:color w:val="auto"/>
        </w:rPr>
      </w:pPr>
      <w:r>
        <w:rPr>
          <w:rFonts w:ascii="Courier New" w:cs="Courier New" w:eastAsia="Courier New" w:hAnsi="Courier New"/>
          <w:sz w:val="18"/>
          <w:szCs w:val="18"/>
          <w:color w:val="auto"/>
        </w:rPr>
        <w:t>76,546</w:t>
      </w:r>
    </w:p>
    <w:p>
      <w:pPr>
        <w:ind w:left="3460"/>
        <w:spacing w:after="0"/>
        <w:rPr>
          <w:sz w:val="20"/>
          <w:szCs w:val="20"/>
          <w:color w:val="auto"/>
        </w:rPr>
      </w:pPr>
      <w:r>
        <w:rPr>
          <w:rFonts w:ascii="Courier New" w:cs="Courier New" w:eastAsia="Courier New" w:hAnsi="Courier New"/>
          <w:sz w:val="18"/>
          <w:szCs w:val="18"/>
          <w:color w:val="auto"/>
        </w:rPr>
        <w:t>245,738</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241,508</w:t>
      </w:r>
    </w:p>
    <w:p>
      <w:pPr>
        <w:ind w:left="3160"/>
        <w:spacing w:after="0" w:line="237" w:lineRule="auto"/>
        <w:rPr>
          <w:sz w:val="20"/>
          <w:szCs w:val="20"/>
          <w:color w:val="auto"/>
        </w:rPr>
      </w:pPr>
      <w:r>
        <w:rPr>
          <w:rFonts w:ascii="Courier New" w:cs="Courier New" w:eastAsia="Courier New" w:hAnsi="Courier New"/>
          <w:sz w:val="18"/>
          <w:szCs w:val="18"/>
          <w:color w:val="auto"/>
        </w:rPr>
        <w:t>860,575</w:t>
      </w:r>
    </w:p>
    <w:p>
      <w:pPr>
        <w:ind w:left="4000"/>
        <w:spacing w:after="0" w:line="238" w:lineRule="auto"/>
        <w:rPr>
          <w:sz w:val="20"/>
          <w:szCs w:val="20"/>
          <w:color w:val="auto"/>
        </w:rPr>
      </w:pPr>
      <w:r>
        <w:rPr>
          <w:rFonts w:ascii="Courier New" w:cs="Courier New" w:eastAsia="Courier New" w:hAnsi="Courier New"/>
          <w:sz w:val="18"/>
          <w:szCs w:val="18"/>
          <w:color w:val="auto"/>
        </w:rPr>
        <w:t>1,290,443</w:t>
      </w:r>
    </w:p>
    <w:p>
      <w:pPr>
        <w:ind w:left="3360"/>
        <w:spacing w:after="0"/>
        <w:rPr>
          <w:sz w:val="20"/>
          <w:szCs w:val="20"/>
          <w:color w:val="auto"/>
        </w:rPr>
      </w:pPr>
      <w:r>
        <w:rPr>
          <w:rFonts w:ascii="Courier New" w:cs="Courier New" w:eastAsia="Courier New" w:hAnsi="Courier New"/>
          <w:sz w:val="18"/>
          <w:szCs w:val="18"/>
          <w:color w:val="auto"/>
        </w:rPr>
        <w:t>595,922</w:t>
      </w:r>
    </w:p>
    <w:p>
      <w:pPr>
        <w:ind w:left="3160"/>
        <w:spacing w:after="0" w:line="237" w:lineRule="auto"/>
        <w:rPr>
          <w:sz w:val="20"/>
          <w:szCs w:val="20"/>
          <w:color w:val="auto"/>
        </w:rPr>
      </w:pPr>
      <w:r>
        <w:rPr>
          <w:rFonts w:ascii="Courier New" w:cs="Courier New" w:eastAsia="Courier New" w:hAnsi="Courier New"/>
          <w:sz w:val="18"/>
          <w:szCs w:val="18"/>
          <w:color w:val="auto"/>
        </w:rPr>
        <w:t>1,820,126</w:t>
      </w:r>
    </w:p>
    <w:p>
      <w:pPr>
        <w:ind w:left="2620"/>
        <w:spacing w:after="0"/>
        <w:rPr>
          <w:sz w:val="20"/>
          <w:szCs w:val="20"/>
          <w:color w:val="auto"/>
        </w:rPr>
      </w:pPr>
      <w:r>
        <w:rPr>
          <w:rFonts w:ascii="Courier New" w:cs="Courier New" w:eastAsia="Courier New" w:hAnsi="Courier New"/>
          <w:sz w:val="18"/>
          <w:szCs w:val="18"/>
          <w:color w:val="auto"/>
        </w:rPr>
        <w:t>284,177</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27,053</w:t>
      </w:r>
    </w:p>
    <w:p>
      <w:pPr>
        <w:ind w:left="3580"/>
        <w:spacing w:after="0"/>
        <w:rPr>
          <w:sz w:val="20"/>
          <w:szCs w:val="20"/>
          <w:color w:val="auto"/>
        </w:rPr>
      </w:pPr>
      <w:r>
        <w:rPr>
          <w:rFonts w:ascii="Courier New" w:cs="Courier New" w:eastAsia="Courier New" w:hAnsi="Courier New"/>
          <w:sz w:val="18"/>
          <w:szCs w:val="18"/>
          <w:color w:val="auto"/>
        </w:rPr>
        <w:t>1,106,698</w:t>
      </w:r>
    </w:p>
    <w:p>
      <w:pPr>
        <w:ind w:left="1680"/>
        <w:spacing w:after="0" w:line="237" w:lineRule="auto"/>
        <w:rPr>
          <w:sz w:val="20"/>
          <w:szCs w:val="20"/>
          <w:color w:val="auto"/>
        </w:rPr>
      </w:pPr>
      <w:r>
        <w:rPr>
          <w:rFonts w:ascii="Courier New" w:cs="Courier New" w:eastAsia="Courier New" w:hAnsi="Courier New"/>
          <w:sz w:val="18"/>
          <w:szCs w:val="18"/>
          <w:color w:val="auto"/>
        </w:rPr>
        <w:t>1,820,126</w:t>
      </w:r>
    </w:p>
    <w:p>
      <w:pPr>
        <w:ind w:left="4100"/>
        <w:spacing w:after="0"/>
        <w:rPr>
          <w:sz w:val="20"/>
          <w:szCs w:val="20"/>
          <w:color w:val="auto"/>
        </w:rPr>
      </w:pPr>
      <w:r>
        <w:rPr>
          <w:rFonts w:ascii="Courier New" w:cs="Courier New" w:eastAsia="Courier New" w:hAnsi="Courier New"/>
          <w:sz w:val="18"/>
          <w:szCs w:val="18"/>
          <w:color w:val="auto"/>
        </w:rPr>
        <w:t>330,721</w:t>
      </w:r>
    </w:p>
    <w:p>
      <w:pPr>
        <w:ind w:left="3160"/>
        <w:spacing w:after="0" w:line="237" w:lineRule="auto"/>
        <w:rPr>
          <w:sz w:val="20"/>
          <w:szCs w:val="20"/>
          <w:color w:val="auto"/>
        </w:rPr>
      </w:pPr>
      <w:r>
        <w:rPr>
          <w:rFonts w:ascii="Courier New" w:cs="Courier New" w:eastAsia="Courier New" w:hAnsi="Courier New"/>
          <w:sz w:val="18"/>
          <w:szCs w:val="18"/>
          <w:color w:val="auto"/>
        </w:rPr>
        <w:t>330,721</w:t>
      </w:r>
    </w:p>
    <w:p>
      <w:pPr>
        <w:jc w:val="right"/>
        <w:ind w:right="5059"/>
        <w:spacing w:after="0"/>
        <w:rPr>
          <w:sz w:val="20"/>
          <w:szCs w:val="20"/>
          <w:color w:val="auto"/>
        </w:rPr>
      </w:pPr>
      <w:r>
        <w:rPr>
          <w:rFonts w:ascii="Courier New" w:cs="Courier New" w:eastAsia="Courier New" w:hAnsi="Courier New"/>
          <w:sz w:val="18"/>
          <w:szCs w:val="18"/>
          <w:color w:val="auto"/>
        </w:rPr>
        <w:t>162,660</w:t>
      </w:r>
    </w:p>
    <w:p>
      <w:pPr>
        <w:ind w:left="3460"/>
        <w:spacing w:after="0" w:line="237" w:lineRule="auto"/>
        <w:rPr>
          <w:sz w:val="20"/>
          <w:szCs w:val="20"/>
          <w:color w:val="auto"/>
        </w:rPr>
      </w:pPr>
      <w:r>
        <w:rPr>
          <w:rFonts w:ascii="Courier New" w:cs="Courier New" w:eastAsia="Courier New" w:hAnsi="Courier New"/>
          <w:sz w:val="18"/>
          <w:szCs w:val="18"/>
          <w:color w:val="auto"/>
        </w:rPr>
        <w:t>162,660</w:t>
      </w:r>
    </w:p>
    <w:p>
      <w:pPr>
        <w:ind w:left="3160"/>
        <w:spacing w:after="0"/>
        <w:rPr>
          <w:sz w:val="20"/>
          <w:szCs w:val="20"/>
          <w:color w:val="auto"/>
        </w:rPr>
      </w:pPr>
      <w:r>
        <w:rPr>
          <w:rFonts w:ascii="Courier New" w:cs="Courier New" w:eastAsia="Courier New" w:hAnsi="Courier New"/>
          <w:sz w:val="18"/>
          <w:szCs w:val="18"/>
          <w:color w:val="auto"/>
        </w:rPr>
        <w:t>110,621</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2,429</w:t>
      </w:r>
    </w:p>
    <w:p>
      <w:pPr>
        <w:ind w:left="3360"/>
        <w:spacing w:after="0"/>
        <w:rPr>
          <w:sz w:val="20"/>
          <w:szCs w:val="20"/>
          <w:color w:val="auto"/>
        </w:rPr>
      </w:pPr>
      <w:r>
        <w:rPr>
          <w:rFonts w:ascii="Courier New" w:cs="Courier New" w:eastAsia="Courier New" w:hAnsi="Courier New"/>
          <w:sz w:val="18"/>
          <w:szCs w:val="18"/>
          <w:color w:val="auto"/>
        </w:rPr>
        <w:t>58,207</w:t>
      </w:r>
    </w:p>
    <w:p>
      <w:pPr>
        <w:ind w:left="3680"/>
        <w:spacing w:after="0" w:line="237" w:lineRule="auto"/>
        <w:rPr>
          <w:sz w:val="20"/>
          <w:szCs w:val="20"/>
          <w:color w:val="auto"/>
        </w:rPr>
      </w:pPr>
      <w:r>
        <w:rPr>
          <w:rFonts w:ascii="Courier New" w:cs="Courier New" w:eastAsia="Courier New" w:hAnsi="Courier New"/>
          <w:sz w:val="18"/>
          <w:szCs w:val="18"/>
          <w:color w:val="auto"/>
        </w:rPr>
        <w:t>13,923</w:t>
      </w:r>
    </w:p>
    <w:p>
      <w:pPr>
        <w:ind w:left="2940"/>
        <w:spacing w:after="0"/>
        <w:rPr>
          <w:sz w:val="20"/>
          <w:szCs w:val="20"/>
          <w:color w:val="auto"/>
        </w:rPr>
      </w:pPr>
      <w:r>
        <w:rPr>
          <w:rFonts w:ascii="Courier New" w:cs="Courier New" w:eastAsia="Courier New" w:hAnsi="Courier New"/>
          <w:sz w:val="18"/>
          <w:szCs w:val="18"/>
          <w:color w:val="auto"/>
        </w:rPr>
        <w:t>44,284</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44,284</w:t>
      </w:r>
    </w:p>
    <w:p>
      <w:pPr>
        <w:ind w:left="3900"/>
        <w:spacing w:after="0"/>
        <w:rPr>
          <w:sz w:val="20"/>
          <w:szCs w:val="20"/>
          <w:color w:val="auto"/>
        </w:rPr>
      </w:pPr>
      <w:r>
        <w:rPr>
          <w:rFonts w:ascii="Courier New" w:cs="Courier New" w:eastAsia="Courier New" w:hAnsi="Courier New"/>
          <w:sz w:val="18"/>
          <w:szCs w:val="18"/>
          <w:color w:val="auto"/>
        </w:rPr>
        <w:t>.28</w:t>
      </w:r>
    </w:p>
    <w:p>
      <w:pPr>
        <w:ind w:left="3900"/>
        <w:spacing w:after="0" w:line="237" w:lineRule="auto"/>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2019-12-20T05:12:48Z</dcterms:created>
  <dcterms:modified xsi:type="dcterms:W3CDTF">2019-12-20T05:12:48Z</dcterms:modified>
</cp:coreProperties>
</file>