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9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18"/>
          <w:szCs w:val="18"/>
          <w:color w:val="auto"/>
        </w:rPr>
        <w:t>February 15, 2011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700" w:type="dxa"/>
            <w:vAlign w:val="bottom"/>
            <w:gridSpan w:val="3"/>
          </w:tcPr>
          <w:p>
            <w:pPr>
              <w:jc w:val="center"/>
              <w:ind w:right="1160"/>
              <w:spacing w:after="0"/>
              <w:rPr>
                <w:sz w:val="20"/>
                <w:szCs w:val="20"/>
                <w:color w:val="auto"/>
              </w:rPr>
            </w:pPr>
            <w:r>
              <w:rPr>
                <w:rFonts w:ascii="Arial" w:cs="Arial" w:eastAsia="Arial" w:hAnsi="Arial"/>
                <w:sz w:val="18"/>
                <w:szCs w:val="18"/>
                <w:b w:val="1"/>
                <w:bCs w:val="1"/>
                <w:color w:val="auto"/>
                <w:w w:val="85"/>
              </w:rPr>
              <w:t>Massachusetts</w:t>
            </w:r>
          </w:p>
        </w:tc>
        <w:tc>
          <w:tcPr>
            <w:tcW w:w="286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89"/>
              </w:rPr>
              <w:t>1-7819</w:t>
            </w:r>
          </w:p>
        </w:tc>
        <w:tc>
          <w:tcPr>
            <w:tcW w:w="386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91"/>
              </w:rPr>
              <w:t>04-2348234</w:t>
            </w:r>
          </w:p>
        </w:tc>
      </w:tr>
      <w:tr>
        <w:trPr>
          <w:trHeight w:val="215"/>
        </w:trPr>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w:t>
            </w:r>
          </w:p>
        </w:tc>
        <w:tc>
          <w:tcPr>
            <w:tcW w:w="3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60" w:type="dxa"/>
            <w:vAlign w:val="bottom"/>
            <w:tcBorders>
              <w:top w:val="single" w:sz="8" w:color="auto"/>
            </w:tcBorders>
            <w:gridSpan w:val="3"/>
          </w:tcPr>
          <w:p>
            <w:pPr>
              <w:jc w:val="center"/>
              <w:ind w:right="820"/>
              <w:spacing w:after="0"/>
              <w:rPr>
                <w:sz w:val="20"/>
                <w:szCs w:val="20"/>
                <w:color w:val="auto"/>
              </w:rPr>
            </w:pPr>
            <w:r>
              <w:rPr>
                <w:rFonts w:ascii="Arial" w:cs="Arial" w:eastAsia="Arial" w:hAnsi="Arial"/>
                <w:sz w:val="18"/>
                <w:szCs w:val="18"/>
                <w:color w:val="auto"/>
                <w:w w:val="91"/>
              </w:rPr>
              <w:t>(Commission</w:t>
            </w:r>
          </w:p>
        </w:tc>
        <w:tc>
          <w:tcPr>
            <w:tcW w:w="340" w:type="dxa"/>
            <w:vAlign w:val="bottom"/>
          </w:tcPr>
          <w:p>
            <w:pPr>
              <w:spacing w:after="0"/>
              <w:rPr>
                <w:sz w:val="18"/>
                <w:szCs w:val="18"/>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4700" w:type="dxa"/>
            <w:vAlign w:val="bottom"/>
            <w:gridSpan w:val="3"/>
          </w:tcPr>
          <w:p>
            <w:pPr>
              <w:jc w:val="center"/>
              <w:ind w:right="1160"/>
              <w:spacing w:after="0"/>
              <w:rPr>
                <w:sz w:val="20"/>
                <w:szCs w:val="20"/>
                <w:color w:val="auto"/>
              </w:rPr>
            </w:pPr>
            <w:r>
              <w:rPr>
                <w:rFonts w:ascii="Arial" w:cs="Arial" w:eastAsia="Arial" w:hAnsi="Arial"/>
                <w:sz w:val="18"/>
                <w:szCs w:val="18"/>
                <w:color w:val="auto"/>
                <w:w w:val="95"/>
              </w:rPr>
              <w:t>of incorporation</w:t>
            </w:r>
          </w:p>
        </w:tc>
        <w:tc>
          <w:tcPr>
            <w:tcW w:w="2860" w:type="dxa"/>
            <w:vAlign w:val="bottom"/>
            <w:gridSpan w:val="3"/>
          </w:tcPr>
          <w:p>
            <w:pPr>
              <w:jc w:val="center"/>
              <w:ind w:right="820"/>
              <w:spacing w:after="0"/>
              <w:rPr>
                <w:sz w:val="20"/>
                <w:szCs w:val="20"/>
                <w:color w:val="auto"/>
              </w:rPr>
            </w:pPr>
            <w:r>
              <w:rPr>
                <w:rFonts w:ascii="Arial" w:cs="Arial" w:eastAsia="Arial" w:hAnsi="Arial"/>
                <w:sz w:val="18"/>
                <w:szCs w:val="18"/>
                <w:color w:val="auto"/>
                <w:w w:val="92"/>
              </w:rPr>
              <w:t>File Number)</w:t>
            </w:r>
          </w:p>
        </w:tc>
        <w:tc>
          <w:tcPr>
            <w:tcW w:w="34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709"/>
        </w:trPr>
        <w:tc>
          <w:tcPr>
            <w:tcW w:w="4700" w:type="dxa"/>
            <w:vAlign w:val="bottom"/>
            <w:tcBorders>
              <w:bottom w:val="single" w:sz="8" w:color="auto"/>
            </w:tcBorders>
            <w:gridSpan w:val="3"/>
          </w:tcPr>
          <w:p>
            <w:pPr>
              <w:ind w:left="1340"/>
              <w:spacing w:after="0"/>
              <w:rPr>
                <w:sz w:val="20"/>
                <w:szCs w:val="20"/>
                <w:color w:val="auto"/>
              </w:rPr>
            </w:pPr>
            <w:r>
              <w:rPr>
                <w:rFonts w:ascii="Arial" w:cs="Arial" w:eastAsia="Arial" w:hAnsi="Arial"/>
                <w:sz w:val="18"/>
                <w:szCs w:val="18"/>
                <w:b w:val="1"/>
                <w:bCs w:val="1"/>
                <w:color w:val="auto"/>
              </w:rPr>
              <w:t>One Technology Way, Norwood, MA</w:t>
            </w:r>
          </w:p>
        </w:tc>
        <w:tc>
          <w:tcPr>
            <w:tcW w:w="8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2"/>
          </w:tcPr>
          <w:p>
            <w:pPr>
              <w:jc w:val="right"/>
              <w:ind w:right="2410"/>
              <w:spacing w:after="0"/>
              <w:rPr>
                <w:sz w:val="20"/>
                <w:szCs w:val="20"/>
                <w:color w:val="auto"/>
              </w:rPr>
            </w:pPr>
            <w:r>
              <w:rPr>
                <w:rFonts w:ascii="Arial" w:cs="Arial" w:eastAsia="Arial" w:hAnsi="Arial"/>
                <w:sz w:val="18"/>
                <w:szCs w:val="18"/>
                <w:b w:val="1"/>
                <w:bCs w:val="1"/>
                <w:color w:val="auto"/>
              </w:rPr>
              <w:t>02062</w:t>
            </w:r>
          </w:p>
        </w:tc>
      </w:tr>
      <w:tr>
        <w:trPr>
          <w:trHeight w:val="230"/>
        </w:trPr>
        <w:tc>
          <w:tcPr>
            <w:tcW w:w="4700" w:type="dxa"/>
            <w:vAlign w:val="bottom"/>
            <w:gridSpan w:val="3"/>
          </w:tcPr>
          <w:p>
            <w:pPr>
              <w:ind w:left="1320"/>
              <w:spacing w:after="0"/>
              <w:rPr>
                <w:sz w:val="20"/>
                <w:szCs w:val="20"/>
                <w:color w:val="auto"/>
              </w:rPr>
            </w:pPr>
            <w:r>
              <w:rPr>
                <w:rFonts w:ascii="Arial" w:cs="Arial" w:eastAsia="Arial" w:hAnsi="Arial"/>
                <w:sz w:val="18"/>
                <w:szCs w:val="18"/>
                <w:color w:val="auto"/>
              </w:rPr>
              <w:t>(Address of principal executive offices)</w:t>
            </w: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20" w:type="dxa"/>
            <w:vAlign w:val="bottom"/>
          </w:tcPr>
          <w:p>
            <w:pPr>
              <w:jc w:val="center"/>
              <w:ind w:right="18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22"/>
          <w:szCs w:val="22"/>
          <w:color w:val="auto"/>
        </w:rPr>
        <w:t>Registrant’s telephone number, including area code: (781) 329-4700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8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220"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On February 15, 2011, Analog Devices, Inc. (the “Registrant”) announced its financial results for its fiscal first quarter ended January 29, 2011. The full text of the press release issued by the Registrant concerning the foregoing results is furnished herewith as Exhibit 99.1.</w:t>
      </w:r>
    </w:p>
    <w:p>
      <w:pPr>
        <w:spacing w:after="0" w:line="130"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The information contained herein and in the accompanying exhibit shall not be incorporated by reference into any filing of the Registrant, whether made before or after the date hereof, regardless of any general incorporation language in such filing, unless expressly incorporated by specific reference to such filing. The information in this report, including the exhibit hereto, shall not be deemed to be “filed” for purposes of Section 18 of the Securities Exchange Act of 1934, as amended, or otherwise subject to the liabilities of that section or Sections 11 and 12(a)(2) of the Securities Act of 1933, as amended.</w:t>
      </w:r>
    </w:p>
    <w:p>
      <w:pPr>
        <w:spacing w:after="0" w:line="141"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(d) Exhibits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980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r>
      <w:tr>
        <w:trPr>
          <w:trHeight w:val="507"/>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78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Press release dated February 15, 2011</w:t>
            </w:r>
          </w:p>
        </w:tc>
      </w:tr>
      <w:tr>
        <w:trPr>
          <w:trHeight w:val="230"/>
        </w:trPr>
        <w:tc>
          <w:tcPr>
            <w:tcW w:w="840" w:type="dxa"/>
            <w:vAlign w:val="bottom"/>
            <w:tcBorders>
              <w:bottom w:val="single" w:sz="8" w:color="9A9A9A"/>
            </w:tcBorders>
          </w:tcPr>
          <w:p>
            <w:pPr>
              <w:spacing w:after="0"/>
              <w:rPr>
                <w:sz w:val="19"/>
                <w:szCs w:val="19"/>
                <w:color w:val="auto"/>
              </w:rPr>
            </w:pPr>
          </w:p>
        </w:tc>
        <w:tc>
          <w:tcPr>
            <w:tcW w:w="78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8960" w:type="dxa"/>
            <w:vAlign w:val="bottom"/>
            <w:tcBorders>
              <w:bottom w:val="single" w:sz="8" w:color="9A9A9A"/>
            </w:tcBorders>
          </w:tcPr>
          <w:p>
            <w:pPr>
              <w:spacing w:after="0"/>
              <w:rPr>
                <w:sz w:val="19"/>
                <w:szCs w:val="19"/>
                <w:color w:val="auto"/>
              </w:rPr>
            </w:pPr>
          </w:p>
        </w:tc>
      </w:tr>
      <w:tr>
        <w:trPr>
          <w:trHeight w:val="21"/>
        </w:trPr>
        <w:tc>
          <w:tcPr>
            <w:tcW w:w="84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89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639"/>
        <w:spacing w:after="0"/>
        <w:rPr>
          <w:sz w:val="20"/>
          <w:szCs w:val="20"/>
          <w:color w:val="auto"/>
        </w:rPr>
      </w:pPr>
      <w:r>
        <w:rPr>
          <w:rFonts w:ascii="Arial" w:cs="Arial" w:eastAsia="Arial" w:hAnsi="Arial"/>
          <w:sz w:val="22"/>
          <w:szCs w:val="22"/>
          <w:color w:val="auto"/>
        </w:rPr>
        <w:t>SIGNATURE</w:t>
      </w:r>
    </w:p>
    <w:p>
      <w:pPr>
        <w:spacing w:after="0" w:line="207" w:lineRule="exact"/>
        <w:rPr>
          <w:sz w:val="20"/>
          <w:szCs w:val="20"/>
          <w:color w:val="auto"/>
        </w:rPr>
      </w:pPr>
    </w:p>
    <w:p>
      <w:pPr>
        <w:ind w:firstLine="81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February 15, 2011</w:t>
      </w:r>
      <w:r>
        <w:rPr>
          <w:sz w:val="20"/>
          <w:szCs w:val="20"/>
          <w:color w:val="auto"/>
        </w:rPr>
        <w:tab/>
      </w:r>
      <w:r>
        <w:rPr>
          <w:rFonts w:ascii="Arial" w:cs="Arial" w:eastAsia="Arial" w:hAnsi="Arial"/>
          <w:sz w:val="17"/>
          <w:szCs w:val="17"/>
          <w:color w:val="auto"/>
        </w:rPr>
        <w:t>ANALOG DEVICES, INC.</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675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A. Zinsner</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Finance and Chief</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900"/>
          </w:cols>
          <w:pgMar w:left="240" w:top="118" w:right="759" w:bottom="1440" w:gutter="0" w:footer="0" w:header="0"/>
        </w:sectPr>
      </w:pPr>
    </w:p>
    <w:bookmarkStart w:id="3" w:name="page4"/>
    <w:bookmarkEnd w:id="3"/>
    <w:p>
      <w:pPr>
        <w:jc w:val="right"/>
        <w:ind w:right="3719"/>
        <w:spacing w:after="0"/>
        <w:rPr>
          <w:sz w:val="20"/>
          <w:szCs w:val="20"/>
          <w:color w:val="auto"/>
        </w:rPr>
      </w:pPr>
      <w:r>
        <w:rPr>
          <w:rFonts w:ascii="Arial" w:cs="Arial" w:eastAsia="Arial" w:hAnsi="Arial"/>
          <w:sz w:val="22"/>
          <w:szCs w:val="22"/>
          <w:color w:val="auto"/>
        </w:rPr>
        <w:t>EXHIBIT INDEX</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272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507"/>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78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w w:val="86"/>
              </w:rPr>
              <w:t>Press release dated February 15, 2011</w:t>
            </w:r>
          </w:p>
        </w:tc>
      </w:tr>
    </w:tbl>
    <w:p>
      <w:pPr>
        <w:sectPr>
          <w:pgSz w:w="11900" w:h="16838" w:orient="portrait"/>
          <w:cols w:equalWidth="0" w:num="1">
            <w:col w:w="10219"/>
          </w:cols>
          <w:pgMar w:left="240" w:top="118" w:right="1440" w:bottom="1440" w:gutter="0" w:footer="0" w:header="0"/>
        </w:sectPr>
      </w:pPr>
    </w:p>
    <w:bookmarkStart w:id="4" w:name="page5"/>
    <w:bookmarkEnd w:id="4"/>
    <w:p>
      <w:pPr>
        <w:ind w:left="10300"/>
        <w:spacing w:after="0"/>
        <w:rPr>
          <w:sz w:val="20"/>
          <w:szCs w:val="20"/>
          <w:color w:val="auto"/>
        </w:rPr>
      </w:pPr>
      <w:r>
        <w:rPr>
          <w:rFonts w:ascii="Arial" w:cs="Arial" w:eastAsia="Arial" w:hAnsi="Arial"/>
          <w:sz w:val="19"/>
          <w:szCs w:val="19"/>
          <w:b w:val="1"/>
          <w:bCs w:val="1"/>
          <w:color w:val="auto"/>
        </w:rPr>
        <w:t>Exhibit 99.1</w:t>
      </w:r>
    </w:p>
    <w:p>
      <w:pPr>
        <w:spacing w:after="0" w:line="241" w:lineRule="exact"/>
        <w:rPr>
          <w:sz w:val="20"/>
          <w:szCs w:val="20"/>
          <w:color w:val="auto"/>
        </w:rPr>
      </w:pPr>
    </w:p>
    <w:p>
      <w:pPr>
        <w:ind w:left="1760"/>
        <w:spacing w:after="0"/>
        <w:rPr>
          <w:sz w:val="20"/>
          <w:szCs w:val="20"/>
          <w:color w:val="auto"/>
        </w:rPr>
      </w:pPr>
      <w:r>
        <w:rPr>
          <w:rFonts w:ascii="Arial" w:cs="Arial" w:eastAsia="Arial" w:hAnsi="Arial"/>
          <w:sz w:val="22"/>
          <w:szCs w:val="22"/>
          <w:b w:val="1"/>
          <w:bCs w:val="1"/>
          <w:color w:val="auto"/>
        </w:rPr>
        <w:t>Analog Devices Announces Financial Results for the First Quarter of Fiscal Year 2011</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NORWOOD, Mass.--(BUSINESS WIRE)--February 15, 2011--Analog Devices, Inc. (NYSE: ADI)</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i w:val="1"/>
          <w:iCs w:val="1"/>
          <w:color w:val="auto"/>
        </w:rPr>
        <w:t>1Q11 revenue was $729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i w:val="1"/>
          <w:iCs w:val="1"/>
          <w:color w:val="auto"/>
        </w:rPr>
        <w:t>1Q11 diluted EPS from continuing operations was $0.70, which includes $0.04 of one-time tax benefit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i w:val="1"/>
          <w:iCs w:val="1"/>
          <w:color w:val="auto"/>
        </w:rPr>
        <w:t>1Q11 gross margin was 66.2%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i w:val="1"/>
          <w:iCs w:val="1"/>
          <w:color w:val="auto"/>
        </w:rPr>
        <w:t>1Q11 operating margin was 35.6%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i w:val="1"/>
          <w:iCs w:val="1"/>
          <w:color w:val="auto"/>
        </w:rPr>
        <w:t>Board of Directors declared a quarterly dividend of $0.22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i w:val="1"/>
          <w:iCs w:val="1"/>
          <w:color w:val="auto"/>
        </w:rPr>
        <w:t>Financial results and 2Q11 outlook will be discussed via conference call today at 5:00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Analog Devices, Inc. (NYSE: ADI), a global leader in high-performance semiconductors for signal processing applications, today announced financial results for the first quarter of fiscal 2011, which ended January 29, 2011.</w:t>
      </w:r>
    </w:p>
    <w:p>
      <w:pPr>
        <w:spacing w:after="0" w:line="173"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“ADI delivered solid results in the first quarter, with revenue that was in line with our expectations. Our profitability remained strong as we achieved gross margin of 66.2%, operating margin of 35.6%, EPS from continuing operations of $0.66, excluding one-time tax benefit items, and operating cash flow that was 30% of sales,” said Jerald G. Fishman, President and CEO. “Most importantly, business levels stabilized during the first quarter, giving us confidence that 2011 will be another good year for ADI.”</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Results of Operations for the First Quarter of Fiscal 2011</w:t>
      </w:r>
    </w:p>
    <w:p>
      <w:pPr>
        <w:spacing w:after="0" w:line="200" w:lineRule="exact"/>
        <w:rPr>
          <w:sz w:val="20"/>
          <w:szCs w:val="20"/>
          <w:color w:val="auto"/>
        </w:rPr>
      </w:pPr>
    </w:p>
    <w:p>
      <w:pPr>
        <w:ind w:left="540" w:right="200"/>
        <w:spacing w:after="0" w:line="254" w:lineRule="auto"/>
        <w:rPr>
          <w:sz w:val="20"/>
          <w:szCs w:val="20"/>
          <w:color w:val="auto"/>
        </w:rPr>
      </w:pPr>
      <w:r>
        <w:rPr>
          <w:rFonts w:ascii="Arial" w:cs="Arial" w:eastAsia="Arial" w:hAnsi="Arial"/>
          <w:sz w:val="21"/>
          <w:szCs w:val="21"/>
          <w:b w:val="1"/>
          <w:bCs w:val="1"/>
          <w:color w:val="auto"/>
        </w:rPr>
        <w:t xml:space="preserve">Revenue </w:t>
      </w:r>
      <w:r>
        <w:rPr>
          <w:rFonts w:ascii="Arial" w:cs="Arial" w:eastAsia="Arial" w:hAnsi="Arial"/>
          <w:sz w:val="21"/>
          <w:szCs w:val="21"/>
          <w:color w:val="auto"/>
        </w:rPr>
        <w:t>was $729 million, a decrease of 5% from the immediately prior quarter and an increase of 21% from the same</w:t>
      </w:r>
      <w:r>
        <w:rPr>
          <w:rFonts w:ascii="Arial" w:cs="Arial" w:eastAsia="Arial" w:hAnsi="Arial"/>
          <w:sz w:val="21"/>
          <w:szCs w:val="21"/>
          <w:b w:val="1"/>
          <w:bCs w:val="1"/>
          <w:color w:val="auto"/>
        </w:rPr>
        <w:t xml:space="preserve"> </w:t>
      </w:r>
      <w:r>
        <w:rPr>
          <w:rFonts w:ascii="Arial" w:cs="Arial" w:eastAsia="Arial" w:hAnsi="Arial"/>
          <w:sz w:val="21"/>
          <w:szCs w:val="21"/>
          <w:color w:val="auto"/>
        </w:rPr>
        <w:t>period one year ago. For more information regarding revenue by end market and product type for the first quarter of fiscal 2011, please see Schedules D and E of this document. In addition, a more complete table covering prior periods is available on the Analog Devices Investor Relations website at: investor.analog.com</w:t>
      </w:r>
      <w:r>
        <w:rPr>
          <w:rFonts w:ascii="Arial" w:cs="Arial" w:eastAsia="Arial" w:hAnsi="Arial"/>
          <w:sz w:val="21"/>
          <w:szCs w:val="21"/>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-583565</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5" w:lineRule="exact"/>
        <w:rPr>
          <w:sz w:val="20"/>
          <w:szCs w:val="20"/>
          <w:color w:val="auto"/>
        </w:rPr>
      </w:pPr>
    </w:p>
    <w:p>
      <w:pPr>
        <w:ind w:left="540" w:right="220"/>
        <w:spacing w:after="0" w:line="256" w:lineRule="auto"/>
        <w:rPr>
          <w:sz w:val="20"/>
          <w:szCs w:val="20"/>
          <w:color w:val="auto"/>
        </w:rPr>
      </w:pPr>
      <w:r>
        <w:rPr>
          <w:rFonts w:ascii="Arial" w:cs="Arial" w:eastAsia="Arial" w:hAnsi="Arial"/>
          <w:sz w:val="22"/>
          <w:szCs w:val="22"/>
          <w:b w:val="1"/>
          <w:bCs w:val="1"/>
          <w:color w:val="auto"/>
        </w:rPr>
        <w:t xml:space="preserve">Gross margin </w:t>
      </w:r>
      <w:r>
        <w:rPr>
          <w:rFonts w:ascii="Arial" w:cs="Arial" w:eastAsia="Arial" w:hAnsi="Arial"/>
          <w:sz w:val="22"/>
          <w:szCs w:val="22"/>
          <w:color w:val="auto"/>
        </w:rPr>
        <w:t>was 66.2% of revenue, compared to 67% of revenue in the immediately prior quarter, and 61.1% of revenue</w:t>
      </w:r>
      <w:r>
        <w:rPr>
          <w:rFonts w:ascii="Arial" w:cs="Arial" w:eastAsia="Arial" w:hAnsi="Arial"/>
          <w:sz w:val="22"/>
          <w:szCs w:val="22"/>
          <w:b w:val="1"/>
          <w:bCs w:val="1"/>
          <w:color w:val="auto"/>
        </w:rPr>
        <w:t xml:space="preserve"> </w:t>
      </w:r>
      <w:r>
        <w:rPr>
          <w:rFonts w:ascii="Arial" w:cs="Arial" w:eastAsia="Arial" w:hAnsi="Arial"/>
          <w:sz w:val="22"/>
          <w:szCs w:val="22"/>
          <w:color w:val="auto"/>
        </w:rPr>
        <w:t>in the same period one year 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2" w:lineRule="exact"/>
        <w:rPr>
          <w:sz w:val="20"/>
          <w:szCs w:val="20"/>
          <w:color w:val="auto"/>
        </w:rPr>
      </w:pPr>
    </w:p>
    <w:p>
      <w:pPr>
        <w:ind w:left="540" w:right="140"/>
        <w:spacing w:after="0" w:line="251" w:lineRule="auto"/>
        <w:rPr>
          <w:sz w:val="20"/>
          <w:szCs w:val="20"/>
          <w:color w:val="auto"/>
        </w:rPr>
      </w:pPr>
      <w:r>
        <w:rPr>
          <w:rFonts w:ascii="Arial" w:cs="Arial" w:eastAsia="Arial" w:hAnsi="Arial"/>
          <w:sz w:val="21"/>
          <w:szCs w:val="21"/>
          <w:b w:val="1"/>
          <w:bCs w:val="1"/>
          <w:color w:val="auto"/>
        </w:rPr>
        <w:t xml:space="preserve">Operating expenses </w:t>
      </w:r>
      <w:r>
        <w:rPr>
          <w:rFonts w:ascii="Arial" w:cs="Arial" w:eastAsia="Arial" w:hAnsi="Arial"/>
          <w:sz w:val="21"/>
          <w:szCs w:val="21"/>
          <w:color w:val="auto"/>
        </w:rPr>
        <w:t>were $223 million, compared to $230 million in the immediately prior quarter, and $219 million in the</w:t>
      </w:r>
      <w:r>
        <w:rPr>
          <w:rFonts w:ascii="Arial" w:cs="Arial" w:eastAsia="Arial" w:hAnsi="Arial"/>
          <w:sz w:val="21"/>
          <w:szCs w:val="21"/>
          <w:b w:val="1"/>
          <w:bCs w:val="1"/>
          <w:color w:val="auto"/>
        </w:rPr>
        <w:t xml:space="preserve"> </w:t>
      </w:r>
      <w:r>
        <w:rPr>
          <w:rFonts w:ascii="Arial" w:cs="Arial" w:eastAsia="Arial" w:hAnsi="Arial"/>
          <w:sz w:val="21"/>
          <w:szCs w:val="21"/>
          <w:color w:val="auto"/>
        </w:rPr>
        <w:t>same period one year ago, which included a one-time restructuring charge. Excluding that charge, non-GAAP operating expenses for that period were $203 million. The table reconciling non-GAAP data to the Company’s GAAP results is provided in this release on Schedule F. A more complete table covering reconciliations for prior periods is available on the Analog Devices Investor Relations website at investor.analog.com</w:t>
      </w:r>
      <w:r>
        <w:rPr>
          <w:rFonts w:ascii="Arial" w:cs="Arial" w:eastAsia="Arial" w:hAnsi="Arial"/>
          <w:sz w:val="21"/>
          <w:szCs w:val="21"/>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111760</wp:posOffset>
            </wp:positionV>
            <wp:extent cx="727202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5969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-736600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ind w:left="540"/>
        <w:spacing w:after="0"/>
        <w:rPr>
          <w:sz w:val="20"/>
          <w:szCs w:val="20"/>
          <w:color w:val="auto"/>
        </w:rPr>
      </w:pPr>
      <w:r>
        <w:rPr>
          <w:rFonts w:ascii="Arial" w:cs="Arial" w:eastAsia="Arial" w:hAnsi="Arial"/>
          <w:sz w:val="19"/>
          <w:szCs w:val="19"/>
          <w:b w:val="1"/>
          <w:bCs w:val="1"/>
          <w:color w:val="auto"/>
        </w:rPr>
        <w:t xml:space="preserve">Operating income from continuing operations </w:t>
      </w:r>
      <w:r>
        <w:rPr>
          <w:rFonts w:ascii="Arial" w:cs="Arial" w:eastAsia="Arial" w:hAnsi="Arial"/>
          <w:sz w:val="19"/>
          <w:szCs w:val="19"/>
          <w:color w:val="auto"/>
        </w:rPr>
        <w:t>was $259 million, or 35.6% of revenue, compared to $286 million,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-73025</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9" w:lineRule="exact"/>
        <w:rPr>
          <w:sz w:val="20"/>
          <w:szCs w:val="20"/>
          <w:color w:val="auto"/>
        </w:rPr>
      </w:pPr>
    </w:p>
    <w:p>
      <w:pPr>
        <w:ind w:left="540" w:right="120"/>
        <w:spacing w:after="0" w:line="234" w:lineRule="auto"/>
        <w:rPr>
          <w:sz w:val="20"/>
          <w:szCs w:val="20"/>
          <w:color w:val="auto"/>
        </w:rPr>
      </w:pPr>
      <w:r>
        <w:rPr>
          <w:rFonts w:ascii="Arial" w:cs="Arial" w:eastAsia="Arial" w:hAnsi="Arial"/>
          <w:sz w:val="22"/>
          <w:szCs w:val="22"/>
          <w:color w:val="auto"/>
        </w:rPr>
        <w:t>37.1% of revenue, in the immediately prior quarter, and $149 million, or 24.7% of revenue, in the same period one year ago, which included a one-time restructuring charge. Excluding that charge, non-GAAP operating income for that period was $166 million, or 27.5% of revenue.</w:t>
      </w:r>
    </w:p>
    <w:p>
      <w:pPr>
        <w:spacing w:after="0" w:line="100" w:lineRule="exact"/>
        <w:rPr>
          <w:sz w:val="20"/>
          <w:szCs w:val="20"/>
          <w:color w:val="auto"/>
        </w:rPr>
      </w:pPr>
    </w:p>
    <w:p>
      <w:pPr>
        <w:jc w:val="both"/>
        <w:ind w:left="540" w:right="300"/>
        <w:spacing w:after="0" w:line="254" w:lineRule="auto"/>
        <w:rPr>
          <w:sz w:val="20"/>
          <w:szCs w:val="20"/>
          <w:color w:val="auto"/>
        </w:rPr>
      </w:pPr>
      <w:r>
        <w:rPr>
          <w:rFonts w:ascii="Arial" w:cs="Arial" w:eastAsia="Arial" w:hAnsi="Arial"/>
          <w:sz w:val="21"/>
          <w:szCs w:val="21"/>
          <w:b w:val="1"/>
          <w:bCs w:val="1"/>
          <w:color w:val="auto"/>
        </w:rPr>
        <w:t xml:space="preserve">Diluted earnings per share (EPS) from continuing operations </w:t>
      </w:r>
      <w:r>
        <w:rPr>
          <w:rFonts w:ascii="Arial" w:cs="Arial" w:eastAsia="Arial" w:hAnsi="Arial"/>
          <w:sz w:val="21"/>
          <w:szCs w:val="21"/>
          <w:color w:val="auto"/>
        </w:rPr>
        <w:t>was $0.70, and non-GAAP diluted EPS from continuing</w:t>
      </w:r>
      <w:r>
        <w:rPr>
          <w:rFonts w:ascii="Arial" w:cs="Arial" w:eastAsia="Arial" w:hAnsi="Arial"/>
          <w:sz w:val="21"/>
          <w:szCs w:val="21"/>
          <w:b w:val="1"/>
          <w:bCs w:val="1"/>
          <w:color w:val="auto"/>
        </w:rPr>
        <w:t xml:space="preserve"> </w:t>
      </w:r>
      <w:r>
        <w:rPr>
          <w:rFonts w:ascii="Arial" w:cs="Arial" w:eastAsia="Arial" w:hAnsi="Arial"/>
          <w:sz w:val="21"/>
          <w:szCs w:val="21"/>
          <w:color w:val="auto"/>
        </w:rPr>
        <w:t>operations was $0.66, excluding one-time tax benefit items. This compares to $0.73 in the immediately prior quarter, and $0.39 in the same period one year ago, which included a one-time restructuring charge. Excluding that charge, non-GAAP diluted EPS from continuing operations for that period was $0.43.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-583565</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 xml:space="preserve">Diluted EPS from discontinued operations </w:t>
      </w:r>
      <w:r>
        <w:rPr>
          <w:rFonts w:ascii="Arial" w:cs="Arial" w:eastAsia="Arial" w:hAnsi="Arial"/>
          <w:sz w:val="22"/>
          <w:szCs w:val="22"/>
          <w:color w:val="auto"/>
        </w:rPr>
        <w:t>was $0.02.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right="200"/>
        <w:spacing w:after="0" w:line="256" w:lineRule="auto"/>
        <w:rPr>
          <w:sz w:val="20"/>
          <w:szCs w:val="20"/>
          <w:color w:val="auto"/>
        </w:rPr>
      </w:pPr>
      <w:r>
        <w:rPr>
          <w:rFonts w:ascii="Arial" w:cs="Arial" w:eastAsia="Arial" w:hAnsi="Arial"/>
          <w:sz w:val="22"/>
          <w:szCs w:val="22"/>
          <w:b w:val="1"/>
          <w:bCs w:val="1"/>
          <w:color w:val="auto"/>
        </w:rPr>
        <w:t xml:space="preserve">The Board of Directors declared a cash dividend </w:t>
      </w:r>
      <w:r>
        <w:rPr>
          <w:rFonts w:ascii="Arial" w:cs="Arial" w:eastAsia="Arial" w:hAnsi="Arial"/>
          <w:sz w:val="22"/>
          <w:szCs w:val="22"/>
          <w:color w:val="auto"/>
        </w:rPr>
        <w:t>of $0.22 per outstanding share of common stock, which will be paid on</w:t>
      </w:r>
      <w:r>
        <w:rPr>
          <w:rFonts w:ascii="Arial" w:cs="Arial" w:eastAsia="Arial" w:hAnsi="Arial"/>
          <w:sz w:val="22"/>
          <w:szCs w:val="22"/>
          <w:b w:val="1"/>
          <w:bCs w:val="1"/>
          <w:color w:val="auto"/>
        </w:rPr>
        <w:t xml:space="preserve"> </w:t>
      </w:r>
      <w:r>
        <w:rPr>
          <w:rFonts w:ascii="Arial" w:cs="Arial" w:eastAsia="Arial" w:hAnsi="Arial"/>
          <w:sz w:val="22"/>
          <w:szCs w:val="22"/>
          <w:color w:val="auto"/>
        </w:rPr>
        <w:t>March 23, 2011 to all shareholders of record at the close of business on March 4,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2" w:lineRule="exact"/>
        <w:rPr>
          <w:sz w:val="20"/>
          <w:szCs w:val="20"/>
          <w:color w:val="auto"/>
        </w:rPr>
      </w:pPr>
    </w:p>
    <w:p>
      <w:pPr>
        <w:jc w:val="both"/>
        <w:ind w:left="540" w:right="380"/>
        <w:spacing w:after="0" w:line="243" w:lineRule="auto"/>
        <w:rPr>
          <w:sz w:val="20"/>
          <w:szCs w:val="20"/>
          <w:color w:val="auto"/>
        </w:rPr>
      </w:pPr>
      <w:r>
        <w:rPr>
          <w:rFonts w:ascii="Arial" w:cs="Arial" w:eastAsia="Arial" w:hAnsi="Arial"/>
          <w:sz w:val="22"/>
          <w:szCs w:val="22"/>
          <w:b w:val="1"/>
          <w:bCs w:val="1"/>
          <w:color w:val="auto"/>
        </w:rPr>
        <w:t xml:space="preserve">Net cash provided by operating activities </w:t>
      </w:r>
      <w:r>
        <w:rPr>
          <w:rFonts w:ascii="Arial" w:cs="Arial" w:eastAsia="Arial" w:hAnsi="Arial"/>
          <w:sz w:val="22"/>
          <w:szCs w:val="22"/>
          <w:color w:val="auto"/>
        </w:rPr>
        <w:t>was $217 million, or 30% of revenue. Capital expenditures were $26 million,</w:t>
      </w:r>
      <w:r>
        <w:rPr>
          <w:rFonts w:ascii="Arial" w:cs="Arial" w:eastAsia="Arial" w:hAnsi="Arial"/>
          <w:sz w:val="22"/>
          <w:szCs w:val="22"/>
          <w:b w:val="1"/>
          <w:bCs w:val="1"/>
          <w:color w:val="auto"/>
        </w:rPr>
        <w:t xml:space="preserve"> </w:t>
      </w:r>
      <w:r>
        <w:rPr>
          <w:rFonts w:ascii="Arial" w:cs="Arial" w:eastAsia="Arial" w:hAnsi="Arial"/>
          <w:sz w:val="22"/>
          <w:szCs w:val="22"/>
          <w:color w:val="auto"/>
        </w:rPr>
        <w:t>cash dividends paid were $66 million, and approximately $114 million was used to repurchase 3.1 million shares of ADI stock during the first quarter of fiscal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-422275</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6" w:lineRule="exact"/>
        <w:rPr>
          <w:sz w:val="20"/>
          <w:szCs w:val="20"/>
          <w:color w:val="auto"/>
        </w:rPr>
      </w:pPr>
    </w:p>
    <w:p>
      <w:pPr>
        <w:ind w:left="540" w:right="140"/>
        <w:spacing w:after="0" w:line="256" w:lineRule="auto"/>
        <w:rPr>
          <w:sz w:val="20"/>
          <w:szCs w:val="20"/>
          <w:color w:val="auto"/>
        </w:rPr>
      </w:pPr>
      <w:r>
        <w:rPr>
          <w:rFonts w:ascii="Arial" w:cs="Arial" w:eastAsia="Arial" w:hAnsi="Arial"/>
          <w:sz w:val="22"/>
          <w:szCs w:val="22"/>
          <w:b w:val="1"/>
          <w:bCs w:val="1"/>
          <w:color w:val="auto"/>
        </w:rPr>
        <w:t xml:space="preserve">Cash and short-term investments </w:t>
      </w:r>
      <w:r>
        <w:rPr>
          <w:rFonts w:ascii="Arial" w:cs="Arial" w:eastAsia="Arial" w:hAnsi="Arial"/>
          <w:sz w:val="22"/>
          <w:szCs w:val="22"/>
          <w:color w:val="auto"/>
        </w:rPr>
        <w:t>at the end of the first quarter of fiscal 2011 totaled $3.0 billion, compared to $2.7 billion</w:t>
      </w:r>
      <w:r>
        <w:rPr>
          <w:rFonts w:ascii="Arial" w:cs="Arial" w:eastAsia="Arial" w:hAnsi="Arial"/>
          <w:sz w:val="22"/>
          <w:szCs w:val="22"/>
          <w:b w:val="1"/>
          <w:bCs w:val="1"/>
          <w:color w:val="auto"/>
        </w:rPr>
        <w:t xml:space="preserve"> </w:t>
      </w:r>
      <w:r>
        <w:rPr>
          <w:rFonts w:ascii="Arial" w:cs="Arial" w:eastAsia="Arial" w:hAnsi="Arial"/>
          <w:sz w:val="22"/>
          <w:szCs w:val="22"/>
          <w:color w:val="auto"/>
        </w:rPr>
        <w:t>at the end of the immediately prior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2" w:lineRule="exact"/>
        <w:rPr>
          <w:sz w:val="20"/>
          <w:szCs w:val="20"/>
          <w:color w:val="auto"/>
        </w:rPr>
      </w:pPr>
    </w:p>
    <w:p>
      <w:pPr>
        <w:ind w:left="540" w:right="140"/>
        <w:spacing w:after="0" w:line="256" w:lineRule="auto"/>
        <w:rPr>
          <w:sz w:val="20"/>
          <w:szCs w:val="20"/>
          <w:color w:val="auto"/>
        </w:rPr>
      </w:pPr>
      <w:r>
        <w:rPr>
          <w:rFonts w:ascii="Arial" w:cs="Arial" w:eastAsia="Arial" w:hAnsi="Arial"/>
          <w:sz w:val="22"/>
          <w:szCs w:val="22"/>
          <w:b w:val="1"/>
          <w:bCs w:val="1"/>
          <w:color w:val="auto"/>
        </w:rPr>
        <w:t xml:space="preserve">Accounts receivable </w:t>
      </w:r>
      <w:r>
        <w:rPr>
          <w:rFonts w:ascii="Arial" w:cs="Arial" w:eastAsia="Arial" w:hAnsi="Arial"/>
          <w:sz w:val="22"/>
          <w:szCs w:val="22"/>
          <w:color w:val="auto"/>
        </w:rPr>
        <w:t>in the first quarter of fiscal 2011, as measured by days sales outstanding, was 48 days, compared to 46</w:t>
      </w:r>
      <w:r>
        <w:rPr>
          <w:rFonts w:ascii="Arial" w:cs="Arial" w:eastAsia="Arial" w:hAnsi="Arial"/>
          <w:sz w:val="22"/>
          <w:szCs w:val="22"/>
          <w:b w:val="1"/>
          <w:bCs w:val="1"/>
          <w:color w:val="auto"/>
        </w:rPr>
        <w:t xml:space="preserve"> </w:t>
      </w:r>
      <w:r>
        <w:rPr>
          <w:rFonts w:ascii="Arial" w:cs="Arial" w:eastAsia="Arial" w:hAnsi="Arial"/>
          <w:sz w:val="22"/>
          <w:szCs w:val="22"/>
          <w:color w:val="auto"/>
        </w:rPr>
        <w:t>days at the end of the immediately prior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2" w:lineRule="exact"/>
        <w:rPr>
          <w:sz w:val="20"/>
          <w:szCs w:val="20"/>
          <w:color w:val="auto"/>
        </w:rPr>
      </w:pPr>
    </w:p>
    <w:p>
      <w:pPr>
        <w:ind w:left="540" w:right="200"/>
        <w:spacing w:after="0" w:line="243" w:lineRule="auto"/>
        <w:rPr>
          <w:sz w:val="20"/>
          <w:szCs w:val="20"/>
          <w:color w:val="auto"/>
        </w:rPr>
      </w:pPr>
      <w:r>
        <w:rPr>
          <w:rFonts w:ascii="Arial" w:cs="Arial" w:eastAsia="Arial" w:hAnsi="Arial"/>
          <w:sz w:val="22"/>
          <w:szCs w:val="22"/>
          <w:b w:val="1"/>
          <w:bCs w:val="1"/>
          <w:color w:val="auto"/>
        </w:rPr>
        <w:t xml:space="preserve">Inventory </w:t>
      </w:r>
      <w:r>
        <w:rPr>
          <w:rFonts w:ascii="Arial" w:cs="Arial" w:eastAsia="Arial" w:hAnsi="Arial"/>
          <w:sz w:val="22"/>
          <w:szCs w:val="22"/>
          <w:color w:val="auto"/>
        </w:rPr>
        <w:t>at the end of the first quarter of fiscal 2011 increased by $6 million, or 2%, compared to the immediately prior</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Days in inventory was 105 days at the end of the first quarter of fiscal 2011, compared to 100 days at the end of the immediately prior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-422275</wp:posOffset>
            </wp:positionV>
            <wp:extent cx="68580"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Outlook for the Second Quarter of Fiscal 2011</w:t>
      </w:r>
    </w:p>
    <w:p>
      <w:pPr>
        <w:spacing w:after="0" w:line="206" w:lineRule="exact"/>
        <w:rPr>
          <w:sz w:val="20"/>
          <w:szCs w:val="20"/>
          <w:color w:val="auto"/>
        </w:rPr>
      </w:pPr>
    </w:p>
    <w:p>
      <w:pPr>
        <w:jc w:val="both"/>
        <w:ind w:right="240"/>
        <w:spacing w:after="0"/>
        <w:rPr>
          <w:sz w:val="20"/>
          <w:szCs w:val="20"/>
          <w:color w:val="auto"/>
        </w:rPr>
      </w:pPr>
      <w:r>
        <w:rPr>
          <w:rFonts w:ascii="Arial" w:cs="Arial" w:eastAsia="Arial" w:hAnsi="Arial"/>
          <w:sz w:val="22"/>
          <w:szCs w:val="22"/>
          <w:i w:val="1"/>
          <w:iCs w:val="1"/>
          <w:color w:val="auto"/>
        </w:rPr>
        <w:t>The following statements are based on current expectations. These statements are forward- looking and actual results may differ materially, including as a result of the important factors discussed at the end of this release. These statements supersede all prior statements regarding business outlook set forth in prior ADI news releases.</w:t>
      </w:r>
    </w:p>
    <w:p>
      <w:pPr>
        <w:spacing w:after="0" w:line="186"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Regarding the outlook for the second quarter of fiscal 2011, Mr. Fishman stated, “Order trends were strong in the first quarter. Our book-to-bill ratio, as measured by end customer bookings, was approximately one and our backlog increased slightly. Importantly, orders from our OEM customers increased above fourth quarter levels. These trends, coupled with input from our largest customers that demand is strong across their end markets, give us confidence that the inventory correction is mostly behind us at ADI. As a result, we are planning for second quarter revenue to be in the range of $730 million to $760 million, flat to up 4% sequentially, and up 9% to 14% on a year-to-year basis. We are planning for our gross margin to increase to approximately 66.5% of sales based on our current mix assumptions, and for our operating expenses to grow in the range of 2% to 3% primarily as a result of the annual salary increase which took effect at the beginning of the second quarter. For the balance of the year, we are planning for expenses to grow slower than revenues. On an earnings per share basis, we anticipate that our diluted EPS from continuing operations for the second quarter will be in the range of $0.65 to $0.69.”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727202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Conference Call Scheduled for 5:00 pm ET</w:t>
      </w:r>
    </w:p>
    <w:p>
      <w:pPr>
        <w:spacing w:after="0" w:line="213"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Mr. Fishman will discuss the first quarter results and short-term outlook via webcast, accessible at investor.analog.com, today, beginning at 5:00 pm ET. Investors who prefer to join by telephone may call 706-634-7193 ten minutes before the call begins and provide the password "ADI."</w:t>
      </w:r>
    </w:p>
    <w:p>
      <w:pPr>
        <w:spacing w:after="0" w:line="18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A replay will be available almost immediately after the call. The replay may be accessed for up to one week by dialing 800-642-1687 (replay only) and providing the conference ID: 40955094, or by visiting investor.analog.com.</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Information</w:t>
      </w:r>
    </w:p>
    <w:p>
      <w:pPr>
        <w:spacing w:after="0" w:line="212" w:lineRule="exact"/>
        <w:rPr>
          <w:sz w:val="20"/>
          <w:szCs w:val="20"/>
          <w:color w:val="auto"/>
        </w:rPr>
      </w:pPr>
    </w:p>
    <w:p>
      <w:pPr>
        <w:ind w:right="360"/>
        <w:spacing w:after="0" w:line="258" w:lineRule="auto"/>
        <w:rPr>
          <w:sz w:val="20"/>
          <w:szCs w:val="20"/>
          <w:color w:val="auto"/>
        </w:rPr>
      </w:pPr>
      <w:r>
        <w:rPr>
          <w:rFonts w:ascii="Arial" w:cs="Arial" w:eastAsia="Arial" w:hAnsi="Arial"/>
          <w:sz w:val="21"/>
          <w:szCs w:val="21"/>
          <w:color w:val="auto"/>
        </w:rPr>
        <w:t>This release includes non-GAAP financial measures for prior periods that are not in accordance with, nor an alternative to, generally accepted accounting principles and may be different from non-GAAP measures used by other companies. In addition, these non-GAAP measures are not based on any comprehensive set of accounting rules or principles.</w:t>
      </w:r>
    </w:p>
    <w:p>
      <w:pPr>
        <w:spacing w:after="0" w:line="167" w:lineRule="exact"/>
        <w:rPr>
          <w:sz w:val="20"/>
          <w:szCs w:val="20"/>
          <w:color w:val="auto"/>
        </w:rPr>
      </w:pPr>
    </w:p>
    <w:p>
      <w:pPr>
        <w:ind w:right="880"/>
        <w:spacing w:after="0" w:line="435" w:lineRule="auto"/>
        <w:rPr>
          <w:sz w:val="20"/>
          <w:szCs w:val="20"/>
          <w:color w:val="auto"/>
        </w:rPr>
      </w:pPr>
      <w:r>
        <w:rPr>
          <w:rFonts w:ascii="Arial" w:cs="Arial" w:eastAsia="Arial" w:hAnsi="Arial"/>
          <w:sz w:val="22"/>
          <w:szCs w:val="22"/>
          <w:i w:val="1"/>
          <w:iCs w:val="1"/>
          <w:color w:val="auto"/>
        </w:rPr>
        <w:t xml:space="preserve">Schedule F of this press release provides the reconciliation of the Company’s non-GAAP measures to its GAAP measures. </w:t>
      </w:r>
      <w:r>
        <w:rPr>
          <w:rFonts w:ascii="Arial" w:cs="Arial" w:eastAsia="Arial" w:hAnsi="Arial"/>
          <w:sz w:val="22"/>
          <w:szCs w:val="22"/>
          <w:b w:val="1"/>
          <w:bCs w:val="1"/>
          <w:u w:val="single" w:color="auto"/>
          <w:color w:val="auto"/>
        </w:rPr>
        <w:t>Manner in Which Management Uses the Non-GAAP Financial Measures</w:t>
      </w:r>
    </w:p>
    <w:p>
      <w:pPr>
        <w:spacing w:after="0" w:line="1" w:lineRule="exact"/>
        <w:rPr>
          <w:sz w:val="20"/>
          <w:szCs w:val="20"/>
          <w:color w:val="auto"/>
        </w:rPr>
      </w:pPr>
    </w:p>
    <w:p>
      <w:pPr>
        <w:ind w:right="320"/>
        <w:spacing w:after="0" w:line="238" w:lineRule="auto"/>
        <w:rPr>
          <w:sz w:val="20"/>
          <w:szCs w:val="20"/>
          <w:color w:val="auto"/>
        </w:rPr>
      </w:pPr>
      <w:r>
        <w:rPr>
          <w:rFonts w:ascii="Arial" w:cs="Arial" w:eastAsia="Arial" w:hAnsi="Arial"/>
          <w:sz w:val="22"/>
          <w:szCs w:val="22"/>
          <w:color w:val="auto"/>
        </w:rPr>
        <w:t>Management uses non-GAAP operating expenses, non-GAAP operating income, non-GAAP operating margin, and non-GAAP diluted earnings per share to evaluate the Company’s operating performance against past periods and to budget and allocate resources in future periods. These non-GAAP measures also assist management in understanding and evaluating the Company’s operating results and trends in the Company’s business.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Economic Substance Behind Management’s Decision to Use Non-GAAP Financial Measures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The items excluded from the non-GAAP measures were excluded because they are of a non-recurring or non-cash nature.</w:t>
      </w:r>
    </w:p>
    <w:p>
      <w:pPr>
        <w:spacing w:after="0" w:line="212" w:lineRule="exact"/>
        <w:rPr>
          <w:sz w:val="20"/>
          <w:szCs w:val="20"/>
          <w:color w:val="auto"/>
        </w:rPr>
      </w:pPr>
    </w:p>
    <w:p>
      <w:pPr>
        <w:ind w:right="480"/>
        <w:spacing w:after="0" w:line="256" w:lineRule="auto"/>
        <w:rPr>
          <w:sz w:val="20"/>
          <w:szCs w:val="20"/>
          <w:color w:val="auto"/>
        </w:rPr>
      </w:pPr>
      <w:r>
        <w:rPr>
          <w:rFonts w:ascii="Arial" w:cs="Arial" w:eastAsia="Arial" w:hAnsi="Arial"/>
          <w:sz w:val="22"/>
          <w:szCs w:val="22"/>
          <w:b w:val="1"/>
          <w:bCs w:val="1"/>
          <w:color w:val="auto"/>
        </w:rPr>
        <w:t>The following item is excluded from our non-GAAP operating expenses, non-GAAP operating income, and non-GAAP operating margin:</w:t>
      </w:r>
    </w:p>
    <w:p>
      <w:pPr>
        <w:spacing w:after="0" w:line="169" w:lineRule="exact"/>
        <w:rPr>
          <w:sz w:val="20"/>
          <w:szCs w:val="20"/>
          <w:color w:val="auto"/>
        </w:rPr>
      </w:pPr>
    </w:p>
    <w:p>
      <w:pPr>
        <w:ind w:right="160"/>
        <w:spacing w:after="0" w:line="258" w:lineRule="auto"/>
        <w:rPr>
          <w:sz w:val="20"/>
          <w:szCs w:val="20"/>
          <w:color w:val="auto"/>
        </w:rPr>
      </w:pPr>
      <w:r>
        <w:rPr>
          <w:rFonts w:ascii="Arial" w:cs="Arial" w:eastAsia="Arial" w:hAnsi="Arial"/>
          <w:sz w:val="21"/>
          <w:szCs w:val="21"/>
          <w:i w:val="1"/>
          <w:iCs w:val="1"/>
          <w:color w:val="auto"/>
        </w:rPr>
        <w:t xml:space="preserve">Restructuring-Related Expenses. </w:t>
      </w:r>
      <w:r>
        <w:rPr>
          <w:rFonts w:ascii="Arial" w:cs="Arial" w:eastAsia="Arial" w:hAnsi="Arial"/>
          <w:sz w:val="21"/>
          <w:szCs w:val="21"/>
          <w:color w:val="auto"/>
        </w:rPr>
        <w:t>These expenses are incurred in connection with facility closures, consolidation of manufacturing</w:t>
      </w:r>
      <w:r>
        <w:rPr>
          <w:rFonts w:ascii="Arial" w:cs="Arial" w:eastAsia="Arial" w:hAnsi="Arial"/>
          <w:sz w:val="21"/>
          <w:szCs w:val="21"/>
          <w:i w:val="1"/>
          <w:iCs w:val="1"/>
          <w:color w:val="auto"/>
        </w:rPr>
        <w:t xml:space="preserve"> </w:t>
      </w:r>
      <w:r>
        <w:rPr>
          <w:rFonts w:ascii="Arial" w:cs="Arial" w:eastAsia="Arial" w:hAnsi="Arial"/>
          <w:sz w:val="21"/>
          <w:szCs w:val="21"/>
          <w:color w:val="auto"/>
        </w:rPr>
        <w:t>facilities, and other cost reduction efforts. Apart from ongoing expense savings as a result of such items, these expenses and the related tax effects have no direct correlation to the operation of our business in the future.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following items are excluded from our non-GAAP diluted earnings per share:</w:t>
      </w:r>
    </w:p>
    <w:p>
      <w:pPr>
        <w:spacing w:after="0" w:line="212" w:lineRule="exact"/>
        <w:rPr>
          <w:sz w:val="20"/>
          <w:szCs w:val="20"/>
          <w:color w:val="auto"/>
        </w:rPr>
      </w:pPr>
    </w:p>
    <w:p>
      <w:pPr>
        <w:ind w:right="160"/>
        <w:spacing w:after="0" w:line="258" w:lineRule="auto"/>
        <w:rPr>
          <w:sz w:val="20"/>
          <w:szCs w:val="20"/>
          <w:color w:val="auto"/>
        </w:rPr>
      </w:pPr>
      <w:r>
        <w:rPr>
          <w:rFonts w:ascii="Arial" w:cs="Arial" w:eastAsia="Arial" w:hAnsi="Arial"/>
          <w:sz w:val="21"/>
          <w:szCs w:val="21"/>
          <w:i w:val="1"/>
          <w:iCs w:val="1"/>
          <w:color w:val="auto"/>
        </w:rPr>
        <w:t xml:space="preserve">Restructuring-Related Expenses. </w:t>
      </w:r>
      <w:r>
        <w:rPr>
          <w:rFonts w:ascii="Arial" w:cs="Arial" w:eastAsia="Arial" w:hAnsi="Arial"/>
          <w:sz w:val="21"/>
          <w:szCs w:val="21"/>
          <w:color w:val="auto"/>
        </w:rPr>
        <w:t>These expenses are incurred in connection with facility closures, consolidation of manufacturing</w:t>
      </w:r>
      <w:r>
        <w:rPr>
          <w:rFonts w:ascii="Arial" w:cs="Arial" w:eastAsia="Arial" w:hAnsi="Arial"/>
          <w:sz w:val="21"/>
          <w:szCs w:val="21"/>
          <w:i w:val="1"/>
          <w:iCs w:val="1"/>
          <w:color w:val="auto"/>
        </w:rPr>
        <w:t xml:space="preserve"> </w:t>
      </w:r>
      <w:r>
        <w:rPr>
          <w:rFonts w:ascii="Arial" w:cs="Arial" w:eastAsia="Arial" w:hAnsi="Arial"/>
          <w:sz w:val="21"/>
          <w:szCs w:val="21"/>
          <w:color w:val="auto"/>
        </w:rPr>
        <w:t>facilities, and other cost reduction efforts. Apart from ongoing expense savings as a result of such items, these expenses and the related tax effects have no direct correlation to the operation of our business in the future.</w:t>
      </w:r>
    </w:p>
    <w:p>
      <w:pPr>
        <w:spacing w:after="0" w:line="167" w:lineRule="exact"/>
        <w:rPr>
          <w:sz w:val="20"/>
          <w:szCs w:val="20"/>
          <w:color w:val="auto"/>
        </w:rPr>
      </w:pPr>
    </w:p>
    <w:p>
      <w:pPr>
        <w:spacing w:after="0" w:line="282" w:lineRule="auto"/>
        <w:rPr>
          <w:sz w:val="20"/>
          <w:szCs w:val="20"/>
          <w:color w:val="auto"/>
        </w:rPr>
      </w:pPr>
      <w:r>
        <w:rPr>
          <w:rFonts w:ascii="Arial" w:cs="Arial" w:eastAsia="Arial" w:hAnsi="Arial"/>
          <w:sz w:val="19"/>
          <w:szCs w:val="19"/>
          <w:i w:val="1"/>
          <w:iCs w:val="1"/>
          <w:color w:val="auto"/>
        </w:rPr>
        <w:t xml:space="preserve">Tax-Related Items. </w:t>
      </w:r>
      <w:r>
        <w:rPr>
          <w:rFonts w:ascii="Arial" w:cs="Arial" w:eastAsia="Arial" w:hAnsi="Arial"/>
          <w:sz w:val="19"/>
          <w:szCs w:val="19"/>
          <w:color w:val="auto"/>
        </w:rPr>
        <w:t>The Company recorded a $13 million tax benefit related to taxes that are one-time in nature. These one-time tax</w:t>
      </w:r>
      <w:r>
        <w:rPr>
          <w:rFonts w:ascii="Arial" w:cs="Arial" w:eastAsia="Arial" w:hAnsi="Arial"/>
          <w:sz w:val="19"/>
          <w:szCs w:val="19"/>
          <w:i w:val="1"/>
          <w:iCs w:val="1"/>
          <w:color w:val="auto"/>
        </w:rPr>
        <w:t xml:space="preserve"> </w:t>
      </w:r>
      <w:r>
        <w:rPr>
          <w:rFonts w:ascii="Arial" w:cs="Arial" w:eastAsia="Arial" w:hAnsi="Arial"/>
          <w:sz w:val="19"/>
          <w:szCs w:val="19"/>
          <w:color w:val="auto"/>
        </w:rPr>
        <w:t>items included the reinstatement of the R&amp;D tax credit in December 2010, retroactive to January 1, 2010; a reduction in a state tax credit valuation reserve we had recorded in prior years, which we now believe we can recover; and a benefit from the increase to the Irish deferred tax asset as a result of the increase in the Irish manufacturing tax rate from 10% to 12.5%. We excluded these tax-related items from our non-GAAP measures because they are not associated with the tax expense on our current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27202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u w:val="single" w:color="auto"/>
          <w:color w:val="auto"/>
        </w:rPr>
        <w:t>Why Management Believes the Non-GAAP Financial Measures Provide Useful Information to Investors</w:t>
      </w:r>
    </w:p>
    <w:p>
      <w:pPr>
        <w:spacing w:after="0" w:line="213"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Management believes that the presentation of non-GAAP operating expenses, non-GAAP operating income, non-GAAP operating margin, and non-GAAP diluted EPS is useful to investors because it provides investors with the operating results that management uses to manage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Material Limitations Associated with Use of the Non-GAAP Financial Measures</w:t>
      </w:r>
    </w:p>
    <w:p>
      <w:pPr>
        <w:spacing w:after="0" w:line="212" w:lineRule="exact"/>
        <w:rPr>
          <w:sz w:val="20"/>
          <w:szCs w:val="20"/>
          <w:color w:val="auto"/>
        </w:rPr>
      </w:pPr>
    </w:p>
    <w:p>
      <w:pPr>
        <w:ind w:right="40"/>
        <w:spacing w:after="0" w:line="247" w:lineRule="auto"/>
        <w:rPr>
          <w:sz w:val="20"/>
          <w:szCs w:val="20"/>
          <w:color w:val="auto"/>
        </w:rPr>
      </w:pPr>
      <w:r>
        <w:rPr>
          <w:rFonts w:ascii="Arial" w:cs="Arial" w:eastAsia="Arial" w:hAnsi="Arial"/>
          <w:sz w:val="21"/>
          <w:szCs w:val="21"/>
          <w:color w:val="auto"/>
        </w:rPr>
        <w:t>Analog Devices believes that non-GAAP operating expenses, non-GAAP operating income, non-GAAP operating margin, and non-GAAP diluted EPS have material limitations in that they do not reflect all of the amounts associated with our results of operations as determined in accordance with GAAP and that these measures should only be used to evaluate our results of operations in conjunction with the corresponding GAAP measures. In addition, our non-GAAP measures may not be comparable to the non-GAAP measures reported by other companies. The Company’s use of non-GAAP measures, and the underlying methodology in excluding certain items, is not necessarily an indication of the results of operations that may be expected in the future, or that the Company will not, in fact, record such items in future periods.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Management’s Compensation for Limitations of Non-GAAP Financial Measures</w:t>
      </w:r>
    </w:p>
    <w:p>
      <w:pPr>
        <w:spacing w:after="0" w:line="212"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auto"/>
        </w:rPr>
        <w:t>Management compensates for these material limitations in non-GAAP operating expenses, non-GAAP operating income, non-GAAP operating margin, and non-GAAP diluted EPS by also evaluating our GAAP results and the reconciliations of our non-GAAP measures to the most directly comparable GAAP measures. Investors should consider our non-GAAP financial measures in conjunction with the corresponding GAAP measures.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Analog Devices, Inc.</w:t>
      </w:r>
    </w:p>
    <w:p>
      <w:pPr>
        <w:spacing w:after="0" w:line="212"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Innovation, performance, and excellence are the cultural pillars on which Analog Devices has built one of the longest standing, highest growth companies within the technology sector. Acknowledged industry-wide as the world leader in data conversion and signal conditioning technology, Analog Devices serves over 60,000 customers, representing virtually all types of electronic equipment. Celebrating over 40 years as a leading global manufacturer of high-performance integrated circuits used in analog and digital signal processing applications, Analog Devices is headquartered in Norwood, Massachusetts, with design and manufacturing facilities throughout the world. Analog Devices' common stock is listed on the New York Stock Exchange under the ticker “ADI” and is included in the S&amp;P 500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272020"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 w:name="page9"/>
    <w:bookmarkEnd w:id="8"/>
    <w:p>
      <w:pPr>
        <w:spacing w:after="0" w:line="269" w:lineRule="auto"/>
        <w:rPr>
          <w:sz w:val="20"/>
          <w:szCs w:val="20"/>
          <w:color w:val="auto"/>
        </w:rPr>
      </w:pPr>
      <w:r>
        <w:rPr>
          <w:rFonts w:ascii="Arial" w:cs="Arial" w:eastAsia="Arial" w:hAnsi="Arial"/>
          <w:sz w:val="19"/>
          <w:szCs w:val="19"/>
          <w:i w:val="1"/>
          <w:iCs w:val="1"/>
          <w:color w:val="auto"/>
        </w:rPr>
        <w:t>This release may be deemed to contain forward-looking statements which include, among other things, our statements regarding expected revenue, earnings, earnings per share, operating expenses, backlog, inventory levels, gross margin, operating margin, and other financial results, expected market trends, growth opportunities and business strategy, our competitiveness, expected customer demand for our products, and expected results of our ongoing expense management efforts, that are based on our current expectations, beliefs, assumptions, estimates, forecasts, and projections about the industry and markets in which Analog Devices operates. The statements contained in this release are not guarantees of future performance, are inherently uncertain, involve certain risks, uncertainties, and assumptions that are difficult to predict, and do not give effect to the potential impact of any mergers, acquisitions, divestitures, or business combinations that may be announced or closed after the date hereof. Therefore, actual outcomes and results may differ materially from what is expressed in such forward-looking statements, and such statements should not be relied upon as representing Analog Devices’ expectations or beliefs as of any date subsequent to the date of this press release. We do not undertake any obligation to update forward-looking statements made by us. Important factors that may affect future operating results include: any faltering in the apparent improvement of economic conditions and financial markets following the recent crisis in global credit and financial markets, erosion of consumer confidence and declines in customer spending, the effects of declines in customer demand for our products and for end products that incorporate our products, competitive pricing pressures, unavailability of raw materials or wafer fabrication, assembly and test capacity, any delay or cancellation of significant customer orders, changes in geographic, product or customer mix, inability to license third party intellectual property, inability to meet customer demand, adverse results in litigation matters, and other risk factors described in our most recent filings with the Securities and Exchange Commission. Our results of operations for the periods presented in this release are not necessarily indicative of our operating results for any future periods. Any projections in this release are based on limited information currently available to Analog Devices, which is subject to change. Although any such projections and the factors influencing them will likely change, we will not necessarily update the information, as we will only provide guidance at certain points during the year. Such information speaks only as of the original issuance date of this release.</w:t>
      </w:r>
    </w:p>
    <w:p>
      <w:pPr>
        <w:spacing w:after="0" w:line="177"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Analog Devices and the Analog Devices logo are registered trademarks or trademarks of Analog Devices, Inc. All other trademarks mentioned in this document are the property of their respective owners.</w:t>
      </w:r>
    </w:p>
    <w:p>
      <w:pPr>
        <w:spacing w:after="0" w:line="167" w:lineRule="exact"/>
        <w:rPr>
          <w:sz w:val="20"/>
          <w:szCs w:val="20"/>
          <w:color w:val="auto"/>
        </w:rPr>
      </w:pPr>
    </w:p>
    <w:p>
      <w:pPr>
        <w:ind w:right="100"/>
        <w:spacing w:after="0" w:line="256" w:lineRule="auto"/>
        <w:rPr>
          <w:sz w:val="20"/>
          <w:szCs w:val="20"/>
          <w:color w:val="auto"/>
        </w:rPr>
      </w:pPr>
      <w:r>
        <w:rPr>
          <w:rFonts w:ascii="Arial" w:cs="Arial" w:eastAsia="Arial" w:hAnsi="Arial"/>
          <w:sz w:val="22"/>
          <w:szCs w:val="22"/>
          <w:b w:val="1"/>
          <w:bCs w:val="1"/>
          <w:color w:val="auto"/>
        </w:rPr>
        <w:t xml:space="preserve">For more information, please contact: </w:t>
      </w:r>
      <w:r>
        <w:rPr>
          <w:rFonts w:ascii="Arial" w:cs="Arial" w:eastAsia="Arial" w:hAnsi="Arial"/>
          <w:sz w:val="22"/>
          <w:szCs w:val="22"/>
          <w:color w:val="auto"/>
        </w:rPr>
        <w:t>Mindy Kohl, Director of Investor Relations, Analog Devices, Inc. 781-461-3282 (phone);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781-461-3491 (fax); </w:t>
      </w:r>
      <w:r>
        <w:rPr>
          <w:rFonts w:ascii="Arial" w:cs="Arial" w:eastAsia="Arial" w:hAnsi="Arial"/>
          <w:sz w:val="22"/>
          <w:szCs w:val="22"/>
          <w:u w:val="single" w:color="auto"/>
          <w:color w:val="auto"/>
        </w:rPr>
        <w:t>investor.relations@analog.com</w:t>
      </w:r>
      <w:r>
        <w:rPr>
          <w:rFonts w:ascii="Arial" w:cs="Arial" w:eastAsia="Arial" w:hAnsi="Arial"/>
          <w:sz w:val="22"/>
          <w:szCs w:val="22"/>
          <w:color w:val="auto"/>
        </w:rPr>
        <w:t xml:space="preserve">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272020"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Analog Devices, First Quarter, Fiscal 2011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Schedule A</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Sales/Earnings Summary (GAAP)</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per-share amounts)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Three Months Ended</w:t>
            </w:r>
          </w:p>
        </w:tc>
        <w:tc>
          <w:tcPr>
            <w:tcW w:w="28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spacing w:after="0"/>
              <w:rPr>
                <w:sz w:val="16"/>
                <w:szCs w:val="16"/>
                <w:color w:val="auto"/>
              </w:rPr>
            </w:pPr>
          </w:p>
        </w:tc>
      </w:tr>
      <w:tr>
        <w:trPr>
          <w:trHeight w:val="160"/>
        </w:trPr>
        <w:tc>
          <w:tcPr>
            <w:tcW w:w="20" w:type="dxa"/>
            <w:vAlign w:val="bottom"/>
          </w:tcPr>
          <w:p>
            <w:pPr>
              <w:spacing w:after="0"/>
              <w:rPr>
                <w:sz w:val="13"/>
                <w:szCs w:val="13"/>
                <w:color w:val="auto"/>
              </w:rPr>
            </w:pPr>
          </w:p>
        </w:tc>
        <w:tc>
          <w:tcPr>
            <w:tcW w:w="7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center"/>
              <w:ind w:right="208"/>
              <w:spacing w:after="0" w:line="160" w:lineRule="exact"/>
              <w:rPr>
                <w:sz w:val="20"/>
                <w:szCs w:val="20"/>
                <w:color w:val="auto"/>
              </w:rPr>
            </w:pPr>
            <w:r>
              <w:rPr>
                <w:rFonts w:ascii="Arial" w:cs="Arial" w:eastAsia="Arial" w:hAnsi="Arial"/>
                <w:sz w:val="14"/>
                <w:szCs w:val="14"/>
                <w:b w:val="1"/>
                <w:bCs w:val="1"/>
                <w:color w:val="auto"/>
                <w:w w:val="89"/>
              </w:rPr>
              <w:t>1Q 11</w:t>
            </w:r>
          </w:p>
        </w:tc>
        <w:tc>
          <w:tcPr>
            <w:tcW w:w="340" w:type="dxa"/>
            <w:vAlign w:val="bottom"/>
          </w:tcPr>
          <w:p>
            <w:pPr>
              <w:spacing w:after="0"/>
              <w:rPr>
                <w:sz w:val="13"/>
                <w:szCs w:val="13"/>
                <w:color w:val="auto"/>
              </w:rPr>
            </w:pPr>
          </w:p>
        </w:tc>
        <w:tc>
          <w:tcPr>
            <w:tcW w:w="1120" w:type="dxa"/>
            <w:vAlign w:val="bottom"/>
          </w:tcPr>
          <w:p>
            <w:pPr>
              <w:jc w:val="center"/>
              <w:ind w:right="288"/>
              <w:spacing w:after="0" w:line="160" w:lineRule="exact"/>
              <w:rPr>
                <w:sz w:val="20"/>
                <w:szCs w:val="20"/>
                <w:color w:val="auto"/>
              </w:rPr>
            </w:pPr>
            <w:r>
              <w:rPr>
                <w:rFonts w:ascii="Arial" w:cs="Arial" w:eastAsia="Arial" w:hAnsi="Arial"/>
                <w:sz w:val="14"/>
                <w:szCs w:val="14"/>
                <w:b w:val="1"/>
                <w:bCs w:val="1"/>
                <w:color w:val="auto"/>
                <w:w w:val="94"/>
              </w:rPr>
              <w:t>4Q 10</w:t>
            </w:r>
          </w:p>
        </w:tc>
        <w:tc>
          <w:tcPr>
            <w:tcW w:w="280" w:type="dxa"/>
            <w:vAlign w:val="bottom"/>
          </w:tcPr>
          <w:p>
            <w:pPr>
              <w:spacing w:after="0"/>
              <w:rPr>
                <w:sz w:val="13"/>
                <w:szCs w:val="13"/>
                <w:color w:val="auto"/>
              </w:rPr>
            </w:pPr>
          </w:p>
        </w:tc>
        <w:tc>
          <w:tcPr>
            <w:tcW w:w="1120" w:type="dxa"/>
            <w:vAlign w:val="bottom"/>
          </w:tcPr>
          <w:p>
            <w:pPr>
              <w:jc w:val="center"/>
              <w:ind w:right="248"/>
              <w:spacing w:after="0" w:line="160" w:lineRule="exact"/>
              <w:rPr>
                <w:sz w:val="20"/>
                <w:szCs w:val="20"/>
                <w:color w:val="auto"/>
              </w:rPr>
            </w:pPr>
            <w:r>
              <w:rPr>
                <w:rFonts w:ascii="Arial" w:cs="Arial" w:eastAsia="Arial" w:hAnsi="Arial"/>
                <w:sz w:val="14"/>
                <w:szCs w:val="14"/>
                <w:b w:val="1"/>
                <w:bCs w:val="1"/>
                <w:color w:val="auto"/>
                <w:w w:val="94"/>
              </w:rPr>
              <w:t>1Q 10</w:t>
            </w:r>
          </w:p>
        </w:tc>
      </w:tr>
      <w:tr>
        <w:trPr>
          <w:trHeight w:val="14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ind w:right="368"/>
              <w:spacing w:after="0" w:line="149" w:lineRule="exact"/>
              <w:rPr>
                <w:sz w:val="20"/>
                <w:szCs w:val="20"/>
                <w:color w:val="auto"/>
              </w:rPr>
            </w:pPr>
            <w:r>
              <w:rPr>
                <w:rFonts w:ascii="Arial" w:cs="Arial" w:eastAsia="Arial" w:hAnsi="Arial"/>
                <w:sz w:val="14"/>
                <w:szCs w:val="14"/>
                <w:b w:val="1"/>
                <w:bCs w:val="1"/>
                <w:color w:val="auto"/>
              </w:rPr>
              <w:t>Jan. 29,</w:t>
            </w:r>
          </w:p>
        </w:tc>
        <w:tc>
          <w:tcPr>
            <w:tcW w:w="340" w:type="dxa"/>
            <w:vAlign w:val="bottom"/>
          </w:tcPr>
          <w:p>
            <w:pPr>
              <w:spacing w:after="0"/>
              <w:rPr>
                <w:sz w:val="12"/>
                <w:szCs w:val="12"/>
                <w:color w:val="auto"/>
              </w:rPr>
            </w:pPr>
          </w:p>
        </w:tc>
        <w:tc>
          <w:tcPr>
            <w:tcW w:w="1120" w:type="dxa"/>
            <w:vAlign w:val="bottom"/>
          </w:tcPr>
          <w:p>
            <w:pPr>
              <w:jc w:val="right"/>
              <w:ind w:right="428"/>
              <w:spacing w:after="0" w:line="149" w:lineRule="exact"/>
              <w:rPr>
                <w:sz w:val="20"/>
                <w:szCs w:val="20"/>
                <w:color w:val="auto"/>
              </w:rPr>
            </w:pPr>
            <w:r>
              <w:rPr>
                <w:rFonts w:ascii="Arial" w:cs="Arial" w:eastAsia="Arial" w:hAnsi="Arial"/>
                <w:sz w:val="14"/>
                <w:szCs w:val="14"/>
                <w:b w:val="1"/>
                <w:bCs w:val="1"/>
                <w:color w:val="auto"/>
              </w:rPr>
              <w:t>Oct. 30,</w:t>
            </w:r>
          </w:p>
        </w:tc>
        <w:tc>
          <w:tcPr>
            <w:tcW w:w="280" w:type="dxa"/>
            <w:vAlign w:val="bottom"/>
          </w:tcPr>
          <w:p>
            <w:pPr>
              <w:spacing w:after="0"/>
              <w:rPr>
                <w:sz w:val="12"/>
                <w:szCs w:val="12"/>
                <w:color w:val="auto"/>
              </w:rPr>
            </w:pPr>
          </w:p>
        </w:tc>
        <w:tc>
          <w:tcPr>
            <w:tcW w:w="1120" w:type="dxa"/>
            <w:vAlign w:val="bottom"/>
          </w:tcPr>
          <w:p>
            <w:pPr>
              <w:jc w:val="right"/>
              <w:ind w:right="408"/>
              <w:spacing w:after="0" w:line="149" w:lineRule="exact"/>
              <w:rPr>
                <w:sz w:val="20"/>
                <w:szCs w:val="20"/>
                <w:color w:val="auto"/>
              </w:rPr>
            </w:pPr>
            <w:r>
              <w:rPr>
                <w:rFonts w:ascii="Arial" w:cs="Arial" w:eastAsia="Arial" w:hAnsi="Arial"/>
                <w:sz w:val="14"/>
                <w:szCs w:val="14"/>
                <w:b w:val="1"/>
                <w:bCs w:val="1"/>
                <w:color w:val="auto"/>
              </w:rPr>
              <w:t>Jan. 30,</w:t>
            </w:r>
          </w:p>
        </w:tc>
      </w:tr>
      <w:tr>
        <w:trPr>
          <w:trHeight w:val="185"/>
        </w:trPr>
        <w:tc>
          <w:tcPr>
            <w:tcW w:w="20" w:type="dxa"/>
            <w:vAlign w:val="bottom"/>
          </w:tcPr>
          <w:p>
            <w:pPr>
              <w:spacing w:after="0"/>
              <w:rPr>
                <w:sz w:val="16"/>
                <w:szCs w:val="16"/>
                <w:color w:val="auto"/>
              </w:rPr>
            </w:pPr>
          </w:p>
        </w:tc>
        <w:tc>
          <w:tcPr>
            <w:tcW w:w="71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2010</w:t>
            </w:r>
          </w:p>
        </w:tc>
      </w:tr>
      <w:tr>
        <w:trPr>
          <w:trHeight w:val="164"/>
        </w:trPr>
        <w:tc>
          <w:tcPr>
            <w:tcW w:w="20" w:type="dxa"/>
            <w:vAlign w:val="bottom"/>
          </w:tcPr>
          <w:p>
            <w:pPr>
              <w:spacing w:after="0"/>
              <w:rPr>
                <w:sz w:val="14"/>
                <w:szCs w:val="14"/>
                <w:color w:val="auto"/>
              </w:rPr>
            </w:pPr>
          </w:p>
        </w:tc>
        <w:tc>
          <w:tcPr>
            <w:tcW w:w="7180" w:type="dxa"/>
            <w:vAlign w:val="bottom"/>
          </w:tcPr>
          <w:p>
            <w:pPr>
              <w:spacing w:after="0"/>
              <w:rPr>
                <w:sz w:val="20"/>
                <w:szCs w:val="20"/>
                <w:color w:val="auto"/>
              </w:rPr>
            </w:pPr>
            <w:r>
              <w:rPr>
                <w:rFonts w:ascii="Arial" w:cs="Arial" w:eastAsia="Arial" w:hAnsi="Arial"/>
                <w:sz w:val="14"/>
                <w:szCs w:val="14"/>
                <w:color w:val="auto"/>
              </w:rPr>
              <w:t>Revenue</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728,504</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769,990</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88"/>
              <w:spacing w:after="0"/>
              <w:rPr>
                <w:sz w:val="20"/>
                <w:szCs w:val="20"/>
                <w:color w:val="auto"/>
              </w:rPr>
            </w:pPr>
            <w:r>
              <w:rPr>
                <w:rFonts w:ascii="Arial" w:cs="Arial" w:eastAsia="Arial" w:hAnsi="Arial"/>
                <w:sz w:val="14"/>
                <w:szCs w:val="14"/>
                <w:color w:val="auto"/>
              </w:rPr>
              <w:t>602,983</w:t>
            </w:r>
          </w:p>
        </w:tc>
      </w:tr>
      <w:tr>
        <w:trPr>
          <w:trHeight w:val="176"/>
        </w:trPr>
        <w:tc>
          <w:tcPr>
            <w:tcW w:w="20" w:type="dxa"/>
            <w:vAlign w:val="bottom"/>
          </w:tcPr>
          <w:p>
            <w:pPr>
              <w:spacing w:after="0"/>
              <w:rPr>
                <w:sz w:val="15"/>
                <w:szCs w:val="15"/>
                <w:color w:val="auto"/>
              </w:rPr>
            </w:pPr>
          </w:p>
        </w:tc>
        <w:tc>
          <w:tcPr>
            <w:tcW w:w="7180" w:type="dxa"/>
            <w:vAlign w:val="bottom"/>
          </w:tcPr>
          <w:p>
            <w:pPr>
              <w:ind w:left="200"/>
              <w:spacing w:after="0"/>
              <w:rPr>
                <w:sz w:val="20"/>
                <w:szCs w:val="20"/>
                <w:color w:val="auto"/>
              </w:rPr>
            </w:pPr>
            <w:r>
              <w:rPr>
                <w:rFonts w:ascii="Arial" w:cs="Arial" w:eastAsia="Arial" w:hAnsi="Arial"/>
                <w:sz w:val="14"/>
                <w:szCs w:val="14"/>
                <w:color w:val="auto"/>
              </w:rPr>
              <w:t>Year-to-year change</w:t>
            </w:r>
          </w:p>
        </w:tc>
        <w:tc>
          <w:tcPr>
            <w:tcW w:w="300" w:type="dxa"/>
            <w:vAlign w:val="bottom"/>
          </w:tcPr>
          <w:p>
            <w:pPr>
              <w:spacing w:after="0"/>
              <w:rPr>
                <w:sz w:val="15"/>
                <w:szCs w:val="15"/>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34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35%</w:t>
            </w:r>
          </w:p>
        </w:tc>
        <w:tc>
          <w:tcPr>
            <w:tcW w:w="28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27%</w:t>
            </w:r>
          </w:p>
        </w:tc>
      </w:tr>
      <w:tr>
        <w:trPr>
          <w:trHeight w:val="176"/>
        </w:trPr>
        <w:tc>
          <w:tcPr>
            <w:tcW w:w="20" w:type="dxa"/>
            <w:vAlign w:val="bottom"/>
          </w:tcPr>
          <w:p>
            <w:pPr>
              <w:spacing w:after="0"/>
              <w:rPr>
                <w:sz w:val="15"/>
                <w:szCs w:val="15"/>
                <w:color w:val="auto"/>
              </w:rPr>
            </w:pPr>
          </w:p>
        </w:tc>
        <w:tc>
          <w:tcPr>
            <w:tcW w:w="7180" w:type="dxa"/>
            <w:vAlign w:val="bottom"/>
          </w:tcPr>
          <w:p>
            <w:pPr>
              <w:ind w:left="200"/>
              <w:spacing w:after="0"/>
              <w:rPr>
                <w:sz w:val="20"/>
                <w:szCs w:val="20"/>
                <w:color w:val="auto"/>
              </w:rPr>
            </w:pPr>
            <w:r>
              <w:rPr>
                <w:rFonts w:ascii="Arial" w:cs="Arial" w:eastAsia="Arial" w:hAnsi="Arial"/>
                <w:sz w:val="14"/>
                <w:szCs w:val="14"/>
                <w:color w:val="auto"/>
              </w:rPr>
              <w:t>Quarter-to-quarter change</w:t>
            </w:r>
          </w:p>
        </w:tc>
        <w:tc>
          <w:tcPr>
            <w:tcW w:w="300" w:type="dxa"/>
            <w:vAlign w:val="bottom"/>
          </w:tcPr>
          <w:p>
            <w:pPr>
              <w:spacing w:after="0"/>
              <w:rPr>
                <w:sz w:val="15"/>
                <w:szCs w:val="15"/>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34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7%</w:t>
            </w:r>
          </w:p>
        </w:tc>
        <w:tc>
          <w:tcPr>
            <w:tcW w:w="28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5%</w:t>
            </w:r>
          </w:p>
        </w:tc>
      </w:tr>
      <w:tr>
        <w:trPr>
          <w:trHeight w:val="181"/>
        </w:trPr>
        <w:tc>
          <w:tcPr>
            <w:tcW w:w="7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Cost of sales (1)</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246,331</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253,761</w:t>
            </w: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234,507</w:t>
            </w:r>
          </w:p>
        </w:tc>
      </w:tr>
      <w:tr>
        <w:trPr>
          <w:trHeight w:val="164"/>
        </w:trPr>
        <w:tc>
          <w:tcPr>
            <w:tcW w:w="7200" w:type="dxa"/>
            <w:vAlign w:val="bottom"/>
            <w:gridSpan w:val="2"/>
          </w:tcPr>
          <w:p>
            <w:pPr>
              <w:spacing w:after="0"/>
              <w:rPr>
                <w:sz w:val="20"/>
                <w:szCs w:val="20"/>
                <w:color w:val="auto"/>
              </w:rPr>
            </w:pPr>
            <w:r>
              <w:rPr>
                <w:rFonts w:ascii="Arial" w:cs="Arial" w:eastAsia="Arial" w:hAnsi="Arial"/>
                <w:sz w:val="14"/>
                <w:szCs w:val="14"/>
                <w:color w:val="auto"/>
              </w:rPr>
              <w:t>Gross margin</w:t>
            </w:r>
          </w:p>
        </w:tc>
        <w:tc>
          <w:tcPr>
            <w:tcW w:w="30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482,173</w:t>
            </w:r>
          </w:p>
        </w:tc>
        <w:tc>
          <w:tcPr>
            <w:tcW w:w="340" w:type="dxa"/>
            <w:vAlign w:val="bottom"/>
          </w:tcPr>
          <w:p>
            <w:pPr>
              <w:spacing w:after="0"/>
              <w:rPr>
                <w:sz w:val="14"/>
                <w:szCs w:val="14"/>
                <w:color w:val="auto"/>
              </w:rPr>
            </w:pP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516,229</w:t>
            </w:r>
          </w:p>
        </w:tc>
        <w:tc>
          <w:tcPr>
            <w:tcW w:w="2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Arial" w:cs="Arial" w:eastAsia="Arial" w:hAnsi="Arial"/>
                <w:sz w:val="14"/>
                <w:szCs w:val="14"/>
                <w:color w:val="auto"/>
              </w:rPr>
              <w:t>368,476</w:t>
            </w:r>
          </w:p>
        </w:tc>
      </w:tr>
      <w:tr>
        <w:trPr>
          <w:trHeight w:val="181"/>
        </w:trPr>
        <w:tc>
          <w:tcPr>
            <w:tcW w:w="7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Gross margin percentage</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66.2%</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67.0%</w:t>
            </w: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61.1%</w:t>
            </w:r>
          </w:p>
        </w:tc>
      </w:tr>
      <w:tr>
        <w:trPr>
          <w:trHeight w:val="164"/>
        </w:trPr>
        <w:tc>
          <w:tcPr>
            <w:tcW w:w="7200" w:type="dxa"/>
            <w:vAlign w:val="bottom"/>
            <w:gridSpan w:val="2"/>
          </w:tcPr>
          <w:p>
            <w:pPr>
              <w:spacing w:after="0"/>
              <w:rPr>
                <w:sz w:val="20"/>
                <w:szCs w:val="20"/>
                <w:color w:val="auto"/>
              </w:rPr>
            </w:pPr>
            <w:r>
              <w:rPr>
                <w:rFonts w:ascii="Arial" w:cs="Arial" w:eastAsia="Arial" w:hAnsi="Arial"/>
                <w:sz w:val="14"/>
                <w:szCs w:val="14"/>
                <w:color w:val="auto"/>
              </w:rPr>
              <w:t>Operating expenses:</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7180" w:type="dxa"/>
            <w:vAlign w:val="bottom"/>
          </w:tcPr>
          <w:p>
            <w:pPr>
              <w:ind w:left="200"/>
              <w:spacing w:after="0"/>
              <w:rPr>
                <w:sz w:val="20"/>
                <w:szCs w:val="20"/>
                <w:color w:val="auto"/>
              </w:rPr>
            </w:pPr>
            <w:r>
              <w:rPr>
                <w:rFonts w:ascii="Arial" w:cs="Arial" w:eastAsia="Arial" w:hAnsi="Arial"/>
                <w:sz w:val="14"/>
                <w:szCs w:val="14"/>
                <w:color w:val="auto"/>
              </w:rPr>
              <w:t>R&amp;D (1)</w:t>
            </w:r>
          </w:p>
        </w:tc>
        <w:tc>
          <w:tcPr>
            <w:tcW w:w="300" w:type="dxa"/>
            <w:vAlign w:val="bottom"/>
          </w:tcPr>
          <w:p>
            <w:pPr>
              <w:spacing w:after="0"/>
              <w:rPr>
                <w:sz w:val="15"/>
                <w:szCs w:val="15"/>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122,745</w:t>
            </w:r>
          </w:p>
        </w:tc>
        <w:tc>
          <w:tcPr>
            <w:tcW w:w="340" w:type="dxa"/>
            <w:vAlign w:val="bottom"/>
          </w:tcPr>
          <w:p>
            <w:pPr>
              <w:spacing w:after="0"/>
              <w:rPr>
                <w:sz w:val="15"/>
                <w:szCs w:val="15"/>
                <w:color w:val="auto"/>
              </w:rPr>
            </w:pP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128,140</w:t>
            </w:r>
          </w:p>
        </w:tc>
        <w:tc>
          <w:tcPr>
            <w:tcW w:w="280" w:type="dxa"/>
            <w:vAlign w:val="bottom"/>
          </w:tcPr>
          <w:p>
            <w:pPr>
              <w:spacing w:after="0"/>
              <w:rPr>
                <w:sz w:val="15"/>
                <w:szCs w:val="15"/>
                <w:color w:val="auto"/>
              </w:rPr>
            </w:pPr>
          </w:p>
        </w:tc>
        <w:tc>
          <w:tcPr>
            <w:tcW w:w="1120" w:type="dxa"/>
            <w:vAlign w:val="bottom"/>
          </w:tcPr>
          <w:p>
            <w:pPr>
              <w:jc w:val="right"/>
              <w:ind w:right="188"/>
              <w:spacing w:after="0"/>
              <w:rPr>
                <w:sz w:val="20"/>
                <w:szCs w:val="20"/>
                <w:color w:val="auto"/>
              </w:rPr>
            </w:pPr>
            <w:r>
              <w:rPr>
                <w:rFonts w:ascii="Arial" w:cs="Arial" w:eastAsia="Arial" w:hAnsi="Arial"/>
                <w:sz w:val="14"/>
                <w:szCs w:val="14"/>
                <w:color w:val="auto"/>
              </w:rPr>
              <w:t>114,398</w:t>
            </w:r>
          </w:p>
        </w:tc>
      </w:tr>
      <w:tr>
        <w:trPr>
          <w:trHeight w:val="176"/>
        </w:trPr>
        <w:tc>
          <w:tcPr>
            <w:tcW w:w="20" w:type="dxa"/>
            <w:vAlign w:val="bottom"/>
          </w:tcPr>
          <w:p>
            <w:pPr>
              <w:spacing w:after="0"/>
              <w:rPr>
                <w:sz w:val="15"/>
                <w:szCs w:val="15"/>
                <w:color w:val="auto"/>
              </w:rPr>
            </w:pPr>
          </w:p>
        </w:tc>
        <w:tc>
          <w:tcPr>
            <w:tcW w:w="7180" w:type="dxa"/>
            <w:vAlign w:val="bottom"/>
          </w:tcPr>
          <w:p>
            <w:pPr>
              <w:ind w:left="200"/>
              <w:spacing w:after="0"/>
              <w:rPr>
                <w:sz w:val="20"/>
                <w:szCs w:val="20"/>
                <w:color w:val="auto"/>
              </w:rPr>
            </w:pPr>
            <w:r>
              <w:rPr>
                <w:rFonts w:ascii="Arial" w:cs="Arial" w:eastAsia="Arial" w:hAnsi="Arial"/>
                <w:sz w:val="14"/>
                <w:szCs w:val="14"/>
                <w:color w:val="auto"/>
              </w:rPr>
              <w:t>Selling, marketing and G&amp;A (1)</w:t>
            </w:r>
          </w:p>
        </w:tc>
        <w:tc>
          <w:tcPr>
            <w:tcW w:w="300" w:type="dxa"/>
            <w:vAlign w:val="bottom"/>
          </w:tcPr>
          <w:p>
            <w:pPr>
              <w:spacing w:after="0"/>
              <w:rPr>
                <w:sz w:val="15"/>
                <w:szCs w:val="15"/>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100,022</w:t>
            </w:r>
          </w:p>
        </w:tc>
        <w:tc>
          <w:tcPr>
            <w:tcW w:w="340" w:type="dxa"/>
            <w:vAlign w:val="bottom"/>
          </w:tcPr>
          <w:p>
            <w:pPr>
              <w:spacing w:after="0"/>
              <w:rPr>
                <w:sz w:val="15"/>
                <w:szCs w:val="15"/>
                <w:color w:val="auto"/>
              </w:rPr>
            </w:pP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102,349</w:t>
            </w:r>
          </w:p>
        </w:tc>
        <w:tc>
          <w:tcPr>
            <w:tcW w:w="280" w:type="dxa"/>
            <w:vAlign w:val="bottom"/>
          </w:tcPr>
          <w:p>
            <w:pPr>
              <w:spacing w:after="0"/>
              <w:rPr>
                <w:sz w:val="15"/>
                <w:szCs w:val="15"/>
                <w:color w:val="auto"/>
              </w:rPr>
            </w:pPr>
          </w:p>
        </w:tc>
        <w:tc>
          <w:tcPr>
            <w:tcW w:w="1120" w:type="dxa"/>
            <w:vAlign w:val="bottom"/>
          </w:tcPr>
          <w:p>
            <w:pPr>
              <w:jc w:val="right"/>
              <w:ind w:right="188"/>
              <w:spacing w:after="0"/>
              <w:rPr>
                <w:sz w:val="20"/>
                <w:szCs w:val="20"/>
                <w:color w:val="auto"/>
              </w:rPr>
            </w:pPr>
            <w:r>
              <w:rPr>
                <w:rFonts w:ascii="Arial" w:cs="Arial" w:eastAsia="Arial" w:hAnsi="Arial"/>
                <w:sz w:val="14"/>
                <w:szCs w:val="14"/>
                <w:color w:val="auto"/>
              </w:rPr>
              <w:t>88,481</w:t>
            </w:r>
          </w:p>
        </w:tc>
      </w:tr>
      <w:tr>
        <w:trPr>
          <w:trHeight w:val="181"/>
        </w:trPr>
        <w:tc>
          <w:tcPr>
            <w:tcW w:w="20" w:type="dxa"/>
            <w:vAlign w:val="bottom"/>
          </w:tcPr>
          <w:p>
            <w:pPr>
              <w:spacing w:after="0"/>
              <w:rPr>
                <w:sz w:val="15"/>
                <w:szCs w:val="15"/>
                <w:color w:val="auto"/>
              </w:rPr>
            </w:pPr>
          </w:p>
        </w:tc>
        <w:tc>
          <w:tcPr>
            <w:tcW w:w="71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Special charges</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16,483</w:t>
            </w:r>
          </w:p>
        </w:tc>
      </w:tr>
      <w:tr>
        <w:trPr>
          <w:trHeight w:val="164"/>
        </w:trPr>
        <w:tc>
          <w:tcPr>
            <w:tcW w:w="20" w:type="dxa"/>
            <w:vAlign w:val="bottom"/>
          </w:tcPr>
          <w:p>
            <w:pPr>
              <w:spacing w:after="0"/>
              <w:rPr>
                <w:sz w:val="14"/>
                <w:szCs w:val="14"/>
                <w:color w:val="auto"/>
              </w:rPr>
            </w:pPr>
          </w:p>
        </w:tc>
        <w:tc>
          <w:tcPr>
            <w:tcW w:w="7180" w:type="dxa"/>
            <w:vAlign w:val="bottom"/>
          </w:tcPr>
          <w:p>
            <w:pPr>
              <w:spacing w:after="0"/>
              <w:rPr>
                <w:sz w:val="20"/>
                <w:szCs w:val="20"/>
                <w:color w:val="auto"/>
              </w:rPr>
            </w:pPr>
            <w:r>
              <w:rPr>
                <w:rFonts w:ascii="Arial" w:cs="Arial" w:eastAsia="Arial" w:hAnsi="Arial"/>
                <w:sz w:val="14"/>
                <w:szCs w:val="14"/>
                <w:color w:val="auto"/>
              </w:rPr>
              <w:t>Operating income from continuing operations</w:t>
            </w:r>
          </w:p>
        </w:tc>
        <w:tc>
          <w:tcPr>
            <w:tcW w:w="30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259,406</w:t>
            </w:r>
          </w:p>
        </w:tc>
        <w:tc>
          <w:tcPr>
            <w:tcW w:w="340" w:type="dxa"/>
            <w:vAlign w:val="bottom"/>
          </w:tcPr>
          <w:p>
            <w:pPr>
              <w:spacing w:after="0"/>
              <w:rPr>
                <w:sz w:val="14"/>
                <w:szCs w:val="14"/>
                <w:color w:val="auto"/>
              </w:rPr>
            </w:pP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285,740</w:t>
            </w:r>
          </w:p>
        </w:tc>
        <w:tc>
          <w:tcPr>
            <w:tcW w:w="2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Arial" w:cs="Arial" w:eastAsia="Arial" w:hAnsi="Arial"/>
                <w:sz w:val="14"/>
                <w:szCs w:val="14"/>
                <w:color w:val="auto"/>
              </w:rPr>
              <w:t>149,114</w:t>
            </w:r>
          </w:p>
        </w:tc>
      </w:tr>
      <w:tr>
        <w:trPr>
          <w:trHeight w:val="181"/>
        </w:trPr>
        <w:tc>
          <w:tcPr>
            <w:tcW w:w="7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Other (income) expense</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586</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(2,317)</w:t>
            </w: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847</w:t>
            </w:r>
          </w:p>
        </w:tc>
      </w:tr>
      <w:tr>
        <w:trPr>
          <w:trHeight w:val="164"/>
        </w:trPr>
        <w:tc>
          <w:tcPr>
            <w:tcW w:w="7200" w:type="dxa"/>
            <w:vAlign w:val="bottom"/>
            <w:gridSpan w:val="2"/>
          </w:tcPr>
          <w:p>
            <w:pPr>
              <w:spacing w:after="0"/>
              <w:rPr>
                <w:sz w:val="20"/>
                <w:szCs w:val="20"/>
                <w:color w:val="auto"/>
              </w:rPr>
            </w:pPr>
            <w:r>
              <w:rPr>
                <w:rFonts w:ascii="Arial" w:cs="Arial" w:eastAsia="Arial" w:hAnsi="Arial"/>
                <w:sz w:val="14"/>
                <w:szCs w:val="14"/>
                <w:color w:val="auto"/>
              </w:rPr>
              <w:t>Income from continuing operations before income tax</w:t>
            </w:r>
          </w:p>
        </w:tc>
        <w:tc>
          <w:tcPr>
            <w:tcW w:w="30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258,820</w:t>
            </w:r>
          </w:p>
        </w:tc>
        <w:tc>
          <w:tcPr>
            <w:tcW w:w="340" w:type="dxa"/>
            <w:vAlign w:val="bottom"/>
          </w:tcPr>
          <w:p>
            <w:pPr>
              <w:spacing w:after="0"/>
              <w:rPr>
                <w:sz w:val="14"/>
                <w:szCs w:val="14"/>
                <w:color w:val="auto"/>
              </w:rPr>
            </w:pP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288,057</w:t>
            </w:r>
          </w:p>
        </w:tc>
        <w:tc>
          <w:tcPr>
            <w:tcW w:w="2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Arial" w:cs="Arial" w:eastAsia="Arial" w:hAnsi="Arial"/>
                <w:sz w:val="14"/>
                <w:szCs w:val="14"/>
                <w:color w:val="auto"/>
              </w:rPr>
              <w:t>148,267</w:t>
            </w:r>
          </w:p>
        </w:tc>
      </w:tr>
      <w:tr>
        <w:trPr>
          <w:trHeight w:val="181"/>
        </w:trPr>
        <w:tc>
          <w:tcPr>
            <w:tcW w:w="7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Provision for income taxes</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43,214</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63,063</w:t>
            </w: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28,667</w:t>
            </w:r>
          </w:p>
        </w:tc>
      </w:tr>
      <w:tr>
        <w:trPr>
          <w:trHeight w:val="169"/>
        </w:trPr>
        <w:tc>
          <w:tcPr>
            <w:tcW w:w="7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Income from continuing operations, net of tax</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215,606</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224,994</w:t>
            </w: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119,600</w:t>
            </w:r>
          </w:p>
        </w:tc>
      </w:tr>
      <w:tr>
        <w:trPr>
          <w:trHeight w:val="169"/>
        </w:trPr>
        <w:tc>
          <w:tcPr>
            <w:tcW w:w="7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Gain on sale of discontinued operations, net of tax</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6,500</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859</w:t>
            </w:r>
          </w:p>
        </w:tc>
      </w:tr>
      <w:tr>
        <w:trPr>
          <w:trHeight w:val="169"/>
        </w:trPr>
        <w:tc>
          <w:tcPr>
            <w:tcW w:w="7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Net income</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222,106</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224,994</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120,459</w:t>
            </w:r>
          </w:p>
        </w:tc>
      </w:tr>
      <w:tr>
        <w:trPr>
          <w:trHeight w:val="339"/>
        </w:trPr>
        <w:tc>
          <w:tcPr>
            <w:tcW w:w="7200" w:type="dxa"/>
            <w:vAlign w:val="bottom"/>
            <w:gridSpan w:val="2"/>
          </w:tcPr>
          <w:p>
            <w:pPr>
              <w:spacing w:after="0"/>
              <w:rPr>
                <w:sz w:val="20"/>
                <w:szCs w:val="20"/>
                <w:color w:val="auto"/>
              </w:rPr>
            </w:pPr>
            <w:r>
              <w:rPr>
                <w:rFonts w:ascii="Arial" w:cs="Arial" w:eastAsia="Arial" w:hAnsi="Arial"/>
                <w:sz w:val="14"/>
                <w:szCs w:val="14"/>
                <w:color w:val="auto"/>
              </w:rPr>
              <w:t>Shares used for EPS - basic</w:t>
            </w:r>
          </w:p>
        </w:tc>
        <w:tc>
          <w:tcPr>
            <w:tcW w:w="300" w:type="dxa"/>
            <w:vAlign w:val="bottom"/>
          </w:tcPr>
          <w:p>
            <w:pPr>
              <w:spacing w:after="0"/>
              <w:rPr>
                <w:sz w:val="24"/>
                <w:szCs w:val="2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299,218</w:t>
            </w:r>
          </w:p>
        </w:tc>
        <w:tc>
          <w:tcPr>
            <w:tcW w:w="340" w:type="dxa"/>
            <w:vAlign w:val="bottom"/>
          </w:tcPr>
          <w:p>
            <w:pPr>
              <w:spacing w:after="0"/>
              <w:rPr>
                <w:sz w:val="24"/>
                <w:szCs w:val="24"/>
                <w:color w:val="auto"/>
              </w:rPr>
            </w:pP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298,228</w:t>
            </w:r>
          </w:p>
        </w:tc>
        <w:tc>
          <w:tcPr>
            <w:tcW w:w="280" w:type="dxa"/>
            <w:vAlign w:val="bottom"/>
          </w:tcPr>
          <w:p>
            <w:pPr>
              <w:spacing w:after="0"/>
              <w:rPr>
                <w:sz w:val="24"/>
                <w:szCs w:val="24"/>
                <w:color w:val="auto"/>
              </w:rPr>
            </w:pPr>
          </w:p>
        </w:tc>
        <w:tc>
          <w:tcPr>
            <w:tcW w:w="1120" w:type="dxa"/>
            <w:vAlign w:val="bottom"/>
          </w:tcPr>
          <w:p>
            <w:pPr>
              <w:jc w:val="right"/>
              <w:ind w:right="188"/>
              <w:spacing w:after="0"/>
              <w:rPr>
                <w:sz w:val="20"/>
                <w:szCs w:val="20"/>
                <w:color w:val="auto"/>
              </w:rPr>
            </w:pPr>
            <w:r>
              <w:rPr>
                <w:rFonts w:ascii="Arial" w:cs="Arial" w:eastAsia="Arial" w:hAnsi="Arial"/>
                <w:sz w:val="14"/>
                <w:szCs w:val="14"/>
                <w:color w:val="auto"/>
              </w:rPr>
              <w:t>295,469</w:t>
            </w:r>
          </w:p>
        </w:tc>
      </w:tr>
      <w:tr>
        <w:trPr>
          <w:trHeight w:val="182"/>
        </w:trPr>
        <w:tc>
          <w:tcPr>
            <w:tcW w:w="7200" w:type="dxa"/>
            <w:vAlign w:val="bottom"/>
            <w:gridSpan w:val="2"/>
          </w:tcPr>
          <w:p>
            <w:pPr>
              <w:spacing w:after="0"/>
              <w:rPr>
                <w:sz w:val="20"/>
                <w:szCs w:val="20"/>
                <w:color w:val="auto"/>
              </w:rPr>
            </w:pPr>
            <w:r>
              <w:rPr>
                <w:rFonts w:ascii="Arial" w:cs="Arial" w:eastAsia="Arial" w:hAnsi="Arial"/>
                <w:sz w:val="14"/>
                <w:szCs w:val="14"/>
                <w:color w:val="auto"/>
              </w:rPr>
              <w:t>Shares used for EPS - diluted</w:t>
            </w:r>
          </w:p>
        </w:tc>
        <w:tc>
          <w:tcPr>
            <w:tcW w:w="300" w:type="dxa"/>
            <w:vAlign w:val="bottom"/>
          </w:tcPr>
          <w:p>
            <w:pPr>
              <w:spacing w:after="0"/>
              <w:rPr>
                <w:sz w:val="15"/>
                <w:szCs w:val="15"/>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308,848</w:t>
            </w:r>
          </w:p>
        </w:tc>
        <w:tc>
          <w:tcPr>
            <w:tcW w:w="340" w:type="dxa"/>
            <w:vAlign w:val="bottom"/>
          </w:tcPr>
          <w:p>
            <w:pPr>
              <w:spacing w:after="0"/>
              <w:rPr>
                <w:sz w:val="15"/>
                <w:szCs w:val="15"/>
                <w:color w:val="auto"/>
              </w:rPr>
            </w:pP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306,711</w:t>
            </w:r>
          </w:p>
        </w:tc>
        <w:tc>
          <w:tcPr>
            <w:tcW w:w="280" w:type="dxa"/>
            <w:vAlign w:val="bottom"/>
          </w:tcPr>
          <w:p>
            <w:pPr>
              <w:spacing w:after="0"/>
              <w:rPr>
                <w:sz w:val="15"/>
                <w:szCs w:val="15"/>
                <w:color w:val="auto"/>
              </w:rPr>
            </w:pPr>
          </w:p>
        </w:tc>
        <w:tc>
          <w:tcPr>
            <w:tcW w:w="1120" w:type="dxa"/>
            <w:vAlign w:val="bottom"/>
          </w:tcPr>
          <w:p>
            <w:pPr>
              <w:jc w:val="right"/>
              <w:ind w:right="188"/>
              <w:spacing w:after="0"/>
              <w:rPr>
                <w:sz w:val="20"/>
                <w:szCs w:val="20"/>
                <w:color w:val="auto"/>
              </w:rPr>
            </w:pPr>
            <w:r>
              <w:rPr>
                <w:rFonts w:ascii="Arial" w:cs="Arial" w:eastAsia="Arial" w:hAnsi="Arial"/>
                <w:sz w:val="14"/>
                <w:szCs w:val="14"/>
                <w:color w:val="auto"/>
              </w:rPr>
              <w:t>304,730</w:t>
            </w:r>
          </w:p>
        </w:tc>
      </w:tr>
      <w:tr>
        <w:trPr>
          <w:trHeight w:val="344"/>
        </w:trPr>
        <w:tc>
          <w:tcPr>
            <w:tcW w:w="7200" w:type="dxa"/>
            <w:vAlign w:val="bottom"/>
            <w:gridSpan w:val="2"/>
          </w:tcPr>
          <w:p>
            <w:pPr>
              <w:spacing w:after="0"/>
              <w:rPr>
                <w:sz w:val="20"/>
                <w:szCs w:val="20"/>
                <w:color w:val="auto"/>
              </w:rPr>
            </w:pPr>
            <w:r>
              <w:rPr>
                <w:rFonts w:ascii="Arial" w:cs="Arial" w:eastAsia="Arial" w:hAnsi="Arial"/>
                <w:sz w:val="14"/>
                <w:szCs w:val="14"/>
                <w:color w:val="auto"/>
              </w:rPr>
              <w:t>Earnings per share from continuing operations - basic</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0.72</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0.75</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88"/>
              <w:spacing w:after="0"/>
              <w:rPr>
                <w:sz w:val="20"/>
                <w:szCs w:val="20"/>
                <w:color w:val="auto"/>
              </w:rPr>
            </w:pPr>
            <w:r>
              <w:rPr>
                <w:rFonts w:ascii="Arial" w:cs="Arial" w:eastAsia="Arial" w:hAnsi="Arial"/>
                <w:sz w:val="14"/>
                <w:szCs w:val="14"/>
                <w:color w:val="auto"/>
              </w:rPr>
              <w:t>0.40</w:t>
            </w:r>
          </w:p>
        </w:tc>
      </w:tr>
      <w:tr>
        <w:trPr>
          <w:trHeight w:val="182"/>
        </w:trPr>
        <w:tc>
          <w:tcPr>
            <w:tcW w:w="7200" w:type="dxa"/>
            <w:vAlign w:val="bottom"/>
            <w:gridSpan w:val="2"/>
          </w:tcPr>
          <w:p>
            <w:pPr>
              <w:spacing w:after="0"/>
              <w:rPr>
                <w:sz w:val="20"/>
                <w:szCs w:val="20"/>
                <w:color w:val="auto"/>
              </w:rPr>
            </w:pPr>
            <w:r>
              <w:rPr>
                <w:rFonts w:ascii="Arial" w:cs="Arial" w:eastAsia="Arial" w:hAnsi="Arial"/>
                <w:sz w:val="14"/>
                <w:szCs w:val="14"/>
                <w:color w:val="auto"/>
              </w:rPr>
              <w:t>Earnings per share from continuing operations - diluted</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0.70</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0.73</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88"/>
              <w:spacing w:after="0"/>
              <w:rPr>
                <w:sz w:val="20"/>
                <w:szCs w:val="20"/>
                <w:color w:val="auto"/>
              </w:rPr>
            </w:pPr>
            <w:r>
              <w:rPr>
                <w:rFonts w:ascii="Arial" w:cs="Arial" w:eastAsia="Arial" w:hAnsi="Arial"/>
                <w:sz w:val="14"/>
                <w:szCs w:val="14"/>
                <w:color w:val="auto"/>
              </w:rPr>
              <w:t>0.39</w:t>
            </w:r>
          </w:p>
        </w:tc>
      </w:tr>
      <w:tr>
        <w:trPr>
          <w:trHeight w:val="344"/>
        </w:trPr>
        <w:tc>
          <w:tcPr>
            <w:tcW w:w="7200" w:type="dxa"/>
            <w:vAlign w:val="bottom"/>
            <w:gridSpan w:val="2"/>
          </w:tcPr>
          <w:p>
            <w:pPr>
              <w:spacing w:after="0"/>
              <w:rPr>
                <w:sz w:val="20"/>
                <w:szCs w:val="20"/>
                <w:color w:val="auto"/>
              </w:rPr>
            </w:pPr>
            <w:r>
              <w:rPr>
                <w:rFonts w:ascii="Arial" w:cs="Arial" w:eastAsia="Arial" w:hAnsi="Arial"/>
                <w:sz w:val="14"/>
                <w:szCs w:val="14"/>
                <w:color w:val="auto"/>
              </w:rPr>
              <w:t>Earnings per share - basic</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0.74</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0.75</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88"/>
              <w:spacing w:after="0"/>
              <w:rPr>
                <w:sz w:val="20"/>
                <w:szCs w:val="20"/>
                <w:color w:val="auto"/>
              </w:rPr>
            </w:pPr>
            <w:r>
              <w:rPr>
                <w:rFonts w:ascii="Arial" w:cs="Arial" w:eastAsia="Arial" w:hAnsi="Arial"/>
                <w:sz w:val="14"/>
                <w:szCs w:val="14"/>
                <w:color w:val="auto"/>
              </w:rPr>
              <w:t>0.41</w:t>
            </w:r>
          </w:p>
        </w:tc>
      </w:tr>
      <w:tr>
        <w:trPr>
          <w:trHeight w:val="182"/>
        </w:trPr>
        <w:tc>
          <w:tcPr>
            <w:tcW w:w="7200" w:type="dxa"/>
            <w:vAlign w:val="bottom"/>
            <w:gridSpan w:val="2"/>
          </w:tcPr>
          <w:p>
            <w:pPr>
              <w:spacing w:after="0"/>
              <w:rPr>
                <w:sz w:val="20"/>
                <w:szCs w:val="20"/>
                <w:color w:val="auto"/>
              </w:rPr>
            </w:pPr>
            <w:r>
              <w:rPr>
                <w:rFonts w:ascii="Arial" w:cs="Arial" w:eastAsia="Arial" w:hAnsi="Arial"/>
                <w:sz w:val="14"/>
                <w:szCs w:val="14"/>
                <w:color w:val="auto"/>
              </w:rPr>
              <w:t>Earnings per share - diluted</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0.72</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0.73</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88"/>
              <w:spacing w:after="0"/>
              <w:rPr>
                <w:sz w:val="20"/>
                <w:szCs w:val="20"/>
                <w:color w:val="auto"/>
              </w:rPr>
            </w:pPr>
            <w:r>
              <w:rPr>
                <w:rFonts w:ascii="Arial" w:cs="Arial" w:eastAsia="Arial" w:hAnsi="Arial"/>
                <w:sz w:val="14"/>
                <w:szCs w:val="14"/>
                <w:color w:val="auto"/>
              </w:rPr>
              <w:t>0.40</w:t>
            </w:r>
          </w:p>
        </w:tc>
      </w:tr>
      <w:tr>
        <w:trPr>
          <w:trHeight w:val="350"/>
        </w:trPr>
        <w:tc>
          <w:tcPr>
            <w:tcW w:w="7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Dividends paid per share</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0.22</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0.22</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0.20</w:t>
            </w:r>
          </w:p>
        </w:tc>
      </w:tr>
      <w:tr>
        <w:trPr>
          <w:trHeight w:val="339"/>
        </w:trPr>
        <w:tc>
          <w:tcPr>
            <w:tcW w:w="7200" w:type="dxa"/>
            <w:vAlign w:val="bottom"/>
            <w:gridSpan w:val="2"/>
          </w:tcPr>
          <w:p>
            <w:pPr>
              <w:spacing w:after="0"/>
              <w:rPr>
                <w:sz w:val="20"/>
                <w:szCs w:val="20"/>
                <w:color w:val="auto"/>
              </w:rPr>
            </w:pPr>
            <w:r>
              <w:rPr>
                <w:rFonts w:ascii="Arial" w:cs="Arial" w:eastAsia="Arial" w:hAnsi="Arial"/>
                <w:sz w:val="14"/>
                <w:szCs w:val="14"/>
                <w:color w:val="auto"/>
              </w:rPr>
              <w:t>(1) Includes stock-based compensation expense as follows: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7180" w:type="dxa"/>
            <w:vAlign w:val="bottom"/>
          </w:tcPr>
          <w:p>
            <w:pPr>
              <w:ind w:left="460"/>
              <w:spacing w:after="0"/>
              <w:rPr>
                <w:sz w:val="20"/>
                <w:szCs w:val="20"/>
                <w:color w:val="auto"/>
              </w:rPr>
            </w:pPr>
            <w:r>
              <w:rPr>
                <w:rFonts w:ascii="Arial" w:cs="Arial" w:eastAsia="Arial" w:hAnsi="Arial"/>
                <w:sz w:val="14"/>
                <w:szCs w:val="14"/>
                <w:color w:val="auto"/>
              </w:rPr>
              <w:t>Cost of sales</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1,748</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1,923</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88"/>
              <w:spacing w:after="0"/>
              <w:rPr>
                <w:sz w:val="20"/>
                <w:szCs w:val="20"/>
                <w:color w:val="auto"/>
              </w:rPr>
            </w:pPr>
            <w:r>
              <w:rPr>
                <w:rFonts w:ascii="Arial" w:cs="Arial" w:eastAsia="Arial" w:hAnsi="Arial"/>
                <w:sz w:val="14"/>
                <w:szCs w:val="14"/>
                <w:color w:val="auto"/>
              </w:rPr>
              <w:t>1,671</w:t>
            </w:r>
          </w:p>
        </w:tc>
      </w:tr>
      <w:tr>
        <w:trPr>
          <w:trHeight w:val="176"/>
        </w:trPr>
        <w:tc>
          <w:tcPr>
            <w:tcW w:w="20" w:type="dxa"/>
            <w:vAlign w:val="bottom"/>
          </w:tcPr>
          <w:p>
            <w:pPr>
              <w:spacing w:after="0"/>
              <w:rPr>
                <w:sz w:val="15"/>
                <w:szCs w:val="15"/>
                <w:color w:val="auto"/>
              </w:rPr>
            </w:pPr>
          </w:p>
        </w:tc>
        <w:tc>
          <w:tcPr>
            <w:tcW w:w="7180" w:type="dxa"/>
            <w:vAlign w:val="bottom"/>
          </w:tcPr>
          <w:p>
            <w:pPr>
              <w:ind w:left="460"/>
              <w:spacing w:after="0"/>
              <w:rPr>
                <w:sz w:val="20"/>
                <w:szCs w:val="20"/>
                <w:color w:val="auto"/>
              </w:rPr>
            </w:pPr>
            <w:r>
              <w:rPr>
                <w:rFonts w:ascii="Arial" w:cs="Arial" w:eastAsia="Arial" w:hAnsi="Arial"/>
                <w:sz w:val="14"/>
                <w:szCs w:val="14"/>
                <w:color w:val="auto"/>
              </w:rPr>
              <w:t>R&amp;D</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5,585</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6,020</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88"/>
              <w:spacing w:after="0"/>
              <w:rPr>
                <w:sz w:val="20"/>
                <w:szCs w:val="20"/>
                <w:color w:val="auto"/>
              </w:rPr>
            </w:pPr>
            <w:r>
              <w:rPr>
                <w:rFonts w:ascii="Arial" w:cs="Arial" w:eastAsia="Arial" w:hAnsi="Arial"/>
                <w:sz w:val="14"/>
                <w:szCs w:val="14"/>
                <w:color w:val="auto"/>
              </w:rPr>
              <w:t>5,359</w:t>
            </w:r>
          </w:p>
        </w:tc>
      </w:tr>
      <w:tr>
        <w:trPr>
          <w:trHeight w:val="182"/>
        </w:trPr>
        <w:tc>
          <w:tcPr>
            <w:tcW w:w="20" w:type="dxa"/>
            <w:vAlign w:val="bottom"/>
          </w:tcPr>
          <w:p>
            <w:pPr>
              <w:spacing w:after="0"/>
              <w:rPr>
                <w:sz w:val="15"/>
                <w:szCs w:val="15"/>
                <w:color w:val="auto"/>
              </w:rPr>
            </w:pPr>
          </w:p>
        </w:tc>
        <w:tc>
          <w:tcPr>
            <w:tcW w:w="7180" w:type="dxa"/>
            <w:vAlign w:val="bottom"/>
          </w:tcPr>
          <w:p>
            <w:pPr>
              <w:ind w:left="460"/>
              <w:spacing w:after="0"/>
              <w:rPr>
                <w:sz w:val="20"/>
                <w:szCs w:val="20"/>
                <w:color w:val="auto"/>
              </w:rPr>
            </w:pPr>
            <w:r>
              <w:rPr>
                <w:rFonts w:ascii="Arial" w:cs="Arial" w:eastAsia="Arial" w:hAnsi="Arial"/>
                <w:sz w:val="14"/>
                <w:szCs w:val="14"/>
                <w:color w:val="auto"/>
              </w:rPr>
              <w:t>Selling, marketing and G&amp;A</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5,270</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5,543</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88"/>
              <w:spacing w:after="0"/>
              <w:rPr>
                <w:sz w:val="20"/>
                <w:szCs w:val="20"/>
                <w:color w:val="auto"/>
              </w:rPr>
            </w:pPr>
            <w:r>
              <w:rPr>
                <w:rFonts w:ascii="Arial" w:cs="Arial" w:eastAsia="Arial" w:hAnsi="Arial"/>
                <w:sz w:val="14"/>
                <w:szCs w:val="14"/>
                <w:color w:val="auto"/>
              </w:rPr>
              <w:t>4,805</w:t>
            </w:r>
          </w:p>
        </w:tc>
      </w:tr>
      <w:tr>
        <w:trPr>
          <w:trHeight w:val="309"/>
        </w:trPr>
        <w:tc>
          <w:tcPr>
            <w:tcW w:w="20" w:type="dxa"/>
            <w:vAlign w:val="bottom"/>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r>
        <w:trPr>
          <w:trHeight w:val="21"/>
        </w:trPr>
        <w:tc>
          <w:tcPr>
            <w:tcW w:w="20" w:type="dxa"/>
            <w:vAlign w:val="bottom"/>
          </w:tcPr>
          <w:p>
            <w:pPr>
              <w:spacing w:after="0" w:line="20" w:lineRule="exact"/>
              <w:rPr>
                <w:sz w:val="1"/>
                <w:szCs w:val="1"/>
                <w:color w:val="auto"/>
              </w:rPr>
            </w:pPr>
          </w:p>
        </w:tc>
        <w:tc>
          <w:tcPr>
            <w:tcW w:w="718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560" w:type="dxa"/>
            <w:vAlign w:val="bottom"/>
            <w:gridSpan w:val="3"/>
          </w:tcPr>
          <w:p>
            <w:pPr>
              <w:jc w:val="center"/>
              <w:ind w:left="588"/>
              <w:spacing w:after="0"/>
              <w:rPr>
                <w:sz w:val="20"/>
                <w:szCs w:val="20"/>
                <w:color w:val="auto"/>
              </w:rPr>
            </w:pPr>
            <w:r>
              <w:rPr>
                <w:rFonts w:ascii="Arial" w:cs="Arial" w:eastAsia="Arial" w:hAnsi="Arial"/>
                <w:sz w:val="14"/>
                <w:szCs w:val="14"/>
                <w:b w:val="1"/>
                <w:bCs w:val="1"/>
                <w:color w:val="auto"/>
                <w:w w:val="92"/>
              </w:rPr>
              <w:t>Analog Devices, First Quarter, Fiscal 2011</w:t>
            </w: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23"/>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89"/>
              </w:rPr>
              <w:t>Schedule B</w:t>
            </w: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3560" w:type="dxa"/>
            <w:vAlign w:val="bottom"/>
            <w:gridSpan w:val="3"/>
          </w:tcPr>
          <w:p>
            <w:pPr>
              <w:jc w:val="center"/>
              <w:ind w:left="588"/>
              <w:spacing w:after="0"/>
              <w:rPr>
                <w:sz w:val="20"/>
                <w:szCs w:val="20"/>
                <w:color w:val="auto"/>
              </w:rPr>
            </w:pPr>
            <w:r>
              <w:rPr>
                <w:rFonts w:ascii="Arial" w:cs="Arial" w:eastAsia="Arial" w:hAnsi="Arial"/>
                <w:sz w:val="14"/>
                <w:szCs w:val="14"/>
                <w:b w:val="1"/>
                <w:bCs w:val="1"/>
                <w:color w:val="auto"/>
                <w:w w:val="93"/>
              </w:rPr>
              <w:t>Selected Balance Sheet Information (GAAP)</w:t>
            </w: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560" w:type="dxa"/>
            <w:vAlign w:val="bottom"/>
            <w:gridSpan w:val="3"/>
          </w:tcPr>
          <w:p>
            <w:pPr>
              <w:jc w:val="center"/>
              <w:ind w:left="588"/>
              <w:spacing w:after="0"/>
              <w:rPr>
                <w:sz w:val="20"/>
                <w:szCs w:val="20"/>
                <w:color w:val="auto"/>
              </w:rPr>
            </w:pPr>
            <w:r>
              <w:rPr>
                <w:rFonts w:ascii="Arial" w:cs="Arial" w:eastAsia="Arial" w:hAnsi="Arial"/>
                <w:sz w:val="14"/>
                <w:szCs w:val="14"/>
                <w:b w:val="1"/>
                <w:bCs w:val="1"/>
                <w:color w:val="auto"/>
                <w:w w:val="93"/>
              </w:rPr>
              <w:t>(In thousands)</w:t>
            </w: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0"/>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jc w:val="right"/>
              <w:ind w:right="568"/>
              <w:spacing w:after="0"/>
              <w:rPr>
                <w:sz w:val="20"/>
                <w:szCs w:val="20"/>
                <w:color w:val="auto"/>
              </w:rPr>
            </w:pPr>
            <w:r>
              <w:rPr>
                <w:rFonts w:ascii="Arial" w:cs="Arial" w:eastAsia="Arial" w:hAnsi="Arial"/>
                <w:sz w:val="14"/>
                <w:szCs w:val="14"/>
                <w:b w:val="1"/>
                <w:bCs w:val="1"/>
                <w:color w:val="auto"/>
              </w:rPr>
              <w:t>1Q 11</w:t>
            </w:r>
          </w:p>
        </w:tc>
        <w:tc>
          <w:tcPr>
            <w:tcW w:w="300" w:type="dxa"/>
            <w:vAlign w:val="bottom"/>
          </w:tcPr>
          <w:p>
            <w:pPr>
              <w:spacing w:after="0"/>
              <w:rPr>
                <w:sz w:val="24"/>
                <w:szCs w:val="24"/>
                <w:color w:val="auto"/>
              </w:rPr>
            </w:pPr>
          </w:p>
        </w:tc>
        <w:tc>
          <w:tcPr>
            <w:tcW w:w="1240" w:type="dxa"/>
            <w:vAlign w:val="bottom"/>
          </w:tcPr>
          <w:p>
            <w:pPr>
              <w:jc w:val="center"/>
              <w:ind w:right="348"/>
              <w:spacing w:after="0"/>
              <w:rPr>
                <w:sz w:val="20"/>
                <w:szCs w:val="20"/>
                <w:color w:val="auto"/>
              </w:rPr>
            </w:pPr>
            <w:r>
              <w:rPr>
                <w:rFonts w:ascii="Arial" w:cs="Arial" w:eastAsia="Arial" w:hAnsi="Arial"/>
                <w:sz w:val="14"/>
                <w:szCs w:val="14"/>
                <w:b w:val="1"/>
                <w:bCs w:val="1"/>
                <w:color w:val="auto"/>
                <w:w w:val="99"/>
              </w:rPr>
              <w:t>4Q 10</w:t>
            </w:r>
          </w:p>
        </w:tc>
        <w:tc>
          <w:tcPr>
            <w:tcW w:w="320" w:type="dxa"/>
            <w:vAlign w:val="bottom"/>
          </w:tcPr>
          <w:p>
            <w:pPr>
              <w:spacing w:after="0"/>
              <w:rPr>
                <w:sz w:val="24"/>
                <w:szCs w:val="2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1Q 10</w:t>
            </w: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80" w:type="dxa"/>
            <w:vAlign w:val="bottom"/>
          </w:tcPr>
          <w:p>
            <w:pPr>
              <w:jc w:val="right"/>
              <w:ind w:right="528"/>
              <w:spacing w:after="0" w:line="149" w:lineRule="exact"/>
              <w:rPr>
                <w:sz w:val="20"/>
                <w:szCs w:val="20"/>
                <w:color w:val="auto"/>
              </w:rPr>
            </w:pPr>
            <w:r>
              <w:rPr>
                <w:rFonts w:ascii="Arial" w:cs="Arial" w:eastAsia="Arial" w:hAnsi="Arial"/>
                <w:sz w:val="14"/>
                <w:szCs w:val="14"/>
                <w:b w:val="1"/>
                <w:bCs w:val="1"/>
                <w:color w:val="auto"/>
              </w:rPr>
              <w:t>Jan. 29,</w:t>
            </w:r>
          </w:p>
        </w:tc>
        <w:tc>
          <w:tcPr>
            <w:tcW w:w="300" w:type="dxa"/>
            <w:vAlign w:val="bottom"/>
          </w:tcPr>
          <w:p>
            <w:pPr>
              <w:spacing w:after="0"/>
              <w:rPr>
                <w:sz w:val="12"/>
                <w:szCs w:val="12"/>
                <w:color w:val="auto"/>
              </w:rPr>
            </w:pPr>
          </w:p>
        </w:tc>
        <w:tc>
          <w:tcPr>
            <w:tcW w:w="1240" w:type="dxa"/>
            <w:vAlign w:val="bottom"/>
          </w:tcPr>
          <w:p>
            <w:pPr>
              <w:jc w:val="center"/>
              <w:ind w:right="328"/>
              <w:spacing w:after="0" w:line="149" w:lineRule="exact"/>
              <w:rPr>
                <w:sz w:val="20"/>
                <w:szCs w:val="20"/>
                <w:color w:val="auto"/>
              </w:rPr>
            </w:pPr>
            <w:r>
              <w:rPr>
                <w:rFonts w:ascii="Arial" w:cs="Arial" w:eastAsia="Arial" w:hAnsi="Arial"/>
                <w:sz w:val="14"/>
                <w:szCs w:val="14"/>
                <w:b w:val="1"/>
                <w:bCs w:val="1"/>
                <w:color w:val="auto"/>
                <w:w w:val="94"/>
              </w:rPr>
              <w:t>Oct. 30,</w:t>
            </w:r>
          </w:p>
        </w:tc>
        <w:tc>
          <w:tcPr>
            <w:tcW w:w="32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Jan. 30,</w:t>
            </w:r>
          </w:p>
        </w:tc>
      </w:tr>
      <w:tr>
        <w:trPr>
          <w:trHeight w:val="185"/>
        </w:trPr>
        <w:tc>
          <w:tcPr>
            <w:tcW w:w="20" w:type="dxa"/>
            <w:vAlign w:val="bottom"/>
          </w:tcPr>
          <w:p>
            <w:pPr>
              <w:spacing w:after="0"/>
              <w:rPr>
                <w:sz w:val="16"/>
                <w:szCs w:val="16"/>
                <w:color w:val="auto"/>
              </w:rPr>
            </w:pPr>
          </w:p>
        </w:tc>
        <w:tc>
          <w:tcPr>
            <w:tcW w:w="35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28"/>
              <w:spacing w:after="0"/>
              <w:rPr>
                <w:sz w:val="20"/>
                <w:szCs w:val="20"/>
                <w:color w:val="auto"/>
              </w:rPr>
            </w:pPr>
            <w:r>
              <w:rPr>
                <w:rFonts w:ascii="Arial" w:cs="Arial" w:eastAsia="Arial" w:hAnsi="Arial"/>
                <w:sz w:val="14"/>
                <w:szCs w:val="14"/>
                <w:b w:val="1"/>
                <w:bCs w:val="1"/>
                <w:color w:val="auto"/>
                <w:w w:val="89"/>
              </w:rPr>
              <w:t>2010</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308"/>
              <w:spacing w:after="0"/>
              <w:rPr>
                <w:sz w:val="20"/>
                <w:szCs w:val="20"/>
                <w:color w:val="auto"/>
              </w:rPr>
            </w:pPr>
            <w:r>
              <w:rPr>
                <w:rFonts w:ascii="Arial" w:cs="Arial" w:eastAsia="Arial" w:hAnsi="Arial"/>
                <w:sz w:val="14"/>
                <w:szCs w:val="14"/>
                <w:b w:val="1"/>
                <w:bCs w:val="1"/>
                <w:color w:val="auto"/>
                <w:w w:val="89"/>
              </w:rPr>
              <w:t>2010</w:t>
            </w:r>
          </w:p>
        </w:tc>
        <w:tc>
          <w:tcPr>
            <w:tcW w:w="20" w:type="dxa"/>
            <w:vAlign w:val="bottom"/>
          </w:tcPr>
          <w:p>
            <w:pPr>
              <w:spacing w:after="0"/>
              <w:rPr>
                <w:sz w:val="16"/>
                <w:szCs w:val="16"/>
                <w:color w:val="auto"/>
              </w:rPr>
            </w:pPr>
          </w:p>
        </w:tc>
      </w:tr>
      <w:tr>
        <w:trPr>
          <w:trHeight w:val="164"/>
        </w:trPr>
        <w:tc>
          <w:tcPr>
            <w:tcW w:w="20" w:type="dxa"/>
            <w:vAlign w:val="bottom"/>
          </w:tcPr>
          <w:p>
            <w:pPr>
              <w:spacing w:after="0"/>
              <w:rPr>
                <w:sz w:val="14"/>
                <w:szCs w:val="14"/>
                <w:color w:val="auto"/>
              </w:rPr>
            </w:pPr>
          </w:p>
        </w:tc>
        <w:tc>
          <w:tcPr>
            <w:tcW w:w="3580" w:type="dxa"/>
            <w:vAlign w:val="bottom"/>
          </w:tcPr>
          <w:p>
            <w:pPr>
              <w:spacing w:after="0"/>
              <w:rPr>
                <w:sz w:val="20"/>
                <w:szCs w:val="20"/>
                <w:color w:val="auto"/>
              </w:rPr>
            </w:pPr>
            <w:r>
              <w:rPr>
                <w:rFonts w:ascii="Arial" w:cs="Arial" w:eastAsia="Arial" w:hAnsi="Arial"/>
                <w:sz w:val="14"/>
                <w:szCs w:val="14"/>
                <w:color w:val="auto"/>
              </w:rPr>
              <w:t>Cash &amp; short-term investments</w:t>
            </w:r>
          </w:p>
        </w:tc>
        <w:tc>
          <w:tcPr>
            <w:tcW w:w="35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2,961,116</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2,687,768</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2,178,964</w:t>
            </w:r>
          </w:p>
        </w:tc>
        <w:tc>
          <w:tcPr>
            <w:tcW w:w="20" w:type="dxa"/>
            <w:vAlign w:val="bottom"/>
          </w:tcPr>
          <w:p>
            <w:pPr>
              <w:spacing w:after="0"/>
              <w:rPr>
                <w:sz w:val="14"/>
                <w:szCs w:val="14"/>
                <w:color w:val="auto"/>
              </w:rPr>
            </w:pPr>
          </w:p>
        </w:tc>
      </w:tr>
      <w:tr>
        <w:trPr>
          <w:trHeight w:val="176"/>
        </w:trPr>
        <w:tc>
          <w:tcPr>
            <w:tcW w:w="3600" w:type="dxa"/>
            <w:vAlign w:val="bottom"/>
            <w:gridSpan w:val="2"/>
          </w:tcPr>
          <w:p>
            <w:pPr>
              <w:spacing w:after="0"/>
              <w:rPr>
                <w:sz w:val="20"/>
                <w:szCs w:val="20"/>
                <w:color w:val="auto"/>
              </w:rPr>
            </w:pPr>
            <w:r>
              <w:rPr>
                <w:rFonts w:ascii="Arial" w:cs="Arial" w:eastAsia="Arial" w:hAnsi="Arial"/>
                <w:sz w:val="14"/>
                <w:szCs w:val="14"/>
                <w:color w:val="auto"/>
              </w:rPr>
              <w:t>Accounts receivable, net</w:t>
            </w:r>
          </w:p>
        </w:tc>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384,276</w:t>
            </w:r>
          </w:p>
        </w:tc>
        <w:tc>
          <w:tcPr>
            <w:tcW w:w="3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387,169</w:t>
            </w:r>
          </w:p>
        </w:tc>
        <w:tc>
          <w:tcPr>
            <w:tcW w:w="320" w:type="dxa"/>
            <w:vAlign w:val="bottom"/>
          </w:tcPr>
          <w:p>
            <w:pPr>
              <w:spacing w:after="0"/>
              <w:rPr>
                <w:sz w:val="15"/>
                <w:szCs w:val="15"/>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rPr>
              <w:t>313,288</w:t>
            </w:r>
          </w:p>
        </w:tc>
      </w:tr>
      <w:tr>
        <w:trPr>
          <w:trHeight w:val="176"/>
        </w:trPr>
        <w:tc>
          <w:tcPr>
            <w:tcW w:w="3600" w:type="dxa"/>
            <w:vAlign w:val="bottom"/>
            <w:gridSpan w:val="2"/>
          </w:tcPr>
          <w:p>
            <w:pPr>
              <w:spacing w:after="0"/>
              <w:rPr>
                <w:sz w:val="20"/>
                <w:szCs w:val="20"/>
                <w:color w:val="auto"/>
              </w:rPr>
            </w:pPr>
            <w:r>
              <w:rPr>
                <w:rFonts w:ascii="Arial" w:cs="Arial" w:eastAsia="Arial" w:hAnsi="Arial"/>
                <w:sz w:val="14"/>
                <w:szCs w:val="14"/>
                <w:color w:val="auto"/>
              </w:rPr>
              <w:t>Inventories (1)</w:t>
            </w:r>
          </w:p>
        </w:tc>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282,980</w:t>
            </w:r>
          </w:p>
        </w:tc>
        <w:tc>
          <w:tcPr>
            <w:tcW w:w="3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277,478</w:t>
            </w:r>
          </w:p>
        </w:tc>
        <w:tc>
          <w:tcPr>
            <w:tcW w:w="320" w:type="dxa"/>
            <w:vAlign w:val="bottom"/>
          </w:tcPr>
          <w:p>
            <w:pPr>
              <w:spacing w:after="0"/>
              <w:rPr>
                <w:sz w:val="15"/>
                <w:szCs w:val="15"/>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rPr>
              <w:t>243,275</w:t>
            </w:r>
          </w:p>
        </w:tc>
      </w:tr>
      <w:tr>
        <w:trPr>
          <w:trHeight w:val="181"/>
        </w:trPr>
        <w:tc>
          <w:tcPr>
            <w:tcW w:w="3600" w:type="dxa"/>
            <w:vAlign w:val="bottom"/>
            <w:gridSpan w:val="2"/>
          </w:tcPr>
          <w:p>
            <w:pPr>
              <w:spacing w:after="0"/>
              <w:rPr>
                <w:sz w:val="20"/>
                <w:szCs w:val="20"/>
                <w:color w:val="auto"/>
              </w:rPr>
            </w:pPr>
            <w:r>
              <w:rPr>
                <w:rFonts w:ascii="Arial" w:cs="Arial" w:eastAsia="Arial" w:hAnsi="Arial"/>
                <w:sz w:val="14"/>
                <w:szCs w:val="14"/>
                <w:color w:val="auto"/>
              </w:rPr>
              <w:t>Other current assets</w:t>
            </w:r>
          </w:p>
        </w:tc>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108,657</w:t>
            </w:r>
          </w:p>
        </w:tc>
        <w:tc>
          <w:tcPr>
            <w:tcW w:w="3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126,584</w:t>
            </w:r>
          </w:p>
        </w:tc>
        <w:tc>
          <w:tcPr>
            <w:tcW w:w="320" w:type="dxa"/>
            <w:vAlign w:val="bottom"/>
          </w:tcPr>
          <w:p>
            <w:pPr>
              <w:spacing w:after="0"/>
              <w:rPr>
                <w:sz w:val="15"/>
                <w:szCs w:val="15"/>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rPr>
              <w:t>105,428</w:t>
            </w:r>
          </w:p>
        </w:tc>
      </w:tr>
      <w:tr>
        <w:trPr>
          <w:trHeight w:val="164"/>
        </w:trPr>
        <w:tc>
          <w:tcPr>
            <w:tcW w:w="20" w:type="dxa"/>
            <w:vAlign w:val="bottom"/>
          </w:tcPr>
          <w:p>
            <w:pPr>
              <w:spacing w:after="0"/>
              <w:rPr>
                <w:sz w:val="14"/>
                <w:szCs w:val="14"/>
                <w:color w:val="auto"/>
              </w:rPr>
            </w:pPr>
          </w:p>
        </w:tc>
        <w:tc>
          <w:tcPr>
            <w:tcW w:w="3580" w:type="dxa"/>
            <w:vAlign w:val="bottom"/>
            <w:tcBorders>
              <w:top w:val="single" w:sz="8" w:color="auto"/>
            </w:tcBorders>
          </w:tcPr>
          <w:p>
            <w:pPr>
              <w:ind w:left="120"/>
              <w:spacing w:after="0"/>
              <w:rPr>
                <w:sz w:val="20"/>
                <w:szCs w:val="20"/>
                <w:color w:val="auto"/>
              </w:rPr>
            </w:pPr>
            <w:r>
              <w:rPr>
                <w:rFonts w:ascii="Arial" w:cs="Arial" w:eastAsia="Arial" w:hAnsi="Arial"/>
                <w:sz w:val="14"/>
                <w:szCs w:val="14"/>
                <w:color w:val="auto"/>
              </w:rPr>
              <w:t>Total current assets</w:t>
            </w:r>
          </w:p>
        </w:tc>
        <w:tc>
          <w:tcPr>
            <w:tcW w:w="17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3,737,029</w:t>
            </w:r>
          </w:p>
        </w:tc>
        <w:tc>
          <w:tcPr>
            <w:tcW w:w="3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3,478,999</w:t>
            </w:r>
          </w:p>
        </w:tc>
        <w:tc>
          <w:tcPr>
            <w:tcW w:w="3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2,840,955</w:t>
            </w:r>
          </w:p>
        </w:tc>
      </w:tr>
      <w:tr>
        <w:trPr>
          <w:trHeight w:val="176"/>
        </w:trPr>
        <w:tc>
          <w:tcPr>
            <w:tcW w:w="3600" w:type="dxa"/>
            <w:vAlign w:val="bottom"/>
            <w:gridSpan w:val="2"/>
          </w:tcPr>
          <w:p>
            <w:pPr>
              <w:spacing w:after="0"/>
              <w:rPr>
                <w:sz w:val="20"/>
                <w:szCs w:val="20"/>
                <w:color w:val="auto"/>
              </w:rPr>
            </w:pPr>
            <w:r>
              <w:rPr>
                <w:rFonts w:ascii="Arial" w:cs="Arial" w:eastAsia="Arial" w:hAnsi="Arial"/>
                <w:sz w:val="14"/>
                <w:szCs w:val="14"/>
                <w:color w:val="auto"/>
              </w:rPr>
              <w:t>PP&amp;E, net</w:t>
            </w:r>
          </w:p>
        </w:tc>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468,541</w:t>
            </w:r>
          </w:p>
        </w:tc>
        <w:tc>
          <w:tcPr>
            <w:tcW w:w="3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472,665</w:t>
            </w:r>
          </w:p>
        </w:tc>
        <w:tc>
          <w:tcPr>
            <w:tcW w:w="320" w:type="dxa"/>
            <w:vAlign w:val="bottom"/>
          </w:tcPr>
          <w:p>
            <w:pPr>
              <w:spacing w:after="0"/>
              <w:rPr>
                <w:sz w:val="15"/>
                <w:szCs w:val="15"/>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rPr>
              <w:t>464,456</w:t>
            </w:r>
          </w:p>
        </w:tc>
      </w:tr>
      <w:tr>
        <w:trPr>
          <w:trHeight w:val="176"/>
        </w:trPr>
        <w:tc>
          <w:tcPr>
            <w:tcW w:w="3600" w:type="dxa"/>
            <w:vAlign w:val="bottom"/>
            <w:gridSpan w:val="2"/>
          </w:tcPr>
          <w:p>
            <w:pPr>
              <w:spacing w:after="0"/>
              <w:rPr>
                <w:sz w:val="20"/>
                <w:szCs w:val="20"/>
                <w:color w:val="auto"/>
              </w:rPr>
            </w:pPr>
            <w:r>
              <w:rPr>
                <w:rFonts w:ascii="Arial" w:cs="Arial" w:eastAsia="Arial" w:hAnsi="Arial"/>
                <w:sz w:val="14"/>
                <w:szCs w:val="14"/>
                <w:color w:val="auto"/>
              </w:rPr>
              <w:t>Investments</w:t>
            </w:r>
          </w:p>
        </w:tc>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28,119</w:t>
            </w:r>
          </w:p>
        </w:tc>
        <w:tc>
          <w:tcPr>
            <w:tcW w:w="3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10,007</w:t>
            </w:r>
          </w:p>
        </w:tc>
        <w:tc>
          <w:tcPr>
            <w:tcW w:w="320" w:type="dxa"/>
            <w:vAlign w:val="bottom"/>
          </w:tcPr>
          <w:p>
            <w:pPr>
              <w:spacing w:after="0"/>
              <w:rPr>
                <w:sz w:val="15"/>
                <w:szCs w:val="15"/>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rPr>
              <w:t>8,664</w:t>
            </w:r>
          </w:p>
        </w:tc>
      </w:tr>
      <w:tr>
        <w:trPr>
          <w:trHeight w:val="176"/>
        </w:trPr>
        <w:tc>
          <w:tcPr>
            <w:tcW w:w="3600" w:type="dxa"/>
            <w:vAlign w:val="bottom"/>
            <w:gridSpan w:val="2"/>
          </w:tcPr>
          <w:p>
            <w:pPr>
              <w:spacing w:after="0"/>
              <w:rPr>
                <w:sz w:val="20"/>
                <w:szCs w:val="20"/>
                <w:color w:val="auto"/>
              </w:rPr>
            </w:pPr>
            <w:r>
              <w:rPr>
                <w:rFonts w:ascii="Arial" w:cs="Arial" w:eastAsia="Arial" w:hAnsi="Arial"/>
                <w:sz w:val="14"/>
                <w:szCs w:val="14"/>
                <w:color w:val="auto"/>
              </w:rPr>
              <w:t>Goodwill and intangible assets</w:t>
            </w:r>
          </w:p>
        </w:tc>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257,164</w:t>
            </w:r>
          </w:p>
        </w:tc>
        <w:tc>
          <w:tcPr>
            <w:tcW w:w="3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256,923</w:t>
            </w:r>
          </w:p>
        </w:tc>
        <w:tc>
          <w:tcPr>
            <w:tcW w:w="320" w:type="dxa"/>
            <w:vAlign w:val="bottom"/>
          </w:tcPr>
          <w:p>
            <w:pPr>
              <w:spacing w:after="0"/>
              <w:rPr>
                <w:sz w:val="15"/>
                <w:szCs w:val="15"/>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rPr>
              <w:t>257,975</w:t>
            </w:r>
          </w:p>
        </w:tc>
      </w:tr>
      <w:tr>
        <w:trPr>
          <w:trHeight w:val="181"/>
        </w:trPr>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Other</w:t>
            </w:r>
          </w:p>
        </w:tc>
        <w:tc>
          <w:tcPr>
            <w:tcW w:w="17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106,052</w:t>
            </w: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110,237</w:t>
            </w: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82,318</w:t>
            </w:r>
          </w:p>
        </w:tc>
      </w:tr>
      <w:tr>
        <w:trPr>
          <w:trHeight w:val="169"/>
        </w:trPr>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Total assets</w:t>
            </w:r>
          </w:p>
        </w:tc>
        <w:tc>
          <w:tcPr>
            <w:tcW w:w="35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4,596,905</w:t>
            </w: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4,328,831</w:t>
            </w: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3,654,368</w:t>
            </w:r>
          </w:p>
        </w:tc>
      </w:tr>
      <w:tr>
        <w:trPr>
          <w:trHeight w:val="339"/>
        </w:trPr>
        <w:tc>
          <w:tcPr>
            <w:tcW w:w="3600" w:type="dxa"/>
            <w:vAlign w:val="bottom"/>
            <w:gridSpan w:val="2"/>
          </w:tcPr>
          <w:p>
            <w:pPr>
              <w:spacing w:after="0"/>
              <w:rPr>
                <w:sz w:val="20"/>
                <w:szCs w:val="20"/>
                <w:color w:val="auto"/>
              </w:rPr>
            </w:pPr>
            <w:r>
              <w:rPr>
                <w:rFonts w:ascii="Arial" w:cs="Arial" w:eastAsia="Arial" w:hAnsi="Arial"/>
                <w:sz w:val="14"/>
                <w:szCs w:val="14"/>
                <w:color w:val="auto"/>
              </w:rPr>
              <w:t>Deferred income on shipments to distributors, net</w:t>
            </w:r>
          </w:p>
        </w:tc>
        <w:tc>
          <w:tcPr>
            <w:tcW w:w="35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253,254</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242,848</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rPr>
              <w:t>177,029</w:t>
            </w:r>
          </w:p>
        </w:tc>
      </w:tr>
      <w:tr>
        <w:trPr>
          <w:trHeight w:val="176"/>
        </w:trPr>
        <w:tc>
          <w:tcPr>
            <w:tcW w:w="3600" w:type="dxa"/>
            <w:vAlign w:val="bottom"/>
            <w:gridSpan w:val="2"/>
          </w:tcPr>
          <w:p>
            <w:pPr>
              <w:spacing w:after="0"/>
              <w:rPr>
                <w:sz w:val="20"/>
                <w:szCs w:val="20"/>
                <w:color w:val="auto"/>
              </w:rPr>
            </w:pPr>
            <w:r>
              <w:rPr>
                <w:rFonts w:ascii="Arial" w:cs="Arial" w:eastAsia="Arial" w:hAnsi="Arial"/>
                <w:sz w:val="14"/>
                <w:szCs w:val="14"/>
                <w:color w:val="auto"/>
              </w:rPr>
              <w:t>Other current liabilities</w:t>
            </w:r>
          </w:p>
        </w:tc>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355,237</w:t>
            </w:r>
          </w:p>
        </w:tc>
        <w:tc>
          <w:tcPr>
            <w:tcW w:w="3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400,619</w:t>
            </w:r>
          </w:p>
        </w:tc>
        <w:tc>
          <w:tcPr>
            <w:tcW w:w="320" w:type="dxa"/>
            <w:vAlign w:val="bottom"/>
          </w:tcPr>
          <w:p>
            <w:pPr>
              <w:spacing w:after="0"/>
              <w:rPr>
                <w:sz w:val="15"/>
                <w:szCs w:val="15"/>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rPr>
              <w:t>274,402</w:t>
            </w:r>
          </w:p>
        </w:tc>
      </w:tr>
      <w:tr>
        <w:trPr>
          <w:trHeight w:val="176"/>
        </w:trPr>
        <w:tc>
          <w:tcPr>
            <w:tcW w:w="3600" w:type="dxa"/>
            <w:vAlign w:val="bottom"/>
            <w:gridSpan w:val="2"/>
          </w:tcPr>
          <w:p>
            <w:pPr>
              <w:spacing w:after="0"/>
              <w:rPr>
                <w:sz w:val="20"/>
                <w:szCs w:val="20"/>
                <w:color w:val="auto"/>
              </w:rPr>
            </w:pPr>
            <w:r>
              <w:rPr>
                <w:rFonts w:ascii="Arial" w:cs="Arial" w:eastAsia="Arial" w:hAnsi="Arial"/>
                <w:sz w:val="14"/>
                <w:szCs w:val="14"/>
                <w:color w:val="auto"/>
              </w:rPr>
              <w:t>Non-current liabilities</w:t>
            </w:r>
          </w:p>
        </w:tc>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623,987</w:t>
            </w:r>
          </w:p>
        </w:tc>
        <w:tc>
          <w:tcPr>
            <w:tcW w:w="3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485,647</w:t>
            </w:r>
          </w:p>
        </w:tc>
        <w:tc>
          <w:tcPr>
            <w:tcW w:w="320" w:type="dxa"/>
            <w:vAlign w:val="bottom"/>
          </w:tcPr>
          <w:p>
            <w:pPr>
              <w:spacing w:after="0"/>
              <w:rPr>
                <w:sz w:val="15"/>
                <w:szCs w:val="15"/>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rPr>
              <w:t>438,784</w:t>
            </w:r>
          </w:p>
        </w:tc>
      </w:tr>
      <w:tr>
        <w:trPr>
          <w:trHeight w:val="181"/>
        </w:trPr>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Stockholders' equity</w:t>
            </w:r>
          </w:p>
        </w:tc>
        <w:tc>
          <w:tcPr>
            <w:tcW w:w="17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3,364,427</w:t>
            </w: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3,199,717</w:t>
            </w: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2,764,153</w:t>
            </w:r>
          </w:p>
        </w:tc>
      </w:tr>
      <w:tr>
        <w:trPr>
          <w:trHeight w:val="169"/>
        </w:trPr>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Total liabilities &amp; equity</w:t>
            </w:r>
          </w:p>
        </w:tc>
        <w:tc>
          <w:tcPr>
            <w:tcW w:w="35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4,596,905</w:t>
            </w: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4,328,831</w:t>
            </w: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3,654,368</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(1) Includes $2,447, $2,534 and $2,537 related to stock-based compensation in 1Q11, 4Q10 and 1Q10,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272020"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Analog Devices, First Quarter, Fiscal 2011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Schedule 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Cash Flow Statement (GAAP)</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spacing w:after="0"/>
              <w:rPr>
                <w:sz w:val="16"/>
                <w:szCs w:val="16"/>
                <w:color w:val="auto"/>
              </w:rPr>
            </w:pPr>
          </w:p>
        </w:tc>
        <w:tc>
          <w:tcPr>
            <w:tcW w:w="1660" w:type="dxa"/>
            <w:vAlign w:val="bottom"/>
            <w:tcBorders>
              <w:top w:val="single" w:sz="8" w:color="auto"/>
              <w:bottom w:val="single" w:sz="8" w:color="auto"/>
            </w:tcBorders>
            <w:gridSpan w:val="2"/>
          </w:tcPr>
          <w:p>
            <w:pPr>
              <w:jc w:val="right"/>
              <w:ind w:right="148"/>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spacing w:after="0"/>
              <w:rPr>
                <w:sz w:val="16"/>
                <w:szCs w:val="16"/>
                <w:color w:val="auto"/>
              </w:rPr>
            </w:pPr>
          </w:p>
        </w:tc>
      </w:tr>
      <w:tr>
        <w:trPr>
          <w:trHeight w:val="160"/>
        </w:trPr>
        <w:tc>
          <w:tcPr>
            <w:tcW w:w="2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center"/>
              <w:ind w:right="288"/>
              <w:spacing w:after="0" w:line="160" w:lineRule="exact"/>
              <w:rPr>
                <w:sz w:val="20"/>
                <w:szCs w:val="20"/>
                <w:color w:val="auto"/>
              </w:rPr>
            </w:pPr>
            <w:r>
              <w:rPr>
                <w:rFonts w:ascii="Arial" w:cs="Arial" w:eastAsia="Arial" w:hAnsi="Arial"/>
                <w:sz w:val="14"/>
                <w:szCs w:val="14"/>
                <w:b w:val="1"/>
                <w:bCs w:val="1"/>
                <w:color w:val="auto"/>
                <w:w w:val="94"/>
              </w:rPr>
              <w:t>1Q 11</w:t>
            </w:r>
          </w:p>
        </w:tc>
        <w:tc>
          <w:tcPr>
            <w:tcW w:w="380" w:type="dxa"/>
            <w:vAlign w:val="bottom"/>
          </w:tcPr>
          <w:p>
            <w:pPr>
              <w:spacing w:after="0"/>
              <w:rPr>
                <w:sz w:val="13"/>
                <w:szCs w:val="13"/>
                <w:color w:val="auto"/>
              </w:rPr>
            </w:pPr>
          </w:p>
        </w:tc>
        <w:tc>
          <w:tcPr>
            <w:tcW w:w="1280" w:type="dxa"/>
            <w:vAlign w:val="bottom"/>
          </w:tcPr>
          <w:p>
            <w:pPr>
              <w:jc w:val="center"/>
              <w:ind w:right="288"/>
              <w:spacing w:after="0" w:line="160" w:lineRule="exact"/>
              <w:rPr>
                <w:sz w:val="20"/>
                <w:szCs w:val="20"/>
                <w:color w:val="auto"/>
              </w:rPr>
            </w:pPr>
            <w:r>
              <w:rPr>
                <w:rFonts w:ascii="Arial" w:cs="Arial" w:eastAsia="Arial" w:hAnsi="Arial"/>
                <w:sz w:val="14"/>
                <w:szCs w:val="14"/>
                <w:b w:val="1"/>
                <w:bCs w:val="1"/>
                <w:color w:val="auto"/>
                <w:w w:val="94"/>
              </w:rPr>
              <w:t>4Q 10</w:t>
            </w:r>
          </w:p>
        </w:tc>
        <w:tc>
          <w:tcPr>
            <w:tcW w:w="340" w:type="dxa"/>
            <w:vAlign w:val="bottom"/>
          </w:tcPr>
          <w:p>
            <w:pPr>
              <w:spacing w:after="0"/>
              <w:rPr>
                <w:sz w:val="13"/>
                <w:szCs w:val="13"/>
                <w:color w:val="auto"/>
              </w:rPr>
            </w:pPr>
          </w:p>
        </w:tc>
        <w:tc>
          <w:tcPr>
            <w:tcW w:w="1140" w:type="dxa"/>
            <w:vAlign w:val="bottom"/>
          </w:tcPr>
          <w:p>
            <w:pPr>
              <w:jc w:val="center"/>
              <w:ind w:right="268"/>
              <w:spacing w:after="0" w:line="160" w:lineRule="exact"/>
              <w:rPr>
                <w:sz w:val="20"/>
                <w:szCs w:val="20"/>
                <w:color w:val="auto"/>
              </w:rPr>
            </w:pPr>
            <w:r>
              <w:rPr>
                <w:rFonts w:ascii="Arial" w:cs="Arial" w:eastAsia="Arial" w:hAnsi="Arial"/>
                <w:sz w:val="14"/>
                <w:szCs w:val="14"/>
                <w:b w:val="1"/>
                <w:bCs w:val="1"/>
                <w:color w:val="auto"/>
                <w:w w:val="94"/>
              </w:rPr>
              <w:t>1Q 10</w:t>
            </w:r>
          </w:p>
        </w:tc>
      </w:tr>
      <w:tr>
        <w:trPr>
          <w:trHeight w:val="149"/>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ind w:right="468"/>
              <w:spacing w:after="0" w:line="149" w:lineRule="exact"/>
              <w:rPr>
                <w:sz w:val="20"/>
                <w:szCs w:val="20"/>
                <w:color w:val="auto"/>
              </w:rPr>
            </w:pPr>
            <w:r>
              <w:rPr>
                <w:rFonts w:ascii="Arial" w:cs="Arial" w:eastAsia="Arial" w:hAnsi="Arial"/>
                <w:sz w:val="14"/>
                <w:szCs w:val="14"/>
                <w:b w:val="1"/>
                <w:bCs w:val="1"/>
                <w:color w:val="auto"/>
              </w:rPr>
              <w:t>Jan. 29,</w:t>
            </w:r>
          </w:p>
        </w:tc>
        <w:tc>
          <w:tcPr>
            <w:tcW w:w="380" w:type="dxa"/>
            <w:vAlign w:val="bottom"/>
          </w:tcPr>
          <w:p>
            <w:pPr>
              <w:spacing w:after="0"/>
              <w:rPr>
                <w:sz w:val="12"/>
                <w:szCs w:val="12"/>
                <w:color w:val="auto"/>
              </w:rPr>
            </w:pPr>
          </w:p>
        </w:tc>
        <w:tc>
          <w:tcPr>
            <w:tcW w:w="1280" w:type="dxa"/>
            <w:vAlign w:val="bottom"/>
          </w:tcPr>
          <w:p>
            <w:pPr>
              <w:jc w:val="right"/>
              <w:ind w:right="508"/>
              <w:spacing w:after="0" w:line="149" w:lineRule="exact"/>
              <w:rPr>
                <w:sz w:val="20"/>
                <w:szCs w:val="20"/>
                <w:color w:val="auto"/>
              </w:rPr>
            </w:pPr>
            <w:r>
              <w:rPr>
                <w:rFonts w:ascii="Arial" w:cs="Arial" w:eastAsia="Arial" w:hAnsi="Arial"/>
                <w:sz w:val="14"/>
                <w:szCs w:val="14"/>
                <w:b w:val="1"/>
                <w:bCs w:val="1"/>
                <w:color w:val="auto"/>
              </w:rPr>
              <w:t>Oct. 30,</w:t>
            </w:r>
          </w:p>
        </w:tc>
        <w:tc>
          <w:tcPr>
            <w:tcW w:w="340" w:type="dxa"/>
            <w:vAlign w:val="bottom"/>
          </w:tcPr>
          <w:p>
            <w:pPr>
              <w:spacing w:after="0"/>
              <w:rPr>
                <w:sz w:val="12"/>
                <w:szCs w:val="12"/>
                <w:color w:val="auto"/>
              </w:rPr>
            </w:pPr>
          </w:p>
        </w:tc>
        <w:tc>
          <w:tcPr>
            <w:tcW w:w="1140" w:type="dxa"/>
            <w:vAlign w:val="bottom"/>
          </w:tcPr>
          <w:p>
            <w:pPr>
              <w:jc w:val="right"/>
              <w:ind w:right="428"/>
              <w:spacing w:after="0" w:line="149" w:lineRule="exact"/>
              <w:rPr>
                <w:sz w:val="20"/>
                <w:szCs w:val="20"/>
                <w:color w:val="auto"/>
              </w:rPr>
            </w:pPr>
            <w:r>
              <w:rPr>
                <w:rFonts w:ascii="Arial" w:cs="Arial" w:eastAsia="Arial" w:hAnsi="Arial"/>
                <w:sz w:val="14"/>
                <w:szCs w:val="14"/>
                <w:b w:val="1"/>
                <w:bCs w:val="1"/>
                <w:color w:val="auto"/>
              </w:rPr>
              <w:t>Jan. 30,</w:t>
            </w:r>
          </w:p>
        </w:tc>
      </w:tr>
      <w:tr>
        <w:trPr>
          <w:trHeight w:val="185"/>
        </w:trPr>
        <w:tc>
          <w:tcPr>
            <w:tcW w:w="2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2011</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2010</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2010</w:t>
            </w:r>
          </w:p>
        </w:tc>
      </w:tr>
      <w:tr>
        <w:trPr>
          <w:trHeight w:val="164"/>
        </w:trPr>
        <w:tc>
          <w:tcPr>
            <w:tcW w:w="6720" w:type="dxa"/>
            <w:vAlign w:val="bottom"/>
            <w:gridSpan w:val="2"/>
          </w:tcPr>
          <w:p>
            <w:pPr>
              <w:spacing w:after="0"/>
              <w:rPr>
                <w:sz w:val="20"/>
                <w:szCs w:val="20"/>
                <w:color w:val="auto"/>
              </w:rPr>
            </w:pPr>
            <w:r>
              <w:rPr>
                <w:rFonts w:ascii="Arial" w:cs="Arial" w:eastAsia="Arial" w:hAnsi="Arial"/>
                <w:sz w:val="14"/>
                <w:szCs w:val="14"/>
                <w:color w:val="auto"/>
              </w:rPr>
              <w:t>Cash flows from operating activities:</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670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222,106</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224,994</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120,459</w:t>
            </w:r>
          </w:p>
        </w:tc>
      </w:tr>
      <w:tr>
        <w:trPr>
          <w:trHeight w:val="176"/>
        </w:trPr>
        <w:tc>
          <w:tcPr>
            <w:tcW w:w="20" w:type="dxa"/>
            <w:vAlign w:val="bottom"/>
          </w:tcPr>
          <w:p>
            <w:pPr>
              <w:spacing w:after="0"/>
              <w:rPr>
                <w:sz w:val="15"/>
                <w:szCs w:val="15"/>
                <w:color w:val="auto"/>
              </w:rPr>
            </w:pPr>
          </w:p>
        </w:tc>
        <w:tc>
          <w:tcPr>
            <w:tcW w:w="6700" w:type="dxa"/>
            <w:vAlign w:val="bottom"/>
          </w:tcPr>
          <w:p>
            <w:pPr>
              <w:ind w:left="120"/>
              <w:spacing w:after="0"/>
              <w:rPr>
                <w:sz w:val="20"/>
                <w:szCs w:val="20"/>
                <w:color w:val="auto"/>
              </w:rPr>
            </w:pPr>
            <w:r>
              <w:rPr>
                <w:rFonts w:ascii="Arial" w:cs="Arial" w:eastAsia="Arial" w:hAnsi="Arial"/>
                <w:sz w:val="14"/>
                <w:szCs w:val="14"/>
                <w:color w:val="auto"/>
              </w:rPr>
              <w:t>Adjustments to reconcile net income</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700" w:type="dxa"/>
            <w:vAlign w:val="bottom"/>
          </w:tcPr>
          <w:p>
            <w:pPr>
              <w:ind w:left="320"/>
              <w:spacing w:after="0"/>
              <w:rPr>
                <w:sz w:val="20"/>
                <w:szCs w:val="20"/>
                <w:color w:val="auto"/>
              </w:rPr>
            </w:pPr>
            <w:r>
              <w:rPr>
                <w:rFonts w:ascii="Arial" w:cs="Arial" w:eastAsia="Arial" w:hAnsi="Arial"/>
                <w:sz w:val="14"/>
                <w:szCs w:val="14"/>
                <w:color w:val="auto"/>
              </w:rPr>
              <w:t>to net cash provided by operations:</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700" w:type="dxa"/>
            <w:vAlign w:val="bottom"/>
          </w:tcPr>
          <w:p>
            <w:pPr>
              <w:ind w:left="460"/>
              <w:spacing w:after="0"/>
              <w:rPr>
                <w:sz w:val="20"/>
                <w:szCs w:val="20"/>
                <w:color w:val="auto"/>
              </w:rPr>
            </w:pPr>
            <w:r>
              <w:rPr>
                <w:rFonts w:ascii="Arial" w:cs="Arial" w:eastAsia="Arial" w:hAnsi="Arial"/>
                <w:sz w:val="14"/>
                <w:szCs w:val="14"/>
                <w:color w:val="auto"/>
              </w:rPr>
              <w:t>Depreciation</w:t>
            </w:r>
          </w:p>
        </w:tc>
        <w:tc>
          <w:tcPr>
            <w:tcW w:w="360" w:type="dxa"/>
            <w:vAlign w:val="bottom"/>
          </w:tcPr>
          <w:p>
            <w:pPr>
              <w:spacing w:after="0"/>
              <w:rPr>
                <w:sz w:val="15"/>
                <w:szCs w:val="15"/>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29,493</w:t>
            </w:r>
          </w:p>
        </w:tc>
        <w:tc>
          <w:tcPr>
            <w:tcW w:w="380" w:type="dxa"/>
            <w:vAlign w:val="bottom"/>
          </w:tcPr>
          <w:p>
            <w:pPr>
              <w:spacing w:after="0"/>
              <w:rPr>
                <w:sz w:val="15"/>
                <w:szCs w:val="15"/>
                <w:color w:val="auto"/>
              </w:rPr>
            </w:pP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29,307</w:t>
            </w:r>
          </w:p>
        </w:tc>
        <w:tc>
          <w:tcPr>
            <w:tcW w:w="340" w:type="dxa"/>
            <w:vAlign w:val="bottom"/>
          </w:tcPr>
          <w:p>
            <w:pPr>
              <w:spacing w:after="0"/>
              <w:rPr>
                <w:sz w:val="15"/>
                <w:szCs w:val="15"/>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29,281</w:t>
            </w:r>
          </w:p>
        </w:tc>
      </w:tr>
      <w:tr>
        <w:trPr>
          <w:trHeight w:val="176"/>
        </w:trPr>
        <w:tc>
          <w:tcPr>
            <w:tcW w:w="20" w:type="dxa"/>
            <w:vAlign w:val="bottom"/>
          </w:tcPr>
          <w:p>
            <w:pPr>
              <w:spacing w:after="0"/>
              <w:rPr>
                <w:sz w:val="15"/>
                <w:szCs w:val="15"/>
                <w:color w:val="auto"/>
              </w:rPr>
            </w:pPr>
          </w:p>
        </w:tc>
        <w:tc>
          <w:tcPr>
            <w:tcW w:w="6700" w:type="dxa"/>
            <w:vAlign w:val="bottom"/>
          </w:tcPr>
          <w:p>
            <w:pPr>
              <w:ind w:left="460"/>
              <w:spacing w:after="0"/>
              <w:rPr>
                <w:sz w:val="20"/>
                <w:szCs w:val="20"/>
                <w:color w:val="auto"/>
              </w:rPr>
            </w:pPr>
            <w:r>
              <w:rPr>
                <w:rFonts w:ascii="Arial" w:cs="Arial" w:eastAsia="Arial" w:hAnsi="Arial"/>
                <w:sz w:val="14"/>
                <w:szCs w:val="14"/>
                <w:color w:val="auto"/>
              </w:rPr>
              <w:t>Amortization of intangibles</w:t>
            </w:r>
          </w:p>
        </w:tc>
        <w:tc>
          <w:tcPr>
            <w:tcW w:w="360" w:type="dxa"/>
            <w:vAlign w:val="bottom"/>
          </w:tcPr>
          <w:p>
            <w:pPr>
              <w:spacing w:after="0"/>
              <w:rPr>
                <w:sz w:val="15"/>
                <w:szCs w:val="15"/>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392</w:t>
            </w:r>
          </w:p>
        </w:tc>
        <w:tc>
          <w:tcPr>
            <w:tcW w:w="380" w:type="dxa"/>
            <w:vAlign w:val="bottom"/>
          </w:tcPr>
          <w:p>
            <w:pPr>
              <w:spacing w:after="0"/>
              <w:rPr>
                <w:sz w:val="15"/>
                <w:szCs w:val="15"/>
                <w:color w:val="auto"/>
              </w:rPr>
            </w:pP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639</w:t>
            </w:r>
          </w:p>
        </w:tc>
        <w:tc>
          <w:tcPr>
            <w:tcW w:w="340" w:type="dxa"/>
            <w:vAlign w:val="bottom"/>
          </w:tcPr>
          <w:p>
            <w:pPr>
              <w:spacing w:after="0"/>
              <w:rPr>
                <w:sz w:val="15"/>
                <w:szCs w:val="15"/>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1,801</w:t>
            </w:r>
          </w:p>
        </w:tc>
      </w:tr>
      <w:tr>
        <w:trPr>
          <w:trHeight w:val="176"/>
        </w:trPr>
        <w:tc>
          <w:tcPr>
            <w:tcW w:w="20" w:type="dxa"/>
            <w:vAlign w:val="bottom"/>
          </w:tcPr>
          <w:p>
            <w:pPr>
              <w:spacing w:after="0"/>
              <w:rPr>
                <w:sz w:val="15"/>
                <w:szCs w:val="15"/>
                <w:color w:val="auto"/>
              </w:rPr>
            </w:pPr>
          </w:p>
        </w:tc>
        <w:tc>
          <w:tcPr>
            <w:tcW w:w="6700" w:type="dxa"/>
            <w:vAlign w:val="bottom"/>
          </w:tcPr>
          <w:p>
            <w:pPr>
              <w:ind w:left="460"/>
              <w:spacing w:after="0"/>
              <w:rPr>
                <w:sz w:val="20"/>
                <w:szCs w:val="20"/>
                <w:color w:val="auto"/>
              </w:rPr>
            </w:pPr>
            <w:r>
              <w:rPr>
                <w:rFonts w:ascii="Arial" w:cs="Arial" w:eastAsia="Arial" w:hAnsi="Arial"/>
                <w:sz w:val="14"/>
                <w:szCs w:val="14"/>
                <w:color w:val="auto"/>
              </w:rPr>
              <w:t>Stock-based compensation expense</w:t>
            </w:r>
          </w:p>
        </w:tc>
        <w:tc>
          <w:tcPr>
            <w:tcW w:w="360" w:type="dxa"/>
            <w:vAlign w:val="bottom"/>
          </w:tcPr>
          <w:p>
            <w:pPr>
              <w:spacing w:after="0"/>
              <w:rPr>
                <w:sz w:val="15"/>
                <w:szCs w:val="15"/>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12,603</w:t>
            </w:r>
          </w:p>
        </w:tc>
        <w:tc>
          <w:tcPr>
            <w:tcW w:w="380" w:type="dxa"/>
            <w:vAlign w:val="bottom"/>
          </w:tcPr>
          <w:p>
            <w:pPr>
              <w:spacing w:after="0"/>
              <w:rPr>
                <w:sz w:val="15"/>
                <w:szCs w:val="15"/>
                <w:color w:val="auto"/>
              </w:rPr>
            </w:pP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13,486</w:t>
            </w:r>
          </w:p>
        </w:tc>
        <w:tc>
          <w:tcPr>
            <w:tcW w:w="340" w:type="dxa"/>
            <w:vAlign w:val="bottom"/>
          </w:tcPr>
          <w:p>
            <w:pPr>
              <w:spacing w:after="0"/>
              <w:rPr>
                <w:sz w:val="15"/>
                <w:szCs w:val="15"/>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11,835</w:t>
            </w:r>
          </w:p>
        </w:tc>
      </w:tr>
      <w:tr>
        <w:trPr>
          <w:trHeight w:val="176"/>
        </w:trPr>
        <w:tc>
          <w:tcPr>
            <w:tcW w:w="20" w:type="dxa"/>
            <w:vAlign w:val="bottom"/>
          </w:tcPr>
          <w:p>
            <w:pPr>
              <w:spacing w:after="0"/>
              <w:rPr>
                <w:sz w:val="15"/>
                <w:szCs w:val="15"/>
                <w:color w:val="auto"/>
              </w:rPr>
            </w:pPr>
          </w:p>
        </w:tc>
        <w:tc>
          <w:tcPr>
            <w:tcW w:w="6700" w:type="dxa"/>
            <w:vAlign w:val="bottom"/>
          </w:tcPr>
          <w:p>
            <w:pPr>
              <w:ind w:left="460"/>
              <w:spacing w:after="0"/>
              <w:rPr>
                <w:sz w:val="20"/>
                <w:szCs w:val="20"/>
                <w:color w:val="auto"/>
              </w:rPr>
            </w:pPr>
            <w:r>
              <w:rPr>
                <w:rFonts w:ascii="Arial" w:cs="Arial" w:eastAsia="Arial" w:hAnsi="Arial"/>
                <w:sz w:val="14"/>
                <w:szCs w:val="14"/>
                <w:color w:val="auto"/>
              </w:rPr>
              <w:t>Gain on sale of business</w:t>
            </w:r>
          </w:p>
        </w:tc>
        <w:tc>
          <w:tcPr>
            <w:tcW w:w="36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(6,500)</w:t>
            </w:r>
          </w:p>
        </w:tc>
        <w:tc>
          <w:tcPr>
            <w:tcW w:w="380" w:type="dxa"/>
            <w:vAlign w:val="bottom"/>
          </w:tcPr>
          <w:p>
            <w:pPr>
              <w:spacing w:after="0"/>
              <w:rPr>
                <w:sz w:val="15"/>
                <w:szCs w:val="15"/>
                <w:color w:val="auto"/>
              </w:rPr>
            </w:pP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(859)</w:t>
            </w:r>
          </w:p>
        </w:tc>
      </w:tr>
      <w:tr>
        <w:trPr>
          <w:trHeight w:val="176"/>
        </w:trPr>
        <w:tc>
          <w:tcPr>
            <w:tcW w:w="20" w:type="dxa"/>
            <w:vAlign w:val="bottom"/>
          </w:tcPr>
          <w:p>
            <w:pPr>
              <w:spacing w:after="0"/>
              <w:rPr>
                <w:sz w:val="15"/>
                <w:szCs w:val="15"/>
                <w:color w:val="auto"/>
              </w:rPr>
            </w:pPr>
          </w:p>
        </w:tc>
        <w:tc>
          <w:tcPr>
            <w:tcW w:w="6700" w:type="dxa"/>
            <w:vAlign w:val="bottom"/>
          </w:tcPr>
          <w:p>
            <w:pPr>
              <w:ind w:left="460"/>
              <w:spacing w:after="0"/>
              <w:rPr>
                <w:sz w:val="20"/>
                <w:szCs w:val="20"/>
                <w:color w:val="auto"/>
              </w:rPr>
            </w:pPr>
            <w:r>
              <w:rPr>
                <w:rFonts w:ascii="Arial" w:cs="Arial" w:eastAsia="Arial" w:hAnsi="Arial"/>
                <w:sz w:val="14"/>
                <w:szCs w:val="14"/>
                <w:color w:val="auto"/>
              </w:rPr>
              <w:t>Excess tax benefit - stock options</w:t>
            </w:r>
          </w:p>
        </w:tc>
        <w:tc>
          <w:tcPr>
            <w:tcW w:w="36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(3,607)</w:t>
            </w:r>
          </w:p>
        </w:tc>
        <w:tc>
          <w:tcPr>
            <w:tcW w:w="380" w:type="dxa"/>
            <w:vAlign w:val="bottom"/>
          </w:tcPr>
          <w:p>
            <w:pPr>
              <w:spacing w:after="0"/>
              <w:rPr>
                <w:sz w:val="15"/>
                <w:szCs w:val="15"/>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(164)</w:t>
            </w:r>
          </w:p>
        </w:tc>
        <w:tc>
          <w:tcPr>
            <w:tcW w:w="340" w:type="dxa"/>
            <w:vAlign w:val="bottom"/>
          </w:tcPr>
          <w:p>
            <w:pPr>
              <w:spacing w:after="0"/>
              <w:rPr>
                <w:sz w:val="15"/>
                <w:szCs w:val="15"/>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(53)</w:t>
            </w:r>
          </w:p>
        </w:tc>
      </w:tr>
      <w:tr>
        <w:trPr>
          <w:trHeight w:val="176"/>
        </w:trPr>
        <w:tc>
          <w:tcPr>
            <w:tcW w:w="20" w:type="dxa"/>
            <w:vAlign w:val="bottom"/>
          </w:tcPr>
          <w:p>
            <w:pPr>
              <w:spacing w:after="0"/>
              <w:rPr>
                <w:sz w:val="15"/>
                <w:szCs w:val="15"/>
                <w:color w:val="auto"/>
              </w:rPr>
            </w:pPr>
          </w:p>
        </w:tc>
        <w:tc>
          <w:tcPr>
            <w:tcW w:w="6700" w:type="dxa"/>
            <w:vAlign w:val="bottom"/>
          </w:tcPr>
          <w:p>
            <w:pPr>
              <w:ind w:left="460"/>
              <w:spacing w:after="0"/>
              <w:rPr>
                <w:sz w:val="20"/>
                <w:szCs w:val="20"/>
                <w:color w:val="auto"/>
              </w:rPr>
            </w:pPr>
            <w:r>
              <w:rPr>
                <w:rFonts w:ascii="Arial" w:cs="Arial" w:eastAsia="Arial" w:hAnsi="Arial"/>
                <w:sz w:val="14"/>
                <w:szCs w:val="14"/>
                <w:color w:val="auto"/>
              </w:rPr>
              <w:t>Non-cash portion of special charges</w:t>
            </w:r>
          </w:p>
        </w:tc>
        <w:tc>
          <w:tcPr>
            <w:tcW w:w="360" w:type="dxa"/>
            <w:vAlign w:val="bottom"/>
          </w:tcPr>
          <w:p>
            <w:pPr>
              <w:spacing w:after="0"/>
              <w:rPr>
                <w:sz w:val="15"/>
                <w:szCs w:val="15"/>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487</w:t>
            </w:r>
          </w:p>
        </w:tc>
      </w:tr>
      <w:tr>
        <w:trPr>
          <w:trHeight w:val="176"/>
        </w:trPr>
        <w:tc>
          <w:tcPr>
            <w:tcW w:w="20" w:type="dxa"/>
            <w:vAlign w:val="bottom"/>
          </w:tcPr>
          <w:p>
            <w:pPr>
              <w:spacing w:after="0"/>
              <w:rPr>
                <w:sz w:val="15"/>
                <w:szCs w:val="15"/>
                <w:color w:val="auto"/>
              </w:rPr>
            </w:pPr>
          </w:p>
        </w:tc>
        <w:tc>
          <w:tcPr>
            <w:tcW w:w="6700" w:type="dxa"/>
            <w:vAlign w:val="bottom"/>
          </w:tcPr>
          <w:p>
            <w:pPr>
              <w:ind w:left="460"/>
              <w:spacing w:after="0"/>
              <w:rPr>
                <w:sz w:val="20"/>
                <w:szCs w:val="20"/>
                <w:color w:val="auto"/>
              </w:rPr>
            </w:pPr>
            <w:r>
              <w:rPr>
                <w:rFonts w:ascii="Arial" w:cs="Arial" w:eastAsia="Arial" w:hAnsi="Arial"/>
                <w:sz w:val="14"/>
                <w:szCs w:val="14"/>
                <w:color w:val="auto"/>
              </w:rPr>
              <w:t>Other non-cash activity</w:t>
            </w:r>
          </w:p>
        </w:tc>
        <w:tc>
          <w:tcPr>
            <w:tcW w:w="360" w:type="dxa"/>
            <w:vAlign w:val="bottom"/>
          </w:tcPr>
          <w:p>
            <w:pPr>
              <w:spacing w:after="0"/>
              <w:rPr>
                <w:sz w:val="15"/>
                <w:szCs w:val="15"/>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163</w:t>
            </w:r>
          </w:p>
        </w:tc>
        <w:tc>
          <w:tcPr>
            <w:tcW w:w="380" w:type="dxa"/>
            <w:vAlign w:val="bottom"/>
          </w:tcPr>
          <w:p>
            <w:pPr>
              <w:spacing w:after="0"/>
              <w:rPr>
                <w:sz w:val="15"/>
                <w:szCs w:val="15"/>
                <w:color w:val="auto"/>
              </w:rPr>
            </w:pP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242</w:t>
            </w:r>
          </w:p>
        </w:tc>
        <w:tc>
          <w:tcPr>
            <w:tcW w:w="340" w:type="dxa"/>
            <w:vAlign w:val="bottom"/>
          </w:tcPr>
          <w:p>
            <w:pPr>
              <w:spacing w:after="0"/>
              <w:rPr>
                <w:sz w:val="15"/>
                <w:szCs w:val="15"/>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178</w:t>
            </w:r>
          </w:p>
        </w:tc>
      </w:tr>
      <w:tr>
        <w:trPr>
          <w:trHeight w:val="176"/>
        </w:trPr>
        <w:tc>
          <w:tcPr>
            <w:tcW w:w="20" w:type="dxa"/>
            <w:vAlign w:val="bottom"/>
          </w:tcPr>
          <w:p>
            <w:pPr>
              <w:spacing w:after="0"/>
              <w:rPr>
                <w:sz w:val="15"/>
                <w:szCs w:val="15"/>
                <w:color w:val="auto"/>
              </w:rPr>
            </w:pPr>
          </w:p>
        </w:tc>
        <w:tc>
          <w:tcPr>
            <w:tcW w:w="6700" w:type="dxa"/>
            <w:vAlign w:val="bottom"/>
          </w:tcPr>
          <w:p>
            <w:pPr>
              <w:ind w:left="460"/>
              <w:spacing w:after="0"/>
              <w:rPr>
                <w:sz w:val="20"/>
                <w:szCs w:val="20"/>
                <w:color w:val="auto"/>
              </w:rPr>
            </w:pPr>
            <w:r>
              <w:rPr>
                <w:rFonts w:ascii="Arial" w:cs="Arial" w:eastAsia="Arial" w:hAnsi="Arial"/>
                <w:sz w:val="14"/>
                <w:szCs w:val="14"/>
                <w:color w:val="auto"/>
              </w:rPr>
              <w:t>Deferred income taxes</w:t>
            </w:r>
          </w:p>
        </w:tc>
        <w:tc>
          <w:tcPr>
            <w:tcW w:w="36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(2,305)</w:t>
            </w:r>
          </w:p>
        </w:tc>
        <w:tc>
          <w:tcPr>
            <w:tcW w:w="380" w:type="dxa"/>
            <w:vAlign w:val="bottom"/>
          </w:tcPr>
          <w:p>
            <w:pPr>
              <w:spacing w:after="0"/>
              <w:rPr>
                <w:sz w:val="15"/>
                <w:szCs w:val="15"/>
                <w:color w:val="auto"/>
              </w:rPr>
            </w:pP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6,367</w:t>
            </w:r>
          </w:p>
        </w:tc>
        <w:tc>
          <w:tcPr>
            <w:tcW w:w="340" w:type="dxa"/>
            <w:vAlign w:val="bottom"/>
          </w:tcPr>
          <w:p>
            <w:pPr>
              <w:spacing w:after="0"/>
              <w:rPr>
                <w:sz w:val="15"/>
                <w:szCs w:val="15"/>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5,597</w:t>
            </w:r>
          </w:p>
        </w:tc>
      </w:tr>
      <w:tr>
        <w:trPr>
          <w:trHeight w:val="176"/>
        </w:trPr>
        <w:tc>
          <w:tcPr>
            <w:tcW w:w="6720" w:type="dxa"/>
            <w:vAlign w:val="bottom"/>
            <w:gridSpan w:val="2"/>
          </w:tcPr>
          <w:p>
            <w:pPr>
              <w:spacing w:after="0"/>
              <w:rPr>
                <w:sz w:val="20"/>
                <w:szCs w:val="20"/>
                <w:color w:val="auto"/>
              </w:rPr>
            </w:pPr>
            <w:r>
              <w:rPr>
                <w:rFonts w:ascii="Arial" w:cs="Arial" w:eastAsia="Arial" w:hAnsi="Arial"/>
                <w:sz w:val="14"/>
                <w:szCs w:val="14"/>
                <w:color w:val="auto"/>
              </w:rPr>
              <w:t>Changes in operating assets and liabilities:</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670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Changes in other operating assets and liabilities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(35,594)</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(595)</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45,047</w:t>
            </w:r>
          </w:p>
        </w:tc>
      </w:tr>
      <w:tr>
        <w:trPr>
          <w:trHeight w:val="169"/>
        </w:trPr>
        <w:tc>
          <w:tcPr>
            <w:tcW w:w="20" w:type="dxa"/>
            <w:vAlign w:val="bottom"/>
          </w:tcPr>
          <w:p>
            <w:pPr>
              <w:spacing w:after="0"/>
              <w:rPr>
                <w:sz w:val="14"/>
                <w:szCs w:val="14"/>
                <w:color w:val="auto"/>
              </w:rPr>
            </w:pPr>
          </w:p>
        </w:tc>
        <w:tc>
          <w:tcPr>
            <w:tcW w:w="670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Total adjustments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(5,355)</w:t>
            </w: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49,282</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93,314</w:t>
            </w:r>
          </w:p>
        </w:tc>
      </w:tr>
      <w:tr>
        <w:trPr>
          <w:trHeight w:val="169"/>
        </w:trPr>
        <w:tc>
          <w:tcPr>
            <w:tcW w:w="20" w:type="dxa"/>
            <w:vAlign w:val="bottom"/>
          </w:tcPr>
          <w:p>
            <w:pPr>
              <w:spacing w:after="0"/>
              <w:rPr>
                <w:sz w:val="14"/>
                <w:szCs w:val="14"/>
                <w:color w:val="auto"/>
              </w:rPr>
            </w:pPr>
          </w:p>
        </w:tc>
        <w:tc>
          <w:tcPr>
            <w:tcW w:w="6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cash provided by operating activities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216,751</w:t>
            </w: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274,276</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213,773</w:t>
            </w:r>
          </w:p>
        </w:tc>
      </w:tr>
      <w:tr>
        <w:trPr>
          <w:trHeight w:val="169"/>
        </w:trPr>
        <w:tc>
          <w:tcPr>
            <w:tcW w:w="20" w:type="dxa"/>
            <w:vAlign w:val="bottom"/>
          </w:tcPr>
          <w:p>
            <w:pPr>
              <w:spacing w:after="0"/>
              <w:rPr>
                <w:sz w:val="14"/>
                <w:szCs w:val="14"/>
                <w:color w:val="auto"/>
              </w:rPr>
            </w:pPr>
          </w:p>
        </w:tc>
        <w:tc>
          <w:tcPr>
            <w:tcW w:w="67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Percent of total revenue</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29.8%</w:t>
            </w: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35.6%</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35.5%</w:t>
            </w:r>
          </w:p>
        </w:tc>
      </w:tr>
      <w:tr>
        <w:trPr>
          <w:trHeight w:val="339"/>
        </w:trPr>
        <w:tc>
          <w:tcPr>
            <w:tcW w:w="6720" w:type="dxa"/>
            <w:vAlign w:val="bottom"/>
            <w:gridSpan w:val="2"/>
          </w:tcPr>
          <w:p>
            <w:pPr>
              <w:spacing w:after="0"/>
              <w:rPr>
                <w:sz w:val="20"/>
                <w:szCs w:val="20"/>
                <w:color w:val="auto"/>
              </w:rPr>
            </w:pPr>
            <w:r>
              <w:rPr>
                <w:rFonts w:ascii="Arial" w:cs="Arial" w:eastAsia="Arial" w:hAnsi="Arial"/>
                <w:sz w:val="14"/>
                <w:szCs w:val="14"/>
                <w:color w:val="auto"/>
              </w:rPr>
              <w:t>Cash flows from investing activities: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6700" w:type="dxa"/>
            <w:vAlign w:val="bottom"/>
          </w:tcPr>
          <w:p>
            <w:pPr>
              <w:ind w:left="120"/>
              <w:spacing w:after="0"/>
              <w:rPr>
                <w:sz w:val="20"/>
                <w:szCs w:val="20"/>
                <w:color w:val="auto"/>
              </w:rPr>
            </w:pPr>
            <w:r>
              <w:rPr>
                <w:rFonts w:ascii="Arial" w:cs="Arial" w:eastAsia="Arial" w:hAnsi="Arial"/>
                <w:sz w:val="14"/>
                <w:szCs w:val="14"/>
                <w:color w:val="auto"/>
              </w:rPr>
              <w:t>Additions to property, plant and equipment</w:t>
            </w:r>
          </w:p>
        </w:tc>
        <w:tc>
          <w:tcPr>
            <w:tcW w:w="36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(25,547)</w:t>
            </w:r>
          </w:p>
        </w:tc>
        <w:tc>
          <w:tcPr>
            <w:tcW w:w="380" w:type="dxa"/>
            <w:vAlign w:val="bottom"/>
          </w:tcPr>
          <w:p>
            <w:pPr>
              <w:spacing w:after="0"/>
              <w:rPr>
                <w:sz w:val="15"/>
                <w:szCs w:val="15"/>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(37,763)</w:t>
            </w:r>
          </w:p>
        </w:tc>
        <w:tc>
          <w:tcPr>
            <w:tcW w:w="340" w:type="dxa"/>
            <w:vAlign w:val="bottom"/>
          </w:tcPr>
          <w:p>
            <w:pPr>
              <w:spacing w:after="0"/>
              <w:rPr>
                <w:sz w:val="15"/>
                <w:szCs w:val="15"/>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(17,179)</w:t>
            </w:r>
          </w:p>
        </w:tc>
      </w:tr>
      <w:tr>
        <w:trPr>
          <w:trHeight w:val="176"/>
        </w:trPr>
        <w:tc>
          <w:tcPr>
            <w:tcW w:w="20" w:type="dxa"/>
            <w:vAlign w:val="bottom"/>
          </w:tcPr>
          <w:p>
            <w:pPr>
              <w:spacing w:after="0"/>
              <w:rPr>
                <w:sz w:val="15"/>
                <w:szCs w:val="15"/>
                <w:color w:val="auto"/>
              </w:rPr>
            </w:pPr>
          </w:p>
        </w:tc>
        <w:tc>
          <w:tcPr>
            <w:tcW w:w="6700" w:type="dxa"/>
            <w:vAlign w:val="bottom"/>
          </w:tcPr>
          <w:p>
            <w:pPr>
              <w:ind w:left="120"/>
              <w:spacing w:after="0"/>
              <w:rPr>
                <w:sz w:val="20"/>
                <w:szCs w:val="20"/>
                <w:color w:val="auto"/>
              </w:rPr>
            </w:pPr>
            <w:r>
              <w:rPr>
                <w:rFonts w:ascii="Arial" w:cs="Arial" w:eastAsia="Arial" w:hAnsi="Arial"/>
                <w:sz w:val="14"/>
                <w:szCs w:val="14"/>
                <w:color w:val="auto"/>
              </w:rPr>
              <w:t>Purchases of short-term available-for-sale investments</w:t>
            </w:r>
          </w:p>
        </w:tc>
        <w:tc>
          <w:tcPr>
            <w:tcW w:w="36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(664,148)</w:t>
            </w:r>
          </w:p>
        </w:tc>
        <w:tc>
          <w:tcPr>
            <w:tcW w:w="380" w:type="dxa"/>
            <w:vAlign w:val="bottom"/>
          </w:tcPr>
          <w:p>
            <w:pPr>
              <w:spacing w:after="0"/>
              <w:rPr>
                <w:sz w:val="15"/>
                <w:szCs w:val="15"/>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(1,038,519)</w:t>
            </w:r>
          </w:p>
        </w:tc>
        <w:tc>
          <w:tcPr>
            <w:tcW w:w="340" w:type="dxa"/>
            <w:vAlign w:val="bottom"/>
          </w:tcPr>
          <w:p>
            <w:pPr>
              <w:spacing w:after="0"/>
              <w:rPr>
                <w:sz w:val="15"/>
                <w:szCs w:val="15"/>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(739,309)</w:t>
            </w:r>
          </w:p>
        </w:tc>
      </w:tr>
      <w:tr>
        <w:trPr>
          <w:trHeight w:val="176"/>
        </w:trPr>
        <w:tc>
          <w:tcPr>
            <w:tcW w:w="20" w:type="dxa"/>
            <w:vAlign w:val="bottom"/>
          </w:tcPr>
          <w:p>
            <w:pPr>
              <w:spacing w:after="0"/>
              <w:rPr>
                <w:sz w:val="15"/>
                <w:szCs w:val="15"/>
                <w:color w:val="auto"/>
              </w:rPr>
            </w:pPr>
          </w:p>
        </w:tc>
        <w:tc>
          <w:tcPr>
            <w:tcW w:w="6700" w:type="dxa"/>
            <w:vAlign w:val="bottom"/>
          </w:tcPr>
          <w:p>
            <w:pPr>
              <w:ind w:left="120"/>
              <w:spacing w:after="0"/>
              <w:rPr>
                <w:sz w:val="20"/>
                <w:szCs w:val="20"/>
                <w:color w:val="auto"/>
              </w:rPr>
            </w:pPr>
            <w:r>
              <w:rPr>
                <w:rFonts w:ascii="Arial" w:cs="Arial" w:eastAsia="Arial" w:hAnsi="Arial"/>
                <w:sz w:val="14"/>
                <w:szCs w:val="14"/>
                <w:color w:val="auto"/>
              </w:rPr>
              <w:t>Maturities of short-term available-for-sale investments</w:t>
            </w:r>
          </w:p>
        </w:tc>
        <w:tc>
          <w:tcPr>
            <w:tcW w:w="360" w:type="dxa"/>
            <w:vAlign w:val="bottom"/>
          </w:tcPr>
          <w:p>
            <w:pPr>
              <w:spacing w:after="0"/>
              <w:rPr>
                <w:sz w:val="15"/>
                <w:szCs w:val="15"/>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651,887</w:t>
            </w:r>
          </w:p>
        </w:tc>
        <w:tc>
          <w:tcPr>
            <w:tcW w:w="380" w:type="dxa"/>
            <w:vAlign w:val="bottom"/>
          </w:tcPr>
          <w:p>
            <w:pPr>
              <w:spacing w:after="0"/>
              <w:rPr>
                <w:sz w:val="15"/>
                <w:szCs w:val="15"/>
                <w:color w:val="auto"/>
              </w:rPr>
            </w:pP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786,021</w:t>
            </w:r>
          </w:p>
        </w:tc>
        <w:tc>
          <w:tcPr>
            <w:tcW w:w="340" w:type="dxa"/>
            <w:vAlign w:val="bottom"/>
          </w:tcPr>
          <w:p>
            <w:pPr>
              <w:spacing w:after="0"/>
              <w:rPr>
                <w:sz w:val="15"/>
                <w:szCs w:val="15"/>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625,921</w:t>
            </w:r>
          </w:p>
        </w:tc>
      </w:tr>
      <w:tr>
        <w:trPr>
          <w:trHeight w:val="176"/>
        </w:trPr>
        <w:tc>
          <w:tcPr>
            <w:tcW w:w="20" w:type="dxa"/>
            <w:vAlign w:val="bottom"/>
          </w:tcPr>
          <w:p>
            <w:pPr>
              <w:spacing w:after="0"/>
              <w:rPr>
                <w:sz w:val="15"/>
                <w:szCs w:val="15"/>
                <w:color w:val="auto"/>
              </w:rPr>
            </w:pPr>
          </w:p>
        </w:tc>
        <w:tc>
          <w:tcPr>
            <w:tcW w:w="6700" w:type="dxa"/>
            <w:vAlign w:val="bottom"/>
          </w:tcPr>
          <w:p>
            <w:pPr>
              <w:ind w:left="120"/>
              <w:spacing w:after="0"/>
              <w:rPr>
                <w:sz w:val="20"/>
                <w:szCs w:val="20"/>
                <w:color w:val="auto"/>
              </w:rPr>
            </w:pPr>
            <w:r>
              <w:rPr>
                <w:rFonts w:ascii="Arial" w:cs="Arial" w:eastAsia="Arial" w:hAnsi="Arial"/>
                <w:sz w:val="14"/>
                <w:szCs w:val="14"/>
                <w:color w:val="auto"/>
              </w:rPr>
              <w:t>Sales of short-term available-for-sale investments</w:t>
            </w:r>
          </w:p>
        </w:tc>
        <w:tc>
          <w:tcPr>
            <w:tcW w:w="360" w:type="dxa"/>
            <w:vAlign w:val="bottom"/>
          </w:tcPr>
          <w:p>
            <w:pPr>
              <w:spacing w:after="0"/>
              <w:rPr>
                <w:sz w:val="15"/>
                <w:szCs w:val="15"/>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239,419</w:t>
            </w:r>
          </w:p>
        </w:tc>
        <w:tc>
          <w:tcPr>
            <w:tcW w:w="380" w:type="dxa"/>
            <w:vAlign w:val="bottom"/>
          </w:tcPr>
          <w:p>
            <w:pPr>
              <w:spacing w:after="0"/>
              <w:rPr>
                <w:sz w:val="15"/>
                <w:szCs w:val="15"/>
                <w:color w:val="auto"/>
              </w:rPr>
            </w:pP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149,777</w:t>
            </w:r>
          </w:p>
        </w:tc>
        <w:tc>
          <w:tcPr>
            <w:tcW w:w="340" w:type="dxa"/>
            <w:vAlign w:val="bottom"/>
          </w:tcPr>
          <w:p>
            <w:pPr>
              <w:spacing w:after="0"/>
              <w:rPr>
                <w:sz w:val="15"/>
                <w:szCs w:val="15"/>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24,977</w:t>
            </w:r>
          </w:p>
        </w:tc>
      </w:tr>
      <w:tr>
        <w:trPr>
          <w:trHeight w:val="176"/>
        </w:trPr>
        <w:tc>
          <w:tcPr>
            <w:tcW w:w="20" w:type="dxa"/>
            <w:vAlign w:val="bottom"/>
          </w:tcPr>
          <w:p>
            <w:pPr>
              <w:spacing w:after="0"/>
              <w:rPr>
                <w:sz w:val="15"/>
                <w:szCs w:val="15"/>
                <w:color w:val="auto"/>
              </w:rPr>
            </w:pPr>
          </w:p>
        </w:tc>
        <w:tc>
          <w:tcPr>
            <w:tcW w:w="6700" w:type="dxa"/>
            <w:vAlign w:val="bottom"/>
          </w:tcPr>
          <w:p>
            <w:pPr>
              <w:ind w:left="120"/>
              <w:spacing w:after="0"/>
              <w:rPr>
                <w:sz w:val="20"/>
                <w:szCs w:val="20"/>
                <w:color w:val="auto"/>
              </w:rPr>
            </w:pPr>
            <w:r>
              <w:rPr>
                <w:rFonts w:ascii="Arial" w:cs="Arial" w:eastAsia="Arial" w:hAnsi="Arial"/>
                <w:sz w:val="14"/>
                <w:szCs w:val="14"/>
                <w:color w:val="auto"/>
              </w:rPr>
              <w:t>Proceeds related to sale of businesses</w:t>
            </w:r>
          </w:p>
        </w:tc>
        <w:tc>
          <w:tcPr>
            <w:tcW w:w="360" w:type="dxa"/>
            <w:vAlign w:val="bottom"/>
          </w:tcPr>
          <w:p>
            <w:pPr>
              <w:spacing w:after="0"/>
              <w:rPr>
                <w:sz w:val="15"/>
                <w:szCs w:val="15"/>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10,000</w:t>
            </w:r>
          </w:p>
        </w:tc>
        <w:tc>
          <w:tcPr>
            <w:tcW w:w="380" w:type="dxa"/>
            <w:vAlign w:val="bottom"/>
          </w:tcPr>
          <w:p>
            <w:pPr>
              <w:spacing w:after="0"/>
              <w:rPr>
                <w:sz w:val="15"/>
                <w:szCs w:val="15"/>
                <w:color w:val="auto"/>
              </w:rPr>
            </w:pP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63,036</w:t>
            </w:r>
          </w:p>
        </w:tc>
      </w:tr>
      <w:tr>
        <w:trPr>
          <w:trHeight w:val="181"/>
        </w:trPr>
        <w:tc>
          <w:tcPr>
            <w:tcW w:w="20" w:type="dxa"/>
            <w:vAlign w:val="bottom"/>
          </w:tcPr>
          <w:p>
            <w:pPr>
              <w:spacing w:after="0"/>
              <w:rPr>
                <w:sz w:val="15"/>
                <w:szCs w:val="15"/>
                <w:color w:val="auto"/>
              </w:rPr>
            </w:pPr>
          </w:p>
        </w:tc>
        <w:tc>
          <w:tcPr>
            <w:tcW w:w="67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(Increase) decrease in other assets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(3,475)</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608</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(407)</w:t>
            </w:r>
          </w:p>
        </w:tc>
      </w:tr>
      <w:tr>
        <w:trPr>
          <w:trHeight w:val="169"/>
        </w:trPr>
        <w:tc>
          <w:tcPr>
            <w:tcW w:w="20" w:type="dxa"/>
            <w:vAlign w:val="bottom"/>
            <w:tcBorders>
              <w:bottom w:val="single" w:sz="8" w:color="auto"/>
            </w:tcBorders>
          </w:tcPr>
          <w:p>
            <w:pPr>
              <w:spacing w:after="0"/>
              <w:rPr>
                <w:sz w:val="14"/>
                <w:szCs w:val="14"/>
                <w:color w:val="auto"/>
              </w:rPr>
            </w:pPr>
          </w:p>
        </w:tc>
        <w:tc>
          <w:tcPr>
            <w:tcW w:w="6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cash provided by (used for) investing activities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208,136</w:t>
            </w: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(139,876)</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(42,961)</w:t>
            </w:r>
          </w:p>
        </w:tc>
      </w:tr>
      <w:tr>
        <w:trPr>
          <w:trHeight w:val="339"/>
        </w:trPr>
        <w:tc>
          <w:tcPr>
            <w:tcW w:w="6720" w:type="dxa"/>
            <w:vAlign w:val="bottom"/>
            <w:gridSpan w:val="2"/>
          </w:tcPr>
          <w:p>
            <w:pPr>
              <w:spacing w:after="0"/>
              <w:rPr>
                <w:sz w:val="20"/>
                <w:szCs w:val="20"/>
                <w:color w:val="auto"/>
              </w:rPr>
            </w:pPr>
            <w:r>
              <w:rPr>
                <w:rFonts w:ascii="Arial" w:cs="Arial" w:eastAsia="Arial" w:hAnsi="Arial"/>
                <w:sz w:val="14"/>
                <w:szCs w:val="14"/>
                <w:color w:val="auto"/>
              </w:rPr>
              <w:t>Cash flows from financing activities: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6700" w:type="dxa"/>
            <w:vAlign w:val="bottom"/>
          </w:tcPr>
          <w:p>
            <w:pPr>
              <w:ind w:left="120"/>
              <w:spacing w:after="0"/>
              <w:rPr>
                <w:sz w:val="20"/>
                <w:szCs w:val="20"/>
                <w:color w:val="auto"/>
              </w:rPr>
            </w:pPr>
            <w:r>
              <w:rPr>
                <w:rFonts w:ascii="Arial" w:cs="Arial" w:eastAsia="Arial" w:hAnsi="Arial"/>
                <w:sz w:val="14"/>
                <w:szCs w:val="14"/>
                <w:color w:val="auto"/>
              </w:rPr>
              <w:t>Proceeds from long-term debt</w:t>
            </w:r>
          </w:p>
        </w:tc>
        <w:tc>
          <w:tcPr>
            <w:tcW w:w="360" w:type="dxa"/>
            <w:vAlign w:val="bottom"/>
          </w:tcPr>
          <w:p>
            <w:pPr>
              <w:spacing w:after="0"/>
              <w:rPr>
                <w:sz w:val="15"/>
                <w:szCs w:val="15"/>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145,000</w:t>
            </w:r>
          </w:p>
        </w:tc>
        <w:tc>
          <w:tcPr>
            <w:tcW w:w="380" w:type="dxa"/>
            <w:vAlign w:val="bottom"/>
          </w:tcPr>
          <w:p>
            <w:pPr>
              <w:spacing w:after="0"/>
              <w:rPr>
                <w:sz w:val="15"/>
                <w:szCs w:val="15"/>
                <w:color w:val="auto"/>
              </w:rPr>
            </w:pP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w:t>
            </w:r>
          </w:p>
        </w:tc>
      </w:tr>
      <w:tr>
        <w:trPr>
          <w:trHeight w:val="176"/>
        </w:trPr>
        <w:tc>
          <w:tcPr>
            <w:tcW w:w="20" w:type="dxa"/>
            <w:vAlign w:val="bottom"/>
          </w:tcPr>
          <w:p>
            <w:pPr>
              <w:spacing w:after="0"/>
              <w:rPr>
                <w:sz w:val="15"/>
                <w:szCs w:val="15"/>
                <w:color w:val="auto"/>
              </w:rPr>
            </w:pPr>
          </w:p>
        </w:tc>
        <w:tc>
          <w:tcPr>
            <w:tcW w:w="6700" w:type="dxa"/>
            <w:vAlign w:val="bottom"/>
          </w:tcPr>
          <w:p>
            <w:pPr>
              <w:ind w:left="120"/>
              <w:spacing w:after="0"/>
              <w:rPr>
                <w:sz w:val="20"/>
                <w:szCs w:val="20"/>
                <w:color w:val="auto"/>
              </w:rPr>
            </w:pPr>
            <w:r>
              <w:rPr>
                <w:rFonts w:ascii="Arial" w:cs="Arial" w:eastAsia="Arial" w:hAnsi="Arial"/>
                <w:sz w:val="14"/>
                <w:szCs w:val="14"/>
                <w:color w:val="auto"/>
              </w:rPr>
              <w:t>Dividend payments to shareholders</w:t>
            </w:r>
          </w:p>
        </w:tc>
        <w:tc>
          <w:tcPr>
            <w:tcW w:w="36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(65,810)</w:t>
            </w:r>
          </w:p>
        </w:tc>
        <w:tc>
          <w:tcPr>
            <w:tcW w:w="380" w:type="dxa"/>
            <w:vAlign w:val="bottom"/>
          </w:tcPr>
          <w:p>
            <w:pPr>
              <w:spacing w:after="0"/>
              <w:rPr>
                <w:sz w:val="15"/>
                <w:szCs w:val="15"/>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(65,589)</w:t>
            </w:r>
          </w:p>
        </w:tc>
        <w:tc>
          <w:tcPr>
            <w:tcW w:w="340" w:type="dxa"/>
            <w:vAlign w:val="bottom"/>
          </w:tcPr>
          <w:p>
            <w:pPr>
              <w:spacing w:after="0"/>
              <w:rPr>
                <w:sz w:val="15"/>
                <w:szCs w:val="15"/>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(58,870)</w:t>
            </w:r>
          </w:p>
        </w:tc>
      </w:tr>
      <w:tr>
        <w:trPr>
          <w:trHeight w:val="176"/>
        </w:trPr>
        <w:tc>
          <w:tcPr>
            <w:tcW w:w="20" w:type="dxa"/>
            <w:vAlign w:val="bottom"/>
          </w:tcPr>
          <w:p>
            <w:pPr>
              <w:spacing w:after="0"/>
              <w:rPr>
                <w:sz w:val="15"/>
                <w:szCs w:val="15"/>
                <w:color w:val="auto"/>
              </w:rPr>
            </w:pPr>
          </w:p>
        </w:tc>
        <w:tc>
          <w:tcPr>
            <w:tcW w:w="6700" w:type="dxa"/>
            <w:vAlign w:val="bottom"/>
          </w:tcPr>
          <w:p>
            <w:pPr>
              <w:ind w:left="120"/>
              <w:spacing w:after="0"/>
              <w:rPr>
                <w:sz w:val="20"/>
                <w:szCs w:val="20"/>
                <w:color w:val="auto"/>
              </w:rPr>
            </w:pPr>
            <w:r>
              <w:rPr>
                <w:rFonts w:ascii="Arial" w:cs="Arial" w:eastAsia="Arial" w:hAnsi="Arial"/>
                <w:sz w:val="14"/>
                <w:szCs w:val="14"/>
                <w:color w:val="auto"/>
              </w:rPr>
              <w:t>Repurchase of common stock</w:t>
            </w:r>
          </w:p>
        </w:tc>
        <w:tc>
          <w:tcPr>
            <w:tcW w:w="36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(113,605)</w:t>
            </w:r>
          </w:p>
        </w:tc>
        <w:tc>
          <w:tcPr>
            <w:tcW w:w="380" w:type="dxa"/>
            <w:vAlign w:val="bottom"/>
          </w:tcPr>
          <w:p>
            <w:pPr>
              <w:spacing w:after="0"/>
              <w:rPr>
                <w:sz w:val="15"/>
                <w:szCs w:val="15"/>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(35,801)</w:t>
            </w:r>
          </w:p>
        </w:tc>
        <w:tc>
          <w:tcPr>
            <w:tcW w:w="340" w:type="dxa"/>
            <w:vAlign w:val="bottom"/>
          </w:tcPr>
          <w:p>
            <w:pPr>
              <w:spacing w:after="0"/>
              <w:rPr>
                <w:sz w:val="15"/>
                <w:szCs w:val="15"/>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w:t>
            </w:r>
          </w:p>
        </w:tc>
      </w:tr>
      <w:tr>
        <w:trPr>
          <w:trHeight w:val="176"/>
        </w:trPr>
        <w:tc>
          <w:tcPr>
            <w:tcW w:w="20" w:type="dxa"/>
            <w:vAlign w:val="bottom"/>
          </w:tcPr>
          <w:p>
            <w:pPr>
              <w:spacing w:after="0"/>
              <w:rPr>
                <w:sz w:val="15"/>
                <w:szCs w:val="15"/>
                <w:color w:val="auto"/>
              </w:rPr>
            </w:pPr>
          </w:p>
        </w:tc>
        <w:tc>
          <w:tcPr>
            <w:tcW w:w="6700" w:type="dxa"/>
            <w:vAlign w:val="bottom"/>
          </w:tcPr>
          <w:p>
            <w:pPr>
              <w:ind w:left="120"/>
              <w:spacing w:after="0"/>
              <w:rPr>
                <w:sz w:val="20"/>
                <w:szCs w:val="20"/>
                <w:color w:val="auto"/>
              </w:rPr>
            </w:pPr>
            <w:r>
              <w:rPr>
                <w:rFonts w:ascii="Arial" w:cs="Arial" w:eastAsia="Arial" w:hAnsi="Arial"/>
                <w:sz w:val="14"/>
                <w:szCs w:val="14"/>
                <w:color w:val="auto"/>
              </w:rPr>
              <w:t>Net proceeds from employee stock plans</w:t>
            </w:r>
          </w:p>
        </w:tc>
        <w:tc>
          <w:tcPr>
            <w:tcW w:w="360" w:type="dxa"/>
            <w:vAlign w:val="bottom"/>
          </w:tcPr>
          <w:p>
            <w:pPr>
              <w:spacing w:after="0"/>
              <w:rPr>
                <w:sz w:val="15"/>
                <w:szCs w:val="15"/>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101,967</w:t>
            </w:r>
          </w:p>
        </w:tc>
        <w:tc>
          <w:tcPr>
            <w:tcW w:w="380" w:type="dxa"/>
            <w:vAlign w:val="bottom"/>
          </w:tcPr>
          <w:p>
            <w:pPr>
              <w:spacing w:after="0"/>
              <w:rPr>
                <w:sz w:val="15"/>
                <w:szCs w:val="15"/>
                <w:color w:val="auto"/>
              </w:rPr>
            </w:pP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42,145</w:t>
            </w:r>
          </w:p>
        </w:tc>
        <w:tc>
          <w:tcPr>
            <w:tcW w:w="340" w:type="dxa"/>
            <w:vAlign w:val="bottom"/>
          </w:tcPr>
          <w:p>
            <w:pPr>
              <w:spacing w:after="0"/>
              <w:rPr>
                <w:sz w:val="15"/>
                <w:szCs w:val="15"/>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163,487</w:t>
            </w:r>
          </w:p>
        </w:tc>
      </w:tr>
      <w:tr>
        <w:trPr>
          <w:trHeight w:val="176"/>
        </w:trPr>
        <w:tc>
          <w:tcPr>
            <w:tcW w:w="20" w:type="dxa"/>
            <w:vAlign w:val="bottom"/>
          </w:tcPr>
          <w:p>
            <w:pPr>
              <w:spacing w:after="0"/>
              <w:rPr>
                <w:sz w:val="15"/>
                <w:szCs w:val="15"/>
                <w:color w:val="auto"/>
              </w:rPr>
            </w:pPr>
          </w:p>
        </w:tc>
        <w:tc>
          <w:tcPr>
            <w:tcW w:w="6700" w:type="dxa"/>
            <w:vAlign w:val="bottom"/>
          </w:tcPr>
          <w:p>
            <w:pPr>
              <w:ind w:left="120"/>
              <w:spacing w:after="0"/>
              <w:rPr>
                <w:sz w:val="20"/>
                <w:szCs w:val="20"/>
                <w:color w:val="auto"/>
              </w:rPr>
            </w:pPr>
            <w:r>
              <w:rPr>
                <w:rFonts w:ascii="Arial" w:cs="Arial" w:eastAsia="Arial" w:hAnsi="Arial"/>
                <w:sz w:val="14"/>
                <w:szCs w:val="14"/>
                <w:color w:val="auto"/>
              </w:rPr>
              <w:t>Other financing activities</w:t>
            </w:r>
          </w:p>
        </w:tc>
        <w:tc>
          <w:tcPr>
            <w:tcW w:w="360" w:type="dxa"/>
            <w:vAlign w:val="bottom"/>
          </w:tcPr>
          <w:p>
            <w:pPr>
              <w:spacing w:after="0"/>
              <w:rPr>
                <w:sz w:val="15"/>
                <w:szCs w:val="15"/>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4,576</w:t>
            </w:r>
          </w:p>
        </w:tc>
        <w:tc>
          <w:tcPr>
            <w:tcW w:w="380" w:type="dxa"/>
            <w:vAlign w:val="bottom"/>
          </w:tcPr>
          <w:p>
            <w:pPr>
              <w:spacing w:after="0"/>
              <w:rPr>
                <w:sz w:val="15"/>
                <w:szCs w:val="15"/>
                <w:color w:val="auto"/>
              </w:rPr>
            </w:pP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208</w:t>
            </w:r>
          </w:p>
        </w:tc>
        <w:tc>
          <w:tcPr>
            <w:tcW w:w="340" w:type="dxa"/>
            <w:vAlign w:val="bottom"/>
          </w:tcPr>
          <w:p>
            <w:pPr>
              <w:spacing w:after="0"/>
              <w:rPr>
                <w:sz w:val="15"/>
                <w:szCs w:val="15"/>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w:t>
            </w:r>
          </w:p>
        </w:tc>
      </w:tr>
      <w:tr>
        <w:trPr>
          <w:trHeight w:val="181"/>
        </w:trPr>
        <w:tc>
          <w:tcPr>
            <w:tcW w:w="20" w:type="dxa"/>
            <w:vAlign w:val="bottom"/>
          </w:tcPr>
          <w:p>
            <w:pPr>
              <w:spacing w:after="0"/>
              <w:rPr>
                <w:sz w:val="15"/>
                <w:szCs w:val="15"/>
                <w:color w:val="auto"/>
              </w:rPr>
            </w:pPr>
          </w:p>
        </w:tc>
        <w:tc>
          <w:tcPr>
            <w:tcW w:w="67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Excess tax benefit - stock options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3,607</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164</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53</w:t>
            </w:r>
          </w:p>
        </w:tc>
      </w:tr>
      <w:tr>
        <w:trPr>
          <w:trHeight w:val="169"/>
        </w:trPr>
        <w:tc>
          <w:tcPr>
            <w:tcW w:w="20" w:type="dxa"/>
            <w:vAlign w:val="bottom"/>
            <w:tcBorders>
              <w:bottom w:val="single" w:sz="8" w:color="auto"/>
            </w:tcBorders>
          </w:tcPr>
          <w:p>
            <w:pPr>
              <w:spacing w:after="0"/>
              <w:rPr>
                <w:sz w:val="14"/>
                <w:szCs w:val="14"/>
                <w:color w:val="auto"/>
              </w:rPr>
            </w:pPr>
          </w:p>
        </w:tc>
        <w:tc>
          <w:tcPr>
            <w:tcW w:w="6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cash provided by (used for) financing activities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75,735</w:t>
            </w: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(58,873)</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104,670</w:t>
            </w:r>
          </w:p>
        </w:tc>
      </w:tr>
      <w:tr>
        <w:trPr>
          <w:trHeight w:val="169"/>
        </w:trPr>
        <w:tc>
          <w:tcPr>
            <w:tcW w:w="6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Effect of exchange rate changes on cash</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(301)</w:t>
            </w: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1,044</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(943)</w:t>
            </w:r>
          </w:p>
        </w:tc>
      </w:tr>
      <w:tr>
        <w:trPr>
          <w:trHeight w:val="339"/>
        </w:trPr>
        <w:tc>
          <w:tcPr>
            <w:tcW w:w="6720" w:type="dxa"/>
            <w:vAlign w:val="bottom"/>
            <w:gridSpan w:val="2"/>
          </w:tcPr>
          <w:p>
            <w:pPr>
              <w:spacing w:after="0"/>
              <w:rPr>
                <w:sz w:val="20"/>
                <w:szCs w:val="20"/>
                <w:color w:val="auto"/>
              </w:rPr>
            </w:pPr>
            <w:r>
              <w:rPr>
                <w:rFonts w:ascii="Arial" w:cs="Arial" w:eastAsia="Arial" w:hAnsi="Arial"/>
                <w:sz w:val="14"/>
                <w:szCs w:val="14"/>
                <w:color w:val="auto"/>
              </w:rPr>
              <w:t>Net increase in cash and cash equivalents</w:t>
            </w:r>
          </w:p>
        </w:tc>
        <w:tc>
          <w:tcPr>
            <w:tcW w:w="360" w:type="dxa"/>
            <w:vAlign w:val="bottom"/>
          </w:tcPr>
          <w:p>
            <w:pPr>
              <w:spacing w:after="0"/>
              <w:rPr>
                <w:sz w:val="24"/>
                <w:szCs w:val="24"/>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500,321</w:t>
            </w:r>
          </w:p>
        </w:tc>
        <w:tc>
          <w:tcPr>
            <w:tcW w:w="380" w:type="dxa"/>
            <w:vAlign w:val="bottom"/>
          </w:tcPr>
          <w:p>
            <w:pPr>
              <w:spacing w:after="0"/>
              <w:rPr>
                <w:sz w:val="24"/>
                <w:szCs w:val="24"/>
                <w:color w:val="auto"/>
              </w:rPr>
            </w:pP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76,571</w:t>
            </w:r>
          </w:p>
        </w:tc>
        <w:tc>
          <w:tcPr>
            <w:tcW w:w="340" w:type="dxa"/>
            <w:vAlign w:val="bottom"/>
          </w:tcPr>
          <w:p>
            <w:pPr>
              <w:spacing w:after="0"/>
              <w:rPr>
                <w:sz w:val="24"/>
                <w:szCs w:val="24"/>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274,539</w:t>
            </w:r>
          </w:p>
        </w:tc>
      </w:tr>
      <w:tr>
        <w:trPr>
          <w:trHeight w:val="181"/>
        </w:trPr>
        <w:tc>
          <w:tcPr>
            <w:tcW w:w="6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Cash and cash equivalents at beginning of period</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1,070,000</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993,429</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639,729</w:t>
            </w:r>
          </w:p>
        </w:tc>
      </w:tr>
      <w:tr>
        <w:trPr>
          <w:trHeight w:val="169"/>
        </w:trPr>
        <w:tc>
          <w:tcPr>
            <w:tcW w:w="6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Cash and cash equivalents at end of period</w:t>
            </w:r>
          </w:p>
        </w:tc>
        <w:tc>
          <w:tcPr>
            <w:tcW w:w="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1,570,321</w:t>
            </w:r>
          </w:p>
        </w:tc>
        <w:tc>
          <w:tcPr>
            <w:tcW w:w="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1,070,000</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914,268</w:t>
            </w:r>
          </w:p>
        </w:tc>
      </w:tr>
      <w:tr>
        <w:trPr>
          <w:trHeight w:val="304"/>
        </w:trPr>
        <w:tc>
          <w:tcPr>
            <w:tcW w:w="20" w:type="dxa"/>
            <w:vAlign w:val="bottom"/>
          </w:tcPr>
          <w:p>
            <w:pPr>
              <w:spacing w:after="0"/>
              <w:rPr>
                <w:sz w:val="24"/>
                <w:szCs w:val="24"/>
                <w:color w:val="auto"/>
              </w:rPr>
            </w:pPr>
          </w:p>
        </w:tc>
        <w:tc>
          <w:tcPr>
            <w:tcW w:w="67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r>
        <w:trPr>
          <w:trHeight w:val="21"/>
        </w:trPr>
        <w:tc>
          <w:tcPr>
            <w:tcW w:w="20" w:type="dxa"/>
            <w:vAlign w:val="bottom"/>
          </w:tcPr>
          <w:p>
            <w:pPr>
              <w:spacing w:after="0" w:line="20" w:lineRule="exact"/>
              <w:rPr>
                <w:sz w:val="1"/>
                <w:szCs w:val="1"/>
                <w:color w:val="auto"/>
              </w:rPr>
            </w:pPr>
          </w:p>
        </w:tc>
        <w:tc>
          <w:tcPr>
            <w:tcW w:w="670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28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4"/>
          <w:szCs w:val="14"/>
          <w:b w:val="1"/>
          <w:bCs w:val="1"/>
          <w:color w:val="auto"/>
        </w:rPr>
        <w:t>Analog Devices, First Quarter, Fiscal 2011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Schedule 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Revenue Trends by End Market</w:t>
      </w:r>
    </w:p>
    <w:p>
      <w:pPr>
        <w:spacing w:after="0" w:line="183" w:lineRule="exact"/>
        <w:rPr>
          <w:sz w:val="20"/>
          <w:szCs w:val="20"/>
          <w:color w:val="auto"/>
        </w:rPr>
      </w:pPr>
    </w:p>
    <w:p>
      <w:pPr>
        <w:ind w:right="220"/>
        <w:spacing w:after="0" w:line="234" w:lineRule="auto"/>
        <w:rPr>
          <w:sz w:val="20"/>
          <w:szCs w:val="20"/>
          <w:color w:val="auto"/>
        </w:rPr>
      </w:pPr>
      <w:r>
        <w:rPr>
          <w:rFonts w:ascii="Arial" w:cs="Arial" w:eastAsia="Arial" w:hAnsi="Arial"/>
          <w:sz w:val="14"/>
          <w:szCs w:val="14"/>
          <w:color w:val="auto"/>
        </w:rPr>
        <w:t>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evolve and improve,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80" w:type="dxa"/>
            <w:vAlign w:val="bottom"/>
          </w:tcPr>
          <w:p>
            <w:pPr>
              <w:spacing w:after="0"/>
              <w:rPr>
                <w:sz w:val="16"/>
                <w:szCs w:val="16"/>
                <w:color w:val="auto"/>
              </w:rPr>
            </w:pPr>
          </w:p>
        </w:tc>
        <w:tc>
          <w:tcPr>
            <w:tcW w:w="104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33"/>
        </w:trPr>
        <w:tc>
          <w:tcPr>
            <w:tcW w:w="2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gridSpan w:val="2"/>
          </w:tcPr>
          <w:p>
            <w:pPr>
              <w:jc w:val="center"/>
              <w:ind w:left="428"/>
              <w:spacing w:after="0" w:line="133" w:lineRule="exact"/>
              <w:rPr>
                <w:sz w:val="20"/>
                <w:szCs w:val="20"/>
                <w:color w:val="auto"/>
              </w:rPr>
            </w:pPr>
            <w:r>
              <w:rPr>
                <w:rFonts w:ascii="Arial" w:cs="Arial" w:eastAsia="Arial" w:hAnsi="Arial"/>
                <w:sz w:val="14"/>
                <w:szCs w:val="14"/>
                <w:b w:val="1"/>
                <w:bCs w:val="1"/>
                <w:color w:val="auto"/>
                <w:w w:val="93"/>
              </w:rPr>
              <w:t>Jan. 29,</w:t>
            </w:r>
          </w:p>
        </w:tc>
        <w:tc>
          <w:tcPr>
            <w:tcW w:w="6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60" w:type="dxa"/>
            <w:vAlign w:val="bottom"/>
            <w:gridSpan w:val="2"/>
          </w:tcPr>
          <w:p>
            <w:pPr>
              <w:jc w:val="center"/>
              <w:ind w:right="540"/>
              <w:spacing w:after="0" w:line="133" w:lineRule="exact"/>
              <w:rPr>
                <w:sz w:val="20"/>
                <w:szCs w:val="20"/>
                <w:color w:val="auto"/>
              </w:rPr>
            </w:pPr>
            <w:r>
              <w:rPr>
                <w:rFonts w:ascii="Arial" w:cs="Arial" w:eastAsia="Arial" w:hAnsi="Arial"/>
                <w:sz w:val="14"/>
                <w:szCs w:val="14"/>
                <w:b w:val="1"/>
                <w:bCs w:val="1"/>
                <w:color w:val="auto"/>
                <w:w w:val="90"/>
              </w:rPr>
              <w:t>Oct. 30,</w:t>
            </w:r>
          </w:p>
        </w:tc>
        <w:tc>
          <w:tcPr>
            <w:tcW w:w="380" w:type="dxa"/>
            <w:vAlign w:val="bottom"/>
          </w:tcPr>
          <w:p>
            <w:pPr>
              <w:spacing w:after="0"/>
              <w:rPr>
                <w:sz w:val="11"/>
                <w:szCs w:val="11"/>
                <w:color w:val="auto"/>
              </w:rPr>
            </w:pPr>
          </w:p>
        </w:tc>
        <w:tc>
          <w:tcPr>
            <w:tcW w:w="1180" w:type="dxa"/>
            <w:vAlign w:val="bottom"/>
          </w:tcPr>
          <w:p>
            <w:pPr>
              <w:jc w:val="center"/>
              <w:ind w:right="308"/>
              <w:spacing w:after="0" w:line="133" w:lineRule="exact"/>
              <w:rPr>
                <w:sz w:val="20"/>
                <w:szCs w:val="20"/>
                <w:color w:val="auto"/>
              </w:rPr>
            </w:pPr>
            <w:r>
              <w:rPr>
                <w:rFonts w:ascii="Arial" w:cs="Arial" w:eastAsia="Arial" w:hAnsi="Arial"/>
                <w:sz w:val="14"/>
                <w:szCs w:val="14"/>
                <w:b w:val="1"/>
                <w:bCs w:val="1"/>
                <w:color w:val="auto"/>
                <w:w w:val="93"/>
              </w:rPr>
              <w:t>Jan. 30,</w:t>
            </w:r>
          </w:p>
        </w:tc>
        <w:tc>
          <w:tcPr>
            <w:tcW w:w="20" w:type="dxa"/>
            <w:vAlign w:val="bottom"/>
          </w:tcPr>
          <w:p>
            <w:pPr>
              <w:spacing w:after="0"/>
              <w:rPr>
                <w:sz w:val="11"/>
                <w:szCs w:val="11"/>
                <w:color w:val="auto"/>
              </w:rPr>
            </w:pPr>
          </w:p>
        </w:tc>
      </w:tr>
      <w:tr>
        <w:trPr>
          <w:trHeight w:val="185"/>
        </w:trPr>
        <w:tc>
          <w:tcPr>
            <w:tcW w:w="28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2011</w:t>
            </w:r>
          </w:p>
        </w:tc>
        <w:tc>
          <w:tcPr>
            <w:tcW w:w="6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88"/>
              <w:spacing w:after="0"/>
              <w:rPr>
                <w:sz w:val="20"/>
                <w:szCs w:val="20"/>
                <w:color w:val="auto"/>
              </w:rPr>
            </w:pPr>
            <w:r>
              <w:rPr>
                <w:rFonts w:ascii="Arial" w:cs="Arial" w:eastAsia="Arial" w:hAnsi="Arial"/>
                <w:sz w:val="14"/>
                <w:szCs w:val="14"/>
                <w:b w:val="1"/>
                <w:bCs w:val="1"/>
                <w:color w:val="auto"/>
                <w:w w:val="96"/>
              </w:rPr>
              <w:t>2010</w:t>
            </w:r>
          </w:p>
        </w:tc>
        <w:tc>
          <w:tcPr>
            <w:tcW w:w="1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308"/>
              <w:spacing w:after="0"/>
              <w:rPr>
                <w:sz w:val="20"/>
                <w:szCs w:val="20"/>
                <w:color w:val="auto"/>
              </w:rPr>
            </w:pPr>
            <w:r>
              <w:rPr>
                <w:rFonts w:ascii="Arial" w:cs="Arial" w:eastAsia="Arial" w:hAnsi="Arial"/>
                <w:sz w:val="14"/>
                <w:szCs w:val="14"/>
                <w:b w:val="1"/>
                <w:bCs w:val="1"/>
                <w:color w:val="auto"/>
                <w:w w:val="89"/>
              </w:rPr>
              <w:t>2010</w:t>
            </w:r>
          </w:p>
        </w:tc>
        <w:tc>
          <w:tcPr>
            <w:tcW w:w="20" w:type="dxa"/>
            <w:vAlign w:val="bottom"/>
          </w:tcPr>
          <w:p>
            <w:pPr>
              <w:spacing w:after="0"/>
              <w:rPr>
                <w:sz w:val="16"/>
                <w:szCs w:val="16"/>
                <w:color w:val="auto"/>
              </w:rPr>
            </w:pPr>
          </w:p>
        </w:tc>
      </w:tr>
      <w:tr>
        <w:trPr>
          <w:trHeight w:val="169"/>
        </w:trPr>
        <w:tc>
          <w:tcPr>
            <w:tcW w:w="28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Revenue</w:t>
            </w:r>
          </w:p>
        </w:tc>
        <w:tc>
          <w:tcPr>
            <w:tcW w:w="580" w:type="dxa"/>
            <w:vAlign w:val="bottom"/>
          </w:tcPr>
          <w:p>
            <w:pPr>
              <w:spacing w:after="0"/>
              <w:rPr>
                <w:sz w:val="14"/>
                <w:szCs w:val="14"/>
                <w:color w:val="auto"/>
              </w:rPr>
            </w:pPr>
          </w:p>
        </w:tc>
        <w:tc>
          <w:tcPr>
            <w:tcW w:w="900" w:type="dxa"/>
            <w:vAlign w:val="bottom"/>
          </w:tcPr>
          <w:p>
            <w:pPr>
              <w:jc w:val="right"/>
              <w:ind w:right="56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b w:val="1"/>
                <w:bCs w:val="1"/>
                <w:color w:val="auto"/>
              </w:rPr>
              <w:t>Q/Q %</w:t>
            </w:r>
          </w:p>
        </w:tc>
        <w:tc>
          <w:tcPr>
            <w:tcW w:w="1440" w:type="dxa"/>
            <w:vAlign w:val="bottom"/>
          </w:tcPr>
          <w:p>
            <w:pPr>
              <w:jc w:val="right"/>
              <w:ind w:right="308"/>
              <w:spacing w:after="0"/>
              <w:rPr>
                <w:sz w:val="20"/>
                <w:szCs w:val="20"/>
                <w:color w:val="auto"/>
              </w:rPr>
            </w:pPr>
            <w:r>
              <w:rPr>
                <w:rFonts w:ascii="Arial" w:cs="Arial" w:eastAsia="Arial" w:hAnsi="Arial"/>
                <w:sz w:val="14"/>
                <w:szCs w:val="14"/>
                <w:b w:val="1"/>
                <w:bCs w:val="1"/>
                <w:color w:val="auto"/>
              </w:rPr>
              <w:t>Y/Y %</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Revenue</w:t>
            </w:r>
          </w:p>
        </w:tc>
        <w:tc>
          <w:tcPr>
            <w:tcW w:w="380" w:type="dxa"/>
            <w:vAlign w:val="bottom"/>
          </w:tcPr>
          <w:p>
            <w:pPr>
              <w:spacing w:after="0"/>
              <w:rPr>
                <w:sz w:val="14"/>
                <w:szCs w:val="14"/>
                <w:color w:val="auto"/>
              </w:rPr>
            </w:pPr>
          </w:p>
        </w:tc>
        <w:tc>
          <w:tcPr>
            <w:tcW w:w="1180" w:type="dxa"/>
            <w:vAlign w:val="bottom"/>
          </w:tcPr>
          <w:p>
            <w:pPr>
              <w:jc w:val="center"/>
              <w:ind w:right="308"/>
              <w:spacing w:after="0"/>
              <w:rPr>
                <w:sz w:val="20"/>
                <w:szCs w:val="20"/>
                <w:color w:val="auto"/>
              </w:rPr>
            </w:pPr>
            <w:r>
              <w:rPr>
                <w:rFonts w:ascii="Arial" w:cs="Arial" w:eastAsia="Arial" w:hAnsi="Arial"/>
                <w:sz w:val="14"/>
                <w:szCs w:val="14"/>
                <w:b w:val="1"/>
                <w:bCs w:val="1"/>
                <w:color w:val="auto"/>
                <w:w w:val="89"/>
              </w:rPr>
              <w:t>Revenue</w:t>
            </w:r>
          </w:p>
        </w:tc>
        <w:tc>
          <w:tcPr>
            <w:tcW w:w="20" w:type="dxa"/>
            <w:vAlign w:val="bottom"/>
          </w:tcPr>
          <w:p>
            <w:pPr>
              <w:spacing w:after="0"/>
              <w:rPr>
                <w:sz w:val="14"/>
                <w:szCs w:val="14"/>
                <w:color w:val="auto"/>
              </w:rPr>
            </w:pPr>
          </w:p>
        </w:tc>
      </w:tr>
      <w:tr>
        <w:trPr>
          <w:trHeight w:val="164"/>
        </w:trPr>
        <w:tc>
          <w:tcPr>
            <w:tcW w:w="2880" w:type="dxa"/>
            <w:vAlign w:val="bottom"/>
          </w:tcPr>
          <w:p>
            <w:pPr>
              <w:spacing w:after="0"/>
              <w:rPr>
                <w:sz w:val="20"/>
                <w:szCs w:val="20"/>
                <w:color w:val="auto"/>
              </w:rPr>
            </w:pPr>
            <w:r>
              <w:rPr>
                <w:rFonts w:ascii="Arial" w:cs="Arial" w:eastAsia="Arial" w:hAnsi="Arial"/>
                <w:sz w:val="14"/>
                <w:szCs w:val="14"/>
                <w:color w:val="auto"/>
              </w:rPr>
              <w:t>Industrial</w:t>
            </w:r>
          </w:p>
        </w:tc>
        <w:tc>
          <w:tcPr>
            <w:tcW w:w="1040" w:type="dxa"/>
            <w:vAlign w:val="bottom"/>
            <w:tcBorders>
              <w:top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90"/>
              </w:rPr>
              <w:t>336,799</w:t>
            </w:r>
          </w:p>
        </w:tc>
        <w:tc>
          <w:tcPr>
            <w:tcW w:w="90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rPr>
              <w:t>46%</w:t>
            </w:r>
          </w:p>
        </w:tc>
        <w:tc>
          <w:tcPr>
            <w:tcW w:w="2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w:t>
            </w:r>
          </w:p>
        </w:tc>
        <w:tc>
          <w:tcPr>
            <w:tcW w:w="1440" w:type="dxa"/>
            <w:vAlign w:val="bottom"/>
            <w:tcBorders>
              <w:top w:val="single" w:sz="8" w:color="auto"/>
            </w:tcBorders>
          </w:tcPr>
          <w:p>
            <w:pPr>
              <w:jc w:val="right"/>
              <w:ind w:right="408"/>
              <w:spacing w:after="0"/>
              <w:rPr>
                <w:sz w:val="20"/>
                <w:szCs w:val="20"/>
                <w:color w:val="auto"/>
              </w:rPr>
            </w:pPr>
            <w:r>
              <w:rPr>
                <w:rFonts w:ascii="Arial" w:cs="Arial" w:eastAsia="Arial" w:hAnsi="Arial"/>
                <w:sz w:val="14"/>
                <w:szCs w:val="14"/>
                <w:color w:val="auto"/>
              </w:rPr>
              <w:t>28%</w:t>
            </w:r>
          </w:p>
        </w:tc>
        <w:tc>
          <w:tcPr>
            <w:tcW w:w="360" w:type="dxa"/>
            <w:vAlign w:val="bottom"/>
          </w:tcPr>
          <w:p>
            <w:pPr>
              <w:spacing w:after="0"/>
              <w:rPr>
                <w:sz w:val="14"/>
                <w:szCs w:val="14"/>
                <w:color w:val="auto"/>
              </w:rPr>
            </w:pPr>
          </w:p>
        </w:tc>
        <w:tc>
          <w:tcPr>
            <w:tcW w:w="3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347,790</w:t>
            </w:r>
          </w:p>
        </w:tc>
        <w:tc>
          <w:tcPr>
            <w:tcW w:w="180" w:type="dxa"/>
            <w:vAlign w:val="bottom"/>
          </w:tcPr>
          <w:p>
            <w:pPr>
              <w:spacing w:after="0"/>
              <w:rPr>
                <w:sz w:val="14"/>
                <w:szCs w:val="14"/>
                <w:color w:val="auto"/>
              </w:rPr>
            </w:pPr>
          </w:p>
        </w:tc>
        <w:tc>
          <w:tcPr>
            <w:tcW w:w="3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262,786</w:t>
            </w:r>
          </w:p>
        </w:tc>
        <w:tc>
          <w:tcPr>
            <w:tcW w:w="20" w:type="dxa"/>
            <w:vAlign w:val="bottom"/>
          </w:tcPr>
          <w:p>
            <w:pPr>
              <w:spacing w:after="0"/>
              <w:rPr>
                <w:sz w:val="14"/>
                <w:szCs w:val="14"/>
                <w:color w:val="auto"/>
              </w:rPr>
            </w:pPr>
          </w:p>
        </w:tc>
      </w:tr>
      <w:tr>
        <w:trPr>
          <w:trHeight w:val="176"/>
        </w:trPr>
        <w:tc>
          <w:tcPr>
            <w:tcW w:w="2880" w:type="dxa"/>
            <w:vAlign w:val="bottom"/>
          </w:tcPr>
          <w:p>
            <w:pPr>
              <w:spacing w:after="0"/>
              <w:rPr>
                <w:sz w:val="20"/>
                <w:szCs w:val="20"/>
                <w:color w:val="auto"/>
              </w:rPr>
            </w:pPr>
            <w:r>
              <w:rPr>
                <w:rFonts w:ascii="Arial" w:cs="Arial" w:eastAsia="Arial" w:hAnsi="Arial"/>
                <w:sz w:val="14"/>
                <w:szCs w:val="14"/>
                <w:color w:val="auto"/>
              </w:rPr>
              <w:t>Automotive</w:t>
            </w:r>
          </w:p>
        </w:tc>
        <w:tc>
          <w:tcPr>
            <w:tcW w:w="1040" w:type="dxa"/>
            <w:vAlign w:val="bottom"/>
          </w:tcPr>
          <w:p>
            <w:pPr>
              <w:spacing w:after="0"/>
              <w:rPr>
                <w:sz w:val="15"/>
                <w:szCs w:val="15"/>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94,685</w:t>
            </w:r>
          </w:p>
        </w:tc>
        <w:tc>
          <w:tcPr>
            <w:tcW w:w="900" w:type="dxa"/>
            <w:vAlign w:val="bottom"/>
          </w:tcPr>
          <w:p>
            <w:pPr>
              <w:jc w:val="right"/>
              <w:ind w:right="208"/>
              <w:spacing w:after="0"/>
              <w:rPr>
                <w:sz w:val="20"/>
                <w:szCs w:val="20"/>
                <w:color w:val="auto"/>
              </w:rPr>
            </w:pPr>
            <w:r>
              <w:rPr>
                <w:rFonts w:ascii="Arial" w:cs="Arial" w:eastAsia="Arial" w:hAnsi="Arial"/>
                <w:sz w:val="14"/>
                <w:szCs w:val="14"/>
                <w:color w:val="auto"/>
              </w:rPr>
              <w:t>13%</w:t>
            </w:r>
          </w:p>
        </w:tc>
        <w:tc>
          <w:tcPr>
            <w:tcW w:w="280" w:type="dxa"/>
            <w:vAlign w:val="bottom"/>
          </w:tcPr>
          <w:p>
            <w:pPr>
              <w:spacing w:after="0"/>
              <w:rPr>
                <w:sz w:val="15"/>
                <w:szCs w:val="15"/>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440" w:type="dxa"/>
            <w:vAlign w:val="bottom"/>
          </w:tcPr>
          <w:p>
            <w:pPr>
              <w:jc w:val="right"/>
              <w:ind w:right="408"/>
              <w:spacing w:after="0"/>
              <w:rPr>
                <w:sz w:val="20"/>
                <w:szCs w:val="20"/>
                <w:color w:val="auto"/>
              </w:rPr>
            </w:pPr>
            <w:r>
              <w:rPr>
                <w:rFonts w:ascii="Arial" w:cs="Arial" w:eastAsia="Arial" w:hAnsi="Arial"/>
                <w:sz w:val="14"/>
                <w:szCs w:val="14"/>
                <w:color w:val="auto"/>
              </w:rPr>
              <w:t>30%</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93,632</w:t>
            </w:r>
          </w:p>
        </w:tc>
        <w:tc>
          <w:tcPr>
            <w:tcW w:w="380" w:type="dxa"/>
            <w:vAlign w:val="bottom"/>
          </w:tcPr>
          <w:p>
            <w:pPr>
              <w:spacing w:after="0"/>
              <w:rPr>
                <w:sz w:val="15"/>
                <w:szCs w:val="15"/>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72,826</w:t>
            </w:r>
          </w:p>
        </w:tc>
      </w:tr>
      <w:tr>
        <w:trPr>
          <w:trHeight w:val="176"/>
        </w:trPr>
        <w:tc>
          <w:tcPr>
            <w:tcW w:w="2880" w:type="dxa"/>
            <w:vAlign w:val="bottom"/>
          </w:tcPr>
          <w:p>
            <w:pPr>
              <w:spacing w:after="0"/>
              <w:rPr>
                <w:sz w:val="20"/>
                <w:szCs w:val="20"/>
                <w:color w:val="auto"/>
              </w:rPr>
            </w:pPr>
            <w:r>
              <w:rPr>
                <w:rFonts w:ascii="Arial" w:cs="Arial" w:eastAsia="Arial" w:hAnsi="Arial"/>
                <w:sz w:val="14"/>
                <w:szCs w:val="14"/>
                <w:color w:val="auto"/>
              </w:rPr>
              <w:t>Consumer</w:t>
            </w:r>
          </w:p>
        </w:tc>
        <w:tc>
          <w:tcPr>
            <w:tcW w:w="1040" w:type="dxa"/>
            <w:vAlign w:val="bottom"/>
          </w:tcPr>
          <w:p>
            <w:pPr>
              <w:spacing w:after="0"/>
              <w:rPr>
                <w:sz w:val="15"/>
                <w:szCs w:val="15"/>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w w:val="90"/>
              </w:rPr>
              <w:t>120,940</w:t>
            </w:r>
          </w:p>
        </w:tc>
        <w:tc>
          <w:tcPr>
            <w:tcW w:w="900" w:type="dxa"/>
            <w:vAlign w:val="bottom"/>
          </w:tcPr>
          <w:p>
            <w:pPr>
              <w:jc w:val="right"/>
              <w:ind w:right="208"/>
              <w:spacing w:after="0"/>
              <w:rPr>
                <w:sz w:val="20"/>
                <w:szCs w:val="20"/>
                <w:color w:val="auto"/>
              </w:rPr>
            </w:pPr>
            <w:r>
              <w:rPr>
                <w:rFonts w:ascii="Arial" w:cs="Arial" w:eastAsia="Arial" w:hAnsi="Arial"/>
                <w:sz w:val="14"/>
                <w:szCs w:val="14"/>
                <w:color w:val="auto"/>
              </w:rPr>
              <w:t>17%</w:t>
            </w:r>
          </w:p>
        </w:tc>
        <w:tc>
          <w:tcPr>
            <w:tcW w:w="280" w:type="dxa"/>
            <w:vAlign w:val="bottom"/>
          </w:tcPr>
          <w:p>
            <w:pPr>
              <w:spacing w:after="0"/>
              <w:rPr>
                <w:sz w:val="15"/>
                <w:szCs w:val="15"/>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-12%</w:t>
            </w:r>
          </w:p>
        </w:tc>
        <w:tc>
          <w:tcPr>
            <w:tcW w:w="1440" w:type="dxa"/>
            <w:vAlign w:val="bottom"/>
          </w:tcPr>
          <w:p>
            <w:pPr>
              <w:jc w:val="right"/>
              <w:ind w:right="408"/>
              <w:spacing w:after="0"/>
              <w:rPr>
                <w:sz w:val="20"/>
                <w:szCs w:val="20"/>
                <w:color w:val="auto"/>
              </w:rPr>
            </w:pPr>
            <w:r>
              <w:rPr>
                <w:rFonts w:ascii="Arial" w:cs="Arial" w:eastAsia="Arial" w:hAnsi="Arial"/>
                <w:sz w:val="14"/>
                <w:szCs w:val="14"/>
                <w:color w:val="auto"/>
              </w:rPr>
              <w:t>-1%</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137,045</w:t>
            </w:r>
          </w:p>
        </w:tc>
        <w:tc>
          <w:tcPr>
            <w:tcW w:w="380" w:type="dxa"/>
            <w:vAlign w:val="bottom"/>
          </w:tcPr>
          <w:p>
            <w:pPr>
              <w:spacing w:after="0"/>
              <w:rPr>
                <w:sz w:val="15"/>
                <w:szCs w:val="15"/>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121,590</w:t>
            </w:r>
          </w:p>
        </w:tc>
      </w:tr>
      <w:tr>
        <w:trPr>
          <w:trHeight w:val="176"/>
        </w:trPr>
        <w:tc>
          <w:tcPr>
            <w:tcW w:w="2880" w:type="dxa"/>
            <w:vAlign w:val="bottom"/>
          </w:tcPr>
          <w:p>
            <w:pPr>
              <w:spacing w:after="0"/>
              <w:rPr>
                <w:sz w:val="20"/>
                <w:szCs w:val="20"/>
                <w:color w:val="auto"/>
              </w:rPr>
            </w:pPr>
            <w:r>
              <w:rPr>
                <w:rFonts w:ascii="Arial" w:cs="Arial" w:eastAsia="Arial" w:hAnsi="Arial"/>
                <w:sz w:val="14"/>
                <w:szCs w:val="14"/>
                <w:color w:val="auto"/>
              </w:rPr>
              <w:t>Communications</w:t>
            </w:r>
          </w:p>
        </w:tc>
        <w:tc>
          <w:tcPr>
            <w:tcW w:w="1040" w:type="dxa"/>
            <w:vAlign w:val="bottom"/>
          </w:tcPr>
          <w:p>
            <w:pPr>
              <w:spacing w:after="0"/>
              <w:rPr>
                <w:sz w:val="15"/>
                <w:szCs w:val="15"/>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w w:val="90"/>
              </w:rPr>
              <w:t>163,478</w:t>
            </w:r>
          </w:p>
        </w:tc>
        <w:tc>
          <w:tcPr>
            <w:tcW w:w="900" w:type="dxa"/>
            <w:vAlign w:val="bottom"/>
          </w:tcPr>
          <w:p>
            <w:pPr>
              <w:jc w:val="right"/>
              <w:ind w:right="208"/>
              <w:spacing w:after="0"/>
              <w:rPr>
                <w:sz w:val="20"/>
                <w:szCs w:val="20"/>
                <w:color w:val="auto"/>
              </w:rPr>
            </w:pPr>
            <w:r>
              <w:rPr>
                <w:rFonts w:ascii="Arial" w:cs="Arial" w:eastAsia="Arial" w:hAnsi="Arial"/>
                <w:sz w:val="14"/>
                <w:szCs w:val="14"/>
                <w:color w:val="auto"/>
              </w:rPr>
              <w:t>22%</w:t>
            </w:r>
          </w:p>
        </w:tc>
        <w:tc>
          <w:tcPr>
            <w:tcW w:w="280" w:type="dxa"/>
            <w:vAlign w:val="bottom"/>
          </w:tcPr>
          <w:p>
            <w:pPr>
              <w:spacing w:after="0"/>
              <w:rPr>
                <w:sz w:val="15"/>
                <w:szCs w:val="15"/>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-8%</w:t>
            </w:r>
          </w:p>
        </w:tc>
        <w:tc>
          <w:tcPr>
            <w:tcW w:w="1440" w:type="dxa"/>
            <w:vAlign w:val="bottom"/>
          </w:tcPr>
          <w:p>
            <w:pPr>
              <w:jc w:val="right"/>
              <w:ind w:right="408"/>
              <w:spacing w:after="0"/>
              <w:rPr>
                <w:sz w:val="20"/>
                <w:szCs w:val="20"/>
                <w:color w:val="auto"/>
              </w:rPr>
            </w:pPr>
            <w:r>
              <w:rPr>
                <w:rFonts w:ascii="Arial" w:cs="Arial" w:eastAsia="Arial" w:hAnsi="Arial"/>
                <w:sz w:val="14"/>
                <w:szCs w:val="14"/>
                <w:color w:val="auto"/>
              </w:rPr>
              <w:t>22%</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178,402</w:t>
            </w:r>
          </w:p>
        </w:tc>
        <w:tc>
          <w:tcPr>
            <w:tcW w:w="380" w:type="dxa"/>
            <w:vAlign w:val="bottom"/>
          </w:tcPr>
          <w:p>
            <w:pPr>
              <w:spacing w:after="0"/>
              <w:rPr>
                <w:sz w:val="15"/>
                <w:szCs w:val="15"/>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133,471</w:t>
            </w:r>
          </w:p>
        </w:tc>
      </w:tr>
      <w:tr>
        <w:trPr>
          <w:trHeight w:val="181"/>
        </w:trPr>
        <w:tc>
          <w:tcPr>
            <w:tcW w:w="2880" w:type="dxa"/>
            <w:vAlign w:val="bottom"/>
          </w:tcPr>
          <w:p>
            <w:pPr>
              <w:spacing w:after="0"/>
              <w:rPr>
                <w:sz w:val="20"/>
                <w:szCs w:val="20"/>
                <w:color w:val="auto"/>
              </w:rPr>
            </w:pPr>
            <w:r>
              <w:rPr>
                <w:rFonts w:ascii="Arial" w:cs="Arial" w:eastAsia="Arial" w:hAnsi="Arial"/>
                <w:sz w:val="14"/>
                <w:szCs w:val="14"/>
                <w:color w:val="auto"/>
              </w:rPr>
              <w:t>Computer</w:t>
            </w:r>
          </w:p>
        </w:tc>
        <w:tc>
          <w:tcPr>
            <w:tcW w:w="1040" w:type="dxa"/>
            <w:vAlign w:val="bottom"/>
          </w:tcPr>
          <w:p>
            <w:pPr>
              <w:spacing w:after="0"/>
              <w:rPr>
                <w:sz w:val="15"/>
                <w:szCs w:val="15"/>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12,602</w:t>
            </w:r>
          </w:p>
        </w:tc>
        <w:tc>
          <w:tcPr>
            <w:tcW w:w="900" w:type="dxa"/>
            <w:vAlign w:val="bottom"/>
          </w:tcPr>
          <w:p>
            <w:pPr>
              <w:jc w:val="right"/>
              <w:ind w:right="208"/>
              <w:spacing w:after="0"/>
              <w:rPr>
                <w:sz w:val="20"/>
                <w:szCs w:val="20"/>
                <w:color w:val="auto"/>
              </w:rPr>
            </w:pPr>
            <w:r>
              <w:rPr>
                <w:rFonts w:ascii="Arial" w:cs="Arial" w:eastAsia="Arial" w:hAnsi="Arial"/>
                <w:sz w:val="14"/>
                <w:szCs w:val="14"/>
                <w:color w:val="auto"/>
              </w:rPr>
              <w:t>2%</w:t>
            </w:r>
          </w:p>
        </w:tc>
        <w:tc>
          <w:tcPr>
            <w:tcW w:w="280" w:type="dxa"/>
            <w:vAlign w:val="bottom"/>
          </w:tcPr>
          <w:p>
            <w:pPr>
              <w:spacing w:after="0"/>
              <w:rPr>
                <w:sz w:val="15"/>
                <w:szCs w:val="15"/>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1440" w:type="dxa"/>
            <w:vAlign w:val="bottom"/>
          </w:tcPr>
          <w:p>
            <w:pPr>
              <w:jc w:val="right"/>
              <w:ind w:right="408"/>
              <w:spacing w:after="0"/>
              <w:rPr>
                <w:sz w:val="20"/>
                <w:szCs w:val="20"/>
                <w:color w:val="auto"/>
              </w:rPr>
            </w:pPr>
            <w:r>
              <w:rPr>
                <w:rFonts w:ascii="Arial" w:cs="Arial" w:eastAsia="Arial" w:hAnsi="Arial"/>
                <w:sz w:val="14"/>
                <w:szCs w:val="14"/>
                <w:color w:val="auto"/>
              </w:rPr>
              <w:t>2%</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13,121</w:t>
            </w:r>
          </w:p>
        </w:tc>
        <w:tc>
          <w:tcPr>
            <w:tcW w:w="380" w:type="dxa"/>
            <w:vAlign w:val="bottom"/>
          </w:tcPr>
          <w:p>
            <w:pPr>
              <w:spacing w:after="0"/>
              <w:rPr>
                <w:sz w:val="15"/>
                <w:szCs w:val="15"/>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12,310</w:t>
            </w:r>
          </w:p>
        </w:tc>
      </w:tr>
      <w:tr>
        <w:trPr>
          <w:trHeight w:val="169"/>
        </w:trPr>
        <w:tc>
          <w:tcPr>
            <w:tcW w:w="2880" w:type="dxa"/>
            <w:vAlign w:val="bottom"/>
          </w:tcPr>
          <w:p>
            <w:pPr>
              <w:spacing w:after="0"/>
              <w:rPr>
                <w:sz w:val="20"/>
                <w:szCs w:val="20"/>
                <w:color w:val="auto"/>
              </w:rPr>
            </w:pPr>
            <w:r>
              <w:rPr>
                <w:rFonts w:ascii="Arial" w:cs="Arial" w:eastAsia="Arial" w:hAnsi="Arial"/>
                <w:sz w:val="14"/>
                <w:szCs w:val="14"/>
                <w:b w:val="1"/>
                <w:bCs w:val="1"/>
                <w:color w:val="auto"/>
              </w:rPr>
              <w:t>Total Revenue</w:t>
            </w:r>
          </w:p>
        </w:tc>
        <w:tc>
          <w:tcPr>
            <w:tcW w:w="1040" w:type="dxa"/>
            <w:vAlign w:val="bottom"/>
            <w:tcBorders>
              <w:top w:val="single" w:sz="8" w:color="auto"/>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0"/>
              </w:rPr>
              <w:t>728,504</w:t>
            </w:r>
          </w:p>
        </w:tc>
        <w:tc>
          <w:tcPr>
            <w:tcW w:w="90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100%</w:t>
            </w:r>
          </w:p>
        </w:tc>
        <w:tc>
          <w:tcPr>
            <w:tcW w:w="28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rPr>
              <w:t>-5%</w:t>
            </w:r>
          </w:p>
        </w:tc>
        <w:tc>
          <w:tcPr>
            <w:tcW w:w="1440" w:type="dxa"/>
            <w:vAlign w:val="bottom"/>
          </w:tcPr>
          <w:p>
            <w:pPr>
              <w:jc w:val="right"/>
              <w:ind w:right="368"/>
              <w:spacing w:after="0"/>
              <w:rPr>
                <w:sz w:val="20"/>
                <w:szCs w:val="20"/>
                <w:color w:val="auto"/>
              </w:rPr>
            </w:pPr>
            <w:r>
              <w:rPr>
                <w:rFonts w:ascii="Arial" w:cs="Arial" w:eastAsia="Arial" w:hAnsi="Arial"/>
                <w:sz w:val="14"/>
                <w:szCs w:val="14"/>
                <w:b w:val="1"/>
                <w:bCs w:val="1"/>
                <w:color w:val="auto"/>
              </w:rPr>
              <w:t>21%</w:t>
            </w:r>
          </w:p>
        </w:tc>
        <w:tc>
          <w:tcPr>
            <w:tcW w:w="36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769,990</w:t>
            </w:r>
          </w:p>
        </w:tc>
        <w:tc>
          <w:tcPr>
            <w:tcW w:w="18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602,983</w:t>
            </w:r>
          </w:p>
        </w:tc>
        <w:tc>
          <w:tcPr>
            <w:tcW w:w="20" w:type="dxa"/>
            <w:vAlign w:val="bottom"/>
          </w:tcPr>
          <w:p>
            <w:pPr>
              <w:spacing w:after="0"/>
              <w:rPr>
                <w:sz w:val="14"/>
                <w:szCs w:val="14"/>
                <w:color w:val="auto"/>
              </w:rPr>
            </w:pPr>
          </w:p>
        </w:tc>
      </w:tr>
      <w:tr>
        <w:trPr>
          <w:trHeight w:val="20"/>
        </w:trPr>
        <w:tc>
          <w:tcPr>
            <w:tcW w:w="28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28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r>
        <w:trPr>
          <w:trHeight w:val="21"/>
        </w:trPr>
        <w:tc>
          <w:tcPr>
            <w:tcW w:w="288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144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4"/>
          <w:szCs w:val="14"/>
          <w:b w:val="1"/>
          <w:bCs w:val="1"/>
          <w:color w:val="auto"/>
        </w:rPr>
        <w:t>Analog Devices, First Quarter, Fiscal 2011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Schedule E</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Revenue Trends by Product Type</w:t>
      </w:r>
    </w:p>
    <w:p>
      <w:pPr>
        <w:spacing w:after="0" w:line="183" w:lineRule="exact"/>
        <w:rPr>
          <w:sz w:val="20"/>
          <w:szCs w:val="20"/>
          <w:color w:val="auto"/>
        </w:rPr>
      </w:pPr>
    </w:p>
    <w:p>
      <w:pPr>
        <w:ind w:right="120"/>
        <w:spacing w:after="0" w:line="234" w:lineRule="auto"/>
        <w:rPr>
          <w:sz w:val="20"/>
          <w:szCs w:val="20"/>
          <w:color w:val="auto"/>
        </w:rPr>
      </w:pPr>
      <w:r>
        <w:rPr>
          <w:rFonts w:ascii="Arial" w:cs="Arial" w:eastAsia="Arial" w:hAnsi="Arial"/>
          <w:sz w:val="14"/>
          <w:szCs w:val="14"/>
          <w:color w:val="auto"/>
        </w:rPr>
        <w:t>The categorization of our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we reclassify the amounts in the product categories for all prior periods. Such reclassifications typically do not materially change the sizing of, or the underlying trends of results within, each product category.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4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150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33"/>
        </w:trPr>
        <w:tc>
          <w:tcPr>
            <w:tcW w:w="4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gridSpan w:val="2"/>
          </w:tcPr>
          <w:p>
            <w:pPr>
              <w:jc w:val="center"/>
              <w:ind w:left="368"/>
              <w:spacing w:after="0" w:line="133" w:lineRule="exact"/>
              <w:rPr>
                <w:sz w:val="20"/>
                <w:szCs w:val="20"/>
                <w:color w:val="auto"/>
              </w:rPr>
            </w:pPr>
            <w:r>
              <w:rPr>
                <w:rFonts w:ascii="Arial" w:cs="Arial" w:eastAsia="Arial" w:hAnsi="Arial"/>
                <w:sz w:val="14"/>
                <w:szCs w:val="14"/>
                <w:b w:val="1"/>
                <w:bCs w:val="1"/>
                <w:color w:val="auto"/>
                <w:w w:val="93"/>
              </w:rPr>
              <w:t>Jan. 29,</w:t>
            </w: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4"/>
              </w:rPr>
              <w:t>Oct. 30,</w:t>
            </w:r>
          </w:p>
        </w:tc>
        <w:tc>
          <w:tcPr>
            <w:tcW w:w="280" w:type="dxa"/>
            <w:vAlign w:val="bottom"/>
          </w:tcPr>
          <w:p>
            <w:pPr>
              <w:spacing w:after="0"/>
              <w:rPr>
                <w:sz w:val="11"/>
                <w:szCs w:val="11"/>
                <w:color w:val="auto"/>
              </w:rPr>
            </w:pPr>
          </w:p>
        </w:tc>
        <w:tc>
          <w:tcPr>
            <w:tcW w:w="980" w:type="dxa"/>
            <w:vAlign w:val="bottom"/>
          </w:tcPr>
          <w:p>
            <w:pPr>
              <w:jc w:val="center"/>
              <w:ind w:right="228"/>
              <w:spacing w:after="0" w:line="133" w:lineRule="exact"/>
              <w:rPr>
                <w:sz w:val="20"/>
                <w:szCs w:val="20"/>
                <w:color w:val="auto"/>
              </w:rPr>
            </w:pPr>
            <w:r>
              <w:rPr>
                <w:rFonts w:ascii="Arial" w:cs="Arial" w:eastAsia="Arial" w:hAnsi="Arial"/>
                <w:sz w:val="14"/>
                <w:szCs w:val="14"/>
                <w:b w:val="1"/>
                <w:bCs w:val="1"/>
                <w:color w:val="auto"/>
                <w:w w:val="93"/>
              </w:rPr>
              <w:t>Jan. 30,</w:t>
            </w:r>
          </w:p>
        </w:tc>
        <w:tc>
          <w:tcPr>
            <w:tcW w:w="20" w:type="dxa"/>
            <w:vAlign w:val="bottom"/>
          </w:tcPr>
          <w:p>
            <w:pPr>
              <w:spacing w:after="0"/>
              <w:rPr>
                <w:sz w:val="11"/>
                <w:szCs w:val="11"/>
                <w:color w:val="auto"/>
              </w:rPr>
            </w:pPr>
          </w:p>
        </w:tc>
      </w:tr>
      <w:tr>
        <w:trPr>
          <w:trHeight w:val="185"/>
        </w:trPr>
        <w:tc>
          <w:tcPr>
            <w:tcW w:w="4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89"/>
              </w:rPr>
              <w:t>2010</w:t>
            </w:r>
          </w:p>
        </w:tc>
        <w:tc>
          <w:tcPr>
            <w:tcW w:w="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89"/>
              </w:rPr>
              <w:t>2010</w:t>
            </w:r>
          </w:p>
        </w:tc>
        <w:tc>
          <w:tcPr>
            <w:tcW w:w="20" w:type="dxa"/>
            <w:vAlign w:val="bottom"/>
          </w:tcPr>
          <w:p>
            <w:pPr>
              <w:spacing w:after="0"/>
              <w:rPr>
                <w:sz w:val="16"/>
                <w:szCs w:val="16"/>
                <w:color w:val="auto"/>
              </w:rPr>
            </w:pPr>
          </w:p>
        </w:tc>
      </w:tr>
      <w:tr>
        <w:trPr>
          <w:trHeight w:val="169"/>
        </w:trPr>
        <w:tc>
          <w:tcPr>
            <w:tcW w:w="4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Arial" w:cs="Arial" w:eastAsia="Arial" w:hAnsi="Arial"/>
                <w:sz w:val="14"/>
                <w:szCs w:val="14"/>
                <w:b w:val="1"/>
                <w:bCs w:val="1"/>
                <w:color w:val="auto"/>
                <w:w w:val="99"/>
              </w:rPr>
              <w:t>Revenue</w:t>
            </w:r>
          </w:p>
        </w:tc>
        <w:tc>
          <w:tcPr>
            <w:tcW w:w="720" w:type="dxa"/>
            <w:vAlign w:val="bottom"/>
          </w:tcPr>
          <w:p>
            <w:pPr>
              <w:jc w:val="right"/>
              <w:ind w:right="42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rPr>
              <w:t>Q/Q %</w:t>
            </w:r>
          </w:p>
        </w:tc>
        <w:tc>
          <w:tcPr>
            <w:tcW w:w="1200" w:type="dxa"/>
            <w:vAlign w:val="bottom"/>
          </w:tcPr>
          <w:p>
            <w:pPr>
              <w:jc w:val="right"/>
              <w:ind w:right="188"/>
              <w:spacing w:after="0"/>
              <w:rPr>
                <w:sz w:val="20"/>
                <w:szCs w:val="20"/>
                <w:color w:val="auto"/>
              </w:rPr>
            </w:pPr>
            <w:r>
              <w:rPr>
                <w:rFonts w:ascii="Arial" w:cs="Arial" w:eastAsia="Arial" w:hAnsi="Arial"/>
                <w:sz w:val="14"/>
                <w:szCs w:val="14"/>
                <w:b w:val="1"/>
                <w:bCs w:val="1"/>
                <w:color w:val="auto"/>
              </w:rPr>
              <w:t>Y/Y %</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Revenue</w:t>
            </w:r>
          </w:p>
        </w:tc>
        <w:tc>
          <w:tcPr>
            <w:tcW w:w="280" w:type="dxa"/>
            <w:vAlign w:val="bottom"/>
          </w:tcPr>
          <w:p>
            <w:pPr>
              <w:spacing w:after="0"/>
              <w:rPr>
                <w:sz w:val="14"/>
                <w:szCs w:val="14"/>
                <w:color w:val="auto"/>
              </w:rPr>
            </w:pPr>
          </w:p>
        </w:tc>
        <w:tc>
          <w:tcPr>
            <w:tcW w:w="980" w:type="dxa"/>
            <w:vAlign w:val="bottom"/>
          </w:tcPr>
          <w:p>
            <w:pPr>
              <w:jc w:val="center"/>
              <w:ind w:right="228"/>
              <w:spacing w:after="0"/>
              <w:rPr>
                <w:sz w:val="20"/>
                <w:szCs w:val="20"/>
                <w:color w:val="auto"/>
              </w:rPr>
            </w:pPr>
            <w:r>
              <w:rPr>
                <w:rFonts w:ascii="Arial" w:cs="Arial" w:eastAsia="Arial" w:hAnsi="Arial"/>
                <w:sz w:val="14"/>
                <w:szCs w:val="14"/>
                <w:b w:val="1"/>
                <w:bCs w:val="1"/>
                <w:color w:val="auto"/>
                <w:w w:val="89"/>
              </w:rPr>
              <w:t>Revenue</w:t>
            </w:r>
          </w:p>
        </w:tc>
        <w:tc>
          <w:tcPr>
            <w:tcW w:w="20" w:type="dxa"/>
            <w:vAlign w:val="bottom"/>
          </w:tcPr>
          <w:p>
            <w:pPr>
              <w:spacing w:after="0"/>
              <w:rPr>
                <w:sz w:val="14"/>
                <w:szCs w:val="14"/>
                <w:color w:val="auto"/>
              </w:rPr>
            </w:pPr>
          </w:p>
        </w:tc>
      </w:tr>
      <w:tr>
        <w:trPr>
          <w:trHeight w:val="164"/>
        </w:trPr>
        <w:tc>
          <w:tcPr>
            <w:tcW w:w="4540" w:type="dxa"/>
            <w:vAlign w:val="bottom"/>
          </w:tcPr>
          <w:p>
            <w:pPr>
              <w:spacing w:after="0"/>
              <w:rPr>
                <w:sz w:val="20"/>
                <w:szCs w:val="20"/>
                <w:color w:val="auto"/>
              </w:rPr>
            </w:pPr>
            <w:r>
              <w:rPr>
                <w:rFonts w:ascii="Arial" w:cs="Arial" w:eastAsia="Arial" w:hAnsi="Arial"/>
                <w:sz w:val="14"/>
                <w:szCs w:val="14"/>
                <w:color w:val="auto"/>
              </w:rPr>
              <w:t>Converters</w:t>
            </w:r>
          </w:p>
        </w:tc>
        <w:tc>
          <w:tcPr>
            <w:tcW w:w="2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329,791</w:t>
            </w:r>
          </w:p>
        </w:tc>
        <w:tc>
          <w:tcPr>
            <w:tcW w:w="72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45%</w:t>
            </w:r>
          </w:p>
        </w:tc>
        <w:tc>
          <w:tcPr>
            <w:tcW w:w="2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ind w:left="200"/>
              <w:spacing w:after="0"/>
              <w:rPr>
                <w:sz w:val="20"/>
                <w:szCs w:val="20"/>
                <w:color w:val="auto"/>
              </w:rPr>
            </w:pPr>
            <w:r>
              <w:rPr>
                <w:rFonts w:ascii="Arial" w:cs="Arial" w:eastAsia="Arial" w:hAnsi="Arial"/>
                <w:sz w:val="14"/>
                <w:szCs w:val="14"/>
                <w:color w:val="auto"/>
              </w:rPr>
              <w:t>-7%</w:t>
            </w:r>
          </w:p>
        </w:tc>
        <w:tc>
          <w:tcPr>
            <w:tcW w:w="120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color w:val="auto"/>
              </w:rPr>
              <w:t>13%</w:t>
            </w:r>
          </w:p>
        </w:tc>
        <w:tc>
          <w:tcPr>
            <w:tcW w:w="300" w:type="dxa"/>
            <w:vAlign w:val="bottom"/>
          </w:tcPr>
          <w:p>
            <w:pPr>
              <w:spacing w:after="0"/>
              <w:rPr>
                <w:sz w:val="14"/>
                <w:szCs w:val="14"/>
                <w:color w:val="auto"/>
              </w:rPr>
            </w:pPr>
          </w:p>
        </w:tc>
        <w:tc>
          <w:tcPr>
            <w:tcW w:w="2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355,196</w:t>
            </w:r>
          </w:p>
        </w:tc>
        <w:tc>
          <w:tcPr>
            <w:tcW w:w="140" w:type="dxa"/>
            <w:vAlign w:val="bottom"/>
          </w:tcPr>
          <w:p>
            <w:pPr>
              <w:spacing w:after="0"/>
              <w:rPr>
                <w:sz w:val="14"/>
                <w:szCs w:val="14"/>
                <w:color w:val="auto"/>
              </w:rPr>
            </w:pPr>
          </w:p>
        </w:tc>
        <w:tc>
          <w:tcPr>
            <w:tcW w:w="2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291,174</w:t>
            </w:r>
          </w:p>
        </w:tc>
        <w:tc>
          <w:tcPr>
            <w:tcW w:w="20" w:type="dxa"/>
            <w:vAlign w:val="bottom"/>
          </w:tcPr>
          <w:p>
            <w:pPr>
              <w:spacing w:after="0"/>
              <w:rPr>
                <w:sz w:val="14"/>
                <w:szCs w:val="14"/>
                <w:color w:val="auto"/>
              </w:rPr>
            </w:pPr>
          </w:p>
        </w:tc>
      </w:tr>
      <w:tr>
        <w:trPr>
          <w:trHeight w:val="176"/>
        </w:trPr>
        <w:tc>
          <w:tcPr>
            <w:tcW w:w="4540" w:type="dxa"/>
            <w:vAlign w:val="bottom"/>
          </w:tcPr>
          <w:p>
            <w:pPr>
              <w:spacing w:after="0"/>
              <w:rPr>
                <w:sz w:val="20"/>
                <w:szCs w:val="20"/>
                <w:color w:val="auto"/>
              </w:rPr>
            </w:pPr>
            <w:r>
              <w:rPr>
                <w:rFonts w:ascii="Arial" w:cs="Arial" w:eastAsia="Arial" w:hAnsi="Arial"/>
                <w:sz w:val="14"/>
                <w:szCs w:val="14"/>
                <w:color w:val="auto"/>
              </w:rPr>
              <w:t>Amplifiers / Radio Frequency</w:t>
            </w:r>
          </w:p>
        </w:tc>
        <w:tc>
          <w:tcPr>
            <w:tcW w:w="24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195,635</w:t>
            </w: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27%</w:t>
            </w:r>
          </w:p>
        </w:tc>
        <w:tc>
          <w:tcPr>
            <w:tcW w:w="240" w:type="dxa"/>
            <w:vAlign w:val="bottom"/>
          </w:tcPr>
          <w:p>
            <w:pPr>
              <w:spacing w:after="0"/>
              <w:rPr>
                <w:sz w:val="15"/>
                <w:szCs w:val="15"/>
                <w:color w:val="auto"/>
              </w:rPr>
            </w:pPr>
          </w:p>
        </w:tc>
        <w:tc>
          <w:tcPr>
            <w:tcW w:w="520" w:type="dxa"/>
            <w:vAlign w:val="bottom"/>
          </w:tcPr>
          <w:p>
            <w:pPr>
              <w:ind w:left="200"/>
              <w:spacing w:after="0"/>
              <w:rPr>
                <w:sz w:val="20"/>
                <w:szCs w:val="20"/>
                <w:color w:val="auto"/>
              </w:rPr>
            </w:pPr>
            <w:r>
              <w:rPr>
                <w:rFonts w:ascii="Arial" w:cs="Arial" w:eastAsia="Arial" w:hAnsi="Arial"/>
                <w:sz w:val="14"/>
                <w:szCs w:val="14"/>
                <w:color w:val="auto"/>
              </w:rPr>
              <w:t>-2%</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33%</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200,565</w:t>
            </w:r>
          </w:p>
        </w:tc>
        <w:tc>
          <w:tcPr>
            <w:tcW w:w="28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147,591</w:t>
            </w:r>
          </w:p>
        </w:tc>
      </w:tr>
      <w:tr>
        <w:trPr>
          <w:trHeight w:val="181"/>
        </w:trPr>
        <w:tc>
          <w:tcPr>
            <w:tcW w:w="4540" w:type="dxa"/>
            <w:vAlign w:val="bottom"/>
          </w:tcPr>
          <w:p>
            <w:pPr>
              <w:spacing w:after="0"/>
              <w:rPr>
                <w:sz w:val="20"/>
                <w:szCs w:val="20"/>
                <w:color w:val="auto"/>
              </w:rPr>
            </w:pPr>
            <w:r>
              <w:rPr>
                <w:rFonts w:ascii="Arial" w:cs="Arial" w:eastAsia="Arial" w:hAnsi="Arial"/>
                <w:sz w:val="14"/>
                <w:szCs w:val="14"/>
                <w:color w:val="auto"/>
              </w:rPr>
              <w:t>Other analog</w:t>
            </w:r>
          </w:p>
        </w:tc>
        <w:tc>
          <w:tcPr>
            <w:tcW w:w="24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93,757</w:t>
            </w: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15"/>
                <w:szCs w:val="15"/>
                <w:color w:val="auto"/>
              </w:rPr>
            </w:pPr>
          </w:p>
        </w:tc>
        <w:tc>
          <w:tcPr>
            <w:tcW w:w="520" w:type="dxa"/>
            <w:vAlign w:val="bottom"/>
          </w:tcPr>
          <w:p>
            <w:pPr>
              <w:ind w:left="200"/>
              <w:spacing w:after="0"/>
              <w:rPr>
                <w:sz w:val="20"/>
                <w:szCs w:val="20"/>
                <w:color w:val="auto"/>
              </w:rPr>
            </w:pPr>
            <w:r>
              <w:rPr>
                <w:rFonts w:ascii="Arial" w:cs="Arial" w:eastAsia="Arial" w:hAnsi="Arial"/>
                <w:sz w:val="14"/>
                <w:szCs w:val="14"/>
                <w:color w:val="auto"/>
              </w:rPr>
              <w:t>-1%</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29%</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94,942</w:t>
            </w:r>
          </w:p>
        </w:tc>
        <w:tc>
          <w:tcPr>
            <w:tcW w:w="28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72,494</w:t>
            </w:r>
          </w:p>
        </w:tc>
      </w:tr>
      <w:tr>
        <w:trPr>
          <w:trHeight w:val="169"/>
        </w:trPr>
        <w:tc>
          <w:tcPr>
            <w:tcW w:w="4540" w:type="dxa"/>
            <w:vAlign w:val="bottom"/>
          </w:tcPr>
          <w:p>
            <w:pPr>
              <w:spacing w:after="0"/>
              <w:rPr>
                <w:sz w:val="20"/>
                <w:szCs w:val="20"/>
                <w:color w:val="auto"/>
              </w:rPr>
            </w:pPr>
            <w:r>
              <w:rPr>
                <w:rFonts w:ascii="Arial" w:cs="Arial" w:eastAsia="Arial" w:hAnsi="Arial"/>
                <w:sz w:val="14"/>
                <w:szCs w:val="14"/>
                <w:color w:val="auto"/>
              </w:rPr>
              <w:t>Subtotal Analog Signal Processing</w:t>
            </w:r>
          </w:p>
        </w:tc>
        <w:tc>
          <w:tcPr>
            <w:tcW w:w="2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619,183</w:t>
            </w:r>
          </w:p>
        </w:tc>
        <w:tc>
          <w:tcPr>
            <w:tcW w:w="7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85%</w:t>
            </w:r>
          </w:p>
        </w:tc>
        <w:tc>
          <w:tcPr>
            <w:tcW w:w="240" w:type="dxa"/>
            <w:vAlign w:val="bottom"/>
          </w:tcPr>
          <w:p>
            <w:pPr>
              <w:spacing w:after="0"/>
              <w:rPr>
                <w:sz w:val="14"/>
                <w:szCs w:val="14"/>
                <w:color w:val="auto"/>
              </w:rPr>
            </w:pPr>
          </w:p>
        </w:tc>
        <w:tc>
          <w:tcPr>
            <w:tcW w:w="520" w:type="dxa"/>
            <w:vAlign w:val="bottom"/>
          </w:tcPr>
          <w:p>
            <w:pPr>
              <w:ind w:left="200"/>
              <w:spacing w:after="0"/>
              <w:rPr>
                <w:sz w:val="20"/>
                <w:szCs w:val="20"/>
                <w:color w:val="auto"/>
              </w:rPr>
            </w:pPr>
            <w:r>
              <w:rPr>
                <w:rFonts w:ascii="Arial" w:cs="Arial" w:eastAsia="Arial" w:hAnsi="Arial"/>
                <w:sz w:val="14"/>
                <w:szCs w:val="14"/>
                <w:color w:val="auto"/>
              </w:rPr>
              <w:t>-5%</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21%</w:t>
            </w:r>
          </w:p>
        </w:tc>
        <w:tc>
          <w:tcPr>
            <w:tcW w:w="3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650,703</w:t>
            </w:r>
          </w:p>
        </w:tc>
        <w:tc>
          <w:tcPr>
            <w:tcW w:w="14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511,259</w:t>
            </w:r>
          </w:p>
        </w:tc>
        <w:tc>
          <w:tcPr>
            <w:tcW w:w="20" w:type="dxa"/>
            <w:vAlign w:val="bottom"/>
          </w:tcPr>
          <w:p>
            <w:pPr>
              <w:spacing w:after="0"/>
              <w:rPr>
                <w:sz w:val="14"/>
                <w:szCs w:val="14"/>
                <w:color w:val="auto"/>
              </w:rPr>
            </w:pPr>
          </w:p>
        </w:tc>
      </w:tr>
      <w:tr>
        <w:trPr>
          <w:trHeight w:val="169"/>
        </w:trPr>
        <w:tc>
          <w:tcPr>
            <w:tcW w:w="4540" w:type="dxa"/>
            <w:vAlign w:val="bottom"/>
          </w:tcPr>
          <w:p>
            <w:pPr>
              <w:spacing w:after="0"/>
              <w:rPr>
                <w:sz w:val="20"/>
                <w:szCs w:val="20"/>
                <w:color w:val="auto"/>
              </w:rPr>
            </w:pPr>
            <w:r>
              <w:rPr>
                <w:rFonts w:ascii="Arial" w:cs="Arial" w:eastAsia="Arial" w:hAnsi="Arial"/>
                <w:sz w:val="14"/>
                <w:szCs w:val="14"/>
                <w:color w:val="auto"/>
              </w:rPr>
              <w:t>Power management &amp; reference</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53,357</w:t>
            </w: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w:t>
            </w:r>
          </w:p>
        </w:tc>
        <w:tc>
          <w:tcPr>
            <w:tcW w:w="240" w:type="dxa"/>
            <w:vAlign w:val="bottom"/>
          </w:tcPr>
          <w:p>
            <w:pPr>
              <w:spacing w:after="0"/>
              <w:rPr>
                <w:sz w:val="14"/>
                <w:szCs w:val="14"/>
                <w:color w:val="auto"/>
              </w:rPr>
            </w:pPr>
          </w:p>
        </w:tc>
        <w:tc>
          <w:tcPr>
            <w:tcW w:w="520" w:type="dxa"/>
            <w:vAlign w:val="bottom"/>
          </w:tcPr>
          <w:p>
            <w:pPr>
              <w:ind w:left="200"/>
              <w:spacing w:after="0"/>
              <w:rPr>
                <w:sz w:val="20"/>
                <w:szCs w:val="20"/>
                <w:color w:val="auto"/>
              </w:rPr>
            </w:pPr>
            <w:r>
              <w:rPr>
                <w:rFonts w:ascii="Arial" w:cs="Arial" w:eastAsia="Arial" w:hAnsi="Arial"/>
                <w:sz w:val="14"/>
                <w:szCs w:val="14"/>
                <w:color w:val="auto"/>
              </w:rPr>
              <w:t>-4%</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36%</w:t>
            </w: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55,666</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39,197</w:t>
            </w:r>
          </w:p>
        </w:tc>
        <w:tc>
          <w:tcPr>
            <w:tcW w:w="20" w:type="dxa"/>
            <w:vAlign w:val="bottom"/>
          </w:tcPr>
          <w:p>
            <w:pPr>
              <w:spacing w:after="0"/>
              <w:rPr>
                <w:sz w:val="14"/>
                <w:szCs w:val="14"/>
                <w:color w:val="auto"/>
              </w:rPr>
            </w:pPr>
          </w:p>
        </w:tc>
      </w:tr>
      <w:tr>
        <w:trPr>
          <w:trHeight w:val="169"/>
        </w:trPr>
        <w:tc>
          <w:tcPr>
            <w:tcW w:w="4540" w:type="dxa"/>
            <w:vAlign w:val="bottom"/>
          </w:tcPr>
          <w:p>
            <w:pPr>
              <w:spacing w:after="0"/>
              <w:rPr>
                <w:sz w:val="20"/>
                <w:szCs w:val="20"/>
                <w:color w:val="auto"/>
              </w:rPr>
            </w:pPr>
            <w:r>
              <w:rPr>
                <w:rFonts w:ascii="Arial" w:cs="Arial" w:eastAsia="Arial" w:hAnsi="Arial"/>
                <w:sz w:val="14"/>
                <w:szCs w:val="14"/>
                <w:b w:val="1"/>
                <w:bCs w:val="1"/>
                <w:color w:val="auto"/>
              </w:rPr>
              <w:t>Total Analog Products</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672,540</w:t>
            </w: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92%</w:t>
            </w:r>
          </w:p>
        </w:tc>
        <w:tc>
          <w:tcPr>
            <w:tcW w:w="240" w:type="dxa"/>
            <w:vAlign w:val="bottom"/>
          </w:tcPr>
          <w:p>
            <w:pPr>
              <w:spacing w:after="0"/>
              <w:rPr>
                <w:sz w:val="14"/>
                <w:szCs w:val="14"/>
                <w:color w:val="auto"/>
              </w:rPr>
            </w:pPr>
          </w:p>
        </w:tc>
        <w:tc>
          <w:tcPr>
            <w:tcW w:w="520" w:type="dxa"/>
            <w:vAlign w:val="bottom"/>
          </w:tcPr>
          <w:p>
            <w:pPr>
              <w:ind w:left="200"/>
              <w:spacing w:after="0"/>
              <w:rPr>
                <w:sz w:val="20"/>
                <w:szCs w:val="20"/>
                <w:color w:val="auto"/>
              </w:rPr>
            </w:pPr>
            <w:r>
              <w:rPr>
                <w:rFonts w:ascii="Arial" w:cs="Arial" w:eastAsia="Arial" w:hAnsi="Arial"/>
                <w:sz w:val="14"/>
                <w:szCs w:val="14"/>
                <w:b w:val="1"/>
                <w:bCs w:val="1"/>
                <w:color w:val="auto"/>
              </w:rPr>
              <w:t>-5%</w:t>
            </w:r>
          </w:p>
        </w:tc>
        <w:tc>
          <w:tcPr>
            <w:tcW w:w="1200" w:type="dxa"/>
            <w:vAlign w:val="bottom"/>
          </w:tcPr>
          <w:p>
            <w:pPr>
              <w:jc w:val="right"/>
              <w:ind w:right="268"/>
              <w:spacing w:after="0"/>
              <w:rPr>
                <w:sz w:val="20"/>
                <w:szCs w:val="20"/>
                <w:color w:val="auto"/>
              </w:rPr>
            </w:pPr>
            <w:r>
              <w:rPr>
                <w:rFonts w:ascii="Arial" w:cs="Arial" w:eastAsia="Arial" w:hAnsi="Arial"/>
                <w:sz w:val="14"/>
                <w:szCs w:val="14"/>
                <w:b w:val="1"/>
                <w:bCs w:val="1"/>
                <w:color w:val="auto"/>
              </w:rPr>
              <w:t>22%</w:t>
            </w:r>
          </w:p>
        </w:tc>
        <w:tc>
          <w:tcPr>
            <w:tcW w:w="300" w:type="dxa"/>
            <w:vAlign w:val="bottom"/>
          </w:tcPr>
          <w:p>
            <w:pPr>
              <w:spacing w:after="0"/>
              <w:rPr>
                <w:sz w:val="14"/>
                <w:szCs w:val="14"/>
                <w:color w:val="auto"/>
              </w:rPr>
            </w:pP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706,369</w:t>
            </w:r>
          </w:p>
        </w:tc>
        <w:tc>
          <w:tcPr>
            <w:tcW w:w="140" w:type="dxa"/>
            <w:vAlign w:val="bottom"/>
          </w:tcPr>
          <w:p>
            <w:pPr>
              <w:spacing w:after="0"/>
              <w:rPr>
                <w:sz w:val="14"/>
                <w:szCs w:val="14"/>
                <w:color w:val="auto"/>
              </w:rPr>
            </w:pP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550,456</w:t>
            </w:r>
          </w:p>
        </w:tc>
        <w:tc>
          <w:tcPr>
            <w:tcW w:w="20" w:type="dxa"/>
            <w:vAlign w:val="bottom"/>
          </w:tcPr>
          <w:p>
            <w:pPr>
              <w:spacing w:after="0"/>
              <w:rPr>
                <w:sz w:val="14"/>
                <w:szCs w:val="14"/>
                <w:color w:val="auto"/>
              </w:rPr>
            </w:pPr>
          </w:p>
        </w:tc>
      </w:tr>
      <w:tr>
        <w:trPr>
          <w:trHeight w:val="169"/>
        </w:trPr>
        <w:tc>
          <w:tcPr>
            <w:tcW w:w="4540" w:type="dxa"/>
            <w:vAlign w:val="bottom"/>
          </w:tcPr>
          <w:p>
            <w:pPr>
              <w:spacing w:after="0"/>
              <w:rPr>
                <w:sz w:val="20"/>
                <w:szCs w:val="20"/>
                <w:color w:val="auto"/>
              </w:rPr>
            </w:pPr>
            <w:r>
              <w:rPr>
                <w:rFonts w:ascii="Arial" w:cs="Arial" w:eastAsia="Arial" w:hAnsi="Arial"/>
                <w:sz w:val="14"/>
                <w:szCs w:val="14"/>
                <w:color w:val="auto"/>
              </w:rPr>
              <w:t>Digital Signal Processing</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55,964</w:t>
            </w: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4"/>
                <w:szCs w:val="14"/>
                <w:color w:val="auto"/>
              </w:rPr>
              <w:t>-12%</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7%</w:t>
            </w: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63,621</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52,527</w:t>
            </w:r>
          </w:p>
        </w:tc>
        <w:tc>
          <w:tcPr>
            <w:tcW w:w="20" w:type="dxa"/>
            <w:vAlign w:val="bottom"/>
          </w:tcPr>
          <w:p>
            <w:pPr>
              <w:spacing w:after="0"/>
              <w:rPr>
                <w:sz w:val="14"/>
                <w:szCs w:val="14"/>
                <w:color w:val="auto"/>
              </w:rPr>
            </w:pPr>
          </w:p>
        </w:tc>
      </w:tr>
      <w:tr>
        <w:trPr>
          <w:trHeight w:val="169"/>
        </w:trPr>
        <w:tc>
          <w:tcPr>
            <w:tcW w:w="4540" w:type="dxa"/>
            <w:vAlign w:val="bottom"/>
          </w:tcPr>
          <w:p>
            <w:pPr>
              <w:spacing w:after="0"/>
              <w:rPr>
                <w:sz w:val="20"/>
                <w:szCs w:val="20"/>
                <w:color w:val="auto"/>
              </w:rPr>
            </w:pPr>
            <w:r>
              <w:rPr>
                <w:rFonts w:ascii="Arial" w:cs="Arial" w:eastAsia="Arial" w:hAnsi="Arial"/>
                <w:sz w:val="14"/>
                <w:szCs w:val="14"/>
                <w:b w:val="1"/>
                <w:bCs w:val="1"/>
                <w:color w:val="auto"/>
              </w:rPr>
              <w:t>Total Revenue</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728,504</w:t>
            </w: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spacing w:after="0"/>
              <w:rPr>
                <w:sz w:val="14"/>
                <w:szCs w:val="14"/>
                <w:color w:val="auto"/>
              </w:rPr>
            </w:pPr>
          </w:p>
        </w:tc>
        <w:tc>
          <w:tcPr>
            <w:tcW w:w="520" w:type="dxa"/>
            <w:vAlign w:val="bottom"/>
          </w:tcPr>
          <w:p>
            <w:pPr>
              <w:ind w:left="200"/>
              <w:spacing w:after="0"/>
              <w:rPr>
                <w:sz w:val="20"/>
                <w:szCs w:val="20"/>
                <w:color w:val="auto"/>
              </w:rPr>
            </w:pPr>
            <w:r>
              <w:rPr>
                <w:rFonts w:ascii="Arial" w:cs="Arial" w:eastAsia="Arial" w:hAnsi="Arial"/>
                <w:sz w:val="14"/>
                <w:szCs w:val="14"/>
                <w:b w:val="1"/>
                <w:bCs w:val="1"/>
                <w:color w:val="auto"/>
              </w:rPr>
              <w:t>-5%</w:t>
            </w:r>
          </w:p>
        </w:tc>
        <w:tc>
          <w:tcPr>
            <w:tcW w:w="1200" w:type="dxa"/>
            <w:vAlign w:val="bottom"/>
          </w:tcPr>
          <w:p>
            <w:pPr>
              <w:jc w:val="right"/>
              <w:ind w:right="268"/>
              <w:spacing w:after="0"/>
              <w:rPr>
                <w:sz w:val="20"/>
                <w:szCs w:val="20"/>
                <w:color w:val="auto"/>
              </w:rPr>
            </w:pPr>
            <w:r>
              <w:rPr>
                <w:rFonts w:ascii="Arial" w:cs="Arial" w:eastAsia="Arial" w:hAnsi="Arial"/>
                <w:sz w:val="14"/>
                <w:szCs w:val="14"/>
                <w:b w:val="1"/>
                <w:bCs w:val="1"/>
                <w:color w:val="auto"/>
              </w:rPr>
              <w:t>21%</w:t>
            </w:r>
          </w:p>
        </w:tc>
        <w:tc>
          <w:tcPr>
            <w:tcW w:w="300" w:type="dxa"/>
            <w:vAlign w:val="bottom"/>
          </w:tcPr>
          <w:p>
            <w:pPr>
              <w:spacing w:after="0"/>
              <w:rPr>
                <w:sz w:val="14"/>
                <w:szCs w:val="14"/>
                <w:color w:val="auto"/>
              </w:rPr>
            </w:pP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769,990</w:t>
            </w:r>
          </w:p>
        </w:tc>
        <w:tc>
          <w:tcPr>
            <w:tcW w:w="140" w:type="dxa"/>
            <w:vAlign w:val="bottom"/>
          </w:tcPr>
          <w:p>
            <w:pPr>
              <w:spacing w:after="0"/>
              <w:rPr>
                <w:sz w:val="14"/>
                <w:szCs w:val="14"/>
                <w:color w:val="auto"/>
              </w:rPr>
            </w:pP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602,983</w:t>
            </w:r>
          </w:p>
        </w:tc>
        <w:tc>
          <w:tcPr>
            <w:tcW w:w="20" w:type="dxa"/>
            <w:vAlign w:val="bottom"/>
          </w:tcPr>
          <w:p>
            <w:pPr>
              <w:spacing w:after="0"/>
              <w:rPr>
                <w:sz w:val="14"/>
                <w:szCs w:val="14"/>
                <w:color w:val="auto"/>
              </w:rPr>
            </w:pPr>
          </w:p>
        </w:tc>
      </w:tr>
      <w:tr>
        <w:trPr>
          <w:trHeight w:val="20"/>
        </w:trPr>
        <w:tc>
          <w:tcPr>
            <w:tcW w:w="4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45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r>
        <w:trPr>
          <w:trHeight w:val="21"/>
        </w:trPr>
        <w:tc>
          <w:tcPr>
            <w:tcW w:w="454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4"/>
          <w:szCs w:val="14"/>
          <w:b w:val="1"/>
          <w:bCs w:val="1"/>
          <w:color w:val="auto"/>
        </w:rPr>
        <w:t>Analog Devices, First Quarter, Fiscal 2011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Schedule F</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 from Non-GAAP to GAAP Data (In thousands, except per-share amounts)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See "Non-GAAP Financial Information" in this press release for a description of the items excluded from our non-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GAAP measures.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8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7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center"/>
              <w:ind w:right="168"/>
              <w:spacing w:after="0" w:line="160" w:lineRule="exact"/>
              <w:rPr>
                <w:sz w:val="20"/>
                <w:szCs w:val="20"/>
                <w:color w:val="auto"/>
              </w:rPr>
            </w:pPr>
            <w:r>
              <w:rPr>
                <w:rFonts w:ascii="Arial" w:cs="Arial" w:eastAsia="Arial" w:hAnsi="Arial"/>
                <w:sz w:val="14"/>
                <w:szCs w:val="14"/>
                <w:b w:val="1"/>
                <w:bCs w:val="1"/>
                <w:color w:val="auto"/>
                <w:w w:val="94"/>
              </w:rPr>
              <w:t>1Q 11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3"/>
          </w:tcPr>
          <w:p>
            <w:pPr>
              <w:jc w:val="center"/>
              <w:ind w:right="400"/>
              <w:spacing w:after="0" w:line="160" w:lineRule="exact"/>
              <w:rPr>
                <w:sz w:val="20"/>
                <w:szCs w:val="20"/>
                <w:color w:val="auto"/>
              </w:rPr>
            </w:pPr>
            <w:r>
              <w:rPr>
                <w:rFonts w:ascii="Arial" w:cs="Arial" w:eastAsia="Arial" w:hAnsi="Arial"/>
                <w:sz w:val="14"/>
                <w:szCs w:val="14"/>
                <w:b w:val="1"/>
                <w:bCs w:val="1"/>
                <w:color w:val="auto"/>
                <w:w w:val="94"/>
              </w:rPr>
              <w:t>4Q 10</w:t>
            </w:r>
          </w:p>
        </w:tc>
        <w:tc>
          <w:tcPr>
            <w:tcW w:w="220" w:type="dxa"/>
            <w:vAlign w:val="bottom"/>
          </w:tcPr>
          <w:p>
            <w:pPr>
              <w:spacing w:after="0"/>
              <w:rPr>
                <w:sz w:val="13"/>
                <w:szCs w:val="13"/>
                <w:color w:val="auto"/>
              </w:rPr>
            </w:pPr>
          </w:p>
        </w:tc>
        <w:tc>
          <w:tcPr>
            <w:tcW w:w="1020" w:type="dxa"/>
            <w:vAlign w:val="bottom"/>
          </w:tcPr>
          <w:p>
            <w:pPr>
              <w:jc w:val="center"/>
              <w:ind w:right="208"/>
              <w:spacing w:after="0" w:line="160" w:lineRule="exact"/>
              <w:rPr>
                <w:sz w:val="20"/>
                <w:szCs w:val="20"/>
                <w:color w:val="auto"/>
              </w:rPr>
            </w:pPr>
            <w:r>
              <w:rPr>
                <w:rFonts w:ascii="Arial" w:cs="Arial" w:eastAsia="Arial" w:hAnsi="Arial"/>
                <w:sz w:val="14"/>
                <w:szCs w:val="14"/>
                <w:b w:val="1"/>
                <w:bCs w:val="1"/>
                <w:color w:val="auto"/>
                <w:w w:val="99"/>
              </w:rPr>
              <w:t>1Q 10</w:t>
            </w:r>
          </w:p>
        </w:tc>
        <w:tc>
          <w:tcPr>
            <w:tcW w:w="0" w:type="dxa"/>
            <w:vAlign w:val="bottom"/>
          </w:tcPr>
          <w:p>
            <w:pPr>
              <w:spacing w:after="0"/>
              <w:rPr>
                <w:sz w:val="1"/>
                <w:szCs w:val="1"/>
                <w:color w:val="auto"/>
              </w:rPr>
            </w:pPr>
          </w:p>
        </w:tc>
      </w:tr>
      <w:tr>
        <w:trPr>
          <w:trHeight w:val="149"/>
        </w:trPr>
        <w:tc>
          <w:tcPr>
            <w:tcW w:w="7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268"/>
              <w:spacing w:after="0" w:line="149" w:lineRule="exact"/>
              <w:rPr>
                <w:sz w:val="20"/>
                <w:szCs w:val="20"/>
                <w:color w:val="auto"/>
              </w:rPr>
            </w:pPr>
            <w:r>
              <w:rPr>
                <w:rFonts w:ascii="Arial" w:cs="Arial" w:eastAsia="Arial" w:hAnsi="Arial"/>
                <w:sz w:val="14"/>
                <w:szCs w:val="14"/>
                <w:b w:val="1"/>
                <w:bCs w:val="1"/>
                <w:color w:val="auto"/>
              </w:rPr>
              <w:t>Jan. 29,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Oct. 30,</w:t>
            </w:r>
          </w:p>
        </w:tc>
        <w:tc>
          <w:tcPr>
            <w:tcW w:w="220" w:type="dxa"/>
            <w:vAlign w:val="bottom"/>
          </w:tcPr>
          <w:p>
            <w:pPr>
              <w:spacing w:after="0"/>
              <w:rPr>
                <w:sz w:val="12"/>
                <w:szCs w:val="12"/>
                <w:color w:val="auto"/>
              </w:rPr>
            </w:pPr>
          </w:p>
        </w:tc>
        <w:tc>
          <w:tcPr>
            <w:tcW w:w="1020" w:type="dxa"/>
            <w:vAlign w:val="bottom"/>
          </w:tcPr>
          <w:p>
            <w:pPr>
              <w:jc w:val="right"/>
              <w:ind w:right="348"/>
              <w:spacing w:after="0" w:line="149" w:lineRule="exact"/>
              <w:rPr>
                <w:sz w:val="20"/>
                <w:szCs w:val="20"/>
                <w:color w:val="auto"/>
              </w:rPr>
            </w:pPr>
            <w:r>
              <w:rPr>
                <w:rFonts w:ascii="Arial" w:cs="Arial" w:eastAsia="Arial" w:hAnsi="Arial"/>
                <w:sz w:val="14"/>
                <w:szCs w:val="14"/>
                <w:b w:val="1"/>
                <w:bCs w:val="1"/>
                <w:color w:val="auto"/>
              </w:rPr>
              <w:t>Jan. 30,</w:t>
            </w:r>
          </w:p>
        </w:tc>
        <w:tc>
          <w:tcPr>
            <w:tcW w:w="0" w:type="dxa"/>
            <w:vAlign w:val="bottom"/>
          </w:tcPr>
          <w:p>
            <w:pPr>
              <w:spacing w:after="0"/>
              <w:rPr>
                <w:sz w:val="1"/>
                <w:szCs w:val="1"/>
                <w:color w:val="auto"/>
              </w:rPr>
            </w:pPr>
          </w:p>
        </w:tc>
      </w:tr>
      <w:tr>
        <w:trPr>
          <w:trHeight w:val="185"/>
        </w:trPr>
        <w:tc>
          <w:tcPr>
            <w:tcW w:w="7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339"/>
        </w:trPr>
        <w:tc>
          <w:tcPr>
            <w:tcW w:w="7580" w:type="dxa"/>
            <w:vAlign w:val="bottom"/>
          </w:tcPr>
          <w:p>
            <w:pPr>
              <w:spacing w:after="0"/>
              <w:rPr>
                <w:sz w:val="20"/>
                <w:szCs w:val="20"/>
                <w:color w:val="auto"/>
              </w:rPr>
            </w:pPr>
            <w:r>
              <w:rPr>
                <w:rFonts w:ascii="Arial" w:cs="Arial" w:eastAsia="Arial" w:hAnsi="Arial"/>
                <w:sz w:val="14"/>
                <w:szCs w:val="14"/>
                <w:b w:val="1"/>
                <w:bCs w:val="1"/>
                <w:color w:val="auto"/>
              </w:rPr>
              <w:t>GAAP Operating Expenses</w:t>
            </w:r>
          </w:p>
        </w:tc>
        <w:tc>
          <w:tcPr>
            <w:tcW w:w="2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b w:val="1"/>
                <w:bCs w:val="1"/>
                <w:color w:val="auto"/>
              </w:rPr>
              <w:t>222,767</w:t>
            </w:r>
          </w:p>
        </w:tc>
        <w:tc>
          <w:tcPr>
            <w:tcW w:w="34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b w:val="1"/>
                <w:bCs w:val="1"/>
                <w:color w:val="auto"/>
              </w:rPr>
              <w:t>230,489</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188"/>
              <w:spacing w:after="0"/>
              <w:rPr>
                <w:sz w:val="20"/>
                <w:szCs w:val="20"/>
                <w:color w:val="auto"/>
              </w:rPr>
            </w:pPr>
            <w:r>
              <w:rPr>
                <w:rFonts w:ascii="Arial" w:cs="Arial" w:eastAsia="Arial" w:hAnsi="Arial"/>
                <w:sz w:val="14"/>
                <w:szCs w:val="14"/>
                <w:b w:val="1"/>
                <w:bCs w:val="1"/>
                <w:color w:val="auto"/>
              </w:rPr>
              <w:t>219,362</w:t>
            </w:r>
          </w:p>
        </w:tc>
        <w:tc>
          <w:tcPr>
            <w:tcW w:w="0" w:type="dxa"/>
            <w:vAlign w:val="bottom"/>
          </w:tcPr>
          <w:p>
            <w:pPr>
              <w:spacing w:after="0"/>
              <w:rPr>
                <w:sz w:val="1"/>
                <w:szCs w:val="1"/>
                <w:color w:val="auto"/>
              </w:rPr>
            </w:pPr>
          </w:p>
        </w:tc>
      </w:tr>
      <w:tr>
        <w:trPr>
          <w:trHeight w:val="176"/>
        </w:trPr>
        <w:tc>
          <w:tcPr>
            <w:tcW w:w="7580" w:type="dxa"/>
            <w:vAlign w:val="bottom"/>
          </w:tcPr>
          <w:p>
            <w:pPr>
              <w:ind w:left="140"/>
              <w:spacing w:after="0"/>
              <w:rPr>
                <w:sz w:val="20"/>
                <w:szCs w:val="20"/>
                <w:color w:val="auto"/>
              </w:rPr>
            </w:pPr>
            <w:r>
              <w:rPr>
                <w:rFonts w:ascii="Arial" w:cs="Arial" w:eastAsia="Arial" w:hAnsi="Arial"/>
                <w:sz w:val="14"/>
                <w:szCs w:val="14"/>
                <w:b w:val="1"/>
                <w:bCs w:val="1"/>
                <w:i w:val="1"/>
                <w:iCs w:val="1"/>
                <w:color w:val="auto"/>
              </w:rPr>
              <w:t>Percent of Revenue</w:t>
            </w:r>
          </w:p>
        </w:tc>
        <w:tc>
          <w:tcPr>
            <w:tcW w:w="22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i w:val="1"/>
                <w:iCs w:val="1"/>
                <w:color w:val="auto"/>
              </w:rPr>
              <w:t>30.6%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i w:val="1"/>
                <w:iCs w:val="1"/>
                <w:color w:val="auto"/>
              </w:rPr>
              <w:t>29.9%</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b w:val="1"/>
                <w:bCs w:val="1"/>
                <w:i w:val="1"/>
                <w:iCs w:val="1"/>
                <w:color w:val="auto"/>
              </w:rPr>
              <w:t>36.4%</w:t>
            </w:r>
          </w:p>
        </w:tc>
        <w:tc>
          <w:tcPr>
            <w:tcW w:w="0" w:type="dxa"/>
            <w:vAlign w:val="bottom"/>
          </w:tcPr>
          <w:p>
            <w:pPr>
              <w:spacing w:after="0"/>
              <w:rPr>
                <w:sz w:val="1"/>
                <w:szCs w:val="1"/>
                <w:color w:val="auto"/>
              </w:rPr>
            </w:pPr>
          </w:p>
        </w:tc>
      </w:tr>
      <w:tr>
        <w:trPr>
          <w:trHeight w:val="181"/>
        </w:trPr>
        <w:tc>
          <w:tcPr>
            <w:tcW w:w="7580" w:type="dxa"/>
            <w:vAlign w:val="bottom"/>
          </w:tcPr>
          <w:p>
            <w:pPr>
              <w:ind w:left="420"/>
              <w:spacing w:after="0"/>
              <w:rPr>
                <w:sz w:val="20"/>
                <w:szCs w:val="20"/>
                <w:color w:val="auto"/>
              </w:rPr>
            </w:pPr>
            <w:r>
              <w:rPr>
                <w:rFonts w:ascii="Arial" w:cs="Arial" w:eastAsia="Arial" w:hAnsi="Arial"/>
                <w:sz w:val="14"/>
                <w:szCs w:val="14"/>
                <w:color w:val="auto"/>
              </w:rPr>
              <w:t>Restructuring-Related Expense</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(16,483)</w:t>
            </w:r>
          </w:p>
        </w:tc>
        <w:tc>
          <w:tcPr>
            <w:tcW w:w="0" w:type="dxa"/>
            <w:vAlign w:val="bottom"/>
          </w:tcPr>
          <w:p>
            <w:pPr>
              <w:spacing w:after="0"/>
              <w:rPr>
                <w:sz w:val="1"/>
                <w:szCs w:val="1"/>
                <w:color w:val="auto"/>
              </w:rPr>
            </w:pPr>
          </w:p>
        </w:tc>
      </w:tr>
      <w:tr>
        <w:trPr>
          <w:trHeight w:val="169"/>
        </w:trPr>
        <w:tc>
          <w:tcPr>
            <w:tcW w:w="7580" w:type="dxa"/>
            <w:vAlign w:val="bottom"/>
          </w:tcPr>
          <w:p>
            <w:pPr>
              <w:spacing w:after="0"/>
              <w:rPr>
                <w:sz w:val="20"/>
                <w:szCs w:val="20"/>
                <w:color w:val="auto"/>
              </w:rPr>
            </w:pPr>
            <w:r>
              <w:rPr>
                <w:rFonts w:ascii="Arial" w:cs="Arial" w:eastAsia="Arial" w:hAnsi="Arial"/>
                <w:sz w:val="14"/>
                <w:szCs w:val="14"/>
                <w:b w:val="1"/>
                <w:bCs w:val="1"/>
                <w:color w:val="auto"/>
              </w:rPr>
              <w:t>Non-GAAP Operating Expenses</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222,767</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230,489</w:t>
            </w:r>
          </w:p>
        </w:tc>
        <w:tc>
          <w:tcPr>
            <w:tcW w:w="1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202,879</w:t>
            </w:r>
          </w:p>
        </w:tc>
        <w:tc>
          <w:tcPr>
            <w:tcW w:w="0" w:type="dxa"/>
            <w:vAlign w:val="bottom"/>
          </w:tcPr>
          <w:p>
            <w:pPr>
              <w:spacing w:after="0"/>
              <w:rPr>
                <w:sz w:val="1"/>
                <w:szCs w:val="1"/>
                <w:color w:val="auto"/>
              </w:rPr>
            </w:pPr>
          </w:p>
        </w:tc>
      </w:tr>
      <w:tr>
        <w:trPr>
          <w:trHeight w:val="20"/>
        </w:trPr>
        <w:tc>
          <w:tcPr>
            <w:tcW w:w="7580" w:type="dxa"/>
            <w:vAlign w:val="bottom"/>
            <w:vMerge w:val="restart"/>
          </w:tcPr>
          <w:p>
            <w:pPr>
              <w:ind w:left="140"/>
              <w:spacing w:after="0"/>
              <w:rPr>
                <w:sz w:val="20"/>
                <w:szCs w:val="20"/>
                <w:color w:val="auto"/>
              </w:rPr>
            </w:pPr>
            <w:r>
              <w:rPr>
                <w:rFonts w:ascii="Arial" w:cs="Arial" w:eastAsia="Arial" w:hAnsi="Arial"/>
                <w:sz w:val="14"/>
                <w:szCs w:val="14"/>
                <w:b w:val="1"/>
                <w:bCs w:val="1"/>
                <w:i w:val="1"/>
                <w:iCs w:val="1"/>
                <w:color w:val="auto"/>
              </w:rPr>
              <w:t>Percent of Revenue</w:t>
            </w: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i w:val="1"/>
                <w:iCs w:val="1"/>
                <w:color w:val="auto"/>
              </w:rPr>
              <w:t>30.6%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i w:val="1"/>
                <w:iCs w:val="1"/>
                <w:color w:val="auto"/>
              </w:rPr>
              <w:t>29.9%</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b w:val="1"/>
                <w:bCs w:val="1"/>
                <w:i w:val="1"/>
                <w:iCs w:val="1"/>
                <w:color w:val="auto"/>
              </w:rPr>
              <w:t>33.6%</w:t>
            </w:r>
          </w:p>
        </w:tc>
        <w:tc>
          <w:tcPr>
            <w:tcW w:w="0" w:type="dxa"/>
            <w:vAlign w:val="bottom"/>
          </w:tcPr>
          <w:p>
            <w:pPr>
              <w:spacing w:after="0"/>
              <w:rPr>
                <w:sz w:val="1"/>
                <w:szCs w:val="1"/>
                <w:color w:val="auto"/>
              </w:rPr>
            </w:pPr>
          </w:p>
        </w:tc>
      </w:tr>
      <w:tr>
        <w:trPr>
          <w:trHeight w:val="339"/>
        </w:trPr>
        <w:tc>
          <w:tcPr>
            <w:tcW w:w="7580" w:type="dxa"/>
            <w:vAlign w:val="bottom"/>
          </w:tcPr>
          <w:p>
            <w:pPr>
              <w:spacing w:after="0"/>
              <w:rPr>
                <w:sz w:val="20"/>
                <w:szCs w:val="20"/>
                <w:color w:val="auto"/>
              </w:rPr>
            </w:pPr>
            <w:r>
              <w:rPr>
                <w:rFonts w:ascii="Arial" w:cs="Arial" w:eastAsia="Arial" w:hAnsi="Arial"/>
                <w:sz w:val="14"/>
                <w:szCs w:val="14"/>
                <w:b w:val="1"/>
                <w:bCs w:val="1"/>
                <w:color w:val="auto"/>
              </w:rPr>
              <w:t>GAAP Operating Income/ Margin From Continuing Operations</w:t>
            </w:r>
          </w:p>
        </w:tc>
        <w:tc>
          <w:tcPr>
            <w:tcW w:w="2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b w:val="1"/>
                <w:bCs w:val="1"/>
                <w:color w:val="auto"/>
              </w:rPr>
              <w:t>259,406</w:t>
            </w:r>
          </w:p>
        </w:tc>
        <w:tc>
          <w:tcPr>
            <w:tcW w:w="34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b w:val="1"/>
                <w:bCs w:val="1"/>
                <w:color w:val="auto"/>
              </w:rPr>
              <w:t>285,740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188"/>
              <w:spacing w:after="0"/>
              <w:rPr>
                <w:sz w:val="20"/>
                <w:szCs w:val="20"/>
                <w:color w:val="auto"/>
              </w:rPr>
            </w:pPr>
            <w:r>
              <w:rPr>
                <w:rFonts w:ascii="Arial" w:cs="Arial" w:eastAsia="Arial" w:hAnsi="Arial"/>
                <w:sz w:val="14"/>
                <w:szCs w:val="14"/>
                <w:b w:val="1"/>
                <w:bCs w:val="1"/>
                <w:color w:val="auto"/>
              </w:rPr>
              <w:t>149,114</w:t>
            </w:r>
          </w:p>
        </w:tc>
        <w:tc>
          <w:tcPr>
            <w:tcW w:w="0" w:type="dxa"/>
            <w:vAlign w:val="bottom"/>
          </w:tcPr>
          <w:p>
            <w:pPr>
              <w:spacing w:after="0"/>
              <w:rPr>
                <w:sz w:val="1"/>
                <w:szCs w:val="1"/>
                <w:color w:val="auto"/>
              </w:rPr>
            </w:pPr>
          </w:p>
        </w:tc>
      </w:tr>
      <w:tr>
        <w:trPr>
          <w:trHeight w:val="176"/>
        </w:trPr>
        <w:tc>
          <w:tcPr>
            <w:tcW w:w="7580" w:type="dxa"/>
            <w:vAlign w:val="bottom"/>
          </w:tcPr>
          <w:p>
            <w:pPr>
              <w:ind w:left="140"/>
              <w:spacing w:after="0"/>
              <w:rPr>
                <w:sz w:val="20"/>
                <w:szCs w:val="20"/>
                <w:color w:val="auto"/>
              </w:rPr>
            </w:pPr>
            <w:r>
              <w:rPr>
                <w:rFonts w:ascii="Arial" w:cs="Arial" w:eastAsia="Arial" w:hAnsi="Arial"/>
                <w:sz w:val="14"/>
                <w:szCs w:val="14"/>
                <w:b w:val="1"/>
                <w:bCs w:val="1"/>
                <w:i w:val="1"/>
                <w:iCs w:val="1"/>
                <w:color w:val="auto"/>
              </w:rPr>
              <w:t>Percent of Revenue</w:t>
            </w:r>
          </w:p>
        </w:tc>
        <w:tc>
          <w:tcPr>
            <w:tcW w:w="22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i w:val="1"/>
                <w:iCs w:val="1"/>
                <w:color w:val="auto"/>
              </w:rPr>
              <w:t>35.6%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i w:val="1"/>
                <w:iCs w:val="1"/>
                <w:color w:val="auto"/>
              </w:rPr>
              <w:t>37.1%</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b w:val="1"/>
                <w:bCs w:val="1"/>
                <w:i w:val="1"/>
                <w:iCs w:val="1"/>
                <w:color w:val="auto"/>
              </w:rPr>
              <w:t>24.7%</w:t>
            </w:r>
          </w:p>
        </w:tc>
        <w:tc>
          <w:tcPr>
            <w:tcW w:w="0" w:type="dxa"/>
            <w:vAlign w:val="bottom"/>
          </w:tcPr>
          <w:p>
            <w:pPr>
              <w:spacing w:after="0"/>
              <w:rPr>
                <w:sz w:val="1"/>
                <w:szCs w:val="1"/>
                <w:color w:val="auto"/>
              </w:rPr>
            </w:pPr>
          </w:p>
        </w:tc>
      </w:tr>
      <w:tr>
        <w:trPr>
          <w:trHeight w:val="181"/>
        </w:trPr>
        <w:tc>
          <w:tcPr>
            <w:tcW w:w="7580" w:type="dxa"/>
            <w:vAlign w:val="bottom"/>
          </w:tcPr>
          <w:p>
            <w:pPr>
              <w:ind w:left="420"/>
              <w:spacing w:after="0"/>
              <w:rPr>
                <w:sz w:val="20"/>
                <w:szCs w:val="20"/>
                <w:color w:val="auto"/>
              </w:rPr>
            </w:pPr>
            <w:r>
              <w:rPr>
                <w:rFonts w:ascii="Arial" w:cs="Arial" w:eastAsia="Arial" w:hAnsi="Arial"/>
                <w:sz w:val="14"/>
                <w:szCs w:val="14"/>
                <w:color w:val="auto"/>
              </w:rPr>
              <w:t>Restructuring-Related Expense</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16,483</w:t>
            </w:r>
          </w:p>
        </w:tc>
        <w:tc>
          <w:tcPr>
            <w:tcW w:w="0" w:type="dxa"/>
            <w:vAlign w:val="bottom"/>
          </w:tcPr>
          <w:p>
            <w:pPr>
              <w:spacing w:after="0"/>
              <w:rPr>
                <w:sz w:val="1"/>
                <w:szCs w:val="1"/>
                <w:color w:val="auto"/>
              </w:rPr>
            </w:pPr>
          </w:p>
        </w:tc>
      </w:tr>
      <w:tr>
        <w:trPr>
          <w:trHeight w:val="169"/>
        </w:trPr>
        <w:tc>
          <w:tcPr>
            <w:tcW w:w="7580" w:type="dxa"/>
            <w:vAlign w:val="bottom"/>
          </w:tcPr>
          <w:p>
            <w:pPr>
              <w:spacing w:after="0"/>
              <w:rPr>
                <w:sz w:val="20"/>
                <w:szCs w:val="20"/>
                <w:color w:val="auto"/>
              </w:rPr>
            </w:pPr>
            <w:r>
              <w:rPr>
                <w:rFonts w:ascii="Arial" w:cs="Arial" w:eastAsia="Arial" w:hAnsi="Arial"/>
                <w:sz w:val="14"/>
                <w:szCs w:val="14"/>
                <w:b w:val="1"/>
                <w:bCs w:val="1"/>
                <w:color w:val="auto"/>
              </w:rPr>
              <w:t>Non-GAAP Operating Income/ Margin From Continuing Operations</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259,406</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285,740</w:t>
            </w:r>
          </w:p>
        </w:tc>
        <w:tc>
          <w:tcPr>
            <w:tcW w:w="1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165,597</w:t>
            </w:r>
          </w:p>
        </w:tc>
        <w:tc>
          <w:tcPr>
            <w:tcW w:w="0" w:type="dxa"/>
            <w:vAlign w:val="bottom"/>
          </w:tcPr>
          <w:p>
            <w:pPr>
              <w:spacing w:after="0"/>
              <w:rPr>
                <w:sz w:val="1"/>
                <w:szCs w:val="1"/>
                <w:color w:val="auto"/>
              </w:rPr>
            </w:pPr>
          </w:p>
        </w:tc>
      </w:tr>
      <w:tr>
        <w:trPr>
          <w:trHeight w:val="20"/>
        </w:trPr>
        <w:tc>
          <w:tcPr>
            <w:tcW w:w="7580" w:type="dxa"/>
            <w:vAlign w:val="bottom"/>
            <w:vMerge w:val="restart"/>
          </w:tcPr>
          <w:p>
            <w:pPr>
              <w:ind w:left="140"/>
              <w:spacing w:after="0"/>
              <w:rPr>
                <w:sz w:val="20"/>
                <w:szCs w:val="20"/>
                <w:color w:val="auto"/>
              </w:rPr>
            </w:pPr>
            <w:r>
              <w:rPr>
                <w:rFonts w:ascii="Arial" w:cs="Arial" w:eastAsia="Arial" w:hAnsi="Arial"/>
                <w:sz w:val="14"/>
                <w:szCs w:val="14"/>
                <w:b w:val="1"/>
                <w:bCs w:val="1"/>
                <w:i w:val="1"/>
                <w:iCs w:val="1"/>
                <w:color w:val="auto"/>
              </w:rPr>
              <w:t>Percent of Revenue</w:t>
            </w: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i w:val="1"/>
                <w:iCs w:val="1"/>
                <w:color w:val="auto"/>
              </w:rPr>
              <w:t>35.6%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i w:val="1"/>
                <w:iCs w:val="1"/>
                <w:color w:val="auto"/>
              </w:rPr>
              <w:t>37.1%</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b w:val="1"/>
                <w:bCs w:val="1"/>
                <w:i w:val="1"/>
                <w:iCs w:val="1"/>
                <w:color w:val="auto"/>
              </w:rPr>
              <w:t>27.5%</w:t>
            </w:r>
          </w:p>
        </w:tc>
        <w:tc>
          <w:tcPr>
            <w:tcW w:w="0" w:type="dxa"/>
            <w:vAlign w:val="bottom"/>
          </w:tcPr>
          <w:p>
            <w:pPr>
              <w:spacing w:after="0"/>
              <w:rPr>
                <w:sz w:val="1"/>
                <w:szCs w:val="1"/>
                <w:color w:val="auto"/>
              </w:rPr>
            </w:pPr>
          </w:p>
        </w:tc>
      </w:tr>
      <w:tr>
        <w:trPr>
          <w:trHeight w:val="339"/>
        </w:trPr>
        <w:tc>
          <w:tcPr>
            <w:tcW w:w="7580" w:type="dxa"/>
            <w:vAlign w:val="bottom"/>
          </w:tcPr>
          <w:p>
            <w:pPr>
              <w:spacing w:after="0"/>
              <w:rPr>
                <w:sz w:val="20"/>
                <w:szCs w:val="20"/>
                <w:color w:val="auto"/>
              </w:rPr>
            </w:pPr>
            <w:r>
              <w:rPr>
                <w:rFonts w:ascii="Arial" w:cs="Arial" w:eastAsia="Arial" w:hAnsi="Arial"/>
                <w:sz w:val="14"/>
                <w:szCs w:val="14"/>
                <w:b w:val="1"/>
                <w:bCs w:val="1"/>
                <w:color w:val="auto"/>
              </w:rPr>
              <w:t>GAAP Diluted EPS Including Discontinued Operations</w:t>
            </w:r>
          </w:p>
        </w:tc>
        <w:tc>
          <w:tcPr>
            <w:tcW w:w="2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b w:val="1"/>
                <w:bCs w:val="1"/>
                <w:color w:val="auto"/>
              </w:rPr>
              <w:t>0.72</w:t>
            </w:r>
          </w:p>
        </w:tc>
        <w:tc>
          <w:tcPr>
            <w:tcW w:w="34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b w:val="1"/>
                <w:bCs w:val="1"/>
                <w:color w:val="auto"/>
              </w:rPr>
              <w:t>0.73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188"/>
              <w:spacing w:after="0"/>
              <w:rPr>
                <w:sz w:val="20"/>
                <w:szCs w:val="20"/>
                <w:color w:val="auto"/>
              </w:rPr>
            </w:pPr>
            <w:r>
              <w:rPr>
                <w:rFonts w:ascii="Arial" w:cs="Arial" w:eastAsia="Arial" w:hAnsi="Arial"/>
                <w:sz w:val="14"/>
                <w:szCs w:val="14"/>
                <w:b w:val="1"/>
                <w:bCs w:val="1"/>
                <w:color w:val="auto"/>
              </w:rPr>
              <w:t>0.40</w:t>
            </w:r>
          </w:p>
        </w:tc>
        <w:tc>
          <w:tcPr>
            <w:tcW w:w="0" w:type="dxa"/>
            <w:vAlign w:val="bottom"/>
          </w:tcPr>
          <w:p>
            <w:pPr>
              <w:spacing w:after="0"/>
              <w:rPr>
                <w:sz w:val="1"/>
                <w:szCs w:val="1"/>
                <w:color w:val="auto"/>
              </w:rPr>
            </w:pPr>
          </w:p>
        </w:tc>
      </w:tr>
      <w:tr>
        <w:trPr>
          <w:trHeight w:val="172"/>
        </w:trPr>
        <w:tc>
          <w:tcPr>
            <w:tcW w:w="7580" w:type="dxa"/>
            <w:vAlign w:val="bottom"/>
          </w:tcPr>
          <w:p>
            <w:pPr>
              <w:ind w:left="140"/>
              <w:spacing w:after="0"/>
              <w:rPr>
                <w:sz w:val="20"/>
                <w:szCs w:val="20"/>
                <w:color w:val="auto"/>
              </w:rPr>
            </w:pPr>
            <w:r>
              <w:rPr>
                <w:rFonts w:ascii="Arial" w:cs="Arial" w:eastAsia="Arial" w:hAnsi="Arial"/>
                <w:sz w:val="14"/>
                <w:szCs w:val="14"/>
                <w:color w:val="auto"/>
              </w:rPr>
              <w:t>Diluted Loss (Earnings) Per Share from Discontinued Operations</w:t>
            </w:r>
          </w:p>
        </w:tc>
        <w:tc>
          <w:tcPr>
            <w:tcW w:w="22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80"/>
        </w:trPr>
        <w:tc>
          <w:tcPr>
            <w:tcW w:w="7580" w:type="dxa"/>
            <w:vAlign w:val="bottom"/>
          </w:tcPr>
          <w:p>
            <w:pPr>
              <w:spacing w:after="0"/>
              <w:rPr>
                <w:sz w:val="20"/>
                <w:szCs w:val="20"/>
                <w:color w:val="auto"/>
              </w:rPr>
            </w:pPr>
            <w:r>
              <w:rPr>
                <w:rFonts w:ascii="Arial" w:cs="Arial" w:eastAsia="Arial" w:hAnsi="Arial"/>
                <w:sz w:val="14"/>
                <w:szCs w:val="14"/>
                <w:b w:val="1"/>
                <w:bCs w:val="1"/>
                <w:color w:val="auto"/>
              </w:rPr>
              <w:t>GAAP Diluted EPS From Continuing Operations (1)</w:t>
            </w:r>
          </w:p>
        </w:tc>
        <w:tc>
          <w:tcPr>
            <w:tcW w:w="2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b w:val="1"/>
                <w:bCs w:val="1"/>
                <w:color w:val="auto"/>
              </w:rPr>
              <w:t>0.70</w:t>
            </w:r>
          </w:p>
        </w:tc>
        <w:tc>
          <w:tcPr>
            <w:tcW w:w="34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b w:val="1"/>
                <w:bCs w:val="1"/>
                <w:color w:val="auto"/>
              </w:rPr>
              <w:t>0.73</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188"/>
              <w:spacing w:after="0"/>
              <w:rPr>
                <w:sz w:val="20"/>
                <w:szCs w:val="20"/>
                <w:color w:val="auto"/>
              </w:rPr>
            </w:pPr>
            <w:r>
              <w:rPr>
                <w:rFonts w:ascii="Arial" w:cs="Arial" w:eastAsia="Arial" w:hAnsi="Arial"/>
                <w:sz w:val="14"/>
                <w:szCs w:val="14"/>
                <w:b w:val="1"/>
                <w:bCs w:val="1"/>
                <w:color w:val="auto"/>
              </w:rPr>
              <w:t>0.39</w:t>
            </w:r>
          </w:p>
        </w:tc>
        <w:tc>
          <w:tcPr>
            <w:tcW w:w="0" w:type="dxa"/>
            <w:vAlign w:val="bottom"/>
          </w:tcPr>
          <w:p>
            <w:pPr>
              <w:spacing w:after="0"/>
              <w:rPr>
                <w:sz w:val="1"/>
                <w:szCs w:val="1"/>
                <w:color w:val="auto"/>
              </w:rPr>
            </w:pPr>
          </w:p>
        </w:tc>
      </w:tr>
      <w:tr>
        <w:trPr>
          <w:trHeight w:val="176"/>
        </w:trPr>
        <w:tc>
          <w:tcPr>
            <w:tcW w:w="7580" w:type="dxa"/>
            <w:vAlign w:val="bottom"/>
          </w:tcPr>
          <w:p>
            <w:pPr>
              <w:ind w:left="420"/>
              <w:spacing w:after="0"/>
              <w:rPr>
                <w:sz w:val="20"/>
                <w:szCs w:val="20"/>
                <w:color w:val="auto"/>
              </w:rPr>
            </w:pPr>
            <w:r>
              <w:rPr>
                <w:rFonts w:ascii="Arial" w:cs="Arial" w:eastAsia="Arial" w:hAnsi="Arial"/>
                <w:sz w:val="14"/>
                <w:szCs w:val="14"/>
                <w:color w:val="auto"/>
              </w:rPr>
              <w:t>Restructuring-Related Expense</w:t>
            </w:r>
          </w:p>
        </w:tc>
        <w:tc>
          <w:tcPr>
            <w:tcW w:w="220" w:type="dxa"/>
            <w:vAlign w:val="bottom"/>
          </w:tcPr>
          <w:p>
            <w:pPr>
              <w:spacing w:after="0"/>
              <w:rPr>
                <w:sz w:val="15"/>
                <w:szCs w:val="15"/>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76"/>
        </w:trPr>
        <w:tc>
          <w:tcPr>
            <w:tcW w:w="7580" w:type="dxa"/>
            <w:vAlign w:val="bottom"/>
          </w:tcPr>
          <w:p>
            <w:pPr>
              <w:ind w:left="420"/>
              <w:spacing w:after="0"/>
              <w:rPr>
                <w:sz w:val="20"/>
                <w:szCs w:val="20"/>
                <w:color w:val="auto"/>
              </w:rPr>
            </w:pPr>
            <w:r>
              <w:rPr>
                <w:rFonts w:ascii="Arial" w:cs="Arial" w:eastAsia="Arial" w:hAnsi="Arial"/>
                <w:sz w:val="14"/>
                <w:szCs w:val="14"/>
                <w:color w:val="auto"/>
              </w:rPr>
              <w:t>Impact of the Reinstatement of the R&amp;D Tax Credit</w:t>
            </w:r>
          </w:p>
        </w:tc>
        <w:tc>
          <w:tcPr>
            <w:tcW w:w="220" w:type="dxa"/>
            <w:vAlign w:val="bottom"/>
          </w:tcPr>
          <w:p>
            <w:pPr>
              <w:spacing w:after="0"/>
              <w:rPr>
                <w:sz w:val="15"/>
                <w:szCs w:val="15"/>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7580" w:type="dxa"/>
            <w:vAlign w:val="bottom"/>
          </w:tcPr>
          <w:p>
            <w:pPr>
              <w:ind w:left="420"/>
              <w:spacing w:after="0"/>
              <w:rPr>
                <w:sz w:val="20"/>
                <w:szCs w:val="20"/>
                <w:color w:val="auto"/>
              </w:rPr>
            </w:pPr>
            <w:r>
              <w:rPr>
                <w:rFonts w:ascii="Arial" w:cs="Arial" w:eastAsia="Arial" w:hAnsi="Arial"/>
                <w:sz w:val="14"/>
                <w:szCs w:val="14"/>
                <w:color w:val="auto"/>
              </w:rPr>
              <w:t>Impact of State Tax Valuation</w:t>
            </w:r>
          </w:p>
        </w:tc>
        <w:tc>
          <w:tcPr>
            <w:tcW w:w="220" w:type="dxa"/>
            <w:vAlign w:val="bottom"/>
          </w:tcPr>
          <w:p>
            <w:pPr>
              <w:spacing w:after="0"/>
              <w:rPr>
                <w:sz w:val="15"/>
                <w:szCs w:val="15"/>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7580" w:type="dxa"/>
            <w:vAlign w:val="bottom"/>
          </w:tcPr>
          <w:p>
            <w:pPr>
              <w:ind w:left="420"/>
              <w:spacing w:after="0"/>
              <w:rPr>
                <w:sz w:val="20"/>
                <w:szCs w:val="20"/>
                <w:color w:val="auto"/>
              </w:rPr>
            </w:pPr>
            <w:r>
              <w:rPr>
                <w:rFonts w:ascii="Arial" w:cs="Arial" w:eastAsia="Arial" w:hAnsi="Arial"/>
                <w:sz w:val="14"/>
                <w:szCs w:val="14"/>
                <w:color w:val="auto"/>
              </w:rPr>
              <w:t>Impact of Increase in Irish Tax Rate</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(0.00)</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7580" w:type="dxa"/>
            <w:vAlign w:val="bottom"/>
          </w:tcPr>
          <w:p>
            <w:pPr>
              <w:spacing w:after="0"/>
              <w:rPr>
                <w:sz w:val="20"/>
                <w:szCs w:val="20"/>
                <w:color w:val="auto"/>
              </w:rPr>
            </w:pPr>
            <w:r>
              <w:rPr>
                <w:rFonts w:ascii="Arial" w:cs="Arial" w:eastAsia="Arial" w:hAnsi="Arial"/>
                <w:sz w:val="14"/>
                <w:szCs w:val="14"/>
                <w:b w:val="1"/>
                <w:bCs w:val="1"/>
                <w:color w:val="auto"/>
              </w:rPr>
              <w:t>Non-GAAP Diluted EPS From Continuing Operations</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0.66</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0.73</w:t>
            </w:r>
          </w:p>
        </w:tc>
        <w:tc>
          <w:tcPr>
            <w:tcW w:w="1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0.43</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(1) The sum of the individual per share amounts may not equal the total due to rounding.</w:t>
      </w: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Analog Devices, Inc.</w:t>
      </w:r>
    </w:p>
    <w:p>
      <w:pPr>
        <w:spacing w:after="0" w:line="230" w:lineRule="auto"/>
        <w:rPr>
          <w:sz w:val="20"/>
          <w:szCs w:val="20"/>
          <w:color w:val="auto"/>
        </w:rPr>
      </w:pPr>
      <w:r>
        <w:rPr>
          <w:rFonts w:ascii="Arial" w:cs="Arial" w:eastAsia="Arial" w:hAnsi="Arial"/>
          <w:sz w:val="22"/>
          <w:szCs w:val="22"/>
          <w:color w:val="auto"/>
        </w:rPr>
        <w:t>Mindy Kohl, 781-461-3282</w:t>
      </w:r>
    </w:p>
    <w:p>
      <w:pPr>
        <w:spacing w:after="0" w:line="231" w:lineRule="auto"/>
        <w:rPr>
          <w:sz w:val="20"/>
          <w:szCs w:val="20"/>
          <w:color w:val="auto"/>
        </w:rPr>
      </w:pPr>
      <w:r>
        <w:rPr>
          <w:rFonts w:ascii="Arial" w:cs="Arial" w:eastAsia="Arial" w:hAnsi="Arial"/>
          <w:sz w:val="22"/>
          <w:szCs w:val="22"/>
          <w:color w:val="auto"/>
        </w:rPr>
        <w:t>Director of Investor Relations</w:t>
      </w:r>
    </w:p>
    <w:p>
      <w:pPr>
        <w:spacing w:after="0" w:line="231" w:lineRule="auto"/>
        <w:rPr>
          <w:sz w:val="20"/>
          <w:szCs w:val="20"/>
          <w:color w:val="auto"/>
        </w:rPr>
      </w:pPr>
      <w:r>
        <w:rPr>
          <w:rFonts w:ascii="Arial" w:cs="Arial" w:eastAsia="Arial" w:hAnsi="Arial"/>
          <w:sz w:val="22"/>
          <w:szCs w:val="22"/>
          <w:color w:val="auto"/>
        </w:rPr>
        <w:t>781-461-3491 (fax)</w:t>
      </w:r>
    </w:p>
    <w:p>
      <w:pPr>
        <w:spacing w:after="0"/>
        <w:rPr>
          <w:sz w:val="20"/>
          <w:szCs w:val="20"/>
          <w:color w:val="auto"/>
        </w:rPr>
      </w:pPr>
      <w:r>
        <w:rPr>
          <w:rFonts w:ascii="Arial" w:cs="Arial" w:eastAsia="Arial" w:hAnsi="Arial"/>
          <w:sz w:val="22"/>
          <w:szCs w:val="22"/>
          <w:u w:val="single" w:color="auto"/>
          <w:color w:val="auto"/>
        </w:rPr>
        <w:t>investor.relations@analog.com</w:t>
      </w:r>
    </w:p>
    <w:sectPr>
      <w:pgSz w:w="11900" w:h="16838" w:orient="portrait"/>
      <w:cols w:equalWidth="0" w:num="1">
        <w:col w:w="11420"/>
      </w:cols>
      <w:pgMar w:left="240" w:top="3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2019-12-09T21:18:17Z</dcterms:created>
  <dcterms:modified xsi:type="dcterms:W3CDTF">2019-12-09T21:18:17Z</dcterms:modified>
</cp:coreProperties>
</file>