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May 14, 2003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206" w:lineRule="exact"/>
        <w:rPr>
          <w:sz w:val="24"/>
          <w:szCs w:val="24"/>
          <w:color w:val="auto"/>
        </w:rPr>
      </w:pPr>
    </w:p>
    <w:tbl>
      <w:tblPr>
        <w:tblLayout w:type="fixed"/>
        <w:tblInd w:w="640" w:type="dxa"/>
        <w:tblCellMar>
          <w:top w:w="0" w:type="dxa"/>
          <w:left w:w="0" w:type="dxa"/>
          <w:bottom w:w="0" w:type="dxa"/>
          <w:right w:w="0" w:type="dxa"/>
        </w:tblCellMar>
      </w:tblPr>
      <w:tr>
        <w:trPr>
          <w:trHeight w:val="224"/>
        </w:trPr>
        <w:tc>
          <w:tcPr>
            <w:tcW w:w="248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7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1-7819</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203" w:lineRule="exact"/>
        <w:rPr>
          <w:sz w:val="24"/>
          <w:szCs w:val="24"/>
          <w:color w:val="auto"/>
        </w:rPr>
      </w:pPr>
    </w:p>
    <w:p>
      <w:pPr>
        <w:ind w:right="1579"/>
        <w:spacing w:after="0" w:line="236" w:lineRule="auto"/>
        <w:rPr>
          <w:sz w:val="20"/>
          <w:szCs w:val="20"/>
          <w:color w:val="auto"/>
        </w:rPr>
      </w:pPr>
      <w:r>
        <w:rPr>
          <w:rFonts w:ascii="Courier New" w:cs="Courier New" w:eastAsia="Courier New" w:hAnsi="Courier New"/>
          <w:sz w:val="18"/>
          <w:szCs w:val="18"/>
          <w:color w:val="auto"/>
        </w:rPr>
        <w:t>- -------------------------------------------------------------------------------- (State or other juris- (Commission (IRS Employer diction of incorporation File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20"/>
        <w:spacing w:after="0"/>
        <w:tabs>
          <w:tab w:leader="none" w:pos="7160" w:val="left"/>
        </w:tabs>
        <w:rPr>
          <w:sz w:val="20"/>
          <w:szCs w:val="20"/>
          <w:color w:val="auto"/>
        </w:rPr>
      </w:pPr>
      <w:r>
        <w:rPr>
          <w:rFonts w:ascii="Courier New" w:cs="Courier New" w:eastAsia="Courier New" w:hAnsi="Courier New"/>
          <w:sz w:val="18"/>
          <w:szCs w:val="18"/>
          <w:color w:val="auto"/>
        </w:rPr>
        <w:t>One Technology Way, Norwood, MA</w:t>
      </w:r>
      <w:r>
        <w:rPr>
          <w:sz w:val="20"/>
          <w:szCs w:val="20"/>
          <w:color w:val="auto"/>
        </w:rPr>
        <w:tab/>
      </w:r>
      <w:r>
        <w:rPr>
          <w:rFonts w:ascii="Courier New" w:cs="Courier New" w:eastAsia="Courier New" w:hAnsi="Courier New"/>
          <w:sz w:val="16"/>
          <w:szCs w:val="16"/>
          <w:color w:val="auto"/>
        </w:rPr>
        <w:t>02062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(781) 329-4700</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49" w:right="1440" w:bottom="1440" w:gutter="0" w:footer="0" w:header="0"/>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ITEM 9. REGULATION FD DISCLOSURE (INFORMATION FURNISHED PURSUANT TO ITEM 12, "DISCLOSURE OF RESULTS OF OPERATIONS AND FINANCIAL CONDITION").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May 14, 2003, Analog Devices, Inc. announced its financial results for the quarter ended May 3, 2003. The full text of the press release issued in connection with the announcement is attached as Exhibit 99.1 to this Current Report on Form 8-K.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procedural guidance in SEC Release No. 33-8216, the information in this Form 8-K and the Exhibit attached hereto is being furnished under "Item 9. Regulation FD Disclosure" rather than under "Item 12. Disclosure of Results of Operations and Financial Condition." The information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0219"/>
          </w:cols>
          <w:pgMar w:left="240" w:top="1330"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500" w:space="720"/>
            <w:col w:w="5999"/>
          </w:cols>
          <w:pgMar w:left="240" w:top="919" w:right="1440" w:bottom="1440" w:gutter="0" w:footer="0" w:header="0"/>
          <w:type w:val="continuous"/>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Joseph E. McDonough</w:t>
      </w:r>
    </w:p>
    <w:p>
      <w:pPr>
        <w:ind w:left="4640"/>
        <w:spacing w:after="0" w:line="238" w:lineRule="auto"/>
        <w:rPr>
          <w:sz w:val="20"/>
          <w:szCs w:val="20"/>
          <w:color w:val="auto"/>
        </w:rPr>
      </w:pPr>
      <w:r>
        <w:rPr>
          <w:rFonts w:ascii="Courier New" w:cs="Courier New" w:eastAsia="Courier New" w:hAnsi="Courier New"/>
          <w:sz w:val="18"/>
          <w:szCs w:val="18"/>
          <w:color w:val="auto"/>
        </w:rPr>
        <w:t>Vice President-Finance and Chief</w:t>
      </w:r>
    </w:p>
    <w:p>
      <w:pPr>
        <w:ind w:left="4640"/>
        <w:spacing w:after="0"/>
        <w:rPr>
          <w:sz w:val="20"/>
          <w:szCs w:val="20"/>
          <w:color w:val="auto"/>
        </w:rPr>
      </w:pPr>
      <w:r>
        <w:rPr>
          <w:rFonts w:ascii="Courier New" w:cs="Courier New" w:eastAsia="Courier New" w:hAnsi="Courier New"/>
          <w:sz w:val="18"/>
          <w:szCs w:val="18"/>
          <w:color w:val="auto"/>
        </w:rPr>
        <w:t>Financial Officer</w:t>
      </w:r>
    </w:p>
    <w:p>
      <w:pPr>
        <w:ind w:left="4640"/>
        <w:spacing w:after="0" w:line="237" w:lineRule="auto"/>
        <w:rPr>
          <w:sz w:val="20"/>
          <w:szCs w:val="20"/>
          <w:color w:val="auto"/>
        </w:rPr>
      </w:pPr>
      <w:r>
        <w:rPr>
          <w:rFonts w:ascii="Courier New" w:cs="Courier New" w:eastAsia="Courier New" w:hAnsi="Courier New"/>
          <w:sz w:val="18"/>
          <w:szCs w:val="18"/>
          <w:color w:val="auto"/>
        </w:rPr>
        <w:t>(Principal Financial and Accounting</w:t>
      </w:r>
    </w:p>
    <w:p>
      <w:pPr>
        <w:ind w:left="4640"/>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May 14, 2003</w:t>
      </w:r>
    </w:p>
    <w:p>
      <w:pPr>
        <w:sectPr>
          <w:pgSz w:w="11900" w:h="16838" w:orient="portrait"/>
          <w:cols w:equalWidth="0" w:num="2">
            <w:col w:w="2860" w:space="720"/>
            <w:col w:w="6639"/>
          </w:cols>
          <w:pgMar w:left="240" w:top="9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RELEASE: MAY 14, 2003</w:t>
      </w:r>
    </w:p>
    <w:p>
      <w:pPr>
        <w:jc w:val="right"/>
        <w:ind w:right="1779"/>
        <w:spacing w:after="0" w:line="238" w:lineRule="auto"/>
        <w:rPr>
          <w:sz w:val="20"/>
          <w:szCs w:val="20"/>
          <w:color w:val="auto"/>
        </w:rPr>
      </w:pPr>
      <w:r>
        <w:rPr>
          <w:rFonts w:ascii="Courier New" w:cs="Courier New" w:eastAsia="Courier New" w:hAnsi="Courier New"/>
          <w:sz w:val="18"/>
          <w:szCs w:val="18"/>
          <w:color w:val="auto"/>
        </w:rPr>
        <w:t>4:00 P.M. EST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REPORTS INCREASED REVENUE AND PROFITS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SECOND QUARTER OF FISCAL YEAR 2003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Norwood, MA -- Analog Devices (NYSE: ADI), a global leader in high-performance semiconductors for signal processing applications, today announced revenues of $502 million and net income of $71.3 million for the second quarter of fiscal 2003, which ended May 3. Revenues increased 21% from the second quarter of fiscal 2002. Revenues increased 7% and net income increased 19% from the first quarter of fiscal 2003. Net income was $71.3 million for the second quarter of fiscal 2003, an increase of 19% sequentially. The quarter's diluted earnings per share (EPS) under generally accepted accounting principles (GAAP) increased to $0.19, up from $0.04 in the same period a year ago and $0.16 in the first quarter of fiscal 2003.</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Operating income increased sequentially to 17.6% of sales in the second quarter of fiscal 2003, up from 15.8% in the previous quarter. Gross margins increased sequentially to 54.5% of sales, while inventories declined sequentially and days cost in inventory declined to 117 days from 125 days last quarter. Accounts receivable days sales outstanding declined to 44 days from 45 days last quarter. In the second quarter of fiscal 2003, cash balances increased by $102 million after spending $14 million on capital equipment. Cash and short-term investment balances at the end of the second quarter of fiscal 2003 totaled $3.1 billion.</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"Both revenue and earnings were above the high end of estimates we provided on February 13, 2003, primarily as a result of stronger sales of analog products and continued strength in sales of DSP products," said Jerald G. Fishman, president and CEO. "Analog product revenues grew 7% sequentially and accounted for approximately 78% of revenues, and DSP products grew 8% sequentially and accounted for approximately 22% of revenues."</w:t>
      </w:r>
    </w:p>
    <w:p>
      <w:pPr>
        <w:sectPr>
          <w:pgSz w:w="11900" w:h="16838" w:orient="portrait"/>
          <w:cols w:equalWidth="0" w:num="1">
            <w:col w:w="10219"/>
          </w:cols>
          <w:pgMar w:left="240" w:top="744" w:right="1440" w:bottom="1440" w:gutter="0" w:footer="0" w:header="0"/>
        </w:sectPr>
      </w:pPr>
    </w:p>
    <w:bookmarkStart w:id="5" w:name="page6"/>
    <w:bookmarkEnd w:id="5"/>
    <w:p>
      <w:pPr>
        <w:ind w:right="1879"/>
        <w:spacing w:after="0" w:line="236" w:lineRule="auto"/>
        <w:rPr>
          <w:sz w:val="20"/>
          <w:szCs w:val="20"/>
          <w:color w:val="auto"/>
        </w:rPr>
      </w:pPr>
      <w:r>
        <w:rPr>
          <w:rFonts w:ascii="Courier New" w:cs="Courier New" w:eastAsia="Courier New" w:hAnsi="Courier New"/>
          <w:sz w:val="18"/>
          <w:szCs w:val="18"/>
          <w:color w:val="auto"/>
        </w:rPr>
        <w:t>"Growth this quarter was broad based with sales increasing across virtually all applications, across OEM and distributor channel customers and across all geographic regions," continued Mr. Fishman.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second quarter, orders for shipment in the next 13 weeks grew by approximately 16% from first quarter fiscal 2003 levels. Orders from both OEM customers and distributors grew sequentially and the book to bill ratio was well above one for the second quarter. Orders end customers placed with our distributors also grew sequentially and our distributors' book to bill ratio was above one."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Regarding the near-term outlook, Mr. Fishman said, "We are planning for revenues to grow 3-5% sequentially during the third quarter. In addition, we are planning for gross margin to increase slightly. Operating expenses will increase slightly due to salary increases for a portion of the employee population. As a result, GAAP diluted EPS are estimated at $0.20 to $0.21 for the third quarter of fiscal 2003."</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Fishman will discuss the second quarter's results and the near-term outlook via webcast, accessible from www.analog.com, today beginning at 4:30pm EST. Investors who prefer to join by telephone may call 706-634-7193 ten minutes before the call begins and provide the password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replay will be available almost immediately after the call. The replay may be accessed for up to one week by dialing 800-642-1687 (replay only) and providing the conference ID: 8963774 or by visiting the Investor Relations page on ADI's web site.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Analog Devices, Inc. is a leading manufacturer of precision high-performance integrated circuits used in analog and digital signal processing applications. ADI is headquartered in Norwood, Massachusetts, and employs approximately 8,600 people worldwide. It has manufacturing facilities in Massachusetts, California, North Carolina, Ireland, the Philippines and the United Kingdom. Analog Devices' common stock is listed on the New York Stock Exchange and ADI is included in the S&amp;P 500 Index.</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contains forward-looking statements, including our statements regarding planned revenues, earnings and operating margins, that are based on our current expectations, beliefs, assumptions, estimates, forecasts and projections about the industry and markets in which Analog Devices operates. The statements contained in this release are not guarantees of future performance and involve certain risks, uncertainties and assumptions that are difficult to predict. Therefore, actual outcomes and results may differ materially from what is expressed in such forward-looking statements, and such statements should not be relied upon as representing Analog Devices' expectations or beliefs as of any date subsequent to the date of this press release. Important factors that may affect future operating results include the effects of adverse changes in overall economic conditions, the timing and duration of market upturns and downturns, the growth or contraction of the markets we serve, demand for semiconductors generally and for our products in particular, the risk that our backlog could decline significantly, the impact of severe acute respiratory syndrome, or SARS, on our operations and markets, our ability to hire engineers and other qualified employees needed to meet the expected demands of our largest customers, reversals or slowdowns in the markets or customers served by our products, the adverse effects of building inventories to meet planned growth that fails to materialize, the occurrence and frequency of inventory and lead-time reduction cycles, raw material availability, availability of both internal and external manufacturing capacity, technological and product development risks, competitors' actions and technological innovations and other risk factors described in our Quarterly Report on Form 10-Q for the fiscal quarter ended February 1, 2003, as filed with the Securities and Exchange Commission.</w:t>
      </w:r>
    </w:p>
    <w:p>
      <w:pPr>
        <w:spacing w:after="0" w:line="213"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CONTACT: Maria Tagliaferro, Director of Corporate Communications at Analog Devices, 781-461-3282, or investor.relations@analog.com</w:t>
      </w:r>
    </w:p>
    <w:p>
      <w:pPr>
        <w:ind w:left="2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ANALOG DEVICES SUPPLEMENTAL INFORMATION, SECOND QUARTER, FISCAL 2003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SALES/EARNINGS SUMMARY</w:t>
      </w:r>
    </w:p>
    <w:tbl>
      <w:tblPr>
        <w:tblLayout w:type="fixed"/>
        <w:tblInd w:w="1480" w:type="dxa"/>
        <w:tblCellMar>
          <w:top w:w="0" w:type="dxa"/>
          <w:left w:w="0" w:type="dxa"/>
          <w:bottom w:w="0" w:type="dxa"/>
          <w:right w:w="0" w:type="dxa"/>
        </w:tblCellMar>
      </w:tblPr>
      <w:tr>
        <w:trPr>
          <w:trHeight w:val="203"/>
        </w:trPr>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 THOUSANDS OF DOLLARS, EXCEPT PER-SHARE AMOUNTS)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810"/>
        </w:trPr>
        <w:tc>
          <w:tcPr>
            <w:tcW w:w="3540" w:type="dxa"/>
            <w:vAlign w:val="bottom"/>
          </w:tcPr>
          <w:p>
            <w:pPr>
              <w:ind w:left="3260"/>
              <w:spacing w:after="0"/>
              <w:rPr>
                <w:sz w:val="20"/>
                <w:szCs w:val="20"/>
                <w:color w:val="auto"/>
              </w:rPr>
            </w:pPr>
            <w:r>
              <w:rPr>
                <w:rFonts w:ascii="Courier New" w:cs="Courier New" w:eastAsia="Courier New" w:hAnsi="Courier New"/>
                <w:sz w:val="18"/>
                <w:szCs w:val="18"/>
                <w:color w:val="auto"/>
              </w:rPr>
              <w:t>2Q</w:t>
            </w:r>
          </w:p>
        </w:tc>
        <w:tc>
          <w:tcPr>
            <w:tcW w:w="188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03</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1Q</w:t>
            </w:r>
          </w:p>
        </w:tc>
        <w:tc>
          <w:tcPr>
            <w:tcW w:w="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03</w:t>
            </w:r>
          </w:p>
        </w:tc>
        <w:tc>
          <w:tcPr>
            <w:tcW w:w="900" w:type="dxa"/>
            <w:vAlign w:val="bottom"/>
          </w:tcPr>
          <w:p>
            <w:pPr>
              <w:ind w:left="640"/>
              <w:spacing w:after="0"/>
              <w:rPr>
                <w:sz w:val="20"/>
                <w:szCs w:val="20"/>
                <w:color w:val="auto"/>
              </w:rPr>
            </w:pPr>
            <w:r>
              <w:rPr>
                <w:rFonts w:ascii="Courier New" w:cs="Courier New" w:eastAsia="Courier New" w:hAnsi="Courier New"/>
                <w:sz w:val="18"/>
                <w:szCs w:val="18"/>
                <w:color w:val="auto"/>
              </w:rPr>
              <w:t>2Q</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4100" w:val="left"/>
          <w:tab w:leader="none" w:pos="5780" w:val="left"/>
          <w:tab w:leader="none" w:pos="81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8"/>
          <w:szCs w:val="18"/>
          <w:color w:val="auto"/>
        </w:rPr>
        <w:t>May 3, 2003</w:t>
      </w:r>
      <w:r>
        <w:rPr>
          <w:sz w:val="20"/>
          <w:szCs w:val="20"/>
          <w:color w:val="auto"/>
        </w:rPr>
        <w:tab/>
      </w:r>
      <w:r>
        <w:rPr>
          <w:rFonts w:ascii="Courier New" w:cs="Courier New" w:eastAsia="Courier New" w:hAnsi="Courier New"/>
          <w:sz w:val="18"/>
          <w:szCs w:val="18"/>
          <w:color w:val="auto"/>
        </w:rPr>
        <w:t>February 1, 2003</w:t>
      </w:r>
      <w:r>
        <w:rPr>
          <w:sz w:val="20"/>
          <w:szCs w:val="20"/>
          <w:color w:val="auto"/>
        </w:rPr>
        <w:tab/>
      </w:r>
      <w:r>
        <w:rPr>
          <w:rFonts w:ascii="Courier New" w:cs="Courier New" w:eastAsia="Courier New" w:hAnsi="Courier New"/>
          <w:sz w:val="16"/>
          <w:szCs w:val="16"/>
          <w:color w:val="auto"/>
        </w:rPr>
        <w:t>May 4,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$ 501,883</w:t>
            </w:r>
          </w:p>
        </w:tc>
        <w:tc>
          <w:tcPr>
            <w:tcW w:w="20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$ 467,423</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$ 413,368</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Y/Y Growth</w:t>
            </w:r>
          </w:p>
        </w:tc>
        <w:tc>
          <w:tcPr>
            <w:tcW w:w="2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w:t>
            </w:r>
          </w:p>
        </w:tc>
        <w:tc>
          <w:tcPr>
            <w:tcW w:w="2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Q/Q Growth</w:t>
            </w:r>
          </w:p>
        </w:tc>
        <w:tc>
          <w:tcPr>
            <w:tcW w:w="2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2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228,423</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214,286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192,537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273,460</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253,137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220,831</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2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54.5%</w:t>
            </w:r>
          </w:p>
        </w:tc>
        <w:tc>
          <w:tcPr>
            <w:tcW w:w="2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 Expenses:</w:t>
      </w:r>
    </w:p>
    <w:tbl>
      <w:tblPr>
        <w:tblLayout w:type="fixed"/>
        <w:tblInd w:w="320" w:type="dxa"/>
        <w:tblCellMar>
          <w:top w:w="0" w:type="dxa"/>
          <w:left w:w="0" w:type="dxa"/>
          <w:bottom w:w="0" w:type="dxa"/>
          <w:right w:w="0" w:type="dxa"/>
        </w:tblCellMar>
      </w:tblPr>
      <w:tr>
        <w:trPr>
          <w:trHeight w:val="203"/>
        </w:trPr>
        <w:tc>
          <w:tcPr>
            <w:tcW w:w="3580" w:type="dxa"/>
            <w:vAlign w:val="bottom"/>
          </w:tcPr>
          <w:p>
            <w:pPr>
              <w:spacing w:after="0"/>
              <w:rPr>
                <w:sz w:val="20"/>
                <w:szCs w:val="20"/>
                <w:color w:val="auto"/>
              </w:rPr>
            </w:pPr>
            <w:r>
              <w:rPr>
                <w:rFonts w:ascii="Courier New" w:cs="Courier New" w:eastAsia="Courier New" w:hAnsi="Courier New"/>
                <w:sz w:val="18"/>
                <w:szCs w:val="18"/>
                <w:color w:val="auto"/>
              </w:rPr>
              <w:t>R&amp;D</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110,827</w:t>
            </w:r>
          </w:p>
        </w:tc>
        <w:tc>
          <w:tcPr>
            <w:tcW w:w="20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107,112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99,763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Marketing and G&amp;A</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71,509</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69,315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62,354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Acquisition-related expenses*</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2,658</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2,849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17,292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25,450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460" w:type="dxa"/>
            <w:vAlign w:val="bottom"/>
          </w:tcPr>
          <w:p>
            <w:pPr>
              <w:ind w:left="1100"/>
              <w:spacing w:after="0"/>
              <w:rPr>
                <w:sz w:val="20"/>
                <w:szCs w:val="20"/>
                <w:color w:val="auto"/>
              </w:rPr>
            </w:pPr>
            <w:r>
              <w:rPr>
                <w:rFonts w:ascii="Courier New" w:cs="Courier New" w:eastAsia="Courier New" w:hAnsi="Courier New"/>
                <w:sz w:val="18"/>
                <w:szCs w:val="18"/>
                <w:color w:val="auto"/>
              </w:rPr>
              <w:t>88,466</w:t>
            </w:r>
          </w:p>
        </w:tc>
        <w:tc>
          <w:tcPr>
            <w:tcW w:w="2000" w:type="dxa"/>
            <w:vAlign w:val="bottom"/>
          </w:tcPr>
          <w:p>
            <w:pPr>
              <w:ind w:left="640"/>
              <w:spacing w:after="0"/>
              <w:rPr>
                <w:sz w:val="20"/>
                <w:szCs w:val="20"/>
                <w:color w:val="auto"/>
              </w:rPr>
            </w:pPr>
            <w:r>
              <w:rPr>
                <w:rFonts w:ascii="Courier New" w:cs="Courier New" w:eastAsia="Courier New" w:hAnsi="Courier New"/>
                <w:sz w:val="18"/>
                <w:szCs w:val="18"/>
                <w:color w:val="auto"/>
              </w:rPr>
              <w:t>73,861</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14,172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4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(2,952)</w:t>
            </w: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(3,052)</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(5,864)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Income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Before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Tax</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91,418</w:t>
            </w:r>
          </w:p>
        </w:tc>
        <w:tc>
          <w:tcPr>
            <w:tcW w:w="200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76,913</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20,036</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Provision for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Taxes</w:t>
            </w:r>
          </w:p>
        </w:tc>
        <w:tc>
          <w:tcPr>
            <w:tcW w:w="2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20,112</w:t>
            </w:r>
          </w:p>
        </w:tc>
        <w:tc>
          <w:tcPr>
            <w:tcW w:w="20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16,921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5,610</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Rate</w:t>
            </w:r>
          </w:p>
        </w:tc>
        <w:tc>
          <w:tcPr>
            <w:tcW w:w="1840" w:type="dxa"/>
            <w:vAlign w:val="bottom"/>
          </w:tcPr>
          <w:p>
            <w:pPr>
              <w:spacing w:after="0"/>
              <w:rPr>
                <w:sz w:val="17"/>
                <w:szCs w:val="17"/>
                <w:color w:val="auto"/>
              </w:rPr>
            </w:pPr>
          </w:p>
        </w:tc>
        <w:tc>
          <w:tcPr>
            <w:tcW w:w="2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71,306</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59,992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14,426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used</w:t>
            </w:r>
          </w:p>
        </w:tc>
        <w:tc>
          <w:tcPr>
            <w:tcW w:w="2420" w:type="dxa"/>
            <w:vAlign w:val="bottom"/>
            <w:gridSpan w:val="3"/>
          </w:tcPr>
          <w:p>
            <w:pPr>
              <w:jc w:val="center"/>
              <w:ind w:right="632"/>
              <w:spacing w:after="0"/>
              <w:rPr>
                <w:sz w:val="20"/>
                <w:szCs w:val="20"/>
                <w:color w:val="auto"/>
              </w:rPr>
            </w:pPr>
            <w:r>
              <w:rPr>
                <w:rFonts w:ascii="Courier New" w:cs="Courier New" w:eastAsia="Courier New" w:hAnsi="Courier New"/>
                <w:sz w:val="18"/>
                <w:szCs w:val="18"/>
                <w:color w:val="auto"/>
                <w:w w:val="97"/>
              </w:rPr>
              <w:t>for EPS - Basic</w:t>
            </w:r>
          </w:p>
        </w:tc>
        <w:tc>
          <w:tcPr>
            <w:tcW w:w="740" w:type="dxa"/>
            <w:vAlign w:val="bottom"/>
          </w:tcPr>
          <w:p>
            <w:pPr>
              <w:spacing w:after="0"/>
              <w:rPr>
                <w:sz w:val="17"/>
                <w:szCs w:val="17"/>
                <w:color w:val="auto"/>
              </w:rPr>
            </w:pP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364,267</w:t>
            </w:r>
          </w:p>
        </w:tc>
        <w:tc>
          <w:tcPr>
            <w:tcW w:w="680" w:type="dxa"/>
            <w:vAlign w:val="bottom"/>
          </w:tcPr>
          <w:p>
            <w:pPr>
              <w:spacing w:after="0"/>
              <w:rPr>
                <w:sz w:val="17"/>
                <w:szCs w:val="17"/>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363,138</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364,545</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used</w:t>
            </w:r>
          </w:p>
        </w:tc>
        <w:tc>
          <w:tcPr>
            <w:tcW w:w="2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EPS - Diluted</w:t>
            </w:r>
          </w:p>
        </w:tc>
        <w:tc>
          <w:tcPr>
            <w:tcW w:w="74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379,163</w:t>
            </w:r>
          </w:p>
        </w:tc>
        <w:tc>
          <w:tcPr>
            <w:tcW w:w="6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378,197</w:t>
            </w:r>
          </w:p>
        </w:tc>
        <w:tc>
          <w:tcPr>
            <w:tcW w:w="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383,455</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Earnings</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Basic</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0.20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Diluted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bookmarkStart w:id="8" w:name="page9"/>
    <w:bookmarkEnd w:id="8"/>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Six Months Ended</w:t>
            </w:r>
          </w:p>
        </w:tc>
        <w:tc>
          <w:tcPr>
            <w:tcW w:w="3160" w:type="dxa"/>
            <w:vAlign w:val="bottom"/>
          </w:tcPr>
          <w:p>
            <w:pPr>
              <w:ind w:left="1580"/>
              <w:spacing w:after="0"/>
              <w:rPr>
                <w:sz w:val="20"/>
                <w:szCs w:val="20"/>
                <w:color w:val="auto"/>
              </w:rPr>
            </w:pPr>
            <w:r>
              <w:rPr>
                <w:rFonts w:ascii="Courier New" w:cs="Courier New" w:eastAsia="Courier New" w:hAnsi="Courier New"/>
                <w:sz w:val="18"/>
                <w:szCs w:val="18"/>
                <w:color w:val="auto"/>
              </w:rPr>
              <w:t>May 3, 2003</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w w:val="95"/>
              </w:rPr>
              <w:t>May 4, 2002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$ 969,306</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$ 806,342</w:t>
            </w: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Y/Y Growth</w:t>
            </w:r>
          </w:p>
        </w:tc>
        <w:tc>
          <w:tcPr>
            <w:tcW w:w="3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3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442,709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381,714</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3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526,597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424,628</w:t>
            </w: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3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 Expenses:</w:t>
      </w:r>
    </w:p>
    <w:tbl>
      <w:tblPr>
        <w:tblLayout w:type="fixed"/>
        <w:tblInd w:w="320" w:type="dxa"/>
        <w:tblCellMar>
          <w:top w:w="0" w:type="dxa"/>
          <w:left w:w="0" w:type="dxa"/>
          <w:bottom w:w="0" w:type="dxa"/>
          <w:right w:w="0" w:type="dxa"/>
        </w:tblCellMar>
      </w:tblPr>
      <w:tr>
        <w:trPr>
          <w:trHeight w:val="203"/>
        </w:trPr>
        <w:tc>
          <w:tcPr>
            <w:tcW w:w="4120" w:type="dxa"/>
            <w:vAlign w:val="bottom"/>
          </w:tcPr>
          <w:p>
            <w:pPr>
              <w:spacing w:after="0"/>
              <w:rPr>
                <w:sz w:val="20"/>
                <w:szCs w:val="20"/>
                <w:color w:val="auto"/>
              </w:rPr>
            </w:pPr>
            <w:r>
              <w:rPr>
                <w:rFonts w:ascii="Courier New" w:cs="Courier New" w:eastAsia="Courier New" w:hAnsi="Courier New"/>
                <w:sz w:val="18"/>
                <w:szCs w:val="18"/>
                <w:color w:val="auto"/>
              </w:rPr>
              <w:t>R&amp;D</w:t>
            </w:r>
          </w:p>
        </w:tc>
        <w:tc>
          <w:tcPr>
            <w:tcW w:w="2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217,939</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198,213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Marketing and G&amp;A</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140,824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120,712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Acquisition-related expenses*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5,507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37,656</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Costs</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25,450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162,327</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40,797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(6,004)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Income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Before</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Tax</w:t>
            </w:r>
          </w:p>
        </w:tc>
        <w:tc>
          <w:tcPr>
            <w:tcW w:w="3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168,331</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54,328</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Provision for</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Taxes</w:t>
            </w:r>
          </w:p>
        </w:tc>
        <w:tc>
          <w:tcPr>
            <w:tcW w:w="3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37,033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15,212</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Rate</w:t>
            </w:r>
          </w:p>
        </w:tc>
        <w:tc>
          <w:tcPr>
            <w:tcW w:w="2300" w:type="dxa"/>
            <w:vAlign w:val="bottom"/>
          </w:tcPr>
          <w:p>
            <w:pPr>
              <w:spacing w:after="0"/>
              <w:rPr>
                <w:sz w:val="17"/>
                <w:szCs w:val="17"/>
                <w:color w:val="auto"/>
              </w:rPr>
            </w:pPr>
          </w:p>
        </w:tc>
        <w:tc>
          <w:tcPr>
            <w:tcW w:w="3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$ 131,298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39,116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used</w:t>
            </w:r>
          </w:p>
        </w:tc>
        <w:tc>
          <w:tcPr>
            <w:tcW w:w="2940" w:type="dxa"/>
            <w:vAlign w:val="bottom"/>
            <w:gridSpan w:val="3"/>
          </w:tcPr>
          <w:p>
            <w:pPr>
              <w:jc w:val="center"/>
              <w:ind w:right="1152"/>
              <w:spacing w:after="0"/>
              <w:rPr>
                <w:sz w:val="20"/>
                <w:szCs w:val="20"/>
                <w:color w:val="auto"/>
              </w:rPr>
            </w:pPr>
            <w:r>
              <w:rPr>
                <w:rFonts w:ascii="Courier New" w:cs="Courier New" w:eastAsia="Courier New" w:hAnsi="Courier New"/>
                <w:sz w:val="18"/>
                <w:szCs w:val="18"/>
                <w:color w:val="auto"/>
                <w:w w:val="97"/>
              </w:rPr>
              <w:t>for EPS - Basic</w:t>
            </w:r>
          </w:p>
        </w:tc>
        <w:tc>
          <w:tcPr>
            <w:tcW w:w="1280" w:type="dxa"/>
            <w:vAlign w:val="bottom"/>
          </w:tcPr>
          <w:p>
            <w:pPr>
              <w:spacing w:after="0"/>
              <w:rPr>
                <w:sz w:val="17"/>
                <w:szCs w:val="17"/>
                <w:color w:val="auto"/>
              </w:rPr>
            </w:pP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363,703</w:t>
            </w:r>
          </w:p>
        </w:tc>
        <w:tc>
          <w:tcPr>
            <w:tcW w:w="7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363,846</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used</w:t>
            </w:r>
          </w:p>
        </w:tc>
        <w:tc>
          <w:tcPr>
            <w:tcW w:w="29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EPS - Diluted</w:t>
            </w:r>
          </w:p>
        </w:tc>
        <w:tc>
          <w:tcPr>
            <w:tcW w:w="128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378,680</w:t>
            </w:r>
          </w:p>
        </w:tc>
        <w:tc>
          <w:tcPr>
            <w:tcW w:w="7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383,463</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Earnings</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Basic</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0.36</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0.11</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Diluted</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0.35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19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Acquisition-related goodwill is no longer amortized effective November 3, 2002, in accordance with FAS 142.</w:t>
      </w:r>
    </w:p>
    <w:p>
      <w:pPr>
        <w:sectPr>
          <w:pgSz w:w="11900" w:h="16838" w:orient="portrait"/>
          <w:cols w:equalWidth="0" w:num="1">
            <w:col w:w="10219"/>
          </w:cols>
          <w:pgMar w:left="240" w:top="1440" w:right="1440" w:bottom="1440" w:gutter="0" w:footer="0" w:header="0"/>
        </w:sectPr>
      </w:pPr>
    </w:p>
    <w:bookmarkStart w:id="9" w:name="page10"/>
    <w:bookmarkEnd w:id="9"/>
    <w:p>
      <w:pPr>
        <w:jc w:val="center"/>
        <w:ind w:right="1780"/>
        <w:spacing w:after="0"/>
        <w:rPr>
          <w:sz w:val="20"/>
          <w:szCs w:val="20"/>
          <w:color w:val="auto"/>
        </w:rPr>
      </w:pPr>
      <w:r>
        <w:rPr>
          <w:rFonts w:ascii="Courier New" w:cs="Courier New" w:eastAsia="Courier New" w:hAnsi="Courier New"/>
          <w:sz w:val="18"/>
          <w:szCs w:val="18"/>
          <w:color w:val="auto"/>
        </w:rPr>
        <w:t>ANALOG DEVICES SUPPLEMENTAL INFORMATION, SECOND QUARTER, FISCAL 2003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SELECTED BALANCE SHEET INFORMATION</w:t>
      </w:r>
    </w:p>
    <w:p>
      <w:pPr>
        <w:ind w:left="2960"/>
        <w:spacing w:after="0" w:line="238" w:lineRule="auto"/>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00"/>
        <w:spacing w:after="0"/>
        <w:tabs>
          <w:tab w:leader="none" w:pos="7880" w:val="left"/>
          <w:tab w:leader="none" w:pos="9460" w:val="left"/>
        </w:tabs>
        <w:rPr>
          <w:sz w:val="20"/>
          <w:szCs w:val="20"/>
          <w:color w:val="auto"/>
        </w:rPr>
      </w:pPr>
      <w:r>
        <w:rPr>
          <w:rFonts w:ascii="Courier New" w:cs="Courier New" w:eastAsia="Courier New" w:hAnsi="Courier New"/>
          <w:sz w:val="18"/>
          <w:szCs w:val="18"/>
          <w:color w:val="auto"/>
        </w:rPr>
        <w:t>2Q 03</w:t>
      </w:r>
      <w:r>
        <w:rPr>
          <w:sz w:val="20"/>
          <w:szCs w:val="20"/>
          <w:color w:val="auto"/>
        </w:rPr>
        <w:tab/>
      </w:r>
      <w:r>
        <w:rPr>
          <w:rFonts w:ascii="Courier New" w:cs="Courier New" w:eastAsia="Courier New" w:hAnsi="Courier New"/>
          <w:sz w:val="18"/>
          <w:szCs w:val="18"/>
          <w:color w:val="auto"/>
        </w:rPr>
        <w:t>1Q 03</w:t>
      </w:r>
      <w:r>
        <w:rPr>
          <w:sz w:val="20"/>
          <w:szCs w:val="20"/>
          <w:color w:val="auto"/>
        </w:rPr>
        <w:tab/>
      </w:r>
      <w:r>
        <w:rPr>
          <w:rFonts w:ascii="Courier New" w:cs="Courier New" w:eastAsia="Courier New" w:hAnsi="Courier New"/>
          <w:sz w:val="16"/>
          <w:szCs w:val="16"/>
          <w:color w:val="auto"/>
        </w:rPr>
        <w:t>2Q 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060"/>
        <w:spacing w:after="0"/>
        <w:tabs>
          <w:tab w:leader="none" w:pos="6720" w:val="left"/>
          <w:tab w:leader="none" w:pos="8840" w:val="left"/>
        </w:tabs>
        <w:rPr>
          <w:sz w:val="20"/>
          <w:szCs w:val="20"/>
          <w:color w:val="auto"/>
        </w:rPr>
      </w:pPr>
      <w:r>
        <w:rPr>
          <w:rFonts w:ascii="Courier New" w:cs="Courier New" w:eastAsia="Courier New" w:hAnsi="Courier New"/>
          <w:sz w:val="18"/>
          <w:szCs w:val="18"/>
          <w:color w:val="auto"/>
        </w:rPr>
        <w:t>May 3, 2003</w:t>
      </w:r>
      <w:r>
        <w:rPr>
          <w:sz w:val="20"/>
          <w:szCs w:val="20"/>
          <w:color w:val="auto"/>
        </w:rPr>
        <w:tab/>
      </w:r>
      <w:r>
        <w:rPr>
          <w:rFonts w:ascii="Courier New" w:cs="Courier New" w:eastAsia="Courier New" w:hAnsi="Courier New"/>
          <w:sz w:val="18"/>
          <w:szCs w:val="18"/>
          <w:color w:val="auto"/>
        </w:rPr>
        <w:t>February 1, 2003</w:t>
      </w:r>
      <w:r>
        <w:rPr>
          <w:sz w:val="20"/>
          <w:szCs w:val="20"/>
          <w:color w:val="auto"/>
        </w:rPr>
        <w:tab/>
      </w:r>
      <w:r>
        <w:rPr>
          <w:rFonts w:ascii="Courier New" w:cs="Courier New" w:eastAsia="Courier New" w:hAnsi="Courier New"/>
          <w:sz w:val="16"/>
          <w:szCs w:val="16"/>
          <w:color w:val="auto"/>
        </w:rPr>
        <w:t>May 4,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Cash &amp; Short-term Investments</w:t>
            </w:r>
          </w:p>
        </w:tc>
        <w:tc>
          <w:tcPr>
            <w:tcW w:w="2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$3,101,483</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$2,999,732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$2,908,964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242,767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231,422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221,524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293,487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294,478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253,151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194,150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185,433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Total Current Assets</w:t>
            </w:r>
          </w:p>
        </w:tc>
        <w:tc>
          <w:tcPr>
            <w:tcW w:w="2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3,831,887</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3,711,065</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3,566,235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PP&amp;E, Net</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726,533</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754,571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845,683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286,119</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276,595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275,516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173,328</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173,985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203,455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117,446</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116,086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3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$5,135,313</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$5,032,302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$4,952,766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367,492</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360,611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418,046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income-shipments to distributors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108,980</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106,686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1,279,027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1,275,269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1,191,199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Lease Obligations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323,692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316,424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326,367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3,055,885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2,973,065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2,908,948</w:t>
            </w:r>
          </w:p>
        </w:tc>
      </w:tr>
    </w:tbl>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 ----------------------------------------------------------------------------------------------- Total Liabilities &amp; Equity $5,135,313 $5,032,302 $4,952,766 -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80"/>
        <w:spacing w:after="0"/>
        <w:rPr>
          <w:sz w:val="20"/>
          <w:szCs w:val="20"/>
          <w:color w:val="auto"/>
        </w:rPr>
      </w:pPr>
      <w:r>
        <w:rPr>
          <w:rFonts w:ascii="Courier New" w:cs="Courier New" w:eastAsia="Courier New" w:hAnsi="Courier New"/>
          <w:sz w:val="18"/>
          <w:szCs w:val="18"/>
          <w:color w:val="auto"/>
        </w:rPr>
        <w:t>CAPITAL EXPENDITURES, DEPRECIATION &amp; AMORTIZATION</w:t>
      </w:r>
    </w:p>
    <w:p>
      <w:pPr>
        <w:jc w:val="center"/>
        <w:ind w:right="1680"/>
        <w:spacing w:after="0" w:line="238" w:lineRule="auto"/>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tabs>
          <w:tab w:leader="none" w:pos="7880" w:val="left"/>
          <w:tab w:leader="none" w:pos="9460" w:val="left"/>
        </w:tabs>
        <w:rPr>
          <w:sz w:val="20"/>
          <w:szCs w:val="20"/>
          <w:color w:val="auto"/>
        </w:rPr>
      </w:pPr>
      <w:r>
        <w:rPr>
          <w:rFonts w:ascii="Courier New" w:cs="Courier New" w:eastAsia="Courier New" w:hAnsi="Courier New"/>
          <w:sz w:val="18"/>
          <w:szCs w:val="18"/>
          <w:color w:val="auto"/>
        </w:rPr>
        <w:t>2Q 03</w:t>
      </w:r>
      <w:r>
        <w:rPr>
          <w:sz w:val="20"/>
          <w:szCs w:val="20"/>
          <w:color w:val="auto"/>
        </w:rPr>
        <w:tab/>
      </w:r>
      <w:r>
        <w:rPr>
          <w:rFonts w:ascii="Courier New" w:cs="Courier New" w:eastAsia="Courier New" w:hAnsi="Courier New"/>
          <w:sz w:val="18"/>
          <w:szCs w:val="18"/>
          <w:color w:val="auto"/>
        </w:rPr>
        <w:t>1Q 03</w:t>
      </w:r>
      <w:r>
        <w:rPr>
          <w:sz w:val="20"/>
          <w:szCs w:val="20"/>
          <w:color w:val="auto"/>
        </w:rPr>
        <w:tab/>
      </w:r>
      <w:r>
        <w:rPr>
          <w:rFonts w:ascii="Courier New" w:cs="Courier New" w:eastAsia="Courier New" w:hAnsi="Courier New"/>
          <w:sz w:val="16"/>
          <w:szCs w:val="16"/>
          <w:color w:val="auto"/>
        </w:rPr>
        <w:t>2Q 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4940" w:val="left"/>
          <w:tab w:leader="none" w:pos="6720" w:val="left"/>
          <w:tab w:leader="none" w:pos="884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8"/>
          <w:szCs w:val="18"/>
          <w:color w:val="auto"/>
        </w:rPr>
        <w:t>May 3, 2003</w:t>
      </w:r>
      <w:r>
        <w:rPr>
          <w:sz w:val="20"/>
          <w:szCs w:val="20"/>
          <w:color w:val="auto"/>
        </w:rPr>
        <w:tab/>
      </w:r>
      <w:r>
        <w:rPr>
          <w:rFonts w:ascii="Courier New" w:cs="Courier New" w:eastAsia="Courier New" w:hAnsi="Courier New"/>
          <w:sz w:val="18"/>
          <w:szCs w:val="18"/>
          <w:color w:val="auto"/>
        </w:rPr>
        <w:t>February 1, 2003</w:t>
      </w:r>
      <w:r>
        <w:rPr>
          <w:sz w:val="20"/>
          <w:szCs w:val="20"/>
          <w:color w:val="auto"/>
        </w:rPr>
        <w:tab/>
      </w:r>
      <w:r>
        <w:rPr>
          <w:rFonts w:ascii="Courier New" w:cs="Courier New" w:eastAsia="Courier New" w:hAnsi="Courier New"/>
          <w:sz w:val="16"/>
          <w:szCs w:val="16"/>
          <w:color w:val="auto"/>
        </w:rPr>
        <w:t>May 4,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14,348</w:t>
            </w:r>
          </w:p>
        </w:tc>
        <w:tc>
          <w:tcPr>
            <w:tcW w:w="22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$ 14,953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15,679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42,503</w:t>
            </w:r>
          </w:p>
        </w:tc>
        <w:tc>
          <w:tcPr>
            <w:tcW w:w="2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$ 41,539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&amp; Intangibles*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656</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14,234</w:t>
            </w:r>
          </w:p>
        </w:tc>
      </w:tr>
      <w:tr>
        <w:trPr>
          <w:trHeight w:val="810"/>
        </w:trPr>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SIX MONTHS ENDED</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May</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3, 2003</w:t>
            </w:r>
          </w:p>
        </w:tc>
        <w:tc>
          <w:tcPr>
            <w:tcW w:w="22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May 4, 2002</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8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29,301</w:t>
            </w:r>
          </w:p>
        </w:tc>
        <w:tc>
          <w:tcPr>
            <w:tcW w:w="22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$ 27,198</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84,042</w:t>
            </w:r>
          </w:p>
        </w:tc>
        <w:tc>
          <w:tcPr>
            <w:tcW w:w="2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$ 87,215</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&amp; Intangibles*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1,308</w:t>
            </w:r>
          </w:p>
        </w:tc>
        <w:tc>
          <w:tcPr>
            <w:tcW w:w="2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$ 28,339</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2000"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Acquisition-related goodwill is no longer amortized effective November 3, 2002, in accordance with FAS 142.</w:t>
      </w:r>
    </w:p>
    <w:sectPr>
      <w:pgSz w:w="11900" w:h="16838" w:orient="portrait"/>
      <w:cols w:equalWidth="0" w:num="1">
        <w:col w:w="10220"/>
      </w:cols>
      <w:pgMar w:left="240" w:top="1122"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2019-12-12T08:37:08Z</dcterms:created>
  <dcterms:modified xsi:type="dcterms:W3CDTF">2019-12-12T08:37:08Z</dcterms:modified>
</cp:coreProperties>
</file>