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180" w:type="dxa"/>
            <w:vAlign w:val="bottom"/>
          </w:tcPr>
          <w:p>
            <w:pPr>
              <w:jc w:val="center"/>
              <w:ind w:right="278"/>
              <w:spacing w:after="0"/>
              <w:rPr>
                <w:sz w:val="20"/>
                <w:szCs w:val="20"/>
                <w:color w:val="auto"/>
              </w:rPr>
            </w:pPr>
            <w:r>
              <w:rPr>
                <w:rFonts w:ascii="Arial" w:cs="Arial" w:eastAsia="Arial" w:hAnsi="Arial"/>
                <w:sz w:val="18"/>
                <w:szCs w:val="18"/>
                <w:b w:val="1"/>
                <w:bCs w:val="1"/>
                <w:color w:val="auto"/>
                <w:w w:val="85"/>
              </w:rPr>
              <w:t>Massachusetts</w:t>
            </w:r>
          </w:p>
        </w:tc>
        <w:tc>
          <w:tcPr>
            <w:tcW w:w="4560" w:type="dxa"/>
            <w:vAlign w:val="bottom"/>
          </w:tcPr>
          <w:p>
            <w:pPr>
              <w:jc w:val="center"/>
              <w:ind w:left="3339"/>
              <w:spacing w:after="0"/>
              <w:rPr>
                <w:sz w:val="20"/>
                <w:szCs w:val="20"/>
                <w:color w:val="auto"/>
              </w:rPr>
            </w:pPr>
            <w:r>
              <w:rPr>
                <w:rFonts w:ascii="Arial" w:cs="Arial" w:eastAsia="Arial" w:hAnsi="Arial"/>
                <w:sz w:val="18"/>
                <w:szCs w:val="18"/>
                <w:b w:val="1"/>
                <w:bCs w:val="1"/>
                <w:color w:val="auto"/>
                <w:w w:val="89"/>
              </w:rPr>
              <w:t>04-2348234</w:t>
            </w:r>
          </w:p>
        </w:tc>
      </w:tr>
      <w:tr>
        <w:trPr>
          <w:trHeight w:val="149"/>
        </w:trPr>
        <w:tc>
          <w:tcPr>
            <w:tcW w:w="31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560" w:type="dxa"/>
            <w:vAlign w:val="bottom"/>
          </w:tcPr>
          <w:p>
            <w:pPr>
              <w:jc w:val="center"/>
              <w:ind w:left="3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3180" w:type="dxa"/>
            <w:vAlign w:val="bottom"/>
          </w:tcPr>
          <w:p>
            <w:pPr>
              <w:spacing w:after="0"/>
              <w:rPr>
                <w:sz w:val="24"/>
                <w:szCs w:val="24"/>
                <w:color w:val="auto"/>
              </w:rPr>
            </w:pPr>
          </w:p>
        </w:tc>
        <w:tc>
          <w:tcPr>
            <w:tcW w:w="4560" w:type="dxa"/>
            <w:vAlign w:val="bottom"/>
          </w:tcPr>
          <w:p>
            <w:pPr>
              <w:jc w:val="right"/>
              <w:ind w:right="3179"/>
              <w:spacing w:after="0"/>
              <w:rPr>
                <w:sz w:val="20"/>
                <w:szCs w:val="20"/>
                <w:color w:val="auto"/>
              </w:rPr>
            </w:pPr>
            <w:r>
              <w:rPr>
                <w:rFonts w:ascii="Arial" w:cs="Arial" w:eastAsia="Arial" w:hAnsi="Arial"/>
                <w:sz w:val="18"/>
                <w:szCs w:val="18"/>
                <w:b w:val="1"/>
                <w:bCs w:val="1"/>
                <w:color w:val="auto"/>
              </w:rPr>
              <w:t>1-7819</w:t>
            </w:r>
          </w:p>
        </w:tc>
      </w:tr>
      <w:tr>
        <w:trPr>
          <w:trHeight w:val="186"/>
        </w:trPr>
        <w:tc>
          <w:tcPr>
            <w:tcW w:w="3180" w:type="dxa"/>
            <w:vAlign w:val="bottom"/>
          </w:tcPr>
          <w:p>
            <w:pPr>
              <w:spacing w:after="0"/>
              <w:rPr>
                <w:sz w:val="16"/>
                <w:szCs w:val="16"/>
                <w:color w:val="auto"/>
              </w:rPr>
            </w:pPr>
          </w:p>
        </w:tc>
        <w:tc>
          <w:tcPr>
            <w:tcW w:w="45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3"/>
              </w:rPr>
              <w:t>(Commission File No.)</w:t>
            </w:r>
          </w:p>
        </w:tc>
      </w:tr>
      <w:tr>
        <w:trPr>
          <w:trHeight w:val="421"/>
        </w:trPr>
        <w:tc>
          <w:tcPr>
            <w:tcW w:w="3180" w:type="dxa"/>
            <w:vAlign w:val="bottom"/>
          </w:tcPr>
          <w:p>
            <w:pPr>
              <w:jc w:val="center"/>
              <w:ind w:right="278"/>
              <w:spacing w:after="0"/>
              <w:rPr>
                <w:sz w:val="20"/>
                <w:szCs w:val="20"/>
                <w:color w:val="auto"/>
              </w:rPr>
            </w:pPr>
            <w:r>
              <w:rPr>
                <w:rFonts w:ascii="Arial" w:cs="Arial" w:eastAsia="Arial" w:hAnsi="Arial"/>
                <w:sz w:val="18"/>
                <w:szCs w:val="18"/>
                <w:b w:val="1"/>
                <w:bCs w:val="1"/>
                <w:color w:val="auto"/>
                <w:w w:val="91"/>
              </w:rPr>
              <w:t>One Technology Way, Norwood, MA</w:t>
            </w:r>
          </w:p>
        </w:tc>
        <w:tc>
          <w:tcPr>
            <w:tcW w:w="4560" w:type="dxa"/>
            <w:vAlign w:val="bottom"/>
          </w:tcPr>
          <w:p>
            <w:pPr>
              <w:jc w:val="center"/>
              <w:ind w:left="3339"/>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318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3180" w:type="dxa"/>
            <w:vAlign w:val="bottom"/>
          </w:tcPr>
          <w:p>
            <w:pPr>
              <w:jc w:val="center"/>
              <w:ind w:right="278"/>
              <w:spacing w:after="0"/>
              <w:rPr>
                <w:sz w:val="20"/>
                <w:szCs w:val="20"/>
                <w:color w:val="auto"/>
              </w:rPr>
            </w:pPr>
            <w:r>
              <w:rPr>
                <w:rFonts w:ascii="Arial" w:cs="Arial" w:eastAsia="Arial" w:hAnsi="Arial"/>
                <w:sz w:val="18"/>
                <w:szCs w:val="18"/>
                <w:b w:val="1"/>
                <w:bCs w:val="1"/>
                <w:color w:val="auto"/>
                <w:w w:val="92"/>
              </w:rPr>
              <w:t>Margaret Seif</w:t>
            </w:r>
          </w:p>
        </w:tc>
        <w:tc>
          <w:tcPr>
            <w:tcW w:w="4560" w:type="dxa"/>
            <w:vAlign w:val="bottom"/>
          </w:tcPr>
          <w:p>
            <w:pPr>
              <w:spacing w:after="0"/>
              <w:rPr>
                <w:sz w:val="24"/>
                <w:szCs w:val="24"/>
                <w:color w:val="auto"/>
              </w:rPr>
            </w:pPr>
          </w:p>
        </w:tc>
      </w:tr>
      <w:tr>
        <w:trPr>
          <w:trHeight w:val="228"/>
        </w:trPr>
        <w:tc>
          <w:tcPr>
            <w:tcW w:w="3180" w:type="dxa"/>
            <w:vAlign w:val="bottom"/>
          </w:tcPr>
          <w:p>
            <w:pPr>
              <w:jc w:val="center"/>
              <w:ind w:right="278"/>
              <w:spacing w:after="0"/>
              <w:rPr>
                <w:sz w:val="20"/>
                <w:szCs w:val="20"/>
                <w:color w:val="auto"/>
              </w:rPr>
            </w:pPr>
            <w:r>
              <w:rPr>
                <w:rFonts w:ascii="Arial" w:cs="Arial" w:eastAsia="Arial" w:hAnsi="Arial"/>
                <w:sz w:val="18"/>
                <w:szCs w:val="18"/>
                <w:b w:val="1"/>
                <w:bCs w:val="1"/>
                <w:color w:val="auto"/>
                <w:w w:val="92"/>
              </w:rPr>
              <w:t>Chief Legal Officer and Secretary</w:t>
            </w:r>
          </w:p>
        </w:tc>
        <w:tc>
          <w:tcPr>
            <w:tcW w:w="4560" w:type="dxa"/>
            <w:vAlign w:val="bottom"/>
          </w:tcPr>
          <w:p>
            <w:pPr>
              <w:jc w:val="center"/>
              <w:ind w:left="3339"/>
              <w:spacing w:after="0"/>
              <w:rPr>
                <w:sz w:val="20"/>
                <w:szCs w:val="20"/>
                <w:color w:val="auto"/>
              </w:rPr>
            </w:pPr>
            <w:r>
              <w:rPr>
                <w:rFonts w:ascii="Arial" w:cs="Arial" w:eastAsia="Arial" w:hAnsi="Arial"/>
                <w:sz w:val="18"/>
                <w:szCs w:val="18"/>
                <w:b w:val="1"/>
                <w:bCs w:val="1"/>
                <w:color w:val="auto"/>
                <w:w w:val="90"/>
              </w:rPr>
              <w:t>781-329-4700</w:t>
            </w:r>
          </w:p>
        </w:tc>
      </w:tr>
    </w:tbl>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 Conflict Minerals Disclosure and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 Exhibit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Analog Devices, Inc. has filed a Conflict Minerals Report as Exhibit 1.01 hereto. The Report is publicly available at www.analog.com under the heading “Investor Relations.” The content of any website referred to in this Form SD is included for general information only and is not incorporated by reference in this Form SD.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260"/>
          </w:cols>
          <w:pgMar w:left="240" w:top="270" w:right="39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Eileen Wynne</w:t>
            </w:r>
          </w:p>
        </w:tc>
        <w:tc>
          <w:tcPr>
            <w:tcW w:w="2200" w:type="dxa"/>
            <w:vAlign w:val="bottom"/>
          </w:tcPr>
          <w:p>
            <w:pPr>
              <w:ind w:left="680"/>
              <w:spacing w:after="0"/>
              <w:rPr>
                <w:sz w:val="20"/>
                <w:szCs w:val="20"/>
                <w:color w:val="auto"/>
              </w:rPr>
            </w:pPr>
            <w:r>
              <w:rPr>
                <w:rFonts w:ascii="Arial" w:cs="Arial" w:eastAsia="Arial" w:hAnsi="Arial"/>
                <w:sz w:val="18"/>
                <w:szCs w:val="18"/>
                <w:color w:val="auto"/>
                <w:w w:val="89"/>
              </w:rPr>
              <w:t>Dated: May 23, 2017</w:t>
            </w:r>
          </w:p>
        </w:tc>
      </w:t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Eileen Wynne</w:t>
            </w:r>
          </w:p>
        </w:tc>
        <w:tc>
          <w:tcPr>
            <w:tcW w:w="2200" w:type="dxa"/>
            <w:vAlign w:val="bottom"/>
          </w:tcPr>
          <w:p>
            <w:pPr>
              <w:spacing w:after="0"/>
              <w:rPr>
                <w:sz w:val="16"/>
                <w:szCs w:val="16"/>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c>
          <w:tcPr>
            <w:tcW w:w="220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220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200" w:type="dxa"/>
            <w:vAlign w:val="bottom"/>
          </w:tcPr>
          <w:p>
            <w:pPr>
              <w:spacing w:after="0"/>
              <w:rPr>
                <w:sz w:val="20"/>
                <w:szCs w:val="20"/>
                <w:color w:val="auto"/>
              </w:rPr>
            </w:pPr>
          </w:p>
        </w:tc>
      </w:tr>
    </w:tbl>
    <w:p>
      <w:pPr>
        <w:sectPr>
          <w:pgSz w:w="11900" w:h="16838" w:orient="portrait"/>
          <w:cols w:equalWidth="0" w:num="1">
            <w:col w:w="10660"/>
          </w:cols>
          <w:pgMar w:left="240" w:top="274"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CONFLICT MINERALS REPORT OF ANALOG DEVICES, INC. IN ACCORDANCE WITH RULE 13P-1 UNDER THE SECURITIES EXCHANGE ACT OF 1934 (UNAUDITED)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This is the Conflict Minerals Report of Analog Devices, Inc. (“Analog Devices”, “we”, “our”) for calendar year 2016 in accordance with Rule 13p-1 under the Securities Exchange Act of 1934 (“Rule 13p-1”). Numerous terms in this Report are defined in Rule 13p-1 and Form SD and the reader is referred to those sources and to 1934 Act Release No. 34-67716 (August 22, 2012) for such definitions and explanations thereof.</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Gold, tantalum, tin or tungsten (collectively, “conflict minerals”) are necessary to the functionality or production of products manufactured or contracted to be manufactured by Analog Devices. Such products include Integrated Circuits, Assembled Products and Evaluation Boards, which (depending on the product) contain one or more conflict minerals (collectively, the “Products”).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Smelters and refiners are consolidating points for raw ore and are therefore in the best position in the total supply chain to know the origin of the ores. Our due diligence measures were based on multi-industry initiatives with the smelters and refiners of conflict minerals who provide those conflict minerals to Analog Devices’ suppliers.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Company Overview</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Analog Devices, Inc. is a world leader in the design, manufacture and marketing of a broad portfolio of solutions that leverage high-performance analog, mixed-signal and digital signal processing technology, including integrated circuits (ICs), algorithms, software, and subsystems. We were incorporated in Massachusetts in 1965. On March 10, 2017 we acquired Linear Technology Corporation (Linear Technology), a designer, manufacturer and marker of high performance analog ICs. Our headquarters are near Boston, in Norwood, Massachusetts. In addition, we have manufacturing facilities in the United States, Ireland, Singapore, Malaysia and the Philippines, and have design facilities worldwide. Since our inception in 1965, we have focused on solving the engineering challenges associated with signal processing in virtually all types of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w:t>
      </w:r>
    </w:p>
    <w:p>
      <w:pPr>
        <w:sectPr>
          <w:pgSz w:w="11900" w:h="16838" w:orient="portrait"/>
          <w:cols w:equalWidth="0" w:num="1">
            <w:col w:w="11420"/>
          </w:cols>
          <w:pgMar w:left="240" w:top="121" w:right="239" w:bottom="1440" w:gutter="0" w:footer="0" w:header="0"/>
        </w:sectPr>
      </w:pPr>
    </w:p>
    <w:bookmarkStart w:id="4" w:name="page5"/>
    <w:bookmarkEnd w:id="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high-performance analog signal processing and digital signal processing (DSP) technology are generated. We focus on sensing, measurement, and connectivity challenges that apply to a diverse set of customers and markets. We combine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we adapt to specific customer and market needs, leveraging our engineering investment across a broad base of customers.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focus on key strategic markets where our signal processing technology is often a critical differentiator in our customers’ products, in particular, the industrial, automotive, consumer and communications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Principal Products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eight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ten highest revenue products, in the aggregate, accounted for approximately 13% of our revenue for our fiscal year ended October 29, 2016 (fiscal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Conflict Minerals Policy</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reflects ADI’s commitment to ethical practices and compliance with applicable laws and regulations,</w:t>
      </w:r>
    </w:p>
    <w:p>
      <w:pPr>
        <w:sectPr>
          <w:pgSz w:w="11900" w:h="16838" w:orient="portrait"/>
          <w:cols w:equalWidth="0" w:num="1">
            <w:col w:w="11420"/>
          </w:cols>
          <w:pgMar w:left="240" w:top="274" w:right="239" w:bottom="1440" w:gutter="0" w:footer="0" w:header="0"/>
        </w:sectPr>
      </w:pPr>
    </w:p>
    <w:bookmarkStart w:id="5" w:name="page6"/>
    <w:bookmarkEnd w:id="5"/>
    <w:p>
      <w:pPr>
        <w:ind w:lef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ADI’s actions to collaborate with other concerned electronics companies, under the EICC-GeSI Conflict-Free Sourcing Initiative (CFSI), in developing methods to track the origin of conflict minerals used in the manufacture of electronic products,</w:t>
      </w:r>
    </w:p>
    <w:p>
      <w:pPr>
        <w:spacing w:after="0" w:line="197" w:lineRule="exact"/>
        <w:rPr>
          <w:sz w:val="20"/>
          <w:szCs w:val="20"/>
          <w:color w:val="auto"/>
        </w:rPr>
      </w:pPr>
    </w:p>
    <w:p>
      <w:pPr>
        <w:ind w:left="900" w:right="100"/>
        <w:spacing w:after="0" w:line="308" w:lineRule="auto"/>
        <w:rPr>
          <w:sz w:val="20"/>
          <w:szCs w:val="20"/>
          <w:color w:val="auto"/>
        </w:rPr>
      </w:pPr>
      <w:r>
        <w:rPr>
          <w:rFonts w:ascii="Arial" w:cs="Arial" w:eastAsia="Arial" w:hAnsi="Arial"/>
          <w:sz w:val="17"/>
          <w:szCs w:val="17"/>
          <w:color w:val="auto"/>
        </w:rPr>
        <w:t>reflects ADI’s support of the Conflict-Free Smelter Program (CFSP) in assessing activities, processes, and systems used by the smelter or refiner (SOR) facility to conduct upstream supply chain due diligence of minerals for conflict-affected and high-risk areas, and</w:t>
      </w:r>
    </w:p>
    <w:p>
      <w:pPr>
        <w:spacing w:after="0" w:line="173"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color w:val="auto"/>
        </w:rPr>
        <w:t>is communicated to ADI’s supply chain with the expectation of compliance with the conflict minerals policy, and for the suppliers to provide sourcing information using the EICC-GeSI Conflict Minerals Reporting Template (EICC-GeSI CMRT) as a standard.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Conflict Minerals Team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internal team is tasked to implement our Conflict Minerals Policy and oversee ADI’s conflict minerals program. The Director of Environmental, Health, &amp; Safety (EH&amp;S), who reports to the Senior Vice President of Global Operations and Technology, is the assigned team leader and is supported by representatives from different functional groups.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Reasonable Country of Origin Inquiry (RCOI)</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Analog Devices engaged with our relevant suppliers to identify the smelters and refiners in our supply chain. We define relevant suppliers as those who supply materials to the Company that are known to contain any or all of the conflict minerals and that end up in our final products. We utilized an online platform to reach out to our relevant suppliers to request conflict minerals sourcing information using the EICC-GeSI Conflict Minerals Reporting Template (CMRT). Information provided by our relevant suppliers is reviewed for completeness and reasonableness, based on our knowledge of the supplier. If necessary, assessment reports were created to outline additional actions needed from suppliers regarding their submission, including but not limited to follow-up and escalation.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Due Diligence</w:t>
      </w:r>
    </w:p>
    <w:p>
      <w:pPr>
        <w:spacing w:after="0" w:line="25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of Analog Devices’ due diligence framework</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Analog Devices designed our due diligence measures to conform, in all material respects, with the internationally recognized due diligence framework in the OECD Due Diligence Guidance for Responsible Supply Chains of Minerals from Conflict-Affected and High-Risk Areas: Second Edition (OECD 2013) (“OECD Framework”), including related supplements for each of the conflict minerals.</w:t>
      </w:r>
    </w:p>
    <w:p>
      <w:pPr>
        <w:spacing w:after="0" w:line="20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Description of Analog Devices’ due diligence measures performed with respect to products manufactured during 2016</w:t>
      </w:r>
    </w:p>
    <w:p>
      <w:pPr>
        <w:sectPr>
          <w:pgSz w:w="11900" w:h="16838" w:orient="portrait"/>
          <w:cols w:equalWidth="0" w:num="1">
            <w:col w:w="11420"/>
          </w:cols>
          <w:pgMar w:left="240" w:top="2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due diligence measures performed with respect to products manufactured during 2016 included:</w:t>
      </w:r>
    </w:p>
    <w:p>
      <w:pPr>
        <w:spacing w:after="0" w:line="220" w:lineRule="exact"/>
        <w:rPr>
          <w:sz w:val="20"/>
          <w:szCs w:val="20"/>
          <w:color w:val="auto"/>
        </w:rPr>
      </w:pPr>
    </w:p>
    <w:p>
      <w:pPr>
        <w:ind w:left="900"/>
        <w:spacing w:after="0" w:line="264" w:lineRule="auto"/>
        <w:rPr>
          <w:sz w:val="20"/>
          <w:szCs w:val="20"/>
          <w:color w:val="auto"/>
        </w:rPr>
      </w:pPr>
      <w:r>
        <w:rPr>
          <w:rFonts w:ascii="Arial" w:cs="Arial" w:eastAsia="Arial" w:hAnsi="Arial"/>
          <w:sz w:val="18"/>
          <w:szCs w:val="18"/>
          <w:color w:val="auto"/>
        </w:rPr>
        <w:t>Comparing the smelters and refiners identified by relevant suppliers via the CMRT against the CFSI list of smelter and refinery facilities that have received a “conflict free” designation for conflict minerals by participating in an independent third party smelter audit. We also validated the smelters status using CFSI’s Active Smelters and Refiners List.</w:t>
      </w:r>
    </w:p>
    <w:p>
      <w:pPr>
        <w:spacing w:after="0" w:line="208" w:lineRule="exact"/>
        <w:rPr>
          <w:sz w:val="20"/>
          <w:szCs w:val="20"/>
          <w:color w:val="auto"/>
        </w:rPr>
      </w:pPr>
    </w:p>
    <w:p>
      <w:pPr>
        <w:ind w:left="900" w:right="40"/>
        <w:spacing w:after="0" w:line="276" w:lineRule="auto"/>
        <w:rPr>
          <w:sz w:val="20"/>
          <w:szCs w:val="20"/>
          <w:color w:val="auto"/>
        </w:rPr>
      </w:pPr>
      <w:r>
        <w:rPr>
          <w:rFonts w:ascii="Arial" w:cs="Arial" w:eastAsia="Arial" w:hAnsi="Arial"/>
          <w:sz w:val="17"/>
          <w:szCs w:val="17"/>
          <w:color w:val="auto"/>
        </w:rPr>
        <w:t>Gathering more information on smelters or refiners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 SOR information to CFSI for further research. If, however, the result reveals that the SOR is not legitimate, we work with our supplier to conduct additional research on the SOR and to obtain information indicating that it is legitimate, otherwise, the supplier is asked to remove the alleged smelter from the supplier CMRT.</w:t>
      </w:r>
    </w:p>
    <w:p>
      <w:pPr>
        <w:spacing w:after="0" w:line="199" w:lineRule="exact"/>
        <w:rPr>
          <w:sz w:val="20"/>
          <w:szCs w:val="20"/>
          <w:color w:val="auto"/>
        </w:rPr>
      </w:pPr>
    </w:p>
    <w:p>
      <w:pPr>
        <w:ind w:left="900" w:right="40"/>
        <w:spacing w:after="0" w:line="264" w:lineRule="auto"/>
        <w:rPr>
          <w:sz w:val="20"/>
          <w:szCs w:val="20"/>
          <w:color w:val="auto"/>
        </w:rPr>
      </w:pPr>
      <w:r>
        <w:rPr>
          <w:rFonts w:ascii="Arial" w:cs="Arial" w:eastAsia="Arial" w:hAnsi="Arial"/>
          <w:sz w:val="18"/>
          <w:szCs w:val="18"/>
          <w:color w:val="auto"/>
        </w:rPr>
        <w:t>Reaching out directly to SORs who are no longer certified as conflict-free by a recognized certification program to gather information regarding their plans of recertification, or lack thereof. If the SOR decided not to pursue recertification, we will ask our supplier to discontinue engagement with the smelter.</w:t>
      </w:r>
    </w:p>
    <w:p>
      <w:pPr>
        <w:spacing w:after="0" w:line="208" w:lineRule="exact"/>
        <w:rPr>
          <w:sz w:val="20"/>
          <w:szCs w:val="20"/>
          <w:color w:val="auto"/>
        </w:rPr>
      </w:pPr>
    </w:p>
    <w:p>
      <w:pPr>
        <w:ind w:left="900" w:right="200"/>
        <w:spacing w:after="0" w:line="264" w:lineRule="auto"/>
        <w:rPr>
          <w:sz w:val="20"/>
          <w:szCs w:val="20"/>
          <w:color w:val="auto"/>
        </w:rPr>
      </w:pPr>
      <w:r>
        <w:rPr>
          <w:rFonts w:ascii="Arial" w:cs="Arial" w:eastAsia="Arial" w:hAnsi="Arial"/>
          <w:sz w:val="18"/>
          <w:szCs w:val="18"/>
          <w:color w:val="auto"/>
        </w:rPr>
        <w:t>Reaching out directly to the CFSI to gather additional information regarding questionable smelters. This include but are not limited to smelters who have been on the Active list (i.e., smelters who have been in the audit process but have not completed it) for more than 6 months, smelters whose certification status have expired, or newly added smelters.</w:t>
      </w:r>
    </w:p>
    <w:p>
      <w:pPr>
        <w:spacing w:after="0" w:line="208" w:lineRule="exact"/>
        <w:rPr>
          <w:sz w:val="20"/>
          <w:szCs w:val="20"/>
          <w:color w:val="auto"/>
        </w:rPr>
      </w:pPr>
    </w:p>
    <w:p>
      <w:pPr>
        <w:ind w:left="900" w:right="500"/>
        <w:spacing w:after="0" w:line="277" w:lineRule="auto"/>
        <w:rPr>
          <w:sz w:val="20"/>
          <w:szCs w:val="20"/>
          <w:color w:val="auto"/>
        </w:rPr>
      </w:pPr>
      <w:r>
        <w:rPr>
          <w:rFonts w:ascii="Arial" w:cs="Arial" w:eastAsia="Arial" w:hAnsi="Arial"/>
          <w:sz w:val="18"/>
          <w:szCs w:val="18"/>
          <w:color w:val="auto"/>
        </w:rPr>
        <w:t>Working with our suppliers to strongly encourage smelters in our supply chain to participate in the CFSP or a similar program and to cease sourcing from SOR who decline to participate in a CFSP or similar program.</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Collaborating with suppliers to ensure accuracy of information being passed down the supply chain.</w:t>
      </w:r>
    </w:p>
    <w:p>
      <w:pPr>
        <w:spacing w:after="0" w:line="252" w:lineRule="exact"/>
        <w:rPr>
          <w:sz w:val="20"/>
          <w:szCs w:val="20"/>
          <w:color w:val="auto"/>
        </w:rPr>
      </w:pPr>
    </w:p>
    <w:p>
      <w:pPr>
        <w:ind w:left="900" w:right="40"/>
        <w:spacing w:after="0" w:line="342" w:lineRule="auto"/>
        <w:rPr>
          <w:sz w:val="20"/>
          <w:szCs w:val="20"/>
          <w:color w:val="auto"/>
        </w:rPr>
      </w:pPr>
      <w:r>
        <w:rPr>
          <w:rFonts w:ascii="Arial" w:cs="Arial" w:eastAsia="Arial" w:hAnsi="Arial"/>
          <w:sz w:val="16"/>
          <w:szCs w:val="16"/>
          <w:color w:val="auto"/>
        </w:rPr>
        <w:t>Pursuing non-responsive suppliers to obtain a CMRT. Suppliers who failed to provide survey information were escalated to our purchasing group and the supplier’s management group. We will take measures up to and including termination of our relationship with the supplier, if warranted.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Risk Management Plan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OECD guidelines for managing risk are largely directed towards the upstream portion of the supply chain (SORs and mines of origin). Nevertheless, ADI as a downstream company in the supply chain, participates in the Conflict-Free Sourcing Initiative (CFSI) under the EICC-GeSI industry consortium to identify and review the due diligence process of the smelters or refiners in the electronics industry supply chain. CFSI assesses and audits whether the SORs adhere to the due diligence measures per the OECD Guidance; compliant SORs are then designated as “conflict free” and listed as such on the CFSI website.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Risk Mitigation process includes the following:</w:t>
      </w:r>
    </w:p>
    <w:p>
      <w:pPr>
        <w:spacing w:after="0" w:line="220" w:lineRule="exact"/>
        <w:rPr>
          <w:sz w:val="20"/>
          <w:szCs w:val="20"/>
          <w:color w:val="auto"/>
        </w:rPr>
      </w:pPr>
    </w:p>
    <w:p>
      <w:pPr>
        <w:ind w:left="900" w:right="260"/>
        <w:spacing w:after="0" w:line="257" w:lineRule="auto"/>
        <w:rPr>
          <w:sz w:val="20"/>
          <w:szCs w:val="20"/>
          <w:color w:val="auto"/>
        </w:rPr>
      </w:pPr>
      <w:r>
        <w:rPr>
          <w:rFonts w:ascii="Arial" w:cs="Arial" w:eastAsia="Arial" w:hAnsi="Arial"/>
          <w:sz w:val="18"/>
          <w:szCs w:val="18"/>
          <w:color w:val="auto"/>
        </w:rPr>
        <w:t>In the event that a supplier reports on the EICC-GeSI Conflict Minerals Reporting Template or it is discovered that the SOR has used conflict minerals sourced from mines that support armed conflict in the Covered Countries, then we work with the SOR to obtain its agreement to take steps to rectify the situation, including implementing corrective action to eliminate the use of non-DRC conflict free minerals in products supplied for ADI products, in an agreed upon timeframe. Should the SOR fail to mitigate the issue, ADI will discontinue engagement with the SOR.</w:t>
      </w:r>
    </w:p>
    <w:p>
      <w:pPr>
        <w:sectPr>
          <w:pgSz w:w="11900" w:h="16838" w:orient="portrait"/>
          <w:cols w:equalWidth="0" w:num="1">
            <w:col w:w="11400"/>
          </w:cols>
          <w:pgMar w:left="240" w:top="274" w:right="259" w:bottom="1440" w:gutter="0" w:footer="0" w:header="0"/>
        </w:sectPr>
      </w:pPr>
    </w:p>
    <w:bookmarkStart w:id="7" w:name="page8"/>
    <w:bookmarkEnd w:id="7"/>
    <w:p>
      <w:pPr>
        <w:ind w:left="9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ADI will continue to work with our suppliers and with CFSI to encourage smelters who have not yet obtained the “conflict-free” designation to do so.</w:t>
      </w:r>
    </w:p>
    <w:p>
      <w:pPr>
        <w:spacing w:after="0" w:line="2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Findings, including the number of SORs which are designated as conflict–free and suppliers which reported conflict-free status of all its SORs during the preceding quarter relative to the total number of SORs and suppliers in the ADI supply chain, the number of SORs whose sources of minerals are undeterminable, and any supplier reporting use of minerals sourced from conflict mines are reported to the Senior Vice President of Global Operations and Technology and staff members quarterly.</w:t>
      </w:r>
    </w:p>
    <w:p>
      <w:pPr>
        <w:spacing w:after="0" w:line="18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responses from our suppliers listed 306 entities as smelters or refiners of conflict minerals in their supply chains. A recognized conflict free audit program verified 244 of these entities as conflict-free. The following is a summary of the smelters used by our suppliers broken out by mineral type:</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Metal</w:t>
            </w:r>
          </w:p>
        </w:tc>
        <w:tc>
          <w:tcPr>
            <w:tcW w:w="4560" w:type="dxa"/>
            <w:vAlign w:val="bottom"/>
            <w:tcBorders>
              <w:top w:val="single" w:sz="8" w:color="auto"/>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Total Known Smelters Used</w:t>
            </w:r>
          </w:p>
        </w:tc>
        <w:tc>
          <w:tcPr>
            <w:tcW w:w="3980" w:type="dxa"/>
            <w:vAlign w:val="bottom"/>
            <w:tcBorders>
              <w:top w:val="single" w:sz="8" w:color="auto"/>
              <w:bottom w:val="single" w:sz="8" w:color="auto"/>
              <w:right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Conflict-Free Smelters</w:t>
            </w:r>
          </w:p>
        </w:tc>
      </w:tr>
      <w:tr>
        <w:trPr>
          <w:trHeight w:val="210"/>
        </w:trPr>
        <w:tc>
          <w:tcPr>
            <w:tcW w:w="2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auto"/>
              <w:right w:val="single" w:sz="8" w:color="auto"/>
            </w:tcBorders>
          </w:tcPr>
          <w:p>
            <w:pPr>
              <w:jc w:val="right"/>
              <w:ind w:right="2030"/>
              <w:spacing w:after="0"/>
              <w:rPr>
                <w:sz w:val="20"/>
                <w:szCs w:val="20"/>
                <w:color w:val="auto"/>
              </w:rPr>
            </w:pPr>
            <w:r>
              <w:rPr>
                <w:rFonts w:ascii="Arial" w:cs="Arial" w:eastAsia="Arial" w:hAnsi="Arial"/>
                <w:sz w:val="18"/>
                <w:szCs w:val="18"/>
                <w:color w:val="auto"/>
              </w:rPr>
              <w:t>135</w:t>
            </w:r>
          </w:p>
        </w:tc>
        <w:tc>
          <w:tcPr>
            <w:tcW w:w="398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color w:val="auto"/>
              </w:rPr>
              <w:t>93</w:t>
            </w:r>
          </w:p>
        </w:tc>
      </w:tr>
      <w:tr>
        <w:trPr>
          <w:trHeight w:val="210"/>
        </w:trPr>
        <w:tc>
          <w:tcPr>
            <w:tcW w:w="2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4560" w:type="dxa"/>
            <w:vAlign w:val="bottom"/>
            <w:tcBorders>
              <w:bottom w:val="single" w:sz="8" w:color="auto"/>
              <w:right w:val="single" w:sz="8" w:color="auto"/>
            </w:tcBorders>
          </w:tcPr>
          <w:p>
            <w:pPr>
              <w:jc w:val="right"/>
              <w:ind w:right="2030"/>
              <w:spacing w:after="0"/>
              <w:rPr>
                <w:sz w:val="20"/>
                <w:szCs w:val="20"/>
                <w:color w:val="auto"/>
              </w:rPr>
            </w:pPr>
            <w:r>
              <w:rPr>
                <w:rFonts w:ascii="Arial" w:cs="Arial" w:eastAsia="Arial" w:hAnsi="Arial"/>
                <w:sz w:val="18"/>
                <w:szCs w:val="18"/>
                <w:color w:val="auto"/>
              </w:rPr>
              <w:t>44</w:t>
            </w:r>
          </w:p>
        </w:tc>
        <w:tc>
          <w:tcPr>
            <w:tcW w:w="398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color w:val="auto"/>
              </w:rPr>
              <w:t>44</w:t>
            </w:r>
          </w:p>
        </w:tc>
      </w:tr>
      <w:tr>
        <w:trPr>
          <w:trHeight w:val="210"/>
        </w:trPr>
        <w:tc>
          <w:tcPr>
            <w:tcW w:w="2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4560" w:type="dxa"/>
            <w:vAlign w:val="bottom"/>
            <w:tcBorders>
              <w:bottom w:val="single" w:sz="8" w:color="auto"/>
              <w:right w:val="single" w:sz="8" w:color="auto"/>
            </w:tcBorders>
          </w:tcPr>
          <w:p>
            <w:pPr>
              <w:jc w:val="right"/>
              <w:ind w:right="2030"/>
              <w:spacing w:after="0"/>
              <w:rPr>
                <w:sz w:val="20"/>
                <w:szCs w:val="20"/>
                <w:color w:val="auto"/>
              </w:rPr>
            </w:pPr>
            <w:r>
              <w:rPr>
                <w:rFonts w:ascii="Arial" w:cs="Arial" w:eastAsia="Arial" w:hAnsi="Arial"/>
                <w:sz w:val="18"/>
                <w:szCs w:val="18"/>
                <w:color w:val="auto"/>
              </w:rPr>
              <w:t>83</w:t>
            </w:r>
          </w:p>
        </w:tc>
        <w:tc>
          <w:tcPr>
            <w:tcW w:w="398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color w:val="auto"/>
              </w:rPr>
              <w:t>67</w:t>
            </w:r>
          </w:p>
        </w:tc>
      </w:tr>
      <w:tr>
        <w:trPr>
          <w:trHeight w:val="210"/>
        </w:trPr>
        <w:tc>
          <w:tcPr>
            <w:tcW w:w="2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4560" w:type="dxa"/>
            <w:vAlign w:val="bottom"/>
            <w:tcBorders>
              <w:bottom w:val="single" w:sz="8" w:color="auto"/>
              <w:right w:val="single" w:sz="8" w:color="auto"/>
            </w:tcBorders>
          </w:tcPr>
          <w:p>
            <w:pPr>
              <w:jc w:val="right"/>
              <w:ind w:right="2030"/>
              <w:spacing w:after="0"/>
              <w:rPr>
                <w:sz w:val="20"/>
                <w:szCs w:val="20"/>
                <w:color w:val="auto"/>
              </w:rPr>
            </w:pPr>
            <w:r>
              <w:rPr>
                <w:rFonts w:ascii="Arial" w:cs="Arial" w:eastAsia="Arial" w:hAnsi="Arial"/>
                <w:sz w:val="18"/>
                <w:szCs w:val="18"/>
                <w:color w:val="auto"/>
              </w:rPr>
              <w:t>44</w:t>
            </w:r>
          </w:p>
        </w:tc>
        <w:tc>
          <w:tcPr>
            <w:tcW w:w="398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color w:val="auto"/>
              </w:rPr>
              <w:t>40</w:t>
            </w:r>
          </w:p>
        </w:tc>
      </w:tr>
      <w:tr>
        <w:trPr>
          <w:trHeight w:val="210"/>
        </w:trPr>
        <w:tc>
          <w:tcPr>
            <w:tcW w:w="290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4560" w:type="dxa"/>
            <w:vAlign w:val="bottom"/>
            <w:tcBorders>
              <w:bottom w:val="single" w:sz="8" w:color="auto"/>
              <w:right w:val="single" w:sz="8" w:color="auto"/>
            </w:tcBorders>
          </w:tcPr>
          <w:p>
            <w:pPr>
              <w:jc w:val="right"/>
              <w:ind w:right="2030"/>
              <w:spacing w:after="0"/>
              <w:rPr>
                <w:sz w:val="20"/>
                <w:szCs w:val="20"/>
                <w:color w:val="auto"/>
              </w:rPr>
            </w:pPr>
            <w:r>
              <w:rPr>
                <w:rFonts w:ascii="Arial" w:cs="Arial" w:eastAsia="Arial" w:hAnsi="Arial"/>
                <w:sz w:val="18"/>
                <w:szCs w:val="18"/>
                <w:color w:val="auto"/>
              </w:rPr>
              <w:t>306</w:t>
            </w:r>
          </w:p>
        </w:tc>
        <w:tc>
          <w:tcPr>
            <w:tcW w:w="3980" w:type="dxa"/>
            <w:vAlign w:val="bottom"/>
            <w:tcBorders>
              <w:bottom w:val="single" w:sz="8" w:color="auto"/>
              <w:right w:val="single" w:sz="8" w:color="auto"/>
            </w:tcBorders>
          </w:tcPr>
          <w:p>
            <w:pPr>
              <w:jc w:val="right"/>
              <w:ind w:right="1750"/>
              <w:spacing w:after="0"/>
              <w:rPr>
                <w:sz w:val="20"/>
                <w:szCs w:val="20"/>
                <w:color w:val="auto"/>
              </w:rPr>
            </w:pPr>
            <w:r>
              <w:rPr>
                <w:rFonts w:ascii="Arial" w:cs="Arial" w:eastAsia="Arial" w:hAnsi="Arial"/>
                <w:sz w:val="18"/>
                <w:szCs w:val="18"/>
                <w:color w:val="auto"/>
              </w:rPr>
              <w:t>244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Other Matters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on the information provided by our suppliers through December 31, 2016, we believe that the facilities that may have been used to process conflict minerals in our products include the refiners listed in Annex I below.</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After exercising the due diligence described above, Analog Devices concluded that some of its necessary conflict minerals originated in the Covered Countries. Analog Devices was unable to determine whether or not such conflict minerals directly or indirectly financed an armed group in the Covered Countries. Based on information provided by our suppliers, as well as from the RCOI data from CFSI, Analog Devices believes the countries of origin of the conflict minerals contained in our products may include the countries listed in Annex II below.</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Analog Devices will undertake the following steps during the next compliance period to continue to improve the due diligence conducted and to further mitigate the risk that our necessary conflict minerals benefit armed groups, including: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Continue to participate in industry initiatives, such as the CFSI.</w:t>
      </w:r>
    </w:p>
    <w:p>
      <w:pPr>
        <w:spacing w:after="0" w:line="252" w:lineRule="exact"/>
        <w:rPr>
          <w:sz w:val="20"/>
          <w:szCs w:val="20"/>
          <w:color w:val="auto"/>
        </w:rPr>
      </w:pPr>
    </w:p>
    <w:p>
      <w:pPr>
        <w:ind w:left="900" w:right="280"/>
        <w:spacing w:after="0" w:line="277" w:lineRule="auto"/>
        <w:rPr>
          <w:sz w:val="20"/>
          <w:szCs w:val="20"/>
          <w:color w:val="auto"/>
        </w:rPr>
      </w:pPr>
      <w:r>
        <w:rPr>
          <w:rFonts w:ascii="Arial" w:cs="Arial" w:eastAsia="Arial" w:hAnsi="Arial"/>
          <w:sz w:val="18"/>
          <w:szCs w:val="18"/>
          <w:color w:val="auto"/>
        </w:rPr>
        <w:t>Continue to contact smelters identified as a result of the RCOI process and request their participation in obtaining a “conflict free” designation from an industry program such as the CFSP program or equivalent, if they have not already done so.</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Integrate the recently acquired Linear Technology operations into our conflict-free minerals program.</w:t>
      </w:r>
    </w:p>
    <w:p>
      <w:pPr>
        <w:sectPr>
          <w:pgSz w:w="11900" w:h="16838" w:orient="portrait"/>
          <w:cols w:equalWidth="0" w:num="1">
            <w:col w:w="11440"/>
          </w:cols>
          <w:pgMar w:left="240" w:top="241"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shd w:val="clear" w:color="auto" w:fill="CCCCCC"/>
          </w:tcPr>
          <w:p>
            <w:pPr>
              <w:ind w:left="240"/>
              <w:spacing w:after="0"/>
              <w:rPr>
                <w:sz w:val="20"/>
                <w:szCs w:val="20"/>
                <w:color w:val="auto"/>
              </w:rPr>
            </w:pPr>
            <w:r>
              <w:rPr>
                <w:rFonts w:ascii="Arial" w:cs="Arial" w:eastAsia="Arial" w:hAnsi="Arial"/>
                <w:sz w:val="18"/>
                <w:szCs w:val="18"/>
                <w:b w:val="1"/>
                <w:bCs w:val="1"/>
                <w:color w:val="auto"/>
              </w:rPr>
              <w:t>Metal</w:t>
            </w:r>
          </w:p>
        </w:tc>
        <w:tc>
          <w:tcPr>
            <w:tcW w:w="5260" w:type="dxa"/>
            <w:vAlign w:val="bottom"/>
            <w:tcBorders>
              <w:top w:val="single" w:sz="8" w:color="auto"/>
              <w:bottom w:val="single" w:sz="8" w:color="auto"/>
              <w:right w:val="single" w:sz="8" w:color="auto"/>
            </w:tcBorders>
            <w:shd w:val="clear" w:color="auto" w:fill="CCCCCC"/>
          </w:tcPr>
          <w:p>
            <w:pPr>
              <w:ind w:left="1800"/>
              <w:spacing w:after="0"/>
              <w:rPr>
                <w:sz w:val="20"/>
                <w:szCs w:val="20"/>
                <w:color w:val="auto"/>
              </w:rPr>
            </w:pPr>
            <w:r>
              <w:rPr>
                <w:rFonts w:ascii="Arial" w:cs="Arial" w:eastAsia="Arial" w:hAnsi="Arial"/>
                <w:sz w:val="18"/>
                <w:szCs w:val="18"/>
                <w:b w:val="1"/>
                <w:bCs w:val="1"/>
                <w:color w:val="auto"/>
              </w:rPr>
              <w:t>Standard Smelter Name</w:t>
            </w:r>
          </w:p>
        </w:tc>
        <w:tc>
          <w:tcPr>
            <w:tcW w:w="5240" w:type="dxa"/>
            <w:vAlign w:val="bottom"/>
            <w:tcBorders>
              <w:top w:val="single" w:sz="8" w:color="auto"/>
              <w:bottom w:val="single" w:sz="8" w:color="auto"/>
              <w:right w:val="single" w:sz="8" w:color="auto"/>
            </w:tcBorders>
            <w:shd w:val="clear" w:color="auto" w:fill="CCCCCC"/>
          </w:tcPr>
          <w:p>
            <w:pPr>
              <w:ind w:left="2360"/>
              <w:spacing w:after="0"/>
              <w:rPr>
                <w:sz w:val="20"/>
                <w:szCs w:val="20"/>
                <w:color w:val="auto"/>
              </w:rPr>
            </w:pPr>
            <w:r>
              <w:rPr>
                <w:rFonts w:ascii="Arial" w:cs="Arial" w:eastAsia="Arial" w:hAnsi="Arial"/>
                <w:sz w:val="18"/>
                <w:szCs w:val="18"/>
                <w:b w:val="1"/>
                <w:bCs w:val="1"/>
                <w:color w:val="auto"/>
              </w:rPr>
              <w:t>Location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Abington Reldan Metals, LLC**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Advanced Chemical Company*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Aida Chemical Industries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 Etihad Gold LLC*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ARAB EMIRATES</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Allgemeine Gold-und Silberscheideanstalt A.G.*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Almalyk Mining and Metallurgical Complex (AMMC)*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UZBEKISTAN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AngloGold Ashanti Corrego do Sitio Mineracao*</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Argor-Heraeus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Asahi Pretec Corp.*</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Asahi Refining Canada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CANADA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Asahi Refining USA Inc.*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Asaka Riken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Atasay Kuyumculuk Sanayi Ve Ticaret A.S.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TURKEY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AU Traders and Refiners*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SOUTH AFRICA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Aurubis AG*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Bangalore Refinery**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Bangko Sentral ng Pilipinas (Central Bank of the Philippines)*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PHILIPPINES</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Boliden AB*</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SWEDEN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 Hafner GmbH + Co. KG*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Caridad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MEXICO</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CCR Refinery – Glencore Canada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CANADA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Cendres + Metaux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Chimet S.p.A.*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ITALY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Chugai Mining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Daejin Indus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Daye Non-Ferrous Metals Mining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DODUCO GmbH*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Dowa*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DSC (Do Sung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Eco-System Recycling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Emirates Gold DMCC*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ARAB EMIRATES</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Fidelity Printers and Refiners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ZIMBABWE</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Gansu Seemine Material Hi-Tech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GCC Gujrat Gold Centre Pvt.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Geib Refining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Great Wall Precious Metals Co., Ltd. of CBPM</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Guangdong Jinding Gold Limited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40"/>
          </w:cols>
          <w:pgMar w:left="240" w:top="274" w:right="2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Guoda Safina High-Tech Environmental Refinery Co., Ltd.</w:t>
            </w:r>
          </w:p>
        </w:tc>
        <w:tc>
          <w:tcPr>
            <w:tcW w:w="52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Hangzhou Fuchunjiang Smelting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Heimerle + Meule GmbH*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Heraeus Metals Hong Kong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Heraeus Precious Metals GmbH &amp; Co. KG*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Hunan Chenzhou Mining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HwaSeong CJ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5"/>
              </w:rPr>
              <w:t>Inner Mongolia Qiankun Gold and Silver Refinery Share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Ishifuku Metal Industry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Istanbul Gold Refinery*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TURKEY</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Japan Mint*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Jiangxi Copper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JSC Ekaterinburg Non-Ferrous Metal Processing Plant*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JSC Uralelectromed*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JX Nippon Mining &amp; Metals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Kaloti Precious Metals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ARAB EMIRATES</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Kazakhmys Smelting LLC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KAZAKHSTAN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Kazzinc*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KAZAKHSTAN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Kennecott Utah Copper LLC*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KGHM Polska Miedz Spolka Akcyjna**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POLAND</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Kojima Chemicals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Korea Zinc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Kyrgyzaltyn JSC*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KYRGYZSTAN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Kyshtym Copper-Electrolytic Plant ZAO</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L’azurde Company For Jewelry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SAUDI ARABIA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Lingbao Gold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Lingbao Jinyuan Tonghui Refinery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LS-NIKKO Copper Inc.*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Luoyang Zijin Yinhui Gold Refinery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Materion*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Matsuda Sangyo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(Hong Kong)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(Singapore) Pte.,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SINGAPORE</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(Suzhou)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USA Refining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Metalurgica Met-Mex Penoles S.A. De C.V.*</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MEXICO</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Mitsubishi Materials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440"/>
          </w:cols>
          <w:pgMar w:left="240" w:top="268" w:right="2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Mitsui Mining and Smelting Co., Ltd.*</w:t>
            </w:r>
          </w:p>
        </w:tc>
        <w:tc>
          <w:tcPr>
            <w:tcW w:w="52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MMTC-PAMP India Pvt.,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Modeltech Sdn Bhd**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Morris and Watson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Moscow Special Alloys Processing Plant*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Nadir Metal Rafineri San. Ve Tic. A.S.*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Navoi Mining and Metallurgical Combinat**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Nihon Material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7"/>
              </w:rPr>
              <w:t>Ogussa Osterreichische Gold- und Silber-Scheideanstalt GmbH*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Ohura Precious Metal Industry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Gold</w:t>
            </w:r>
          </w:p>
        </w:tc>
        <w:tc>
          <w:tcPr>
            <w:tcW w:w="526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3"/>
              </w:rPr>
              <w:t>OJSC “The Gulidov Krasnoyarsk Non-Ferrous Metals Plant” (OJSC</w:t>
            </w:r>
          </w:p>
        </w:tc>
        <w:tc>
          <w:tcPr>
            <w:tcW w:w="5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spacing w:after="0"/>
              <w:rPr>
                <w:sz w:val="10"/>
                <w:szCs w:val="10"/>
                <w:color w:val="auto"/>
              </w:rPr>
            </w:pPr>
          </w:p>
        </w:tc>
        <w:tc>
          <w:tcPr>
            <w:tcW w:w="52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Krastsvetmet)*</w:t>
            </w: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5260" w:type="dxa"/>
            <w:vAlign w:val="bottom"/>
            <w:tcBorders>
              <w:bottom w:val="single" w:sz="8" w:color="auto"/>
              <w:right w:val="single" w:sz="8" w:color="auto"/>
            </w:tcBorders>
            <w:vMerge w:val="continue"/>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OJSC Novosibirsk Refinery*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PAMP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Penglai Penggang Gold Industry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Prioksky Plant of Non-Ferrous Metals*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Aneka Tambang (Persero) Tbk*</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PX Precinox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Rand Refinery (Pty)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Remondis Argentia B.V.</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Republic Metals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Royal Canadian Mint*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SAAMP</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Sabin Metal Corp.</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SAFINA A.S.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Sai Refinery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Samduck Precious Metals*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Samwon Metals Corp.</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SAXONIA Edelmetalle GmbH*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Schone Edelmetaal B.V.*</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SEMPSA Joyeria Plateria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Shandong Tiancheng Biological Gold Industrial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Shandong Zhaojin Gold &amp; Silver Refinery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Sichuan Tianze Precious Metals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Singway Technology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TAIWAN, PROVINCE OF 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So Accurate Group, Inc.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SOE Shyolkovsky Factory of Secondary Precious Metals*</w:t>
            </w:r>
          </w:p>
        </w:tc>
        <w:tc>
          <w:tcPr>
            <w:tcW w:w="52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Solar Applied Materials Technology Corp.*</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TAIWAN, PROVINCE OF 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Sudan Gold Refinery</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SUDAN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Sumitomo Metal Mining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T.C.A S.p.A*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ITALY</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Tanaka Kikinzoku Kogyo K.K.*</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Refinery of Shandong Gold Mining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Tokuriki Honten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Tongling Nonferrous Metals Group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Tony Goetz NV**</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BELGIUM</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TOO Tau-Ken-Altyn</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KAZAKHSTAN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Torecom*</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Umicore Brasil Ltda.*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Umicore Precious Metals Thailand*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THAILAND</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Umicore S.A. Business Unit Precious Metals Refining*</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BELGIUM</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United Precious Metal Refining, Inc.*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Universal Precious Metals Refining Zambia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ZAMBIA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Valcambi S.A.*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SWITZERLAND</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Western Australian Mint (T/a The Perth Mint)*</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AUSTRALIA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WIELAND Edelmetalle GmbH*</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Yamamoto Precious Metal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Yokohama Metal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Yunnan Copper Industry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Zhongyuan Gold Smelter of Zhongjin Gold Corporation*</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Gold</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Gold Refinery of Zijin Mining Group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Changsha South Tantalum Niobium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Conghua Tantalum and Niobium Smeltry*</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 Block Metals, LLC*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Duoluoshan*</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Exotech Inc.*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F&amp;X Electro-Materials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FIR Metals &amp; Resource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Global Advanced Metals Aizu*</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Global Advanced Metals Boyertown*</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Guangdong Zhiyuan New Material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THAILAND</w:t>
            </w:r>
          </w:p>
        </w:tc>
      </w:tr>
    </w:tbl>
    <w:p>
      <w:pPr>
        <w:sectPr>
          <w:pgSz w:w="11900" w:h="16838" w:orient="portrait"/>
          <w:cols w:equalWidth="0" w:num="1">
            <w:col w:w="11440"/>
          </w:cols>
          <w:pgMar w:left="240" w:top="268" w:right="21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Hermsdorf GmbH*</w:t>
            </w:r>
          </w:p>
        </w:tc>
        <w:tc>
          <w:tcPr>
            <w:tcW w:w="52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Inc.*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Smelting GmbH &amp; Co. KG*</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Tantalum and Niobium GmbH*</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Hengyang King Xing Lifeng New Materials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Hi-Temp Specialty Metals, Inc.*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Dinghai Tantalum &amp; Niobium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Tuohong New Raw Material*</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JiuJiang JinXin Nonferrous Metals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Jiujiang Nonferrous Metals Smelting Company Limited*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Jiujiang Zhongao Tantalum &amp; Niobium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KEMET Blue Metals*</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MEXICO</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KEMET Blue Powder*</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King-Tan Tantalum Industry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LSM Brasil S.A.*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Metallurgical Products India Pvt.,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INDIA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Mineracao Taboca S.A.*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Mitsui Mining and Smelting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Ningxia Orient Tantalum Industry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NPM Silmet AS*</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ESTONIA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Power Resources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MACEDONIA (THE FORMER YUGOSLAV REPUBLIC OF)</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QuantumClean*</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Resind Industria e Comercio Ltda.*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Solikamsk Magnesium Works OAO*</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Taki Chemical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Telex Metals*</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Tranzact, Inc.*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Ulba Metallurgical Plant JSC*</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KAZAKHSTAN</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XinXing HaoRong Electronic Material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RFH Tantalum Smeltry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Yichun Jin Yang Rare Metal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Tantalum</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Zhuzhou Cemented Carbide Group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Alpha*</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 Thai Minerals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 Vinh Joint Stock Mineral Processing Company</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Chenzhou Yunxiang Mining and Metallurgy Co., Ltd.*</w:t>
            </w:r>
          </w:p>
        </w:tc>
        <w:tc>
          <w:tcPr>
            <w:tcW w:w="52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40"/>
          </w:cols>
          <w:pgMar w:left="240" w:top="268" w:right="21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China Tin Group Co., Ltd.*</w:t>
            </w:r>
          </w:p>
        </w:tc>
        <w:tc>
          <w:tcPr>
            <w:tcW w:w="52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CNMC (Guangxi) PGMA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Cooperativa Metalurgica de Rondonia Ltda.*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Ayi Jaya*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Dua Sekawan*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Gita Pesona*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Serumpun Sebalai*</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Tiga Sekawan*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United Smelting*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CV Venus Inti Perkasa*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Dowa*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95"/>
        </w:trPr>
        <w:tc>
          <w:tcPr>
            <w:tcW w:w="94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Tin</w:t>
            </w:r>
          </w:p>
        </w:tc>
        <w:tc>
          <w:tcPr>
            <w:tcW w:w="526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color w:val="auto"/>
                <w:w w:val="94"/>
              </w:rPr>
              <w:t>Electro-Mechanical Facility of the Cao Bang Minerals &amp; Metallurgy</w:t>
            </w:r>
          </w:p>
        </w:tc>
        <w:tc>
          <w:tcPr>
            <w:tcW w:w="5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right w:val="single" w:sz="8" w:color="auto"/>
            </w:tcBorders>
          </w:tcPr>
          <w:p>
            <w:pPr>
              <w:spacing w:after="0"/>
              <w:rPr>
                <w:sz w:val="10"/>
                <w:szCs w:val="10"/>
                <w:color w:val="auto"/>
              </w:rPr>
            </w:pPr>
          </w:p>
        </w:tc>
        <w:tc>
          <w:tcPr>
            <w:tcW w:w="52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Joint Stock Company**</w:t>
            </w: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5260" w:type="dxa"/>
            <w:vAlign w:val="bottom"/>
            <w:tcBorders>
              <w:bottom w:val="single" w:sz="8" w:color="auto"/>
              <w:right w:val="single" w:sz="8" w:color="auto"/>
            </w:tcBorders>
            <w:vMerge w:val="continue"/>
          </w:tcPr>
          <w:p>
            <w:pPr>
              <w:spacing w:after="0"/>
              <w:rPr>
                <w:sz w:val="9"/>
                <w:szCs w:val="9"/>
                <w:color w:val="auto"/>
              </w:rPr>
            </w:pPr>
          </w:p>
        </w:tc>
        <w:tc>
          <w:tcPr>
            <w:tcW w:w="5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Elmet S.L.U.*</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EM Vinto*</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BOLIVIA (PLURINATIONAL STATE OF)</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Estanho de Rondonia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Fenix Metals*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Fengming Metallurgy Chemical Plant*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Jinye Mineral Company*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Kai Meng Industry and Trade LLC**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Yunxin Nonferrous Electrolysis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HuiChang Hill Tin Industry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Huichang Jinshunda Tin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Jiangxi Ketai Advanced Material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Magnu’s Minerais Metais e Ligas Ltda.*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Malaysia Smelting Corporation (MSC)*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Melt Metais e Ligas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Metahub Industries Sdn. Bhd.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Metallic Resources, Inc.*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Metallo-Chimique N.V.*</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Mineracao Taboca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Minsur*</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Mitsubishi Materials Corporation*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Modeltech Sdn Bhd**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Nankang Nanshan Tin Manufactory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Nghe Tinh Non-Ferrous Metals Joint Stock Company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O.M. Manufacturing (Thailand) Co., Ltd.*</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9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O.M. Manufacturing Philippines, Inc.*</w:t>
            </w:r>
          </w:p>
        </w:tc>
        <w:tc>
          <w:tcPr>
            <w:tcW w:w="52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PHILIPPINES</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Operaciones Metalurgical 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BOLIVIA (PLURINATIONAL STATE OF)</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Aries Kencana Sejahtera*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Artha Cipta Langgeng*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ATD Makmur Mandiri Jaya*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Babel Inti Perkasa*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Bangka Prima Tin*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Bangka Tin Industry*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Belitung Industri Sejahtera*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Bukit Timah*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DS Jaya Abadi*</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Eunindo Usaha Mandiri*</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Inti Stania Prima*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Karimun Mining*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Kijang Jaya Mandiri*</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Lautan Harmonis Sejahtera*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Menara Cipta Mulia*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Mitra Stania Prima*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O.M. Indonesia*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Panca Mega Persada*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Prima Timah Utama*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Refined Bangka Tin*</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Sariwiguna Binasentosa*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Stanindo Inti Perkasa*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Sukses Inti Makmur*</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Sumber Jaya Indah*</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Timah (Persero) Tbk Kundur*</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Timah (Persero) Tbk Mentok*</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Tinindo Inter Nusa*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Tommy Utama*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INDONESIA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Resind Industria e Comercio Ltda.*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Rui Da Hung*</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TAIWAN, PROVINCE OF CHINA</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Soft Metais Ltda.*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Super Ligas</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Thaisarco*</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THAILAND</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Tuyen Quang Non-Ferrous Metals Joint Stock Company</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VQB Mineral and Trading Group JSC*</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2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White Solder Metalurgia e Mineracao Ltda.*</w:t>
            </w:r>
          </w:p>
        </w:tc>
        <w:tc>
          <w:tcPr>
            <w:tcW w:w="52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bl>
    <w:p>
      <w:pPr>
        <w:sectPr>
          <w:pgSz w:w="11900" w:h="16838" w:orient="portrait"/>
          <w:cols w:equalWidth="0" w:num="1">
            <w:col w:w="11440"/>
          </w:cols>
          <w:pgMar w:left="240" w:top="268" w:right="2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Yunnan Chengfeng Non-ferrous Metals Co., Ltd.**</w:t>
            </w:r>
          </w:p>
        </w:tc>
        <w:tc>
          <w:tcPr>
            <w:tcW w:w="52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Tin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Yunnan Tin Company Limited*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A.L.M.T. TUNGSTEN Corp.*</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ACL Metais Eireli**</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BRAZIL</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Asia Tungsten Products Vietnam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Chenzhou Diamond Tungsten Products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Chongyi Zhangyuan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Fujian Jinxin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Ganzhou Huaxing Tungsten Products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Ganzhou Jiangwu Ferrotungsten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Ganzhou Seadragon W &amp; Mo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Ganzhou Yatai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Global Tungsten &amp; Powders Corp.*</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Guangdong Xianglu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Smelting GmbH &amp; Co. KG*</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H.C. Starck Tungsten GmbH*</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GERMANY</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Hunan Chenzhou Mining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Hunan Chuangda Vanadium Tungsten Co., Ltd. Wuji*</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Hunan Chunchang Nonferrous Metals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Hydrometallurg, JSC*</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Japan New Metals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JAPAN</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Jiangwu H.C. Starck Tungsten Products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Dayu Longxintai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Gan Bei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Minmetals Gao’an Non-ferrous Metals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Jiangxi Tonggu Non-ferrous Metallurgical &amp; Chemical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Xinsheng Tungsten Industry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Xiushui Xianggan Nonferrous Metals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Jiangxi Yaosheng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Kennametal Fallon*</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Kennametal Huntsville*</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Malipo Haiyu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Moliren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Niagara Refining LLC*</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8"/>
              </w:rPr>
              <w:t>Nui Phao H.C. Starck Tungsten Chemicals Manufacturing LLC*</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Philippine Chuangxin Industrial Co., Inc.*</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PHILIPPINES</w:t>
            </w:r>
          </w:p>
        </w:tc>
      </w:tr>
    </w:tbl>
    <w:p>
      <w:pPr>
        <w:sectPr>
          <w:pgSz w:w="11900" w:h="16838" w:orient="portrait"/>
          <w:cols w:equalWidth="0" w:num="1">
            <w:col w:w="11440"/>
          </w:cols>
          <w:pgMar w:left="240" w:top="268" w:right="2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10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4"/>
              </w:rPr>
              <w:t>South-East Nonferrous Metal Company Limited of Hengyang City*</w:t>
            </w:r>
          </w:p>
        </w:tc>
        <w:tc>
          <w:tcPr>
            <w:tcW w:w="52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Tejing (Vietnam)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Unecha Refractory metals plant*</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Vietnam Youngsun Tungsten Industry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VIET NAM</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Wolfram Bergbau und Hutten AG*</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AUSTRIA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Woltech Korea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Xiamen Tungsten (H.C.)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Xiamen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6"/>
              </w:rPr>
              <w:t>Xinfeng Huarui Tungsten &amp; Molybdenum New Material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r>
        <w:trPr>
          <w:trHeight w:val="210"/>
        </w:trPr>
        <w:tc>
          <w:tcPr>
            <w:tcW w:w="1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Tungsten</w:t>
            </w:r>
          </w:p>
        </w:tc>
        <w:tc>
          <w:tcPr>
            <w:tcW w:w="51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Xinhai Rendan Shaoguan Tungsten Co., Ltd.*</w:t>
            </w:r>
          </w:p>
        </w:tc>
        <w:tc>
          <w:tcPr>
            <w:tcW w:w="52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CHINA</w:t>
            </w: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Smelter name included in the Conflict-Free Smelters List as of April 26, 2017</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Smelter name included in the CFSI Active Smelters and Refiners List as of April 26, 2017</w:t>
      </w:r>
    </w:p>
    <w:p>
      <w:pPr>
        <w:sectPr>
          <w:pgSz w:w="11900" w:h="16838" w:orient="portrait"/>
          <w:cols w:equalWidth="0" w:num="1">
            <w:col w:w="11440"/>
          </w:cols>
          <w:pgMar w:left="240" w:top="268"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Australia</w:t>
            </w:r>
          </w:p>
        </w:tc>
        <w:tc>
          <w:tcPr>
            <w:tcW w:w="34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Malaysia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Austria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Mali</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Benin</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Bolivia (Plurinational State of)</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Mongolia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Brazil</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Mozambique</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Burkina Faso</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Myanmar</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Burundi</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Namibia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Cambodia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Nicaragua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Canada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Nigeria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Chile</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Panama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China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Peru</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Colombia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Portugal</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Ecuador</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Eritrea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Rwanda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Ethiopia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Senegal</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France</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Sierra Leone</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Ghana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South Africa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Guatemala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Guinea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Guyana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Democratic Republic of Congo</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Honduras</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Togo</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Uganda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Indonesia</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 of America</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Japan</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Uzbekistan</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Laos</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Vietnam</w:t>
            </w:r>
          </w:p>
        </w:tc>
      </w:tr>
      <w:tr>
        <w:trPr>
          <w:trHeight w:val="210"/>
        </w:trPr>
        <w:tc>
          <w:tcPr>
            <w:tcW w:w="3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Madagascar</w:t>
            </w:r>
          </w:p>
        </w:tc>
        <w:tc>
          <w:tcPr>
            <w:tcW w:w="34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Zimbabwe</w:t>
            </w:r>
          </w:p>
        </w:tc>
      </w:tr>
    </w:tbl>
    <w:p>
      <w:pPr>
        <w:spacing w:after="0" w:line="1" w:lineRule="exact"/>
        <w:rPr>
          <w:sz w:val="20"/>
          <w:szCs w:val="20"/>
          <w:color w:val="auto"/>
        </w:rPr>
      </w:pP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
      <w:numFmt w:val="bullet"/>
      <w:start w:val="1"/>
    </w:lvl>
  </w:abstractNum>
  <w:abstractNum w:abstractNumId="2">
    <w:nsid w:val="41B71EFB"/>
    <w:multiLevelType w:val="hybridMultilevel"/>
    <w:lvl w:ilvl="0">
      <w:lvlJc w:val="left"/>
      <w:lvlText w:val=" "/>
      <w:numFmt w:val="bullet"/>
      <w:start w:val="1"/>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upperLetter"/>
      <w:start w:val="2"/>
    </w:lvl>
  </w:abstractNum>
  <w:abstractNum w:abstractNumId="5">
    <w:nsid w:val="515F007C"/>
    <w:multiLevelType w:val="hybridMultilevel"/>
    <w:lvl w:ilvl="0">
      <w:lvlJc w:val="left"/>
      <w:lvlText w:val=" "/>
      <w:numFmt w:val="bullet"/>
      <w:start w:val="1"/>
    </w:lvl>
  </w:abstractNum>
  <w:abstractNum w:abstractNumId="6">
    <w:nsid w:val="5BD062C2"/>
    <w:multiLevelType w:val="hybridMultilevel"/>
    <w:lvl w:ilvl="0">
      <w:lvlJc w:val="left"/>
      <w:lvlText w:val=" "/>
      <w:numFmt w:val="bullet"/>
      <w:start w:val="1"/>
    </w:lvl>
  </w:abstractNum>
  <w:abstractNum w:abstractNumId="7">
    <w:nsid w:val="12200854"/>
    <w:multiLevelType w:val="hybridMultilevel"/>
    <w:lvl w:ilvl="0">
      <w:lvlJc w:val="left"/>
      <w:lvlText w:val=" "/>
      <w:numFmt w:val="bullet"/>
      <w:start w:val="1"/>
    </w:lvl>
  </w:abstractNum>
  <w:abstractNum w:abstractNumId="8">
    <w:nsid w:val="4DB127F8"/>
    <w:multiLevelType w:val="hybridMultilevel"/>
    <w:lvl w:ilvl="0">
      <w:lvlJc w:val="left"/>
      <w:lvlText w:val=" "/>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2019-12-05T01:19:03Z</dcterms:created>
  <dcterms:modified xsi:type="dcterms:W3CDTF">2019-12-05T01:19:03Z</dcterms:modified>
</cp:coreProperties>
</file>