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7"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February 4, 2012</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314" w:right="239" w:bottom="1440" w:gutter="0" w:footer="0" w:header="0"/>
        </w:sectPr>
      </w:pPr>
    </w:p>
    <w:p>
      <w:pPr>
        <w:spacing w:after="0" w:line="41" w:lineRule="exact"/>
        <w:rPr>
          <w:sz w:val="24"/>
          <w:szCs w:val="24"/>
          <w:color w:val="auto"/>
        </w:rPr>
      </w:pPr>
    </w:p>
    <w:p>
      <w:pPr>
        <w:ind w:left="39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35" w:lineRule="exact"/>
        <w:rPr>
          <w:sz w:val="24"/>
          <w:szCs w:val="24"/>
          <w:color w:val="auto"/>
        </w:rPr>
      </w:pPr>
    </w:p>
    <w:p>
      <w:pPr>
        <w:sectPr>
          <w:pgSz w:w="11900" w:h="16838" w:orient="portrait"/>
          <w:cols w:equalWidth="0" w:num="2">
            <w:col w:w="6220" w:space="540"/>
            <w:col w:w="4660"/>
          </w:cols>
          <w:pgMar w:left="240" w:top="314"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No. 1-7819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type w:val="continuous"/>
        </w:sectPr>
      </w:pPr>
    </w:p>
    <w:p>
      <w:pPr>
        <w:spacing w:after="0" w:line="27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Analog Devices,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500" w:type="dxa"/>
        <w:tblCellMar>
          <w:top w:w="0" w:type="dxa"/>
          <w:left w:w="0" w:type="dxa"/>
          <w:bottom w:w="0" w:type="dxa"/>
          <w:right w:w="0" w:type="dxa"/>
        </w:tblCellMar>
      </w:tblPr>
      <w:tr>
        <w:trPr>
          <w:trHeight w:val="218"/>
        </w:trPr>
        <w:tc>
          <w:tcPr>
            <w:tcW w:w="6200" w:type="dxa"/>
            <w:vAlign w:val="bottom"/>
          </w:tcPr>
          <w:p>
            <w:pPr>
              <w:jc w:val="center"/>
              <w:ind w:right="3404"/>
              <w:spacing w:after="0"/>
              <w:rPr>
                <w:sz w:val="20"/>
                <w:szCs w:val="20"/>
                <w:color w:val="auto"/>
              </w:rPr>
            </w:pPr>
            <w:r>
              <w:rPr>
                <w:rFonts w:ascii="Arial" w:cs="Arial" w:eastAsia="Arial" w:hAnsi="Arial"/>
                <w:sz w:val="18"/>
                <w:szCs w:val="18"/>
                <w:b w:val="1"/>
                <w:bCs w:val="1"/>
                <w:color w:val="auto"/>
                <w:w w:val="83"/>
              </w:rPr>
              <w:t>Massachusetts</w:t>
            </w:r>
          </w:p>
        </w:tc>
        <w:tc>
          <w:tcPr>
            <w:tcW w:w="1520" w:type="dxa"/>
            <w:vAlign w:val="bottom"/>
          </w:tcPr>
          <w:p>
            <w:pPr>
              <w:jc w:val="center"/>
              <w:ind w:left="364"/>
              <w:spacing w:after="0"/>
              <w:rPr>
                <w:sz w:val="20"/>
                <w:szCs w:val="20"/>
                <w:color w:val="auto"/>
              </w:rPr>
            </w:pPr>
            <w:r>
              <w:rPr>
                <w:rFonts w:ascii="Arial" w:cs="Arial" w:eastAsia="Arial" w:hAnsi="Arial"/>
                <w:sz w:val="18"/>
                <w:szCs w:val="18"/>
                <w:b w:val="1"/>
                <w:bCs w:val="1"/>
                <w:color w:val="auto"/>
                <w:w w:val="87"/>
              </w:rPr>
              <w:t>04-2348234</w:t>
            </w:r>
          </w:p>
        </w:tc>
      </w:tr>
      <w:tr>
        <w:trPr>
          <w:trHeight w:val="149"/>
        </w:trPr>
        <w:tc>
          <w:tcPr>
            <w:tcW w:w="6200" w:type="dxa"/>
            <w:vAlign w:val="bottom"/>
          </w:tcPr>
          <w:p>
            <w:pPr>
              <w:jc w:val="center"/>
              <w:ind w:right="340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200" w:type="dxa"/>
            <w:vAlign w:val="bottom"/>
          </w:tcPr>
          <w:p>
            <w:pPr>
              <w:jc w:val="center"/>
              <w:ind w:right="3404"/>
              <w:spacing w:after="0"/>
              <w:rPr>
                <w:sz w:val="20"/>
                <w:szCs w:val="20"/>
                <w:color w:val="auto"/>
              </w:rPr>
            </w:pPr>
            <w:r>
              <w:rPr>
                <w:rFonts w:ascii="Arial" w:cs="Arial" w:eastAsia="Arial" w:hAnsi="Arial"/>
                <w:sz w:val="14"/>
                <w:szCs w:val="14"/>
                <w:b w:val="1"/>
                <w:bCs w:val="1"/>
                <w:color w:val="auto"/>
                <w:w w:val="88"/>
              </w:rPr>
              <w:t>incorporation or organization)</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6200" w:type="dxa"/>
            <w:vAlign w:val="bottom"/>
          </w:tcPr>
          <w:p>
            <w:pPr>
              <w:jc w:val="center"/>
              <w:ind w:right="3384"/>
              <w:spacing w:after="0"/>
              <w:rPr>
                <w:sz w:val="20"/>
                <w:szCs w:val="20"/>
                <w:color w:val="auto"/>
              </w:rPr>
            </w:pPr>
            <w:r>
              <w:rPr>
                <w:rFonts w:ascii="Arial" w:cs="Arial" w:eastAsia="Arial" w:hAnsi="Arial"/>
                <w:sz w:val="18"/>
                <w:szCs w:val="18"/>
                <w:b w:val="1"/>
                <w:bCs w:val="1"/>
                <w:color w:val="auto"/>
                <w:w w:val="88"/>
              </w:rPr>
              <w:t>One Technology Way, Norwood, MA</w:t>
            </w:r>
          </w:p>
        </w:tc>
        <w:tc>
          <w:tcPr>
            <w:tcW w:w="1520" w:type="dxa"/>
            <w:vAlign w:val="bottom"/>
          </w:tcPr>
          <w:p>
            <w:pPr>
              <w:jc w:val="center"/>
              <w:ind w:left="364"/>
              <w:spacing w:after="0"/>
              <w:rPr>
                <w:sz w:val="20"/>
                <w:szCs w:val="20"/>
                <w:color w:val="auto"/>
              </w:rPr>
            </w:pPr>
            <w:r>
              <w:rPr>
                <w:rFonts w:ascii="Arial" w:cs="Arial" w:eastAsia="Arial" w:hAnsi="Arial"/>
                <w:sz w:val="18"/>
                <w:szCs w:val="18"/>
                <w:b w:val="1"/>
                <w:bCs w:val="1"/>
                <w:color w:val="auto"/>
                <w:w w:val="87"/>
              </w:rPr>
              <w:t>02062-9106</w:t>
            </w:r>
          </w:p>
        </w:tc>
      </w:tr>
      <w:tr>
        <w:trPr>
          <w:trHeight w:val="174"/>
        </w:trPr>
        <w:tc>
          <w:tcPr>
            <w:tcW w:w="6200" w:type="dxa"/>
            <w:vAlign w:val="bottom"/>
          </w:tcPr>
          <w:p>
            <w:pPr>
              <w:jc w:val="center"/>
              <w:ind w:right="340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200" w:type="dxa"/>
            <w:vAlign w:val="bottom"/>
          </w:tcPr>
          <w:p>
            <w:pPr>
              <w:jc w:val="right"/>
              <w:ind w:right="1364"/>
              <w:spacing w:after="0"/>
              <w:rPr>
                <w:sz w:val="20"/>
                <w:szCs w:val="20"/>
                <w:color w:val="auto"/>
              </w:rPr>
            </w:pPr>
            <w:r>
              <w:rPr>
                <w:rFonts w:ascii="Arial" w:cs="Arial" w:eastAsia="Arial" w:hAnsi="Arial"/>
                <w:sz w:val="18"/>
                <w:szCs w:val="18"/>
                <w:b w:val="1"/>
                <w:bCs w:val="1"/>
                <w:color w:val="auto"/>
              </w:rPr>
              <w:t>(781) 329-4700</w:t>
            </w:r>
          </w:p>
        </w:tc>
        <w:tc>
          <w:tcPr>
            <w:tcW w:w="1520" w:type="dxa"/>
            <w:vAlign w:val="bottom"/>
          </w:tcPr>
          <w:p>
            <w:pPr>
              <w:spacing w:after="0"/>
              <w:rPr>
                <w:sz w:val="24"/>
                <w:szCs w:val="24"/>
                <w:color w:val="auto"/>
              </w:rPr>
            </w:pPr>
          </w:p>
        </w:tc>
      </w:tr>
      <w:tr>
        <w:trPr>
          <w:trHeight w:val="174"/>
        </w:trPr>
        <w:tc>
          <w:tcPr>
            <w:tcW w:w="6200" w:type="dxa"/>
            <w:vAlign w:val="bottom"/>
          </w:tcPr>
          <w:p>
            <w:pPr>
              <w:jc w:val="center"/>
              <w:ind w:left="214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314" w:right="239" w:bottom="1440" w:gutter="0" w:footer="0" w:header="0"/>
          <w:type w:val="continuous"/>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314"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80"/>
            <w:col w:w="5880" w:space="720"/>
            <w:col w:w="1920" w:space="480"/>
            <w:col w:w="160"/>
          </w:cols>
          <w:pgMar w:left="240" w:top="314"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6" w:lineRule="exact"/>
        <w:rPr>
          <w:sz w:val="24"/>
          <w:szCs w:val="24"/>
          <w:color w:val="auto"/>
        </w:rPr>
      </w:pPr>
    </w:p>
    <w:p>
      <w:pPr>
        <w:sectPr>
          <w:pgSz w:w="11900" w:h="16838" w:orient="portrait"/>
          <w:cols w:equalWidth="0" w:num="4">
            <w:col w:w="8440" w:space="160"/>
            <w:col w:w="340" w:space="80"/>
            <w:col w:w="160" w:space="180"/>
            <w:col w:w="2060"/>
          </w:cols>
          <w:pgMar w:left="240" w:top="314" w:right="23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As of February 4, 2012 there were 297,832,028 shares of common stock of the registrant, $0.16 2/3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 - FINANCIAL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color w:val="auto"/>
                <w:w w:val="88"/>
              </w:rPr>
              <w:t>Three Months Ended</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80" w:type="dxa"/>
            <w:vAlign w:val="bottom"/>
            <w:gridSpan w:val="3"/>
          </w:tcPr>
          <w:p>
            <w:pPr>
              <w:spacing w:after="0" w:line="142" w:lineRule="exact"/>
              <w:rPr>
                <w:sz w:val="20"/>
                <w:szCs w:val="20"/>
                <w:color w:val="auto"/>
              </w:rPr>
            </w:pPr>
            <w:r>
              <w:rPr>
                <w:rFonts w:ascii="Arial" w:cs="Arial" w:eastAsia="Arial" w:hAnsi="Arial"/>
                <w:sz w:val="14"/>
                <w:szCs w:val="14"/>
                <w:color w:val="auto"/>
              </w:rPr>
              <w:t>February 4, 2012</w:t>
            </w:r>
          </w:p>
        </w:tc>
        <w:tc>
          <w:tcPr>
            <w:tcW w:w="280" w:type="dxa"/>
            <w:vAlign w:val="bottom"/>
          </w:tcPr>
          <w:p>
            <w:pPr>
              <w:spacing w:after="0"/>
              <w:rPr>
                <w:sz w:val="12"/>
                <w:szCs w:val="12"/>
                <w:color w:val="auto"/>
              </w:rPr>
            </w:pPr>
          </w:p>
        </w:tc>
        <w:tc>
          <w:tcPr>
            <w:tcW w:w="940" w:type="dxa"/>
            <w:vAlign w:val="bottom"/>
            <w:gridSpan w:val="2"/>
          </w:tcPr>
          <w:p>
            <w:pPr>
              <w:spacing w:after="0" w:line="142" w:lineRule="exact"/>
              <w:rPr>
                <w:sz w:val="20"/>
                <w:szCs w:val="20"/>
                <w:color w:val="auto"/>
              </w:rPr>
            </w:pPr>
            <w:r>
              <w:rPr>
                <w:rFonts w:ascii="Arial" w:cs="Arial" w:eastAsia="Arial" w:hAnsi="Arial"/>
                <w:sz w:val="14"/>
                <w:szCs w:val="14"/>
                <w:color w:val="auto"/>
                <w:w w:val="85"/>
              </w:rPr>
              <w:t>January 29,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2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648,058</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728,504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Cost of sales (1)</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238,668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246,331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409,390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482,173</w:t>
            </w:r>
          </w:p>
        </w:tc>
        <w:tc>
          <w:tcPr>
            <w:tcW w:w="0" w:type="dxa"/>
            <w:vAlign w:val="bottom"/>
          </w:tcPr>
          <w:p>
            <w:pPr>
              <w:spacing w:after="0"/>
              <w:rPr>
                <w:sz w:val="1"/>
                <w:szCs w:val="1"/>
                <w:color w:val="auto"/>
              </w:rPr>
            </w:pPr>
          </w:p>
        </w:tc>
      </w:tr>
      <w:tr>
        <w:trPr>
          <w:trHeight w:val="323"/>
        </w:trPr>
        <w:tc>
          <w:tcPr>
            <w:tcW w:w="67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 (1)</w:t>
            </w: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124,378</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122,745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Selling, marketing, general and administrative (1)</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99,045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100,022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Special charge</w:t>
            </w: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2,595</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226,018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222,767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6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from continuing operations</w:t>
            </w: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183,372</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259,406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6,682</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(3,348)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3,286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180,086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258,820</w:t>
            </w:r>
          </w:p>
        </w:tc>
        <w:tc>
          <w:tcPr>
            <w:tcW w:w="0" w:type="dxa"/>
            <w:vAlign w:val="bottom"/>
          </w:tcPr>
          <w:p>
            <w:pPr>
              <w:spacing w:after="0"/>
              <w:rPr>
                <w:sz w:val="1"/>
                <w:szCs w:val="1"/>
                <w:color w:val="auto"/>
              </w:rPr>
            </w:pPr>
          </w:p>
        </w:tc>
      </w:tr>
      <w:tr>
        <w:trPr>
          <w:trHeight w:val="323"/>
        </w:trPr>
        <w:tc>
          <w:tcPr>
            <w:tcW w:w="67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40,704</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43,214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139,382</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215,606</w:t>
            </w:r>
          </w:p>
        </w:tc>
        <w:tc>
          <w:tcPr>
            <w:tcW w:w="0" w:type="dxa"/>
            <w:vAlign w:val="bottom"/>
          </w:tcPr>
          <w:p>
            <w:pPr>
              <w:spacing w:after="0"/>
              <w:rPr>
                <w:sz w:val="1"/>
                <w:szCs w:val="1"/>
                <w:color w:val="auto"/>
              </w:rPr>
            </w:pPr>
          </w:p>
        </w:tc>
      </w:tr>
      <w:tr>
        <w:trPr>
          <w:trHeight w:val="230"/>
        </w:trPr>
        <w:tc>
          <w:tcPr>
            <w:tcW w:w="6700" w:type="dxa"/>
            <w:vAlign w:val="bottom"/>
            <w:gridSpan w:val="2"/>
          </w:tcPr>
          <w:p>
            <w:pPr>
              <w:spacing w:after="0"/>
              <w:rPr>
                <w:sz w:val="20"/>
                <w:szCs w:val="20"/>
                <w:color w:val="auto"/>
              </w:rPr>
            </w:pPr>
            <w:r>
              <w:rPr>
                <w:rFonts w:ascii="Arial" w:cs="Arial" w:eastAsia="Arial" w:hAnsi="Arial"/>
                <w:sz w:val="18"/>
                <w:szCs w:val="18"/>
                <w:color w:val="auto"/>
              </w:rPr>
              <w:t>Gain on sale of discontinued operations, net of tax</w:t>
            </w:r>
          </w:p>
        </w:tc>
        <w:tc>
          <w:tcPr>
            <w:tcW w:w="21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34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139,382</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222,106</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Shares used to compute earnings per share – basic</w:t>
            </w:r>
          </w:p>
        </w:tc>
        <w:tc>
          <w:tcPr>
            <w:tcW w:w="2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00" w:type="dxa"/>
            <w:vAlign w:val="bottom"/>
            <w:gridSpan w:val="2"/>
            <w:vMerge w:val="continue"/>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297,788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299,218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earnings per share – diluted</w:t>
            </w: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305,531</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308,848</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 from continuing operations</w:t>
            </w:r>
          </w:p>
        </w:tc>
        <w:tc>
          <w:tcPr>
            <w:tcW w:w="2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00" w:type="dxa"/>
            <w:vAlign w:val="bottom"/>
            <w:gridSpan w:val="2"/>
            <w:vMerge w:val="continue"/>
          </w:tcPr>
          <w:p>
            <w:pPr>
              <w:spacing w:after="0"/>
              <w:rPr>
                <w:sz w:val="18"/>
                <w:szCs w:val="18"/>
                <w:color w:val="auto"/>
              </w:rPr>
            </w:pPr>
          </w:p>
        </w:tc>
        <w:tc>
          <w:tcPr>
            <w:tcW w:w="234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0.47</w:t>
            </w:r>
          </w:p>
        </w:tc>
        <w:tc>
          <w:tcPr>
            <w:tcW w:w="5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34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0.47</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2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00" w:type="dxa"/>
            <w:vAlign w:val="bottom"/>
            <w:gridSpan w:val="2"/>
            <w:vMerge w:val="continue"/>
          </w:tcPr>
          <w:p>
            <w:pPr>
              <w:spacing w:after="0"/>
              <w:rPr>
                <w:sz w:val="18"/>
                <w:szCs w:val="18"/>
                <w:color w:val="auto"/>
              </w:rPr>
            </w:pPr>
          </w:p>
        </w:tc>
        <w:tc>
          <w:tcPr>
            <w:tcW w:w="234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0.46</w:t>
            </w:r>
          </w:p>
        </w:tc>
        <w:tc>
          <w:tcPr>
            <w:tcW w:w="5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34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0.46</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Dividends declared and paid per share</w:t>
            </w:r>
          </w:p>
        </w:tc>
        <w:tc>
          <w:tcPr>
            <w:tcW w:w="2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700" w:type="dxa"/>
            <w:vAlign w:val="bottom"/>
            <w:gridSpan w:val="2"/>
            <w:vMerge w:val="continue"/>
          </w:tcPr>
          <w:p>
            <w:pPr>
              <w:spacing w:after="0"/>
              <w:rPr>
                <w:sz w:val="18"/>
                <w:szCs w:val="18"/>
                <w:color w:val="auto"/>
              </w:rPr>
            </w:pPr>
          </w:p>
        </w:tc>
        <w:tc>
          <w:tcPr>
            <w:tcW w:w="234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0.25</w:t>
            </w:r>
          </w:p>
        </w:tc>
        <w:tc>
          <w:tcPr>
            <w:tcW w:w="5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vMerge w:val="restart"/>
          </w:tcPr>
          <w:p>
            <w:pPr>
              <w:ind w:left="420"/>
              <w:spacing w:after="0"/>
              <w:rPr>
                <w:sz w:val="20"/>
                <w:szCs w:val="20"/>
                <w:color w:val="auto"/>
              </w:rPr>
            </w:pPr>
            <w:r>
              <w:rPr>
                <w:rFonts w:ascii="Arial" w:cs="Arial" w:eastAsia="Arial" w:hAnsi="Arial"/>
                <w:sz w:val="18"/>
                <w:szCs w:val="18"/>
                <w:color w:val="auto"/>
              </w:rPr>
              <w:t>(1) Includes stock-based compensation expense as follows:</w:t>
            </w:r>
          </w:p>
        </w:tc>
        <w:tc>
          <w:tcPr>
            <w:tcW w:w="2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6680" w:type="dxa"/>
            <w:vAlign w:val="bottom"/>
            <w:vMerge w:val="continue"/>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Cost of sales</w:t>
            </w:r>
          </w:p>
        </w:tc>
        <w:tc>
          <w:tcPr>
            <w:tcW w:w="234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1,807</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860"/>
              <w:spacing w:after="0"/>
              <w:rPr>
                <w:sz w:val="20"/>
                <w:szCs w:val="20"/>
                <w:color w:val="auto"/>
              </w:rPr>
            </w:pPr>
            <w:r>
              <w:rPr>
                <w:rFonts w:ascii="Arial" w:cs="Arial" w:eastAsia="Arial" w:hAnsi="Arial"/>
                <w:sz w:val="18"/>
                <w:szCs w:val="18"/>
                <w:color w:val="auto"/>
              </w:rPr>
              <w:t>Research and development</w:t>
            </w:r>
          </w:p>
        </w:tc>
        <w:tc>
          <w:tcPr>
            <w:tcW w:w="234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5,885</w:t>
            </w:r>
          </w:p>
        </w:tc>
        <w:tc>
          <w:tcPr>
            <w:tcW w:w="5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Selling, marketing, general and administrative</w:t>
            </w:r>
          </w:p>
        </w:tc>
        <w:tc>
          <w:tcPr>
            <w:tcW w:w="234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5,640</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5,270</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ANALOG DEVICES,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color w:val="auto"/>
              </w:rPr>
              <w:t>February 4, 2012</w:t>
            </w:r>
          </w:p>
        </w:tc>
        <w:tc>
          <w:tcPr>
            <w:tcW w:w="26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color w:val="auto"/>
                <w:w w:val="94"/>
              </w:rPr>
              <w:t>October 29, 2011</w:t>
            </w:r>
          </w:p>
        </w:tc>
      </w:tr>
      <w:tr>
        <w:trPr>
          <w:trHeight w:val="196"/>
        </w:trPr>
        <w:tc>
          <w:tcPr>
            <w:tcW w:w="6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7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322"/>
        </w:trPr>
        <w:tc>
          <w:tcPr>
            <w:tcW w:w="61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920" w:type="dxa"/>
            <w:vAlign w:val="bottom"/>
            <w:gridSpan w:val="2"/>
          </w:tcPr>
          <w:p>
            <w:pPr>
              <w:ind w:left="27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1,097,442</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1,405,100</w:t>
            </w:r>
          </w:p>
        </w:tc>
        <w:tc>
          <w:tcPr>
            <w:tcW w:w="100" w:type="dxa"/>
            <w:vAlign w:val="bottom"/>
          </w:tcPr>
          <w:p>
            <w:pPr>
              <w:spacing w:after="0"/>
              <w:rPr>
                <w:sz w:val="24"/>
                <w:szCs w:val="24"/>
                <w:color w:val="auto"/>
              </w:rPr>
            </w:pPr>
          </w:p>
        </w:tc>
      </w:tr>
      <w:tr>
        <w:trPr>
          <w:trHeight w:val="218"/>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2,569,956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2,187,362</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301,999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348,416</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Inventory (1):</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ind w:left="440"/>
              <w:spacing w:after="0"/>
              <w:rPr>
                <w:sz w:val="20"/>
                <w:szCs w:val="20"/>
                <w:color w:val="auto"/>
              </w:rPr>
            </w:pPr>
            <w:r>
              <w:rPr>
                <w:rFonts w:ascii="Arial" w:cs="Arial" w:eastAsia="Arial" w:hAnsi="Arial"/>
                <w:sz w:val="18"/>
                <w:szCs w:val="18"/>
                <w:color w:val="auto"/>
              </w:rPr>
              <w:t>Raw materials</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27,366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28,085</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Work in process</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176,813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170,398</w:t>
            </w:r>
          </w:p>
        </w:tc>
        <w:tc>
          <w:tcPr>
            <w:tcW w:w="100" w:type="dxa"/>
            <w:vAlign w:val="bottom"/>
            <w:shd w:val="clear" w:color="auto" w:fill="CCEEFF"/>
          </w:tcPr>
          <w:p>
            <w:pPr>
              <w:spacing w:after="0"/>
              <w:rPr>
                <w:sz w:val="18"/>
                <w:szCs w:val="18"/>
                <w:color w:val="auto"/>
              </w:rPr>
            </w:pPr>
          </w:p>
        </w:tc>
      </w:tr>
      <w:tr>
        <w:trPr>
          <w:trHeight w:val="223"/>
        </w:trPr>
        <w:tc>
          <w:tcPr>
            <w:tcW w:w="6160" w:type="dxa"/>
            <w:vAlign w:val="bottom"/>
          </w:tcPr>
          <w:p>
            <w:pPr>
              <w:ind w:left="440"/>
              <w:spacing w:after="0"/>
              <w:rPr>
                <w:sz w:val="20"/>
                <w:szCs w:val="20"/>
                <w:color w:val="auto"/>
              </w:rPr>
            </w:pPr>
            <w:r>
              <w:rPr>
                <w:rFonts w:ascii="Arial" w:cs="Arial" w:eastAsia="Arial" w:hAnsi="Arial"/>
                <w:sz w:val="18"/>
                <w:szCs w:val="18"/>
                <w:color w:val="auto"/>
              </w:rPr>
              <w:t>Finished goods</w:t>
            </w:r>
          </w:p>
        </w:tc>
        <w:tc>
          <w:tcPr>
            <w:tcW w:w="2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92,981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96,598</w:t>
            </w:r>
          </w:p>
        </w:tc>
        <w:tc>
          <w:tcPr>
            <w:tcW w:w="100" w:type="dxa"/>
            <w:vAlign w:val="bottom"/>
          </w:tcPr>
          <w:p>
            <w:pPr>
              <w:spacing w:after="0"/>
              <w:rPr>
                <w:sz w:val="19"/>
                <w:szCs w:val="19"/>
                <w:color w:val="auto"/>
              </w:rPr>
            </w:pPr>
          </w:p>
        </w:tc>
      </w:tr>
      <w:tr>
        <w:trPr>
          <w:trHeight w:val="216"/>
        </w:trPr>
        <w:tc>
          <w:tcPr>
            <w:tcW w:w="61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297,160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295,081</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Deferred tax assets</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67,591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82,171</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Prepaid income tax</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17,838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22,002</w:t>
            </w:r>
          </w:p>
        </w:tc>
        <w:tc>
          <w:tcPr>
            <w:tcW w:w="100" w:type="dxa"/>
            <w:vAlign w:val="bottom"/>
            <w:shd w:val="clear" w:color="auto" w:fill="CCEEFF"/>
          </w:tcPr>
          <w:p>
            <w:pPr>
              <w:spacing w:after="0"/>
              <w:rPr>
                <w:sz w:val="18"/>
                <w:szCs w:val="18"/>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43,182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46,216</w:t>
            </w:r>
          </w:p>
        </w:tc>
        <w:tc>
          <w:tcPr>
            <w:tcW w:w="100" w:type="dxa"/>
            <w:vAlign w:val="bottom"/>
          </w:tcPr>
          <w:p>
            <w:pPr>
              <w:spacing w:after="0"/>
              <w:rPr>
                <w:sz w:val="19"/>
                <w:szCs w:val="19"/>
                <w:color w:val="auto"/>
              </w:rPr>
            </w:pP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assets</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4,395,168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4,386,348</w:t>
            </w:r>
          </w:p>
        </w:tc>
        <w:tc>
          <w:tcPr>
            <w:tcW w:w="100" w:type="dxa"/>
            <w:vAlign w:val="bottom"/>
            <w:shd w:val="clear" w:color="auto" w:fill="CCEEFF"/>
          </w:tcPr>
          <w:p>
            <w:pPr>
              <w:spacing w:after="0"/>
              <w:rPr>
                <w:sz w:val="18"/>
                <w:szCs w:val="18"/>
                <w:color w:val="auto"/>
              </w:rPr>
            </w:pPr>
          </w:p>
        </w:tc>
      </w:tr>
      <w:tr>
        <w:trPr>
          <w:trHeight w:val="222"/>
        </w:trPr>
        <w:tc>
          <w:tcPr>
            <w:tcW w:w="6160" w:type="dxa"/>
            <w:vAlign w:val="bottom"/>
          </w:tcPr>
          <w:p>
            <w:pPr>
              <w:spacing w:after="0"/>
              <w:rPr>
                <w:sz w:val="20"/>
                <w:szCs w:val="20"/>
                <w:color w:val="auto"/>
              </w:rPr>
            </w:pPr>
            <w:r>
              <w:rPr>
                <w:rFonts w:ascii="Arial" w:cs="Arial" w:eastAsia="Arial" w:hAnsi="Arial"/>
                <w:sz w:val="18"/>
                <w:szCs w:val="18"/>
                <w:color w:val="auto"/>
              </w:rPr>
              <w:t>Property, plant and equipment, at cost:</w:t>
            </w:r>
          </w:p>
        </w:tc>
        <w:tc>
          <w:tcPr>
            <w:tcW w:w="27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Land and buildings</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435,060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430,453</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ind w:left="440"/>
              <w:spacing w:after="0"/>
              <w:rPr>
                <w:sz w:val="20"/>
                <w:szCs w:val="20"/>
                <w:color w:val="auto"/>
              </w:rPr>
            </w:pPr>
            <w:r>
              <w:rPr>
                <w:rFonts w:ascii="Arial" w:cs="Arial" w:eastAsia="Arial" w:hAnsi="Arial"/>
                <w:sz w:val="18"/>
                <w:szCs w:val="18"/>
                <w:color w:val="auto"/>
              </w:rPr>
              <w:t>Machinery and equipment</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1,623,897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1,606,150</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Office equipment</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52,646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51,960</w:t>
            </w:r>
          </w:p>
        </w:tc>
        <w:tc>
          <w:tcPr>
            <w:tcW w:w="100" w:type="dxa"/>
            <w:vAlign w:val="bottom"/>
            <w:shd w:val="clear" w:color="auto" w:fill="CCEEFF"/>
          </w:tcPr>
          <w:p>
            <w:pPr>
              <w:spacing w:after="0"/>
              <w:rPr>
                <w:sz w:val="18"/>
                <w:szCs w:val="18"/>
                <w:color w:val="auto"/>
              </w:rPr>
            </w:pPr>
          </w:p>
        </w:tc>
      </w:tr>
      <w:tr>
        <w:trPr>
          <w:trHeight w:val="223"/>
        </w:trPr>
        <w:tc>
          <w:tcPr>
            <w:tcW w:w="6160" w:type="dxa"/>
            <w:vAlign w:val="bottom"/>
          </w:tcPr>
          <w:p>
            <w:pPr>
              <w:ind w:left="440"/>
              <w:spacing w:after="0"/>
              <w:rPr>
                <w:sz w:val="20"/>
                <w:szCs w:val="20"/>
                <w:color w:val="auto"/>
              </w:rPr>
            </w:pPr>
            <w:r>
              <w:rPr>
                <w:rFonts w:ascii="Arial" w:cs="Arial" w:eastAsia="Arial" w:hAnsi="Arial"/>
                <w:sz w:val="18"/>
                <w:szCs w:val="18"/>
                <w:color w:val="auto"/>
              </w:rPr>
              <w:t>Leasehold improvements</w:t>
            </w:r>
          </w:p>
        </w:tc>
        <w:tc>
          <w:tcPr>
            <w:tcW w:w="2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48,354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48,338</w:t>
            </w:r>
          </w:p>
        </w:tc>
        <w:tc>
          <w:tcPr>
            <w:tcW w:w="100" w:type="dxa"/>
            <w:vAlign w:val="bottom"/>
          </w:tcPr>
          <w:p>
            <w:pPr>
              <w:spacing w:after="0"/>
              <w:rPr>
                <w:sz w:val="19"/>
                <w:szCs w:val="19"/>
                <w:color w:val="auto"/>
              </w:rPr>
            </w:pPr>
          </w:p>
        </w:tc>
      </w:tr>
      <w:tr>
        <w:trPr>
          <w:trHeight w:val="216"/>
        </w:trPr>
        <w:tc>
          <w:tcPr>
            <w:tcW w:w="61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2,159,957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2,136,901</w:t>
            </w:r>
          </w:p>
        </w:tc>
        <w:tc>
          <w:tcPr>
            <w:tcW w:w="100" w:type="dxa"/>
            <w:vAlign w:val="bottom"/>
            <w:shd w:val="clear" w:color="auto" w:fill="CCEEFF"/>
          </w:tcPr>
          <w:p>
            <w:pPr>
              <w:spacing w:after="0"/>
              <w:rPr>
                <w:sz w:val="18"/>
                <w:szCs w:val="18"/>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1,684,268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1,658,062</w:t>
            </w:r>
          </w:p>
        </w:tc>
        <w:tc>
          <w:tcPr>
            <w:tcW w:w="100" w:type="dxa"/>
            <w:vAlign w:val="bottom"/>
          </w:tcPr>
          <w:p>
            <w:pPr>
              <w:spacing w:after="0"/>
              <w:rPr>
                <w:sz w:val="19"/>
                <w:szCs w:val="19"/>
                <w:color w:val="auto"/>
              </w:rPr>
            </w:pP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property, plant and equipment</w:t>
            </w:r>
          </w:p>
        </w:tc>
        <w:tc>
          <w:tcPr>
            <w:tcW w:w="2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475,689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478,839</w:t>
            </w:r>
          </w:p>
        </w:tc>
        <w:tc>
          <w:tcPr>
            <w:tcW w:w="100" w:type="dxa"/>
            <w:vAlign w:val="bottom"/>
            <w:shd w:val="clear" w:color="auto" w:fill="CCEEFF"/>
          </w:tcPr>
          <w:p>
            <w:pPr>
              <w:spacing w:after="0"/>
              <w:rPr>
                <w:sz w:val="18"/>
                <w:szCs w:val="18"/>
                <w:color w:val="auto"/>
              </w:rPr>
            </w:pPr>
          </w:p>
        </w:tc>
      </w:tr>
      <w:tr>
        <w:trPr>
          <w:trHeight w:val="221"/>
        </w:trPr>
        <w:tc>
          <w:tcPr>
            <w:tcW w:w="6160" w:type="dxa"/>
            <w:vAlign w:val="bottom"/>
          </w:tcPr>
          <w:p>
            <w:pPr>
              <w:spacing w:after="0"/>
              <w:rPr>
                <w:sz w:val="20"/>
                <w:szCs w:val="20"/>
                <w:color w:val="auto"/>
              </w:rPr>
            </w:pPr>
            <w:r>
              <w:rPr>
                <w:rFonts w:ascii="Arial" w:cs="Arial" w:eastAsia="Arial" w:hAnsi="Arial"/>
                <w:sz w:val="18"/>
                <w:szCs w:val="18"/>
                <w:color w:val="auto"/>
              </w:rPr>
              <w:t>Deferred compensation plan investments</w:t>
            </w:r>
          </w:p>
        </w:tc>
        <w:tc>
          <w:tcPr>
            <w:tcW w:w="2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27,724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26,410</w:t>
            </w:r>
          </w:p>
        </w:tc>
        <w:tc>
          <w:tcPr>
            <w:tcW w:w="100" w:type="dxa"/>
            <w:vAlign w:val="bottom"/>
          </w:tcPr>
          <w:p>
            <w:pPr>
              <w:spacing w:after="0"/>
              <w:rPr>
                <w:sz w:val="19"/>
                <w:szCs w:val="19"/>
                <w:color w:val="auto"/>
              </w:rPr>
            </w:pPr>
          </w:p>
        </w:tc>
      </w:tr>
      <w:tr>
        <w:trPr>
          <w:trHeight w:val="218"/>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3,230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Goodwill</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274,139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275,087</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12,200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Deferred tax assets</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33,105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37,645</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56,579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58,155</w:t>
            </w:r>
          </w:p>
        </w:tc>
        <w:tc>
          <w:tcPr>
            <w:tcW w:w="100" w:type="dxa"/>
            <w:vAlign w:val="bottom"/>
            <w:shd w:val="clear" w:color="auto" w:fill="CCEEFF"/>
          </w:tcPr>
          <w:p>
            <w:pPr>
              <w:spacing w:after="0"/>
              <w:rPr>
                <w:sz w:val="18"/>
                <w:szCs w:val="18"/>
                <w:color w:val="auto"/>
              </w:rPr>
            </w:pPr>
          </w:p>
        </w:tc>
      </w:tr>
      <w:tr>
        <w:trPr>
          <w:trHeight w:val="230"/>
        </w:trPr>
        <w:tc>
          <w:tcPr>
            <w:tcW w:w="6160" w:type="dxa"/>
            <w:vAlign w:val="bottom"/>
          </w:tcPr>
          <w:p>
            <w:pPr>
              <w:ind w:left="440"/>
              <w:spacing w:after="0"/>
              <w:rPr>
                <w:sz w:val="20"/>
                <w:szCs w:val="20"/>
                <w:color w:val="auto"/>
              </w:rPr>
            </w:pPr>
            <w:r>
              <w:rPr>
                <w:rFonts w:ascii="Arial" w:cs="Arial" w:eastAsia="Arial" w:hAnsi="Arial"/>
                <w:sz w:val="18"/>
                <w:szCs w:val="18"/>
                <w:color w:val="auto"/>
              </w:rPr>
              <w:t>Total other assets</w:t>
            </w:r>
          </w:p>
        </w:tc>
        <w:tc>
          <w:tcPr>
            <w:tcW w:w="2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406,977</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412,448</w:t>
            </w:r>
          </w:p>
        </w:tc>
        <w:tc>
          <w:tcPr>
            <w:tcW w:w="100" w:type="dxa"/>
            <w:vAlign w:val="bottom"/>
          </w:tcPr>
          <w:p>
            <w:pPr>
              <w:spacing w:after="0"/>
              <w:rPr>
                <w:sz w:val="20"/>
                <w:szCs w:val="20"/>
                <w:color w:val="auto"/>
              </w:rPr>
            </w:pPr>
          </w:p>
        </w:tc>
      </w:tr>
      <w:tr>
        <w:trPr>
          <w:trHeight w:val="216"/>
        </w:trPr>
        <w:tc>
          <w:tcPr>
            <w:tcW w:w="616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5,277,834</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5,277,635</w:t>
            </w:r>
          </w:p>
        </w:tc>
        <w:tc>
          <w:tcPr>
            <w:tcW w:w="100" w:type="dxa"/>
            <w:vAlign w:val="bottom"/>
            <w:shd w:val="clear" w:color="auto" w:fill="CCEEFF"/>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480" w:firstLine="8"/>
        <w:spacing w:after="0" w:line="430" w:lineRule="auto"/>
        <w:tabs>
          <w:tab w:leader="none" w:pos="446"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$2,428 and $2,431 related to stock-based compensation at February 4, 2012 and October 29, 2011, respectively. See accompanying notes.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ANALOG DEVICES,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share amounts)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color w:val="auto"/>
              </w:rPr>
              <w:t>February 4, 2012</w:t>
            </w:r>
          </w:p>
        </w:tc>
        <w:tc>
          <w:tcPr>
            <w:tcW w:w="1060" w:type="dxa"/>
            <w:vAlign w:val="bottom"/>
            <w:gridSpan w:val="3"/>
          </w:tcPr>
          <w:p>
            <w:pPr>
              <w:ind w:left="20"/>
              <w:spacing w:after="0"/>
              <w:rPr>
                <w:sz w:val="20"/>
                <w:szCs w:val="20"/>
                <w:color w:val="auto"/>
              </w:rPr>
            </w:pPr>
            <w:r>
              <w:rPr>
                <w:rFonts w:ascii="Arial" w:cs="Arial" w:eastAsia="Arial" w:hAnsi="Arial"/>
                <w:sz w:val="14"/>
                <w:szCs w:val="14"/>
                <w:color w:val="auto"/>
                <w:w w:val="94"/>
              </w:rPr>
              <w:t>October 29,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Liabilities and Shareholders’ Equity</w:t>
            </w: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844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111,749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113,056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on shipments to distributors, net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227,261</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Income taxes payable</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19,793</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14,500</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Accrued liabilities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124,752</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157,616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498,055</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525,005</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rPr>
              <w:t>Long-term debt</w:t>
            </w: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44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855,662</w:t>
            </w: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871,876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1,713</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Deferred compensation plan liability</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27,724</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52,245</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vMerge w:val="restart"/>
          </w:tcPr>
          <w:p>
            <w:pPr>
              <w:ind w:left="420"/>
              <w:spacing w:after="0"/>
              <w:rPr>
                <w:sz w:val="20"/>
                <w:szCs w:val="20"/>
                <w:color w:val="auto"/>
              </w:rPr>
            </w:pPr>
            <w:r>
              <w:rPr>
                <w:rFonts w:ascii="Arial" w:cs="Arial" w:eastAsia="Arial" w:hAnsi="Arial"/>
                <w:sz w:val="18"/>
                <w:szCs w:val="18"/>
                <w:color w:val="auto"/>
              </w:rPr>
              <w:t>Total non-current liabilities</w:t>
            </w: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937,344</w:t>
            </w:r>
          </w:p>
        </w:tc>
        <w:tc>
          <w:tcPr>
            <w:tcW w:w="1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957,217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44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$1.00 par value, 471,934 shares authorized, none outstanding</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w w:val="91"/>
              </w:rPr>
              <w:t>Common stock, $0.16 2/3 par value, 1,200,000,000 shares authorized, 297,832,028 shares issued and outstanding</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(297,960,718 on October 29, 2011)</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49,640</w:t>
            </w: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49,661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276,913</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Retained earnings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3,547,300</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3,482,334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(31,418)</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vMerge w:val="restart"/>
          </w:tcPr>
          <w:p>
            <w:pPr>
              <w:ind w:left="420"/>
              <w:spacing w:after="0"/>
              <w:rPr>
                <w:sz w:val="20"/>
                <w:szCs w:val="20"/>
                <w:color w:val="auto"/>
              </w:rPr>
            </w:pPr>
            <w:r>
              <w:rPr>
                <w:rFonts w:ascii="Arial" w:cs="Arial" w:eastAsia="Arial" w:hAnsi="Arial"/>
                <w:sz w:val="18"/>
                <w:szCs w:val="18"/>
                <w:color w:val="auto"/>
              </w:rPr>
              <w:t>Total shareholders’ equity</w:t>
            </w: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3,842,435</w:t>
            </w: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3,795,413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5,277,834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5,277,635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ANALOG DEVICES,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6"/>
          </w:tcPr>
          <w:p>
            <w:pPr>
              <w:jc w:val="right"/>
              <w:ind w:right="74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12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February 4, 2012</w:t>
            </w:r>
          </w:p>
        </w:tc>
        <w:tc>
          <w:tcPr>
            <w:tcW w:w="2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5"/>
              </w:rPr>
              <w:t>January 29,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139,382</w:t>
            </w:r>
          </w:p>
        </w:tc>
        <w:tc>
          <w:tcPr>
            <w:tcW w:w="300" w:type="dxa"/>
            <w:vAlign w:val="bottom"/>
          </w:tcPr>
          <w:p>
            <w:pPr>
              <w:spacing w:after="0"/>
              <w:rPr>
                <w:sz w:val="24"/>
                <w:szCs w:val="24"/>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222,106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28,243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intangibles</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13,332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sale of business</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Excess tax benefit-stock options</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(1,896)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Other non-cash activity</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vMerge w:val="restart"/>
          </w:tcPr>
          <w:p>
            <w:pPr>
              <w:ind w:left="420"/>
              <w:spacing w:after="0"/>
              <w:rPr>
                <w:sz w:val="20"/>
                <w:szCs w:val="20"/>
                <w:color w:val="auto"/>
              </w:rPr>
            </w:pPr>
            <w:r>
              <w:rPr>
                <w:rFonts w:ascii="Arial" w:cs="Arial" w:eastAsia="Arial" w:hAnsi="Arial"/>
                <w:sz w:val="18"/>
                <w:szCs w:val="18"/>
                <w:color w:val="auto"/>
              </w:rPr>
              <w:t>Total adjustments</w:t>
            </w: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75,438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214,820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short-term available-for-sale investments</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(2,192,874)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(664,148)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Maturities of short-term available-for-sale investments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1,659,792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651,887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of short-term available-for-sale investments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151,841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Proceeds related to sale of businesses</w:t>
            </w:r>
          </w:p>
        </w:tc>
        <w:tc>
          <w:tcPr>
            <w:tcW w:w="1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 plant and equipment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(25,289)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Decrease (increase) in other assets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(3,475)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for) provided by investing activities</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(406,203)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208,136</w:t>
            </w:r>
          </w:p>
        </w:tc>
        <w:tc>
          <w:tcPr>
            <w:tcW w:w="0" w:type="dxa"/>
            <w:vAlign w:val="bottom"/>
          </w:tcPr>
          <w:p>
            <w:pPr>
              <w:spacing w:after="0"/>
              <w:rPr>
                <w:sz w:val="1"/>
                <w:szCs w:val="1"/>
                <w:color w:val="auto"/>
              </w:rPr>
            </w:pPr>
          </w:p>
        </w:tc>
      </w:tr>
      <w:tr>
        <w:trPr>
          <w:trHeight w:val="222"/>
        </w:trPr>
        <w:tc>
          <w:tcPr>
            <w:tcW w:w="89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long-term debt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Term loan repayments</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(15,625)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payments to shareholders</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(74,416)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Repurchase of common stock</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(78,380)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(113,605)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proceeds from employee stock plans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Contingent consideration payment</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(1,991)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other financing activities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Excess tax benefit-stock options</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for) provided by financing activities</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(114,703)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75,735</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w:t>
            </w: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(1,572)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(307,658)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500,321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1,405,100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1,070,000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1,097,442</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1,570,321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ANALOG DEVICES,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FEBRUARY 4,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6"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Analog Devices, Inc.’s (the Company) Annual Report on Form 10-K for the fiscal year ended October 29, 2011 and related notes. The results of operations for the interim periods shown in this report are not necessarily indicative of the results that may be expected for the fiscal year ending November 3, 2012 or any future period.</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sold its baseband chipset business and related support operations, or Baseband Chipset Business, to MediaTek Inc. during the first quarter of fiscal 2008. The Company has reflected the financial results of this business as discontinued operations in the condensed consolidated statements of income for all periods presented.</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Certain amounts reported in previous years have been reclassified to conform to the fiscal 2012 presentation. Such reclassified amounts were immaterial. The Company has a 52-53 week fiscal year that ends on the Saturday closest to the last day in October. Fiscal 2012 is a 53-week fiscal year and fiscal 2011 was a 52-week fiscal year. The additional week in fiscal 2012 is included in the first quarter ended February 4, 2012. Therefore, the first quarter of fiscal 2012 included 14 weeks of operations and the first quarter of fiscal 2011 included 13 weeks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 Recognition</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Revenue from product sales to customers is generally recognized when title passes, which for shipments to certain foreign countries is subsequent to product shipment. Title for these shipments ordinarily passes within a week of shipment. A reserve for sales returns and allowances for customers is recorded based on historical experience or specific identification of an event necessitating a reserve.</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all regions of the world, the Company defers revenue and the related cost of sales on shipments to distributors until the distributors resell the products to their customers. Therefore, the Company’s revenue fully reflects end customer purchases and is not impacted by distributor inventory levels. Sales to distributors are made under agreements that allow distributors to receive price-adjustment credits, as discussed below, and to return qualifying products for credit, as determined by the Company, in order to reduce the amounts of slow-moving, discontinued or obsolete product from their inventory. These agreements limit such returns to a certain percentage of the value of the Company’s shipments to that distributor during the prior quarter. In addition, distributors are allowed to return unsold products if the Company terminates the relationship with the distributor.</w:t>
      </w:r>
    </w:p>
    <w:p>
      <w:pPr>
        <w:spacing w:after="0" w:line="12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Distributors are granted price-adjustment credits for sales to their customers when the distributor’s standard cost (i.e., the Company’s sales price to the distributor) does not provide the distributor with an appropriate margin on its sales to its customers. As distributors negotiate selling prices with their customers, the final sales price agreed to with the customer will be influenced by many factors, including the particular product being sold, the quantity ordered, the particular customer, the geographic location of the distributor and the competitive landscape. As a result, the distributor may request and receive a price-adjustment credit from the Company to allow the distributor to earn an appropriate margin on the transaction.</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Distributors are also granted price-adjustment credits in the event of a price decrease subsequent to the date the product was shipped and billed to the distributor. Generally, the Company will provide a credit equal to the difference between the price paid by the distributor (less any prior credits on such products) and the new price for the product multiplied by the quantity of such product in the distributor’s inventory at the time of the price decrease.</w:t>
      </w:r>
    </w:p>
    <w:p>
      <w:pPr>
        <w:spacing w:after="0" w:line="10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Given the uncertainties associated with the levels of price-adjustment credits to be granted to distributors, the sales price to the distributor is not fixed or determinable until the distributor resells the products to their customers. Therefore, the Company defers revenue recognition from sales to distributors until the distributors have sold the products to their customers.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Title to the inventory transfers to the distributor at the time of shipment or delivery to the distributor, and payment from the distributor is due in accordance with the Company’s standard payment terms. These payment terms are not contingent upon the distributors’ sale of the products to their customers. Upon title transfer to distributors, inventory is reduced for the cost of goods shipped, the margin (sales less cost of sales) is recorded as “deferred income on shipments to distributors, net” and an account receivable is recorded.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6" w:name="page7"/>
    <w:bookmarkEnd w:id="6"/>
    <w:p>
      <w:pPr>
        <w:ind w:right="6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deferred costs of sales to distributors have historically had very little risk of impairment due to the margins the Company earns on sales of its products and the relatively long life-cycle of the Company’s products. Product returns from distributors that are ultimately scrapped have historically been immaterial. In addition, price protection and price-adjustment credits granted to distributors historically have not exceeded the margins the Company earns on sales of its products. The Company continuously monitors the level and nature of product returns and is in continuous contact with the distributors to ensure reserves are established for all known material issues.</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of February 4, 2012 and October 29, 2011, the Company had gross deferred revenue of $294.1 million and $309.6 million, respectively, and gross deferred cost of sales of $66.8 million and $76.4 million, respectively. Deferred income on shipments to distributors decreased by approximately $6.0 million in the first three months of fiscal 2012 primarily as a result of the distributors’ sales to their customers in the first three months of fiscal 2012 exceeding the Company’s shipments to its distributors during this same time period.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Shipping costs are charged to cost of sales as incurred.</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generally offers a 12-month warranty for its products. The Company’s warranty policy provides for replacement of the defective product. Specific accruals are recorded for known product warranty issues. Product warranty expenses during the three-month periods ended February 4, 2012 and January 29, 2011 were not material.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Stock-Based Compensation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Grant-Date Fair Value </w:t>
      </w:r>
      <w:r>
        <w:rPr>
          <w:rFonts w:ascii="Arial" w:cs="Arial" w:eastAsia="Arial" w:hAnsi="Arial"/>
          <w:sz w:val="18"/>
          <w:szCs w:val="18"/>
          <w:color w:val="auto"/>
        </w:rPr>
        <w:t>– The Company uses the Black-Scholes valuation model to calculate the grant-date fair value of stock option awards. The grant date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restricted stock units represents the value of the Company’s common stock on the date of grant, reduced by the present value of dividends expected to be paid on the Company’s common stock prior to vesting.</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Information pertaining to the Company’s stock option awards and the related estimated weighted-average assumptions to calculate the fair value of stock options granted during the three-month periods ended February 4, 2012 and January 29, 2011 are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860" w:type="dxa"/>
            <w:vAlign w:val="bottom"/>
            <w:vMerge w:val="restart"/>
          </w:tcPr>
          <w:p>
            <w:pPr>
              <w:spacing w:after="0"/>
              <w:rPr>
                <w:sz w:val="20"/>
                <w:szCs w:val="20"/>
                <w:color w:val="auto"/>
              </w:rPr>
            </w:pPr>
            <w:r>
              <w:rPr>
                <w:rFonts w:ascii="Arial" w:cs="Arial" w:eastAsia="Arial" w:hAnsi="Arial"/>
                <w:sz w:val="14"/>
                <w:szCs w:val="14"/>
                <w:b w:val="1"/>
                <w:bCs w:val="1"/>
                <w:color w:val="auto"/>
                <w:w w:val="88"/>
              </w:rPr>
              <w:t>Stock Options</w:t>
            </w:r>
          </w:p>
        </w:tc>
        <w:tc>
          <w:tcPr>
            <w:tcW w:w="3360" w:type="dxa"/>
            <w:vAlign w:val="bottom"/>
            <w:vMerge w:val="restart"/>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60" w:type="dxa"/>
            <w:vAlign w:val="bottom"/>
            <w:tcBorders>
              <w:bottom w:val="single" w:sz="8" w:color="auto"/>
            </w:tcBorders>
            <w:vMerge w:val="continue"/>
          </w:tcPr>
          <w:p>
            <w:pPr>
              <w:spacing w:after="0"/>
              <w:rPr>
                <w:sz w:val="12"/>
                <w:szCs w:val="12"/>
                <w:color w:val="auto"/>
              </w:rPr>
            </w:pPr>
          </w:p>
        </w:tc>
        <w:tc>
          <w:tcPr>
            <w:tcW w:w="336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16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February 4, 2012</w:t>
            </w:r>
          </w:p>
        </w:tc>
        <w:tc>
          <w:tcPr>
            <w:tcW w:w="144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January 29, 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2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Options granted (in thousands)*</w:t>
            </w:r>
          </w:p>
        </w:tc>
        <w:tc>
          <w:tcPr>
            <w:tcW w:w="12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w:t>
            </w:r>
          </w:p>
        </w:tc>
        <w:tc>
          <w:tcPr>
            <w:tcW w:w="6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1,873</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Weighted-average exercise price</w:t>
            </w:r>
          </w:p>
        </w:tc>
        <w:tc>
          <w:tcPr>
            <w:tcW w:w="156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36.99</w:t>
            </w:r>
          </w:p>
        </w:tc>
        <w:tc>
          <w:tcPr>
            <w:tcW w:w="6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37.53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grant date fair value</w:t>
            </w:r>
          </w:p>
        </w:tc>
        <w:tc>
          <w:tcPr>
            <w:tcW w:w="156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Assumptions:</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expected volatility</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33.31%</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29.36%</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Weighted-average expected term (in years)</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risk-free interest rate</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0.8%</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2"/>
        </w:trPr>
        <w:tc>
          <w:tcPr>
            <w:tcW w:w="4220" w:type="dxa"/>
            <w:vAlign w:val="bottom"/>
            <w:gridSpan w:val="2"/>
          </w:tcPr>
          <w:p>
            <w:pPr>
              <w:spacing w:after="0"/>
              <w:rPr>
                <w:sz w:val="20"/>
                <w:szCs w:val="20"/>
                <w:color w:val="auto"/>
              </w:rPr>
            </w:pPr>
            <w:r>
              <w:rPr>
                <w:rFonts w:ascii="Arial" w:cs="Arial" w:eastAsia="Arial" w:hAnsi="Arial"/>
                <w:sz w:val="18"/>
                <w:szCs w:val="18"/>
                <w:color w:val="auto"/>
              </w:rPr>
              <w:t>Weighted-average expected dividend yield</w:t>
            </w: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2.7%</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220" w:right="160" w:hanging="212"/>
        <w:spacing w:after="0" w:line="306" w:lineRule="auto"/>
        <w:tabs>
          <w:tab w:leader="none" w:pos="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Under the Company’s equity award grant date policy the grant date of the Company’s annual equity awards has been the second business day following January 1st that the NYSE is open in the Company’s first fiscal quarter. Beginning in fiscal year 2012, the grant date of the Company’s annual equity awards will be March 15th or the next business day that the NYSE is open in the Company’s second fiscal quarter.</w:t>
      </w:r>
    </w:p>
    <w:p>
      <w:pPr>
        <w:spacing w:after="0" w:line="107" w:lineRule="exact"/>
        <w:rPr>
          <w:sz w:val="20"/>
          <w:szCs w:val="20"/>
          <w:color w:val="auto"/>
        </w:rPr>
      </w:pPr>
    </w:p>
    <w:p>
      <w:pPr>
        <w:ind w:right="140" w:firstLine="456"/>
        <w:spacing w:after="0" w:line="283"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 The Company is responsible for estimating volatility and has considered a number of factors, including third-party estimates, when</w:t>
      </w:r>
      <w:r>
        <w:rPr>
          <w:rFonts w:ascii="Arial" w:cs="Arial" w:eastAsia="Arial" w:hAnsi="Arial"/>
          <w:sz w:val="16"/>
          <w:szCs w:val="16"/>
          <w:i w:val="1"/>
          <w:iCs w:val="1"/>
          <w:color w:val="auto"/>
        </w:rPr>
        <w:t xml:space="preserve"> </w:t>
      </w:r>
      <w:r>
        <w:rPr>
          <w:rFonts w:ascii="Arial" w:cs="Arial" w:eastAsia="Arial" w:hAnsi="Arial"/>
          <w:sz w:val="16"/>
          <w:szCs w:val="16"/>
          <w:color w:val="auto"/>
        </w:rPr>
        <w:t>estimating volatility. The Company currently believes that the exclusive use of implied volatility results in the best estimate of the grant-date fair value of employee stock options because it reflects the market’s current expectations of future volatility. In evaluating the appropriateness of exclusively relying on implied volatility, the Company concluded that: (1) options in the Company’s common stock are actively traded with sufficient volume on several exchanges;</w:t>
      </w:r>
    </w:p>
    <w:p>
      <w:pPr>
        <w:spacing w:after="0" w:line="3" w:lineRule="exact"/>
        <w:rPr>
          <w:sz w:val="20"/>
          <w:szCs w:val="20"/>
          <w:color w:val="auto"/>
        </w:rPr>
      </w:pPr>
    </w:p>
    <w:p>
      <w:pPr>
        <w:ind w:firstLine="8"/>
        <w:spacing w:after="0" w:line="302" w:lineRule="auto"/>
        <w:tabs>
          <w:tab w:leader="none" w:pos="24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market prices of both the traded options and the underlying shares are measured at a similar point in time to each other and on a date close to the grant date of the employee share options; (3) the traded options have exercise prices that are both near-the-money and close to the exercise price of the employee share options; and (4) the remaining maturities of the traded options used to estimate volatility are at least one year.</w:t>
      </w:r>
    </w:p>
    <w:p>
      <w:pPr>
        <w:spacing w:after="0" w:line="10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Company uses historical employee exercise and option expiration data to estimate the expected term assumption for the Black-Scholes grant-date valuation. The Company believes that this historical data is currently the best estimate of the expected term of a new option, and that generally its employees exhibit similar exercise behavior.</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yield on zero-coupon U.S. Treasury securities for a period that is commensurate with the expected term assumption is used as</w:t>
      </w:r>
      <w:r>
        <w:rPr>
          <w:rFonts w:ascii="Arial" w:cs="Arial" w:eastAsia="Arial" w:hAnsi="Arial"/>
          <w:sz w:val="18"/>
          <w:szCs w:val="18"/>
          <w:i w:val="1"/>
          <w:iCs w:val="1"/>
          <w:color w:val="auto"/>
        </w:rPr>
        <w:t xml:space="preserve"> </w:t>
      </w:r>
      <w:r>
        <w:rPr>
          <w:rFonts w:ascii="Arial" w:cs="Arial" w:eastAsia="Arial" w:hAnsi="Arial"/>
          <w:sz w:val="18"/>
          <w:szCs w:val="18"/>
          <w:color w:val="auto"/>
        </w:rPr>
        <w:t>the risk-free interest rate.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Expected dividend yield is calculated by annualizing the cash dividend declared by the Company’s Board of Directors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quarter and dividing that result by the closing stock price on the date of grant.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7" w:name="page8"/>
    <w:bookmarkEnd w:id="7"/>
    <w:p>
      <w:pPr>
        <w:ind w:right="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Until such time as the Company’s Board of Directors declares a cash dividend for an amount that is different from the current quarter’s cash dividend, the current dividend will be used in deriving this assumption. Cash dividends are not paid on options, restricted stock or restricted stock units.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Stock-Based Compensation Expense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amount of stock-based compensation expense recognized during a period is based on the value of the awards that are ultimately expected to vest. Forfeitures are estimated at the time of grant and revised, if necessary, in subsequent periods if actual forfeitures differ from those estimates. The term “forfeitures” is distinct from “cancellations” or “expirations” and represents only the unvested portion of the surrendered stock-based award. Based on an analysis of its historical forfeitures, the Company has applied an annual forfeiture rate of 4.3% to all unvested stock-based awards as of February 4, 2012. The rate of 4.3% represents the portion that is expected to be forfeited each year over the vesting period. This analysis will be re-evaluated quarterly and the forfeiture rate will be adjusted as necessary. Ultimately, the actual expense recognized over the vesting period will only be for those options that vest.</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Additional paid-in-capital (APIC) Pool</w:t>
      </w:r>
    </w:p>
    <w:p>
      <w:pPr>
        <w:spacing w:after="0" w:line="90"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The APIC pool represents the excess tax benefits related to share-based compensation that are available to absorb future tax deficiencies. If the amount of future tax deficiencies is greater than the available APIC pool, the Company records the excess as income tax expense in its condensed consolidated statements of income. During the three-month period ended January 29, 2011, the Company had a sufficient APIC pool to provide for any tax deficiencies recorded and as a result, these deficiencies did not affect its results of operations. During the three-month period ended February 4, 2012, the Company recognized $1.8 million of income tax expense resulting from tax shortfalls related to share-based compensation in its condensed consolidated statement of income.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Stock-Based Compensation Activity</w:t>
      </w:r>
    </w:p>
    <w:p>
      <w:pPr>
        <w:spacing w:after="0" w:line="9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 summary of the activity under the Company’s stock option plans as of February 4, 2012 and changes during the three-month period then ended is presented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Weighted-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Average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Options</w:t>
            </w:r>
          </w:p>
        </w:tc>
        <w:tc>
          <w:tcPr>
            <w:tcW w:w="1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Weighted-</w:t>
            </w: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Remaining</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3620" w:type="dxa"/>
            <w:vAlign w:val="bottom"/>
            <w:vMerge w:val="restart"/>
          </w:tcPr>
          <w:p>
            <w:pPr>
              <w:spacing w:after="0"/>
              <w:rPr>
                <w:sz w:val="20"/>
                <w:szCs w:val="20"/>
                <w:color w:val="auto"/>
              </w:rPr>
            </w:pPr>
            <w:r>
              <w:rPr>
                <w:rFonts w:ascii="Arial" w:cs="Arial" w:eastAsia="Arial" w:hAnsi="Arial"/>
                <w:sz w:val="14"/>
                <w:szCs w:val="14"/>
                <w:b w:val="1"/>
                <w:bCs w:val="1"/>
                <w:color w:val="auto"/>
                <w:w w:val="94"/>
              </w:rPr>
              <w:t>Activity during the Three Months Ended February 4, 2012</w:t>
            </w:r>
          </w:p>
        </w:tc>
        <w:tc>
          <w:tcPr>
            <w:tcW w:w="2780" w:type="dxa"/>
            <w:vAlign w:val="bottom"/>
            <w:vMerge w:val="restart"/>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Average Exercise</w:t>
            </w: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8"/>
        </w:trPr>
        <w:tc>
          <w:tcPr>
            <w:tcW w:w="3620" w:type="dxa"/>
            <w:vAlign w:val="bottom"/>
            <w:tcBorders>
              <w:bottom w:val="single" w:sz="8" w:color="auto"/>
            </w:tcBorders>
            <w:vMerge w:val="continue"/>
          </w:tcPr>
          <w:p>
            <w:pPr>
              <w:spacing w:after="0"/>
              <w:rPr>
                <w:sz w:val="14"/>
                <w:szCs w:val="14"/>
                <w:color w:val="auto"/>
              </w:rPr>
            </w:pPr>
          </w:p>
        </w:tc>
        <w:tc>
          <w:tcPr>
            <w:tcW w:w="2780" w:type="dxa"/>
            <w:vAlign w:val="bottom"/>
            <w:vMerge w:val="continue"/>
          </w:tcPr>
          <w:p>
            <w:pPr>
              <w:spacing w:after="0"/>
              <w:rPr>
                <w:sz w:val="14"/>
                <w:szCs w:val="14"/>
                <w:color w:val="auto"/>
              </w:rPr>
            </w:pPr>
          </w:p>
        </w:tc>
        <w:tc>
          <w:tcPr>
            <w:tcW w:w="124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9"/>
              </w:rPr>
              <w:t>(in thousands)</w:t>
            </w:r>
          </w:p>
        </w:tc>
        <w:tc>
          <w:tcPr>
            <w:tcW w:w="168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6"/>
              </w:rPr>
              <w:t>Price Per Share</w:t>
            </w:r>
          </w:p>
        </w:tc>
        <w:tc>
          <w:tcPr>
            <w:tcW w:w="134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8"/>
              </w:rPr>
              <w:t>Term in Years</w:t>
            </w:r>
          </w:p>
        </w:tc>
        <w:tc>
          <w:tcPr>
            <w:tcW w:w="7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3"/>
        </w:trPr>
        <w:tc>
          <w:tcPr>
            <w:tcW w:w="64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Options outstanding October 29, 2011</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34,116</w:t>
            </w:r>
          </w:p>
        </w:tc>
        <w:tc>
          <w:tcPr>
            <w:tcW w:w="7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ind w:left="780"/>
              <w:spacing w:after="0" w:line="203" w:lineRule="exact"/>
              <w:rPr>
                <w:sz w:val="20"/>
                <w:szCs w:val="20"/>
                <w:color w:val="auto"/>
              </w:rPr>
            </w:pPr>
            <w:r>
              <w:rPr>
                <w:rFonts w:ascii="Arial" w:cs="Arial" w:eastAsia="Arial" w:hAnsi="Arial"/>
                <w:sz w:val="18"/>
                <w:szCs w:val="18"/>
                <w:color w:val="auto"/>
                <w:w w:val="83"/>
              </w:rPr>
              <w:t>$30.27</w:t>
            </w:r>
          </w:p>
        </w:tc>
        <w:tc>
          <w:tcPr>
            <w:tcW w:w="4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ind w:left="440"/>
              <w:spacing w:after="0"/>
              <w:rPr>
                <w:sz w:val="20"/>
                <w:szCs w:val="20"/>
                <w:color w:val="auto"/>
              </w:rPr>
            </w:pPr>
            <w:r>
              <w:rPr>
                <w:rFonts w:ascii="Arial" w:cs="Arial" w:eastAsia="Arial" w:hAnsi="Arial"/>
                <w:sz w:val="18"/>
                <w:szCs w:val="18"/>
                <w:color w:val="auto"/>
              </w:rPr>
              <w:t>Options granted</w:t>
            </w:r>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c>
          <w:tcPr>
            <w:tcW w:w="700" w:type="dxa"/>
            <w:vAlign w:val="bottom"/>
          </w:tcPr>
          <w:p>
            <w:pPr>
              <w:spacing w:after="0"/>
              <w:rPr>
                <w:sz w:val="18"/>
                <w:szCs w:val="18"/>
                <w:color w:val="auto"/>
              </w:rPr>
            </w:pPr>
          </w:p>
        </w:tc>
        <w:tc>
          <w:tcPr>
            <w:tcW w:w="1680" w:type="dxa"/>
            <w:vAlign w:val="bottom"/>
            <w:gridSpan w:val="2"/>
          </w:tcPr>
          <w:p>
            <w:pPr>
              <w:ind w:left="780"/>
              <w:spacing w:after="0"/>
              <w:rPr>
                <w:sz w:val="20"/>
                <w:szCs w:val="20"/>
                <w:color w:val="auto"/>
              </w:rPr>
            </w:pPr>
            <w:r>
              <w:rPr>
                <w:rFonts w:ascii="Arial" w:cs="Arial" w:eastAsia="Arial" w:hAnsi="Arial"/>
                <w:sz w:val="18"/>
                <w:szCs w:val="18"/>
                <w:color w:val="auto"/>
              </w:rPr>
              <w:t>$36.99</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Options exercised</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(1,936)</w:t>
            </w:r>
          </w:p>
        </w:tc>
        <w:tc>
          <w:tcPr>
            <w:tcW w:w="16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$25.24</w:t>
            </w: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ind w:left="440"/>
              <w:spacing w:after="0"/>
              <w:rPr>
                <w:sz w:val="20"/>
                <w:szCs w:val="20"/>
                <w:color w:val="auto"/>
              </w:rPr>
            </w:pPr>
            <w:r>
              <w:rPr>
                <w:rFonts w:ascii="Arial" w:cs="Arial" w:eastAsia="Arial" w:hAnsi="Arial"/>
                <w:sz w:val="18"/>
                <w:szCs w:val="18"/>
                <w:color w:val="auto"/>
              </w:rPr>
              <w:t>Options forfeited</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(189)</w:t>
            </w:r>
          </w:p>
        </w:tc>
        <w:tc>
          <w:tcPr>
            <w:tcW w:w="1680" w:type="dxa"/>
            <w:vAlign w:val="bottom"/>
            <w:gridSpan w:val="2"/>
          </w:tcPr>
          <w:p>
            <w:pPr>
              <w:ind w:left="780"/>
              <w:spacing w:after="0"/>
              <w:rPr>
                <w:sz w:val="20"/>
                <w:szCs w:val="20"/>
                <w:color w:val="auto"/>
              </w:rPr>
            </w:pPr>
            <w:r>
              <w:rPr>
                <w:rFonts w:ascii="Arial" w:cs="Arial" w:eastAsia="Arial" w:hAnsi="Arial"/>
                <w:sz w:val="18"/>
                <w:szCs w:val="18"/>
                <w:color w:val="auto"/>
              </w:rPr>
              <w:t>$27.42</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Options expired</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(2,081)</w:t>
            </w:r>
          </w:p>
        </w:tc>
        <w:tc>
          <w:tcPr>
            <w:tcW w:w="16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$41.05</w:t>
            </w: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Options outstanding at February 4, 2012</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29,959</w:t>
            </w:r>
          </w:p>
        </w:tc>
        <w:tc>
          <w:tcPr>
            <w:tcW w:w="700" w:type="dxa"/>
            <w:vAlign w:val="bottom"/>
          </w:tcPr>
          <w:p>
            <w:pPr>
              <w:spacing w:after="0"/>
              <w:rPr>
                <w:sz w:val="19"/>
                <w:szCs w:val="19"/>
                <w:color w:val="auto"/>
              </w:rPr>
            </w:pPr>
          </w:p>
        </w:tc>
        <w:tc>
          <w:tcPr>
            <w:tcW w:w="1680" w:type="dxa"/>
            <w:vAlign w:val="bottom"/>
            <w:gridSpan w:val="2"/>
          </w:tcPr>
          <w:p>
            <w:pPr>
              <w:ind w:left="780"/>
              <w:spacing w:after="0"/>
              <w:rPr>
                <w:sz w:val="20"/>
                <w:szCs w:val="20"/>
                <w:color w:val="auto"/>
              </w:rPr>
            </w:pPr>
            <w:r>
              <w:rPr>
                <w:rFonts w:ascii="Arial" w:cs="Arial" w:eastAsia="Arial" w:hAnsi="Arial"/>
                <w:sz w:val="18"/>
                <w:szCs w:val="18"/>
                <w:color w:val="auto"/>
              </w:rPr>
              <w:t>$29.88</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4.6</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$313,894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Options exercisable at February 4, 2012</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20,539</w:t>
            </w:r>
          </w:p>
        </w:tc>
        <w:tc>
          <w:tcPr>
            <w:tcW w:w="7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$30.55</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$204,031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Options vested or expected to vest at February 4, 2012 (1)</w:t>
            </w: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80" w:type="dxa"/>
            <w:vAlign w:val="bottom"/>
            <w:gridSpan w:val="2"/>
            <w:vMerge w:val="restart"/>
          </w:tcPr>
          <w:p>
            <w:pPr>
              <w:ind w:left="780"/>
              <w:spacing w:after="0"/>
              <w:rPr>
                <w:sz w:val="20"/>
                <w:szCs w:val="20"/>
                <w:color w:val="auto"/>
              </w:rPr>
            </w:pPr>
            <w:r>
              <w:rPr>
                <w:rFonts w:ascii="Arial" w:cs="Arial" w:eastAsia="Arial" w:hAnsi="Arial"/>
                <w:sz w:val="18"/>
                <w:szCs w:val="18"/>
                <w:color w:val="auto"/>
              </w:rPr>
              <w:t>$29.88</w:t>
            </w:r>
          </w:p>
        </w:tc>
        <w:tc>
          <w:tcPr>
            <w:tcW w:w="1340" w:type="dxa"/>
            <w:vAlign w:val="bottom"/>
            <w:gridSpan w:val="2"/>
            <w:vMerge w:val="restart"/>
          </w:tcPr>
          <w:p>
            <w:pPr>
              <w:jc w:val="right"/>
              <w:ind w:right="520"/>
              <w:spacing w:after="0"/>
              <w:rPr>
                <w:sz w:val="20"/>
                <w:szCs w:val="20"/>
                <w:color w:val="auto"/>
              </w:rPr>
            </w:pPr>
            <w:r>
              <w:rPr>
                <w:rFonts w:ascii="Arial" w:cs="Arial" w:eastAsia="Arial" w:hAnsi="Arial"/>
                <w:sz w:val="18"/>
                <w:szCs w:val="18"/>
                <w:color w:val="auto"/>
              </w:rPr>
              <w:t>4.5</w:t>
            </w: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87"/>
              </w:rPr>
              <w:t>$308,982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0" w:type="dxa"/>
            <w:vAlign w:val="bottom"/>
            <w:gridSpan w:val="2"/>
            <w:vMerge w:val="continue"/>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29,483</w:t>
            </w:r>
          </w:p>
        </w:tc>
        <w:tc>
          <w:tcPr>
            <w:tcW w:w="70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38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addition to the vested options, the Company expects a portion of the unvested options to vest at some point in the future. Options expected to vest is calculated by applying an estimated forfeiture rate to the unvested options.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During the three months ended February 4, 2012 and January 29, 2011, the total intrinsic value of options exercised (i.e. the difference between the market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price at exercise and the price paid by the employee to exercise the options) was $24.9 million and $46.7 million, respectively, and the total amount of proceeds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received by the Company from exercise of these options was $48.9 million and $102.0 million, respectively. Proceeds from stock option exercises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employee stock plans in the Company’s statement of cash flows during the three months ended February 4, 2012 and January 29, 2011 was $48.6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$102.0 million, respectively, and are net of the value of shares surrendered by employees in certain limited circumstances to satisfy the exercise price of options,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to satisfy employee tax obligations upon vesting of restricted stock units and in connection with the exercise of stock options granted to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employees under the Company’s equity compensation plans. The withholding amount is based on the Company’s minimum statutory withholding requirement.</w:t>
      </w:r>
    </w:p>
    <w:p>
      <w:pPr>
        <w:spacing w:after="0" w:line="18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 summary of the Company’s restricted stock unit award activity as of February 4, 2012 and changes during the three- month period then ended is presented below: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8" w:name="page9"/>
    <w:bookmarkEnd w:id="8"/>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Restricted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Stock Units</w:t>
            </w:r>
          </w:p>
        </w:tc>
        <w:tc>
          <w:tcPr>
            <w:tcW w:w="36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Average Grant</w:t>
            </w:r>
          </w:p>
        </w:tc>
        <w:tc>
          <w:tcPr>
            <w:tcW w:w="0" w:type="dxa"/>
            <w:vAlign w:val="bottom"/>
          </w:tcPr>
          <w:p>
            <w:pPr>
              <w:spacing w:after="0"/>
              <w:rPr>
                <w:sz w:val="1"/>
                <w:szCs w:val="1"/>
                <w:color w:val="auto"/>
              </w:rPr>
            </w:pPr>
          </w:p>
        </w:tc>
      </w:tr>
      <w:tr>
        <w:trPr>
          <w:trHeight w:val="149"/>
        </w:trPr>
        <w:tc>
          <w:tcPr>
            <w:tcW w:w="5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Activity during the Three Months Ended February 4, 2012</w:t>
            </w:r>
          </w:p>
        </w:tc>
        <w:tc>
          <w:tcPr>
            <w:tcW w:w="100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380" w:type="dxa"/>
            <w:vAlign w:val="bottom"/>
            <w:gridSpan w:val="4"/>
          </w:tcPr>
          <w:p>
            <w:pPr>
              <w:ind w:left="360"/>
              <w:spacing w:after="0" w:line="149" w:lineRule="exact"/>
              <w:rPr>
                <w:sz w:val="20"/>
                <w:szCs w:val="20"/>
                <w:color w:val="auto"/>
              </w:rPr>
            </w:pPr>
            <w:r>
              <w:rPr>
                <w:rFonts w:ascii="Arial" w:cs="Arial" w:eastAsia="Arial" w:hAnsi="Arial"/>
                <w:sz w:val="14"/>
                <w:szCs w:val="14"/>
                <w:b w:val="1"/>
                <w:bCs w:val="1"/>
                <w:color w:val="auto"/>
                <w:w w:val="98"/>
              </w:rPr>
              <w:t>Date Fair Value</w:t>
            </w:r>
          </w:p>
        </w:tc>
        <w:tc>
          <w:tcPr>
            <w:tcW w:w="0" w:type="dxa"/>
            <w:vAlign w:val="bottom"/>
          </w:tcPr>
          <w:p>
            <w:pPr>
              <w:spacing w:after="0"/>
              <w:rPr>
                <w:sz w:val="1"/>
                <w:szCs w:val="1"/>
                <w:color w:val="auto"/>
              </w:rPr>
            </w:pPr>
          </w:p>
        </w:tc>
      </w:tr>
      <w:tr>
        <w:trPr>
          <w:trHeight w:val="148"/>
        </w:trPr>
        <w:tc>
          <w:tcPr>
            <w:tcW w:w="5080" w:type="dxa"/>
            <w:vAlign w:val="bottom"/>
            <w:gridSpan w:val="3"/>
            <w:vMerge w:val="continue"/>
          </w:tcPr>
          <w:p>
            <w:pPr>
              <w:spacing w:after="0"/>
              <w:rPr>
                <w:sz w:val="12"/>
                <w:szCs w:val="12"/>
                <w:color w:val="auto"/>
              </w:rPr>
            </w:pPr>
          </w:p>
        </w:tc>
        <w:tc>
          <w:tcPr>
            <w:tcW w:w="2220" w:type="dxa"/>
            <w:vAlign w:val="bottom"/>
            <w:gridSpan w:val="3"/>
          </w:tcPr>
          <w:p>
            <w:pPr>
              <w:jc w:val="center"/>
              <w:ind w:left="519"/>
              <w:spacing w:after="0" w:line="148" w:lineRule="exact"/>
              <w:rPr>
                <w:sz w:val="20"/>
                <w:szCs w:val="20"/>
                <w:color w:val="auto"/>
              </w:rPr>
            </w:pPr>
            <w:r>
              <w:rPr>
                <w:rFonts w:ascii="Arial" w:cs="Arial" w:eastAsia="Arial" w:hAnsi="Arial"/>
                <w:sz w:val="14"/>
                <w:szCs w:val="14"/>
                <w:b w:val="1"/>
                <w:bCs w:val="1"/>
                <w:color w:val="auto"/>
                <w:w w:val="84"/>
              </w:rPr>
              <w:t>(in thousands)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5"/>
              </w:rPr>
              <w:t>Per Share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Borders>
              <w:bottom w:val="single" w:sz="8" w:color="CCEEFF"/>
            </w:tcBorders>
            <w:shd w:val="clear" w:color="auto" w:fill="000000"/>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Restricted stock units outstanding at October 29, 2011</w:t>
            </w:r>
          </w:p>
        </w:tc>
        <w:tc>
          <w:tcPr>
            <w:tcW w:w="10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2,088</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420"/>
              <w:spacing w:after="0"/>
              <w:rPr>
                <w:sz w:val="20"/>
                <w:szCs w:val="20"/>
                <w:color w:val="auto"/>
              </w:rPr>
            </w:pPr>
            <w:r>
              <w:rPr>
                <w:rFonts w:ascii="Arial" w:cs="Arial" w:eastAsia="Arial" w:hAnsi="Arial"/>
                <w:sz w:val="18"/>
                <w:szCs w:val="18"/>
                <w:color w:val="auto"/>
              </w:rPr>
              <w:t>Units granted</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18"/>
                <w:szCs w:val="18"/>
                <w:color w:val="auto"/>
              </w:rPr>
            </w:pP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Restrictions lapsed</w:t>
            </w:r>
          </w:p>
        </w:tc>
        <w:tc>
          <w:tcPr>
            <w:tcW w:w="2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(21)</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gridSpan w:val="2"/>
          </w:tcPr>
          <w:p>
            <w:pPr>
              <w:ind w:left="420"/>
              <w:spacing w:after="0"/>
              <w:rPr>
                <w:sz w:val="20"/>
                <w:szCs w:val="20"/>
                <w:color w:val="auto"/>
              </w:rPr>
            </w:pPr>
            <w:r>
              <w:rPr>
                <w:rFonts w:ascii="Arial" w:cs="Arial" w:eastAsia="Arial" w:hAnsi="Arial"/>
                <w:sz w:val="18"/>
                <w:szCs w:val="18"/>
                <w:color w:val="auto"/>
              </w:rPr>
              <w:t>Forfeited</w:t>
            </w:r>
          </w:p>
        </w:tc>
        <w:tc>
          <w:tcPr>
            <w:tcW w:w="100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(19)</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Restricted stock units outstanding at February 4, 2012</w:t>
            </w:r>
          </w:p>
        </w:tc>
        <w:tc>
          <w:tcPr>
            <w:tcW w:w="100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2,070</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firstLine="456"/>
        <w:spacing w:after="0" w:line="306" w:lineRule="auto"/>
        <w:rPr>
          <w:sz w:val="20"/>
          <w:szCs w:val="20"/>
          <w:color w:val="auto"/>
        </w:rPr>
      </w:pPr>
      <w:r>
        <w:rPr>
          <w:rFonts w:ascii="Arial" w:cs="Arial" w:eastAsia="Arial" w:hAnsi="Arial"/>
          <w:sz w:val="16"/>
          <w:szCs w:val="16"/>
          <w:color w:val="auto"/>
        </w:rPr>
        <w:t>As of February 4, 2012, there was $75.0 million of total unrecognized compensation cost related to unvested share-based awards comprised of stock options and restricted stock units. That cost is expected to be recognized over a weighted-average period of 1.2 years. The total grant-date fair value of shares that vested during the three months ended February 4, 2012 and January 29, 2011, was approximately $25.0 million and $25.6 million,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Comprehensive Income</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Components of comprehensive income include net income and certain transactions that have generally been reported in the consolidated statement of shareholders’ equity and consist of the following:</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w w:val="93"/>
              </w:rPr>
              <w:t>Three Months Ended</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February 4, 2012</w:t>
            </w:r>
          </w:p>
        </w:tc>
        <w:tc>
          <w:tcPr>
            <w:tcW w:w="1340" w:type="dxa"/>
            <w:vAlign w:val="bottom"/>
            <w:gridSpan w:val="3"/>
          </w:tcPr>
          <w:p>
            <w:pPr>
              <w:ind w:left="360"/>
              <w:spacing w:after="0" w:line="142" w:lineRule="exact"/>
              <w:rPr>
                <w:sz w:val="20"/>
                <w:szCs w:val="20"/>
                <w:color w:val="auto"/>
              </w:rPr>
            </w:pPr>
            <w:r>
              <w:rPr>
                <w:rFonts w:ascii="Arial" w:cs="Arial" w:eastAsia="Arial" w:hAnsi="Arial"/>
                <w:sz w:val="14"/>
                <w:szCs w:val="14"/>
                <w:b w:val="1"/>
                <w:bCs w:val="1"/>
                <w:color w:val="auto"/>
                <w:w w:val="85"/>
              </w:rPr>
              <w:t>January 29, 2011</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Income from continuing operations, net of tax</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139,382</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215,606</w:t>
            </w:r>
          </w:p>
        </w:tc>
        <w:tc>
          <w:tcPr>
            <w:tcW w:w="120" w:type="dxa"/>
            <w:vAlign w:val="bottom"/>
            <w:tcBorders>
              <w:top w:val="single" w:sz="8" w:color="CCEEFF"/>
            </w:tcBorders>
            <w:shd w:val="clear" w:color="auto" w:fill="CCEEFF"/>
          </w:tcPr>
          <w:p>
            <w:pPr>
              <w:spacing w:after="0"/>
              <w:rPr>
                <w:sz w:val="18"/>
                <w:szCs w:val="18"/>
                <w:color w:val="auto"/>
              </w:rPr>
            </w:pPr>
          </w:p>
        </w:tc>
      </w:tr>
      <w:tr>
        <w:trPr>
          <w:trHeight w:val="322"/>
        </w:trPr>
        <w:tc>
          <w:tcPr>
            <w:tcW w:w="20" w:type="dxa"/>
            <w:vAlign w:val="bottom"/>
          </w:tcPr>
          <w:p>
            <w:pPr>
              <w:spacing w:after="0"/>
              <w:rPr>
                <w:sz w:val="24"/>
                <w:szCs w:val="24"/>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(2,252)</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r>
      <w:tr>
        <w:trPr>
          <w:trHeight w:val="110"/>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08"/>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unrealized holding gains (net of taxes of $206 and $23,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respectively) on securities classified as short-term investments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9"/>
                <w:szCs w:val="19"/>
                <w:color w:val="auto"/>
              </w:rPr>
            </w:pPr>
          </w:p>
        </w:tc>
      </w:tr>
      <w:tr>
        <w:trPr>
          <w:trHeight w:val="316"/>
        </w:trPr>
        <w:tc>
          <w:tcPr>
            <w:tcW w:w="20" w:type="dxa"/>
            <w:vAlign w:val="bottom"/>
          </w:tcPr>
          <w:p>
            <w:pPr>
              <w:spacing w:after="0"/>
              <w:rPr>
                <w:sz w:val="24"/>
                <w:szCs w:val="24"/>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Change in unrealized holding gains (net of taxes of $98 and $40,</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5800" w:type="dxa"/>
            <w:vAlign w:val="bottom"/>
          </w:tcPr>
          <w:p>
            <w:pPr>
              <w:ind w:left="620"/>
              <w:spacing w:after="0"/>
              <w:rPr>
                <w:sz w:val="20"/>
                <w:szCs w:val="20"/>
                <w:color w:val="auto"/>
              </w:rPr>
            </w:pPr>
            <w:r>
              <w:rPr>
                <w:rFonts w:ascii="Arial" w:cs="Arial" w:eastAsia="Arial" w:hAnsi="Arial"/>
                <w:sz w:val="18"/>
                <w:szCs w:val="18"/>
                <w:color w:val="auto"/>
              </w:rPr>
              <w:t>respectively) on securities classified as other investments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182</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r>
      <w:tr>
        <w:trPr>
          <w:trHeight w:val="110"/>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08"/>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unrealized losses (net of taxes of $829 and $401,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respectively) on derivative instruments designated as cash flow</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hedges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(5,741)</w:t>
            </w: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(3,023)</w:t>
            </w:r>
          </w:p>
        </w:tc>
      </w:tr>
      <w:tr>
        <w:trPr>
          <w:trHeight w:val="323"/>
        </w:trPr>
        <w:tc>
          <w:tcPr>
            <w:tcW w:w="5820" w:type="dxa"/>
            <w:vAlign w:val="bottom"/>
            <w:gridSpan w:val="2"/>
          </w:tcPr>
          <w:p>
            <w:pPr>
              <w:spacing w:after="0"/>
              <w:rPr>
                <w:sz w:val="20"/>
                <w:szCs w:val="20"/>
                <w:color w:val="auto"/>
              </w:rPr>
            </w:pPr>
            <w:r>
              <w:rPr>
                <w:rFonts w:ascii="Arial" w:cs="Arial" w:eastAsia="Arial" w:hAnsi="Arial"/>
                <w:sz w:val="18"/>
                <w:szCs w:val="18"/>
                <w:color w:val="auto"/>
              </w:rPr>
              <w:t>Pension plans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58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Transition asset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840"/>
              <w:spacing w:after="0"/>
              <w:rPr>
                <w:sz w:val="20"/>
                <w:szCs w:val="20"/>
                <w:color w:val="auto"/>
              </w:rPr>
            </w:pPr>
            <w:r>
              <w:rPr>
                <w:rFonts w:ascii="Arial" w:cs="Arial" w:eastAsia="Arial" w:hAnsi="Arial"/>
                <w:sz w:val="18"/>
                <w:szCs w:val="18"/>
                <w:color w:val="auto"/>
              </w:rPr>
              <w:t>Net actuarial gain</w:t>
            </w: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(5,249)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(1,902)</w:t>
            </w: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Comprehensive income from continuing operations</w:t>
            </w:r>
          </w:p>
        </w:tc>
        <w:tc>
          <w:tcPr>
            <w:tcW w:w="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134,133</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213,704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discontinued operations, net of tax</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20" w:type="dxa"/>
            <w:vAlign w:val="bottom"/>
            <w:shd w:val="clear" w:color="auto" w:fill="CCEEFF"/>
          </w:tcPr>
          <w:p>
            <w:pPr>
              <w:spacing w:after="0"/>
              <w:rPr>
                <w:sz w:val="18"/>
                <w:szCs w:val="18"/>
                <w:color w:val="auto"/>
              </w:rPr>
            </w:pPr>
          </w:p>
        </w:tc>
      </w:tr>
      <w:tr>
        <w:trPr>
          <w:trHeight w:val="222"/>
        </w:trPr>
        <w:tc>
          <w:tcPr>
            <w:tcW w:w="58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134,133</w:t>
            </w:r>
          </w:p>
        </w:tc>
        <w:tc>
          <w:tcPr>
            <w:tcW w:w="40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220,204</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components of accumulated other comprehensive loss, net of tax, at February 4, 2012 and October 29, 2011 consisted of the following: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830" w:right="279" w:bottom="1440" w:gutter="0" w:footer="0" w:header="0"/>
        </w:sectPr>
      </w:pPr>
    </w:p>
    <w:bookmarkStart w:id="9" w:name="page10"/>
    <w:bookmarkEnd w:id="9"/>
    <w:tbl>
      <w:tblPr>
        <w:tblLayout w:type="fixed"/>
        <w:tblInd w:w="138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February 4, 2012</w:t>
            </w:r>
          </w:p>
        </w:tc>
        <w:tc>
          <w:tcPr>
            <w:tcW w:w="14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October 29, 2011</w:t>
            </w:r>
          </w:p>
        </w:tc>
        <w:tc>
          <w:tcPr>
            <w:tcW w:w="0" w:type="dxa"/>
            <w:vAlign w:val="bottom"/>
          </w:tcPr>
          <w:p>
            <w:pPr>
              <w:spacing w:after="0"/>
              <w:rPr>
                <w:sz w:val="1"/>
                <w:szCs w:val="1"/>
                <w:color w:val="auto"/>
              </w:rPr>
            </w:pPr>
          </w:p>
        </w:tc>
      </w:tr>
      <w:tr>
        <w:trPr>
          <w:trHeight w:val="210"/>
        </w:trPr>
        <w:tc>
          <w:tcPr>
            <w:tcW w:w="5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(4,290)</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Unrealized gains on available-for-sale securities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1,518</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available-for-sale securities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Unrealized gains on derivative instruments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(4,054)</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Pension plans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440"/>
              <w:spacing w:after="0"/>
              <w:rPr>
                <w:sz w:val="20"/>
                <w:szCs w:val="20"/>
                <w:color w:val="auto"/>
              </w:rPr>
            </w:pPr>
            <w:r>
              <w:rPr>
                <w:rFonts w:ascii="Arial" w:cs="Arial" w:eastAsia="Arial" w:hAnsi="Arial"/>
                <w:sz w:val="18"/>
                <w:szCs w:val="18"/>
                <w:color w:val="auto"/>
              </w:rPr>
              <w:t>Transition obligation</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(116)</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(24,341)</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(25,755)</w:t>
            </w:r>
          </w:p>
        </w:tc>
        <w:tc>
          <w:tcPr>
            <w:tcW w:w="0" w:type="dxa"/>
            <w:vAlign w:val="bottom"/>
          </w:tcPr>
          <w:p>
            <w:pPr>
              <w:spacing w:after="0"/>
              <w:rPr>
                <w:sz w:val="1"/>
                <w:szCs w:val="1"/>
                <w:color w:val="auto"/>
              </w:rPr>
            </w:pPr>
          </w:p>
        </w:tc>
      </w:tr>
      <w:tr>
        <w:trPr>
          <w:trHeight w:val="20"/>
        </w:trPr>
        <w:tc>
          <w:tcPr>
            <w:tcW w:w="5880" w:type="dxa"/>
            <w:vAlign w:val="bottom"/>
            <w:vMerge w:val="restart"/>
          </w:tcPr>
          <w:p>
            <w:pPr>
              <w:ind w:left="860"/>
              <w:spacing w:after="0"/>
              <w:rPr>
                <w:sz w:val="20"/>
                <w:szCs w:val="20"/>
                <w:color w:val="auto"/>
              </w:rPr>
            </w:pPr>
            <w:r>
              <w:rPr>
                <w:rFonts w:ascii="Arial" w:cs="Arial" w:eastAsia="Arial" w:hAnsi="Arial"/>
                <w:sz w:val="18"/>
                <w:szCs w:val="18"/>
                <w:color w:val="auto"/>
              </w:rPr>
              <w:t>Total accumulated other comprehensive loss</w:t>
            </w: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80" w:type="dxa"/>
            <w:vAlign w:val="bottom"/>
            <w:vMerge w:val="continue"/>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(31,418)</w:t>
            </w:r>
          </w:p>
        </w:tc>
        <w:tc>
          <w:tcPr>
            <w:tcW w:w="58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(26,169)</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440" w:firstLine="456"/>
        <w:spacing w:after="0" w:line="259" w:lineRule="auto"/>
        <w:rPr>
          <w:sz w:val="20"/>
          <w:szCs w:val="20"/>
          <w:color w:val="auto"/>
        </w:rPr>
      </w:pPr>
      <w:r>
        <w:rPr>
          <w:rFonts w:ascii="Arial" w:cs="Arial" w:eastAsia="Arial" w:hAnsi="Arial"/>
          <w:sz w:val="18"/>
          <w:szCs w:val="18"/>
          <w:color w:val="auto"/>
        </w:rPr>
        <w:t>The aggregate fair value of investments with unrealized losses as of February 4, 2012 and October 29, 2011 was $347.8 million and $1,899.4 million, respectively. These unrealized losses were primarily related to commercial paper that earns lower interest rates than current market rates. None of these investments have been in a loss position for more than twelve months.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Unrealized gains and losses on available-for-sale securities classified as short-term investments at February 4, 2012 and October 29, 2011 are as follows: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000" w:type="dxa"/>
            <w:vAlign w:val="bottom"/>
            <w:gridSpan w:val="4"/>
          </w:tcPr>
          <w:p>
            <w:pPr>
              <w:ind w:left="460"/>
              <w:spacing w:after="0"/>
              <w:rPr>
                <w:sz w:val="20"/>
                <w:szCs w:val="20"/>
                <w:color w:val="auto"/>
              </w:rPr>
            </w:pPr>
            <w:r>
              <w:rPr>
                <w:rFonts w:ascii="Arial" w:cs="Arial" w:eastAsia="Arial" w:hAnsi="Arial"/>
                <w:sz w:val="14"/>
                <w:szCs w:val="14"/>
                <w:b w:val="1"/>
                <w:bCs w:val="1"/>
                <w:color w:val="auto"/>
              </w:rPr>
              <w:t>February 4, 2012</w:t>
            </w:r>
          </w:p>
        </w:tc>
        <w:tc>
          <w:tcPr>
            <w:tcW w:w="1580" w:type="dxa"/>
            <w:vAlign w:val="bottom"/>
            <w:gridSpan w:val="4"/>
          </w:tcPr>
          <w:p>
            <w:pPr>
              <w:ind w:left="500"/>
              <w:spacing w:after="0"/>
              <w:rPr>
                <w:sz w:val="20"/>
                <w:szCs w:val="20"/>
                <w:color w:val="auto"/>
              </w:rPr>
            </w:pPr>
            <w:r>
              <w:rPr>
                <w:rFonts w:ascii="Arial" w:cs="Arial" w:eastAsia="Arial" w:hAnsi="Arial"/>
                <w:sz w:val="14"/>
                <w:szCs w:val="14"/>
                <w:b w:val="1"/>
                <w:bCs w:val="1"/>
                <w:color w:val="auto"/>
                <w:w w:val="94"/>
              </w:rPr>
              <w:t>October 29, 2011</w:t>
            </w:r>
          </w:p>
        </w:tc>
      </w:tr>
      <w:tr>
        <w:trPr>
          <w:trHeight w:val="188"/>
        </w:trPr>
        <w:tc>
          <w:tcPr>
            <w:tcW w:w="20" w:type="dxa"/>
            <w:vAlign w:val="bottom"/>
          </w:tcPr>
          <w:p>
            <w:pPr>
              <w:spacing w:after="0"/>
              <w:rPr>
                <w:sz w:val="16"/>
                <w:szCs w:val="16"/>
                <w:color w:val="auto"/>
              </w:rPr>
            </w:pPr>
          </w:p>
        </w:tc>
        <w:tc>
          <w:tcPr>
            <w:tcW w:w="508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Unrealized gains on securities classified as short-term</w:t>
            </w:r>
          </w:p>
        </w:tc>
        <w:tc>
          <w:tcPr>
            <w:tcW w:w="4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24"/>
        </w:trPr>
        <w:tc>
          <w:tcPr>
            <w:tcW w:w="20" w:type="dxa"/>
            <w:vAlign w:val="bottom"/>
          </w:tcPr>
          <w:p>
            <w:pPr>
              <w:spacing w:after="0"/>
              <w:rPr>
                <w:sz w:val="19"/>
                <w:szCs w:val="19"/>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5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Unrealized losses on securities classified as short-term</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(37)</w:t>
            </w: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(600)</w:t>
            </w:r>
          </w:p>
        </w:tc>
      </w:tr>
      <w:tr>
        <w:trPr>
          <w:trHeight w:val="20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w w:val="95"/>
              </w:rPr>
              <w:t>Net unrealized gains (losses) on securities classified as short-term</w:t>
            </w:r>
          </w:p>
        </w:tc>
        <w:tc>
          <w:tcPr>
            <w:tcW w:w="4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5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(578)</w:t>
            </w: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Realized gains or losses on investments are determined based on the specific identification basis and are recognized in nonoperating income. There were no material net realized gains or losses from the sales of available-for-sale investments during any of the fiscal periods presented.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42"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5 – Earnings Per Share</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potential future issuances of common stock relating to stock option programs and other potentially dilutive securities using the treasury stock method. In calculating diluted earnings per share, the dilutive effect of stock options is computed using the average market price for the respective period. In addition, the assumed proceeds under the treasury stock method include the average unrecognized compensation expense of stock options that are in-the-money and restricted stock units. This results in the “assumed” buyback of additional shares, thereby reducing the dilutive impact of in-the-money stock options. Potential shares related to certain of the Company’s outstanding stock options were excluded because they were anti-dilutive. Those potential shares, determined based on the weighted average exercise prices during the respective years, related to the Company’s outstanding stock options could be dilutive in the future.</w:t>
      </w:r>
    </w:p>
    <w:p>
      <w:pPr>
        <w:spacing w:after="0" w:line="15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February 4, 2012</w:t>
            </w:r>
          </w:p>
        </w:tc>
        <w:tc>
          <w:tcPr>
            <w:tcW w:w="17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January 29,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Income from continuing operations, net of tax</w:t>
            </w:r>
          </w:p>
        </w:tc>
        <w:tc>
          <w:tcPr>
            <w:tcW w:w="6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139,382</w:t>
            </w:r>
          </w:p>
        </w:tc>
        <w:tc>
          <w:tcPr>
            <w:tcW w:w="7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215,606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440"/>
              <w:spacing w:after="0"/>
              <w:rPr>
                <w:sz w:val="20"/>
                <w:szCs w:val="20"/>
                <w:color w:val="auto"/>
              </w:rPr>
            </w:pPr>
            <w:r>
              <w:rPr>
                <w:rFonts w:ascii="Arial" w:cs="Arial" w:eastAsia="Arial" w:hAnsi="Arial"/>
                <w:sz w:val="18"/>
                <w:szCs w:val="18"/>
                <w:color w:val="auto"/>
              </w:rPr>
              <w:t>Gain on sale of discontinued operations, net of tax</w:t>
            </w:r>
          </w:p>
        </w:tc>
        <w:tc>
          <w:tcPr>
            <w:tcW w:w="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9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139,382</w:t>
            </w:r>
          </w:p>
        </w:tc>
        <w:tc>
          <w:tcPr>
            <w:tcW w:w="108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222,106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Basic shares:</w:t>
            </w: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Weighted-average shares outstanding</w:t>
            </w:r>
          </w:p>
        </w:tc>
        <w:tc>
          <w:tcPr>
            <w:tcW w:w="6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297,788</w:t>
            </w:r>
          </w:p>
        </w:tc>
        <w:tc>
          <w:tcPr>
            <w:tcW w:w="7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299,218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Earnings per share-basic:</w:t>
            </w: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from continuing operations, net of tax</w:t>
            </w:r>
          </w:p>
        </w:tc>
        <w:tc>
          <w:tcPr>
            <w:tcW w:w="9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8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440"/>
              <w:spacing w:after="0"/>
              <w:rPr>
                <w:sz w:val="20"/>
                <w:szCs w:val="20"/>
                <w:color w:val="auto"/>
              </w:rPr>
            </w:pPr>
            <w:r>
              <w:rPr>
                <w:rFonts w:ascii="Arial" w:cs="Arial" w:eastAsia="Arial" w:hAnsi="Arial"/>
                <w:sz w:val="18"/>
                <w:szCs w:val="18"/>
                <w:color w:val="auto"/>
              </w:rPr>
              <w:t>Gain on sale of discontinued operations, net of tax</w:t>
            </w:r>
          </w:p>
        </w:tc>
        <w:tc>
          <w:tcPr>
            <w:tcW w:w="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9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8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Diluted shares:</w:t>
            </w: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Weighted-average shares outstanding</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297,788</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299,218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440"/>
              <w:spacing w:after="0"/>
              <w:rPr>
                <w:sz w:val="20"/>
                <w:szCs w:val="20"/>
                <w:color w:val="auto"/>
              </w:rPr>
            </w:pPr>
            <w:r>
              <w:rPr>
                <w:rFonts w:ascii="Arial" w:cs="Arial" w:eastAsia="Arial" w:hAnsi="Arial"/>
                <w:sz w:val="18"/>
                <w:szCs w:val="18"/>
                <w:color w:val="auto"/>
              </w:rPr>
              <w:t>Assumed exercise of common stock equivalents</w:t>
            </w:r>
          </w:p>
        </w:tc>
        <w:tc>
          <w:tcPr>
            <w:tcW w:w="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7,743</w:t>
            </w:r>
          </w:p>
        </w:tc>
        <w:tc>
          <w:tcPr>
            <w:tcW w:w="7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Weighted-average common and common equivalent shares</w:t>
            </w:r>
          </w:p>
        </w:tc>
        <w:tc>
          <w:tcPr>
            <w:tcW w:w="6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305,531</w:t>
            </w:r>
          </w:p>
        </w:tc>
        <w:tc>
          <w:tcPr>
            <w:tcW w:w="7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308,848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Earnings per share-diluted:</w:t>
            </w: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from continuing operations, net of tax</w:t>
            </w:r>
          </w:p>
        </w:tc>
        <w:tc>
          <w:tcPr>
            <w:tcW w:w="9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8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440"/>
              <w:spacing w:after="0"/>
              <w:rPr>
                <w:sz w:val="20"/>
                <w:szCs w:val="20"/>
                <w:color w:val="auto"/>
              </w:rPr>
            </w:pPr>
            <w:r>
              <w:rPr>
                <w:rFonts w:ascii="Arial" w:cs="Arial" w:eastAsia="Arial" w:hAnsi="Arial"/>
                <w:sz w:val="18"/>
                <w:szCs w:val="18"/>
                <w:color w:val="auto"/>
              </w:rPr>
              <w:t>Gain on sale of discontinued operations, net of tax</w:t>
            </w:r>
          </w:p>
        </w:tc>
        <w:tc>
          <w:tcPr>
            <w:tcW w:w="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9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8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Weighted average anti-dilutive shares related to:</w:t>
            </w: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Outstanding stock options</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6,912</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5200" w:type="dxa"/>
            <w:vAlign w:val="bottom"/>
          </w:tcPr>
          <w:p>
            <w:pPr>
              <w:ind w:left="4240"/>
              <w:spacing w:after="0"/>
              <w:rPr>
                <w:sz w:val="20"/>
                <w:szCs w:val="20"/>
                <w:color w:val="auto"/>
              </w:rPr>
            </w:pPr>
            <w:r>
              <w:rPr>
                <w:rFonts w:ascii="Arial" w:cs="Arial" w:eastAsia="Arial" w:hAnsi="Arial"/>
                <w:sz w:val="18"/>
                <w:szCs w:val="18"/>
                <w:color w:val="auto"/>
              </w:rPr>
              <w:t>10</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6 – Special Charges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monitors global macroeconomic conditions, on an ongoing basis, and continues to assess opportunities for improved operational effectiveness and efficiency and better alignment of expenses with revenues. As a result of these assessments, the Company has undertaken various restructuring actions over the past several years. These actions are described below.</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displays the special charges taken for ongoing actions and a roll-forward from October 29, 2011 to February 4, 2012 of the employee separation and exit cost accruals established related to these actions.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vMerge w:val="restart"/>
          </w:tcPr>
          <w:p>
            <w:pPr>
              <w:spacing w:after="0"/>
              <w:rPr>
                <w:sz w:val="20"/>
                <w:szCs w:val="20"/>
                <w:color w:val="auto"/>
              </w:rPr>
            </w:pPr>
            <w:r>
              <w:rPr>
                <w:rFonts w:ascii="Arial" w:cs="Arial" w:eastAsia="Arial" w:hAnsi="Arial"/>
                <w:sz w:val="14"/>
                <w:szCs w:val="14"/>
                <w:b w:val="1"/>
                <w:bCs w:val="1"/>
                <w:color w:val="auto"/>
                <w:w w:val="90"/>
              </w:rPr>
              <w:t>Statement of Income</w:t>
            </w:r>
          </w:p>
        </w:tc>
        <w:tc>
          <w:tcPr>
            <w:tcW w:w="3480" w:type="dxa"/>
            <w:vAlign w:val="bottom"/>
            <w:vMerge w:val="restart"/>
          </w:tcPr>
          <w:p>
            <w:pPr>
              <w:spacing w:after="0"/>
              <w:rPr>
                <w:sz w:val="14"/>
                <w:szCs w:val="14"/>
                <w:color w:val="auto"/>
              </w:rPr>
            </w:pPr>
          </w:p>
        </w:tc>
        <w:tc>
          <w:tcPr>
            <w:tcW w:w="26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ind w:left="280"/>
              <w:spacing w:after="0"/>
              <w:rPr>
                <w:sz w:val="20"/>
                <w:szCs w:val="20"/>
                <w:color w:val="auto"/>
              </w:rPr>
            </w:pPr>
            <w:r>
              <w:rPr>
                <w:rFonts w:ascii="Arial" w:cs="Arial" w:eastAsia="Arial" w:hAnsi="Arial"/>
                <w:sz w:val="14"/>
                <w:szCs w:val="14"/>
                <w:b w:val="1"/>
                <w:bCs w:val="1"/>
                <w:color w:val="auto"/>
              </w:rPr>
              <w:t>Reduction of Operating Costs</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tcBorders>
              <w:bottom w:val="single" w:sz="8" w:color="auto"/>
            </w:tcBorders>
            <w:vMerge w:val="continue"/>
          </w:tcPr>
          <w:p>
            <w:pPr>
              <w:spacing w:after="0"/>
              <w:rPr>
                <w:sz w:val="12"/>
                <w:szCs w:val="12"/>
                <w:color w:val="auto"/>
              </w:rPr>
            </w:pPr>
          </w:p>
        </w:tc>
        <w:tc>
          <w:tcPr>
            <w:tcW w:w="3480" w:type="dxa"/>
            <w:vAlign w:val="bottom"/>
            <w:vMerge w:val="continue"/>
          </w:tcPr>
          <w:p>
            <w:pPr>
              <w:spacing w:after="0"/>
              <w:rPr>
                <w:sz w:val="12"/>
                <w:szCs w:val="12"/>
                <w:color w:val="auto"/>
              </w:rPr>
            </w:pPr>
          </w:p>
        </w:tc>
        <w:tc>
          <w:tcPr>
            <w:tcW w:w="2680" w:type="dxa"/>
            <w:vAlign w:val="bottom"/>
          </w:tcPr>
          <w:p>
            <w:pPr>
              <w:spacing w:after="0"/>
              <w:rPr>
                <w:sz w:val="12"/>
                <w:szCs w:val="12"/>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2008</w:t>
            </w:r>
          </w:p>
        </w:tc>
        <w:tc>
          <w:tcPr>
            <w:tcW w:w="320" w:type="dxa"/>
            <w:vAlign w:val="bottom"/>
          </w:tcPr>
          <w:p>
            <w:pPr>
              <w:spacing w:after="0"/>
              <w:rPr>
                <w:sz w:val="12"/>
                <w:szCs w:val="12"/>
                <w:color w:val="auto"/>
              </w:rPr>
            </w:pPr>
          </w:p>
        </w:tc>
        <w:tc>
          <w:tcPr>
            <w:tcW w:w="580" w:type="dxa"/>
            <w:vAlign w:val="bottom"/>
          </w:tcPr>
          <w:p>
            <w:pPr>
              <w:jc w:val="right"/>
              <w:ind w:right="78"/>
              <w:spacing w:after="0" w:line="129" w:lineRule="exact"/>
              <w:rPr>
                <w:sz w:val="20"/>
                <w:szCs w:val="20"/>
                <w:color w:val="auto"/>
              </w:rPr>
            </w:pPr>
            <w:r>
              <w:rPr>
                <w:rFonts w:ascii="Arial" w:cs="Arial" w:eastAsia="Arial" w:hAnsi="Arial"/>
                <w:sz w:val="14"/>
                <w:szCs w:val="14"/>
                <w:b w:val="1"/>
                <w:bCs w:val="1"/>
                <w:color w:val="auto"/>
              </w:rPr>
              <w:t>2009</w:t>
            </w:r>
          </w:p>
        </w:tc>
        <w:tc>
          <w:tcPr>
            <w:tcW w:w="880" w:type="dxa"/>
            <w:vAlign w:val="bottom"/>
            <w:gridSpan w:val="2"/>
          </w:tcPr>
          <w:p>
            <w:pPr>
              <w:jc w:val="right"/>
              <w:ind w:right="72"/>
              <w:spacing w:after="0" w:line="129"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660" w:type="dxa"/>
            <w:vAlign w:val="bottom"/>
            <w:gridSpan w:val="2"/>
          </w:tcPr>
          <w:p>
            <w:pPr>
              <w:jc w:val="center"/>
              <w:ind w:left="82"/>
              <w:spacing w:after="0" w:line="129" w:lineRule="exact"/>
              <w:rPr>
                <w:sz w:val="20"/>
                <w:szCs w:val="20"/>
                <w:color w:val="auto"/>
              </w:rPr>
            </w:pPr>
            <w:r>
              <w:rPr>
                <w:rFonts w:ascii="Arial" w:cs="Arial" w:eastAsia="Arial" w:hAnsi="Arial"/>
                <w:sz w:val="14"/>
                <w:szCs w:val="14"/>
                <w:b w:val="1"/>
                <w:bCs w:val="1"/>
                <w:color w:val="auto"/>
                <w:w w:val="83"/>
              </w:rPr>
              <w:t>2011</w:t>
            </w:r>
          </w:p>
        </w:tc>
        <w:tc>
          <w:tcPr>
            <w:tcW w:w="300" w:type="dxa"/>
            <w:vAlign w:val="bottom"/>
          </w:tcPr>
          <w:p>
            <w:pPr>
              <w:spacing w:after="0"/>
              <w:rPr>
                <w:sz w:val="12"/>
                <w:szCs w:val="12"/>
                <w:color w:val="auto"/>
              </w:rPr>
            </w:pPr>
          </w:p>
        </w:tc>
        <w:tc>
          <w:tcPr>
            <w:tcW w:w="50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Workforce reductions</w:t>
            </w:r>
          </w:p>
        </w:tc>
        <w:tc>
          <w:tcPr>
            <w:tcW w:w="26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$1,627</w:t>
            </w:r>
          </w:p>
        </w:tc>
        <w:tc>
          <w:tcPr>
            <w:tcW w:w="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$26,583</w:t>
            </w: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$10,908</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$2,239</w:t>
            </w: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$2,535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Facility closure costs</w:t>
            </w:r>
          </w:p>
        </w:tc>
        <w:tc>
          <w:tcPr>
            <w:tcW w:w="2680" w:type="dxa"/>
            <w:vAlign w:val="bottom"/>
          </w:tcPr>
          <w:p>
            <w:pPr>
              <w:spacing w:after="0"/>
              <w:rPr>
                <w:sz w:val="18"/>
                <w:szCs w:val="18"/>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2,411</w:t>
            </w:r>
          </w:p>
        </w:tc>
        <w:tc>
          <w:tcPr>
            <w:tcW w:w="3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impairment charge</w:t>
            </w:r>
          </w:p>
        </w:tc>
        <w:tc>
          <w:tcPr>
            <w:tcW w:w="26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487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Other items</w:t>
            </w:r>
          </w:p>
        </w:tc>
        <w:tc>
          <w:tcPr>
            <w:tcW w:w="268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w:t>
            </w:r>
          </w:p>
        </w:tc>
        <w:tc>
          <w:tcPr>
            <w:tcW w:w="3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Charges</w:t>
            </w:r>
          </w:p>
        </w:tc>
        <w:tc>
          <w:tcPr>
            <w:tcW w:w="26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1,627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30,333</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11,419</w:t>
            </w:r>
          </w:p>
        </w:tc>
        <w:tc>
          <w:tcPr>
            <w:tcW w:w="96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2,239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Accrued 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0</wp:posOffset>
            </wp:positionV>
            <wp:extent cx="8921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5"/>
          <w:szCs w:val="15"/>
          <w:b w:val="1"/>
          <w:bCs w:val="1"/>
          <w:color w:val="auto"/>
        </w:rPr>
        <w:t>Balance at October 29,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-108585</wp:posOffset>
            </wp:positionV>
            <wp:extent cx="49225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pacing w:after="0" w:line="29"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Fiscal 2012 special charges</w:t>
      </w:r>
    </w:p>
    <w:p>
      <w:pPr>
        <w:spacing w:after="0" w:line="3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Severance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4" w:lineRule="exact"/>
        <w:rPr>
          <w:sz w:val="20"/>
          <w:szCs w:val="20"/>
          <w:color w:val="auto"/>
        </w:rPr>
      </w:pPr>
    </w:p>
    <w:p>
      <w:pPr>
        <w:ind w:left="1840"/>
        <w:spacing w:after="0"/>
        <w:rPr>
          <w:sz w:val="20"/>
          <w:szCs w:val="20"/>
          <w:color w:val="auto"/>
        </w:rPr>
      </w:pPr>
      <w:r>
        <w:rPr>
          <w:rFonts w:ascii="Arial" w:cs="Arial" w:eastAsia="Arial" w:hAnsi="Arial"/>
          <w:sz w:val="15"/>
          <w:szCs w:val="15"/>
          <w:b w:val="1"/>
          <w:bCs w:val="1"/>
          <w:color w:val="auto"/>
        </w:rPr>
        <w:t>Balance at February 4, 2012</w:t>
      </w:r>
    </w:p>
    <w:p>
      <w:pPr>
        <w:spacing w:after="0" w:line="20" w:lineRule="exact"/>
        <w:rPr>
          <w:sz w:val="20"/>
          <w:szCs w:val="20"/>
          <w:color w:val="auto"/>
        </w:rPr>
      </w:pPr>
      <w:r>
        <w:rPr>
          <w:sz w:val="20"/>
          <w:szCs w:val="20"/>
          <w:color w:val="auto"/>
        </w:rPr>
        <w:br w:type="column"/>
      </w:r>
    </w:p>
    <w:p>
      <w:pPr>
        <w:jc w:val="center"/>
        <w:ind w:right="1980"/>
        <w:spacing w:after="0"/>
        <w:rPr>
          <w:sz w:val="20"/>
          <w:szCs w:val="20"/>
          <w:color w:val="auto"/>
        </w:rPr>
      </w:pPr>
      <w:r>
        <w:rPr>
          <w:rFonts w:ascii="Arial" w:cs="Arial" w:eastAsia="Arial" w:hAnsi="Arial"/>
          <w:sz w:val="12"/>
          <w:szCs w:val="12"/>
          <w:b w:val="1"/>
          <w:bCs w:val="1"/>
          <w:color w:val="auto"/>
        </w:rPr>
        <w:t>Reduction</w:t>
      </w:r>
    </w:p>
    <w:p>
      <w:pPr>
        <w:spacing w:after="0" w:line="12" w:lineRule="exact"/>
        <w:rPr>
          <w:sz w:val="20"/>
          <w:szCs w:val="20"/>
          <w:color w:val="auto"/>
        </w:rPr>
      </w:pPr>
    </w:p>
    <w:p>
      <w:pPr>
        <w:jc w:val="center"/>
        <w:ind w:right="1940"/>
        <w:spacing w:after="0"/>
        <w:rPr>
          <w:sz w:val="20"/>
          <w:szCs w:val="20"/>
          <w:color w:val="auto"/>
        </w:rPr>
      </w:pPr>
      <w:r>
        <w:rPr>
          <w:rFonts w:ascii="Arial" w:cs="Arial" w:eastAsia="Arial" w:hAnsi="Arial"/>
          <w:sz w:val="14"/>
          <w:szCs w:val="14"/>
          <w:b w:val="1"/>
          <w:bCs w:val="1"/>
          <w:color w:val="auto"/>
        </w:rPr>
        <w:t>of</w:t>
      </w:r>
    </w:p>
    <w:p>
      <w:pPr>
        <w:jc w:val="center"/>
        <w:ind w:right="1940"/>
        <w:spacing w:after="0"/>
        <w:rPr>
          <w:sz w:val="20"/>
          <w:szCs w:val="20"/>
          <w:color w:val="auto"/>
        </w:rPr>
      </w:pPr>
      <w:r>
        <w:rPr>
          <w:rFonts w:ascii="Arial" w:cs="Arial" w:eastAsia="Arial" w:hAnsi="Arial"/>
          <w:sz w:val="12"/>
          <w:szCs w:val="12"/>
          <w:b w:val="1"/>
          <w:bCs w:val="1"/>
          <w:color w:val="auto"/>
        </w:rPr>
        <w:t>Operating</w:t>
      </w:r>
    </w:p>
    <w:p>
      <w:pPr>
        <w:spacing w:after="0" w:line="10" w:lineRule="exact"/>
        <w:rPr>
          <w:sz w:val="20"/>
          <w:szCs w:val="20"/>
          <w:color w:val="auto"/>
        </w:rPr>
      </w:pPr>
    </w:p>
    <w:p>
      <w:pPr>
        <w:jc w:val="center"/>
        <w:ind w:right="1940"/>
        <w:spacing w:after="0"/>
        <w:rPr>
          <w:sz w:val="20"/>
          <w:szCs w:val="20"/>
          <w:color w:val="auto"/>
        </w:rPr>
      </w:pPr>
      <w:r>
        <w:rPr>
          <w:rFonts w:ascii="Arial" w:cs="Arial" w:eastAsia="Arial" w:hAnsi="Arial"/>
          <w:sz w:val="14"/>
          <w:szCs w:val="14"/>
          <w:b w:val="1"/>
          <w:bCs w:val="1"/>
          <w:color w:val="auto"/>
        </w:rPr>
        <w:t>Costs</w:t>
      </w:r>
    </w:p>
    <w:p>
      <w:pPr>
        <w:ind w:left="240" w:hanging="233"/>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3,876</w:t>
      </w:r>
    </w:p>
    <w:p>
      <w:pPr>
        <w:spacing w:after="0" w:line="7"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2,595</w:t>
      </w:r>
    </w:p>
    <w:p>
      <w:pPr>
        <w:spacing w:after="0" w:line="9"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(1,359)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wp:posOffset>
            </wp:positionV>
            <wp:extent cx="4032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10"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5"/>
          <w:szCs w:val="15"/>
          <w:u w:val="single" w:color="auto"/>
          <w:color w:val="auto"/>
        </w:rPr>
        <w:t>5,112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27940</wp:posOffset>
            </wp:positionV>
            <wp:extent cx="4032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20" w:space="720"/>
            <w:col w:w="2580"/>
          </w:cols>
          <w:pgMar w:left="240" w:top="274" w:right="239" w:bottom="1440" w:gutter="0" w:footer="0" w:header="0"/>
          <w:type w:val="continuous"/>
        </w:sectPr>
      </w:pP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Reduction of Operating Costs</w:t>
      </w:r>
    </w:p>
    <w:p>
      <w:pPr>
        <w:spacing w:after="0" w:line="90"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During fiscal 2008 through fiscal 2010, the Company recorded special charges of approximately $43.3 million. These special charges included: $39.1 million for severance and fringe benefit costs in accordance with its ongoing benefit plan or statutory requirements at foreign locations for 245 manufacturing employees and 470 engineering and selling, marketing, general and administrative (SMG&amp;A) employees; $2.1 million for lease obligation costs for facilities that the Company ceased using during the first quarter of fiscal 2009; $0.8 million for the write-off of property, plant and equipment; $0.5 million for contract termination costs and $0.3 million for clean-up and closure costs that were expensed as incurred; and $0.5 million related to the impairment of intellectual property. The Company terminated the employment of all employees associated with these actions and is paying amounts owed to them as income continuance.</w:t>
      </w:r>
    </w:p>
    <w:p>
      <w:pPr>
        <w:spacing w:after="0" w:line="10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During fiscal 2011, the Company recorded a special charge of approximately $2.2 million for severance and fringe benefit costs in accordance with its ongoing benefit plan or statutory requirements at foreign locations for 25 engineering and SMG&amp;A employees. As of February 4, 2012, the Company employed 6 of the 25 employees included in this cost reduction action. These employees must continue to be employed by the Company until their employment is involuntarily terminated in order to receive the severance benefit.</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During the first quarter of fiscal 2012, the Company recorded a special charge of approximately $2.6 million. The special charge included $2.5 million for severance and fringe benefit costs in accordance with its ongoing benefit plan or statutory requirements at foreign locations for 34 manufacturing, engineering and SMG&amp;A employees and $0.1 million for contract termination costs. As of February 4, 2012, the Company employed 25 of the 34 employees included in this cost reduction action. These employees must continue to be employed by the Company until their employment is involuntarily terminated in order to receive the severance benefit.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7 – Segment Information</w:t>
      </w:r>
    </w:p>
    <w:p>
      <w:pPr>
        <w:spacing w:after="0" w:line="96"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Company operates and tracks its results in one reportable segment based on the aggregation of five operating segments. The Company designs, develops, manufactures and markets a broad range of integrated circuits. The Chief Executive Officer has been identified as the Chief Operating Decision Maker.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evolve and improve,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0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2"/>
              </w:rPr>
              <w:t>February 4, 2012</w:t>
            </w: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January 29,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rPr>
              <w:t>% of</w:t>
            </w:r>
          </w:p>
        </w:tc>
        <w:tc>
          <w:tcPr>
            <w:tcW w:w="3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38"/>
              <w:spacing w:after="0" w:line="129"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60" w:type="dxa"/>
            <w:vAlign w:val="bottom"/>
          </w:tcPr>
          <w:p>
            <w:pPr>
              <w:jc w:val="right"/>
              <w:ind w:right="2"/>
              <w:spacing w:after="0"/>
              <w:rPr>
                <w:sz w:val="20"/>
                <w:szCs w:val="20"/>
                <w:color w:val="auto"/>
              </w:rPr>
            </w:pPr>
            <w:r>
              <w:rPr>
                <w:rFonts w:ascii="Arial" w:cs="Arial" w:eastAsia="Arial" w:hAnsi="Arial"/>
                <w:sz w:val="14"/>
                <w:szCs w:val="14"/>
                <w:b w:val="1"/>
                <w:bCs w:val="1"/>
                <w:color w:val="auto"/>
                <w:w w:val="95"/>
              </w:rPr>
              <w:t>Revenue</w:t>
            </w:r>
          </w:p>
        </w:tc>
        <w:tc>
          <w:tcPr>
            <w:tcW w:w="380" w:type="dxa"/>
            <w:vAlign w:val="bottom"/>
          </w:tcPr>
          <w:p>
            <w:pPr>
              <w:spacing w:after="0"/>
              <w:rPr>
                <w:sz w:val="14"/>
                <w:szCs w:val="1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2"/>
              </w:rPr>
              <w:t>Revenue</w:t>
            </w:r>
          </w:p>
        </w:tc>
        <w:tc>
          <w:tcPr>
            <w:tcW w:w="78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Y/Y%</w:t>
            </w:r>
          </w:p>
        </w:tc>
        <w:tc>
          <w:tcPr>
            <w:tcW w:w="16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Revenue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78"/>
              </w:rPr>
              <w:t>Revenue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Industrial</w:t>
            </w:r>
          </w:p>
        </w:tc>
        <w:tc>
          <w:tcPr>
            <w:tcW w:w="27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Borders>
              <w:left w:val="single" w:sz="8" w:color="CCEEFF"/>
            </w:tcBorders>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vMerge w:val="continue"/>
            <w:shd w:val="clear" w:color="auto" w:fill="CCEEFF"/>
          </w:tcPr>
          <w:p>
            <w:pPr>
              <w:spacing w:after="0"/>
              <w:rPr>
                <w:sz w:val="18"/>
                <w:szCs w:val="18"/>
                <w:color w:val="auto"/>
              </w:rPr>
            </w:pPr>
          </w:p>
        </w:tc>
        <w:tc>
          <w:tcPr>
            <w:tcW w:w="272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$289,431</w:t>
            </w:r>
          </w:p>
        </w:tc>
        <w:tc>
          <w:tcPr>
            <w:tcW w:w="380" w:type="dxa"/>
            <w:vAlign w:val="bottom"/>
            <w:tcBorders>
              <w:left w:val="single" w:sz="8" w:color="CCEEFF"/>
            </w:tcBorders>
            <w:vMerge w:val="continue"/>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$339,028</w:t>
            </w:r>
          </w:p>
        </w:tc>
        <w:tc>
          <w:tcPr>
            <w:tcW w:w="380" w:type="dxa"/>
            <w:vAlign w:val="bottom"/>
            <w:vMerge w:val="continue"/>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Automotive</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119,123</w:t>
            </w: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auto"/>
              </w:rPr>
              <w:t>18%</w:t>
            </w:r>
          </w:p>
        </w:tc>
        <w:tc>
          <w:tcPr>
            <w:tcW w:w="780" w:type="dxa"/>
            <w:vAlign w:val="bottom"/>
            <w:gridSpan w:val="2"/>
          </w:tcPr>
          <w:p>
            <w:pPr>
              <w:jc w:val="right"/>
              <w:ind w:right="172"/>
              <w:spacing w:after="0"/>
              <w:rPr>
                <w:sz w:val="20"/>
                <w:szCs w:val="20"/>
                <w:color w:val="auto"/>
              </w:rPr>
            </w:pPr>
            <w:r>
              <w:rPr>
                <w:rFonts w:ascii="Arial" w:cs="Arial" w:eastAsia="Arial" w:hAnsi="Arial"/>
                <w:sz w:val="18"/>
                <w:szCs w:val="18"/>
                <w:color w:val="auto"/>
              </w:rPr>
              <w:t>26%</w:t>
            </w: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94,600</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116,886</w:t>
            </w:r>
          </w:p>
        </w:tc>
        <w:tc>
          <w:tcPr>
            <w:tcW w:w="1380" w:type="dxa"/>
            <w:vAlign w:val="bottom"/>
            <w:tcBorders>
              <w:lef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7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(20)%</w:t>
            </w: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145,951</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Communications</w:t>
            </w:r>
          </w:p>
        </w:tc>
        <w:tc>
          <w:tcPr>
            <w:tcW w:w="27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122,618</w:t>
            </w:r>
          </w:p>
        </w:tc>
        <w:tc>
          <w:tcPr>
            <w:tcW w:w="3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19%</w:t>
            </w:r>
          </w:p>
        </w:tc>
        <w:tc>
          <w:tcPr>
            <w:tcW w:w="780" w:type="dxa"/>
            <w:vAlign w:val="bottom"/>
            <w:gridSpan w:val="2"/>
          </w:tcPr>
          <w:p>
            <w:pPr>
              <w:jc w:val="right"/>
              <w:ind w:right="112"/>
              <w:spacing w:after="0"/>
              <w:rPr>
                <w:sz w:val="20"/>
                <w:szCs w:val="20"/>
                <w:color w:val="auto"/>
              </w:rPr>
            </w:pPr>
            <w:r>
              <w:rPr>
                <w:rFonts w:ascii="Arial" w:cs="Arial" w:eastAsia="Arial" w:hAnsi="Arial"/>
                <w:sz w:val="18"/>
                <w:szCs w:val="18"/>
                <w:color w:val="auto"/>
              </w:rPr>
              <w:t>(18)%</w:t>
            </w: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148,925</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648,058</w:t>
            </w:r>
          </w:p>
        </w:tc>
        <w:tc>
          <w:tcPr>
            <w:tcW w:w="1380" w:type="dxa"/>
            <w:vAlign w:val="bottom"/>
            <w:tcBorders>
              <w:lef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100%</w:t>
            </w:r>
          </w:p>
        </w:tc>
        <w:tc>
          <w:tcPr>
            <w:tcW w:w="7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(11)%</w:t>
            </w: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728,504</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Product Type</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following table summarizes revenue by product categories. The categorization of the Company’s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the Company reclassifies the amounts in the product categories for all prior periods. Such reclassifications typically do not materially change the sizing of, or the underlying trends of results within, each product category.</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0"/>
              </w:rPr>
              <w:t>February 4, 2012</w:t>
            </w: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January 29,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94"/>
              </w:rPr>
              <w:t>% of</w:t>
            </w:r>
          </w:p>
        </w:tc>
        <w:tc>
          <w:tcPr>
            <w:tcW w:w="38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80"/>
              <w:spacing w:after="0" w:line="129"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Revenue</w:t>
            </w: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5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Y/Y%</w:t>
            </w:r>
          </w:p>
        </w:tc>
        <w:tc>
          <w:tcPr>
            <w:tcW w:w="5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Revenue</w:t>
            </w:r>
          </w:p>
        </w:tc>
        <w:tc>
          <w:tcPr>
            <w:tcW w:w="3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Revenue*</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Converters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$285,133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$332,767</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Amplifiers / Radio frequency</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164,458</w:t>
            </w: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25%</w:t>
            </w:r>
          </w:p>
        </w:tc>
        <w:tc>
          <w:tcPr>
            <w:tcW w:w="920" w:type="dxa"/>
            <w:vAlign w:val="bottom"/>
            <w:gridSpan w:val="2"/>
          </w:tcPr>
          <w:p>
            <w:pPr>
              <w:jc w:val="right"/>
              <w:ind w:right="252"/>
              <w:spacing w:after="0"/>
              <w:rPr>
                <w:sz w:val="20"/>
                <w:szCs w:val="20"/>
                <w:color w:val="auto"/>
              </w:rPr>
            </w:pPr>
            <w:r>
              <w:rPr>
                <w:rFonts w:ascii="Arial" w:cs="Arial" w:eastAsia="Arial" w:hAnsi="Arial"/>
                <w:sz w:val="18"/>
                <w:szCs w:val="18"/>
                <w:color w:val="auto"/>
              </w:rPr>
              <w:t>(16)%</w:t>
            </w:r>
          </w:p>
        </w:tc>
        <w:tc>
          <w:tcPr>
            <w:tcW w:w="680" w:type="dxa"/>
            <w:vAlign w:val="bottom"/>
          </w:tcPr>
          <w:p>
            <w:pPr>
              <w:jc w:val="right"/>
              <w:spacing w:after="0"/>
              <w:rPr>
                <w:sz w:val="20"/>
                <w:szCs w:val="20"/>
                <w:color w:val="auto"/>
              </w:rPr>
            </w:pPr>
            <w:r>
              <w:rPr>
                <w:rFonts w:ascii="Arial" w:cs="Arial" w:eastAsia="Arial" w:hAnsi="Arial"/>
                <w:sz w:val="18"/>
                <w:szCs w:val="18"/>
                <w:color w:val="auto"/>
              </w:rPr>
              <w:t>195,007</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96,238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w:t>
            </w:r>
          </w:p>
        </w:tc>
        <w:tc>
          <w:tcPr>
            <w:tcW w:w="9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91,407</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Subtotal analog signal processing</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gridSpan w:val="2"/>
            <w:vMerge w:val="restart"/>
          </w:tcPr>
          <w:p>
            <w:pPr>
              <w:jc w:val="right"/>
              <w:ind w:right="252"/>
              <w:spacing w:after="0"/>
              <w:rPr>
                <w:sz w:val="20"/>
                <w:szCs w:val="20"/>
                <w:color w:val="auto"/>
              </w:rPr>
            </w:pPr>
            <w:r>
              <w:rPr>
                <w:rFonts w:ascii="Arial" w:cs="Arial" w:eastAsia="Arial" w:hAnsi="Arial"/>
                <w:sz w:val="18"/>
                <w:szCs w:val="18"/>
                <w:color w:val="auto"/>
              </w:rPr>
              <w:t>(12)%</w:t>
            </w: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5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545,829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84%</w:t>
            </w:r>
          </w:p>
        </w:tc>
        <w:tc>
          <w:tcPr>
            <w:tcW w:w="92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619,181</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9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(16)%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53,360</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analog products</w:t>
            </w:r>
          </w:p>
        </w:tc>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gridSpan w:val="2"/>
            <w:vMerge w:val="restart"/>
          </w:tcPr>
          <w:p>
            <w:pPr>
              <w:jc w:val="right"/>
              <w:ind w:right="212"/>
              <w:spacing w:after="0"/>
              <w:rPr>
                <w:sz w:val="20"/>
                <w:szCs w:val="20"/>
                <w:color w:val="auto"/>
              </w:rPr>
            </w:pPr>
            <w:r>
              <w:rPr>
                <w:rFonts w:ascii="Arial" w:cs="Arial" w:eastAsia="Arial" w:hAnsi="Arial"/>
                <w:sz w:val="18"/>
                <w:szCs w:val="18"/>
                <w:b w:val="1"/>
                <w:bCs w:val="1"/>
                <w:color w:val="auto"/>
              </w:rPr>
              <w:t>(12)%</w:t>
            </w:r>
          </w:p>
        </w:tc>
        <w:tc>
          <w:tcPr>
            <w:tcW w:w="6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8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590,692</w:t>
            </w:r>
          </w:p>
        </w:tc>
        <w:tc>
          <w:tcPr>
            <w:tcW w:w="2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91%</w:t>
            </w:r>
          </w:p>
        </w:tc>
        <w:tc>
          <w:tcPr>
            <w:tcW w:w="92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672,541</w:t>
            </w:r>
          </w:p>
        </w:tc>
        <w:tc>
          <w:tcPr>
            <w:tcW w:w="380" w:type="dxa"/>
            <w:vAlign w:val="bottom"/>
            <w:vMerge w:val="continue"/>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Digital signal processing</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9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55,963</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gridSpan w:val="2"/>
            <w:vMerge w:val="restart"/>
          </w:tcPr>
          <w:p>
            <w:pPr>
              <w:jc w:val="right"/>
              <w:ind w:right="212"/>
              <w:spacing w:after="0"/>
              <w:rPr>
                <w:sz w:val="20"/>
                <w:szCs w:val="20"/>
                <w:color w:val="auto"/>
              </w:rPr>
            </w:pPr>
            <w:r>
              <w:rPr>
                <w:rFonts w:ascii="Arial" w:cs="Arial" w:eastAsia="Arial" w:hAnsi="Arial"/>
                <w:sz w:val="18"/>
                <w:szCs w:val="18"/>
                <w:b w:val="1"/>
                <w:bCs w:val="1"/>
                <w:color w:val="auto"/>
              </w:rPr>
              <w:t>(11)%</w:t>
            </w:r>
          </w:p>
        </w:tc>
        <w:tc>
          <w:tcPr>
            <w:tcW w:w="6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8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648,058</w:t>
            </w:r>
          </w:p>
        </w:tc>
        <w:tc>
          <w:tcPr>
            <w:tcW w:w="2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100%</w:t>
            </w:r>
          </w:p>
        </w:tc>
        <w:tc>
          <w:tcPr>
            <w:tcW w:w="92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728,504</w:t>
            </w:r>
          </w:p>
        </w:tc>
        <w:tc>
          <w:tcPr>
            <w:tcW w:w="380" w:type="dxa"/>
            <w:vAlign w:val="bottom"/>
            <w:vMerge w:val="continue"/>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*Thesum of the individual percentages does not equal the total due to rounding.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Revenue Trends by Geographic Region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 by geographic region, based upon customer location, for the three-month periods ended February 4, 2012 and January 29, 2011 was as follows: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Region</w:t>
            </w:r>
          </w:p>
        </w:tc>
        <w:tc>
          <w:tcPr>
            <w:tcW w:w="1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vMerge w:val="continue"/>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February 4, 2012</w:t>
            </w:r>
          </w:p>
        </w:tc>
        <w:tc>
          <w:tcPr>
            <w:tcW w:w="17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January 29,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7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121,599</w:t>
            </w:r>
          </w:p>
        </w:tc>
        <w:tc>
          <w:tcPr>
            <w:tcW w:w="7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Rest of North and South America</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42,360</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41,893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176,492</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Japan</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81,352</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121,274</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Rest of Asia</w:t>
            </w:r>
          </w:p>
        </w:tc>
        <w:tc>
          <w:tcPr>
            <w:tcW w:w="1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104,981</w:t>
            </w:r>
          </w:p>
        </w:tc>
        <w:tc>
          <w:tcPr>
            <w:tcW w:w="7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2000" w:type="dxa"/>
            <w:vAlign w:val="bottom"/>
            <w:gridSpan w:val="2"/>
            <w:shd w:val="clear" w:color="auto" w:fill="CCEEFF"/>
          </w:tcPr>
          <w:p>
            <w:pPr>
              <w:ind w:left="17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648,058</w:t>
            </w:r>
          </w:p>
        </w:tc>
        <w:tc>
          <w:tcPr>
            <w:tcW w:w="108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728,504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the three-month periods ended February 4, 2012 and January 29, 2011, the predominant countries comprising “Rest of North and South America” are Canada and Mexico; the predominant countries comprising “Europe” are Germany, Sweden, France and the United Kingdom; and the predominant countries comprising “Rest of Asia” are Taiwan and South Korea.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Level 1 inputs are quoted prices (unadjusted) in active markets for identical assets or liabilities that the reporting entity has the ability to access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measurement date.</w:t>
      </w:r>
    </w:p>
    <w:p>
      <w:pPr>
        <w:spacing w:after="0" w:line="132"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Level 2 inputs are inputs other than quoted prices included within Level 1 that are observable for the asset or liability, either directly or</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indirectly. If the asset or liability has a specified (contractual) term, a Level 2 input must be observable for substantially the full term of the asset or liability.</w:t>
      </w:r>
    </w:p>
    <w:p>
      <w:pPr>
        <w:spacing w:after="0" w:line="8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Level 3 inputs are unobservable inputs for the asset or liability in which there is little, if any, market activity for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tables below set forth by level the Company’s financial assets and liabilities, excluding accrued interest components that were accounted for at fair value on a recurring basis as of February 4, 2012 and October 29, 2011. The tables exclude cash on hand and assets and liabilities that are measured at historical cost or any basis other than fair value. As of February 4, 2012 and October 29, 2011, the Company held $81.4 million and $31.6 million, respectively, of cash and held-to-maturity investments that were excluded from the tables below.</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right"/>
              <w:ind w:right="397"/>
              <w:spacing w:after="0"/>
              <w:rPr>
                <w:sz w:val="20"/>
                <w:szCs w:val="20"/>
                <w:color w:val="auto"/>
              </w:rPr>
            </w:pPr>
            <w:r>
              <w:rPr>
                <w:rFonts w:ascii="Arial" w:cs="Arial" w:eastAsia="Arial" w:hAnsi="Arial"/>
                <w:sz w:val="14"/>
                <w:szCs w:val="14"/>
                <w:b w:val="1"/>
                <w:bCs w:val="1"/>
                <w:color w:val="auto"/>
              </w:rPr>
              <w:t>February 4, 2012</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40" w:type="dxa"/>
            <w:vAlign w:val="bottom"/>
            <w:gridSpan w:val="4"/>
          </w:tcPr>
          <w:p>
            <w:pPr>
              <w:jc w:val="center"/>
              <w:ind w:left="59"/>
              <w:spacing w:after="0" w:line="129" w:lineRule="exact"/>
              <w:rPr>
                <w:sz w:val="20"/>
                <w:szCs w:val="20"/>
                <w:color w:val="auto"/>
              </w:rPr>
            </w:pPr>
            <w:r>
              <w:rPr>
                <w:rFonts w:ascii="Arial" w:cs="Arial" w:eastAsia="Arial" w:hAnsi="Arial"/>
                <w:sz w:val="14"/>
                <w:szCs w:val="14"/>
                <w:b w:val="1"/>
                <w:bCs w:val="1"/>
                <w:color w:val="auto"/>
                <w:w w:val="87"/>
              </w:rPr>
              <w:t>Fair Value measurement at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left="59"/>
              <w:spacing w:after="0"/>
              <w:rPr>
                <w:sz w:val="20"/>
                <w:szCs w:val="20"/>
                <w:color w:val="auto"/>
              </w:rPr>
            </w:pPr>
            <w:r>
              <w:rPr>
                <w:rFonts w:ascii="Arial" w:cs="Arial" w:eastAsia="Arial" w:hAnsi="Arial"/>
                <w:sz w:val="14"/>
                <w:szCs w:val="14"/>
                <w:b w:val="1"/>
                <w:bCs w:val="1"/>
                <w:color w:val="auto"/>
                <w:w w:val="87"/>
              </w:rPr>
              <w:t>Reporting Date using:</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89"/>
              </w:rPr>
              <w:t>Quoted</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auto"/>
                <w:w w:val="78"/>
              </w:rPr>
              <w:t>Prices in</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5"/>
              </w:rPr>
              <w:t>Active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auto"/>
                <w:w w:val="86"/>
              </w:rPr>
              <w:t>Markets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3"/>
              </w:rPr>
              <w:t>Significant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3"/>
              </w:rPr>
              <w:t>Significant</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5"/>
              </w:rPr>
              <w:t>for</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Identical</w:t>
            </w:r>
          </w:p>
        </w:tc>
        <w:tc>
          <w:tcPr>
            <w:tcW w:w="480" w:type="dxa"/>
            <w:vAlign w:val="bottom"/>
          </w:tcPr>
          <w:p>
            <w:pPr>
              <w:spacing w:after="0"/>
              <w:rPr>
                <w:sz w:val="12"/>
                <w:szCs w:val="12"/>
                <w:color w:val="auto"/>
              </w:rPr>
            </w:pPr>
          </w:p>
        </w:tc>
        <w:tc>
          <w:tcPr>
            <w:tcW w:w="12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Observable</w:t>
            </w:r>
          </w:p>
        </w:tc>
        <w:tc>
          <w:tcPr>
            <w:tcW w:w="2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78"/>
              </w:rPr>
              <w:t>Assets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Inputs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Inputs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(Level 1)</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(Level 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(Level 3)</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196"/>
        </w:trPr>
        <w:tc>
          <w:tcPr>
            <w:tcW w:w="460" w:type="dxa"/>
            <w:vAlign w:val="bottom"/>
          </w:tcPr>
          <w:p>
            <w:pPr>
              <w:spacing w:after="0"/>
              <w:rPr>
                <w:sz w:val="17"/>
                <w:szCs w:val="17"/>
                <w:color w:val="auto"/>
              </w:rPr>
            </w:pPr>
          </w:p>
        </w:tc>
        <w:tc>
          <w:tcPr>
            <w:tcW w:w="58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Cash equivalents: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Available-for-sale: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180" w:type="dxa"/>
            <w:vAlign w:val="bottom"/>
          </w:tcPr>
          <w:p>
            <w:pPr>
              <w:ind w:left="180"/>
              <w:spacing w:after="0"/>
              <w:rPr>
                <w:sz w:val="20"/>
                <w:szCs w:val="20"/>
                <w:color w:val="auto"/>
              </w:rPr>
            </w:pPr>
            <w:r>
              <w:rPr>
                <w:rFonts w:ascii="Arial" w:cs="Arial" w:eastAsia="Arial" w:hAnsi="Arial"/>
                <w:sz w:val="18"/>
                <w:szCs w:val="18"/>
                <w:color w:val="auto"/>
              </w:rPr>
              <w:t>Institutional money market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529,437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529,437</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obligations (1)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547,603</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547,603</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Short — term investments: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Available-for-sale: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880" w:type="dxa"/>
            <w:vAlign w:val="bottom"/>
            <w:gridSpan w:val="2"/>
          </w:tcPr>
          <w:p>
            <w:pPr>
              <w:ind w:left="440"/>
              <w:spacing w:after="0"/>
              <w:rPr>
                <w:sz w:val="20"/>
                <w:szCs w:val="20"/>
                <w:color w:val="auto"/>
              </w:rPr>
            </w:pPr>
            <w:r>
              <w:rPr>
                <w:rFonts w:ascii="Arial" w:cs="Arial" w:eastAsia="Arial" w:hAnsi="Arial"/>
                <w:sz w:val="18"/>
                <w:szCs w:val="18"/>
                <w:color w:val="auto"/>
              </w:rPr>
              <w:t>Securities with one year or less to maturity:</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obligations (1)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2,354,585</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2,354,585</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180" w:type="dxa"/>
            <w:vAlign w:val="bottom"/>
          </w:tcPr>
          <w:p>
            <w:pPr>
              <w:ind w:left="180"/>
              <w:spacing w:after="0"/>
              <w:rPr>
                <w:sz w:val="20"/>
                <w:szCs w:val="20"/>
                <w:color w:val="auto"/>
              </w:rPr>
            </w:pPr>
            <w:r>
              <w:rPr>
                <w:rFonts w:ascii="Arial" w:cs="Arial" w:eastAsia="Arial" w:hAnsi="Arial"/>
                <w:sz w:val="18"/>
                <w:szCs w:val="18"/>
                <w:color w:val="auto"/>
              </w:rPr>
              <w:t>Floating rate notes, issued at par</w:t>
            </w:r>
          </w:p>
        </w:tc>
        <w:tc>
          <w:tcPr>
            <w:tcW w:w="100" w:type="dxa"/>
            <w:vAlign w:val="bottom"/>
          </w:tcPr>
          <w:p>
            <w:pPr>
              <w:spacing w:after="0"/>
              <w:rPr>
                <w:sz w:val="18"/>
                <w:szCs w:val="18"/>
                <w:color w:val="auto"/>
              </w:rPr>
            </w:pPr>
          </w:p>
        </w:tc>
        <w:tc>
          <w:tcPr>
            <w:tcW w:w="5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60,041</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60,041</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Floating rate notes (1)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17,755</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17,755</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880" w:type="dxa"/>
            <w:vAlign w:val="bottom"/>
            <w:gridSpan w:val="2"/>
          </w:tcPr>
          <w:p>
            <w:pPr>
              <w:ind w:left="440"/>
              <w:spacing w:after="0"/>
              <w:rPr>
                <w:sz w:val="20"/>
                <w:szCs w:val="20"/>
                <w:color w:val="auto"/>
              </w:rPr>
            </w:pPr>
            <w:r>
              <w:rPr>
                <w:rFonts w:ascii="Arial" w:cs="Arial" w:eastAsia="Arial" w:hAnsi="Arial"/>
                <w:sz w:val="18"/>
                <w:szCs w:val="18"/>
                <w:color w:val="auto"/>
              </w:rPr>
              <w:t>Securities with greater than one year to maturity:</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Floating rate notes (1)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76,615</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76,615</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compensation investments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27,724</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880" w:type="dxa"/>
            <w:vAlign w:val="bottom"/>
            <w:gridSpan w:val="2"/>
          </w:tcPr>
          <w:p>
            <w:pPr>
              <w:ind w:left="440"/>
              <w:spacing w:after="0"/>
              <w:rPr>
                <w:sz w:val="20"/>
                <w:szCs w:val="20"/>
                <w:color w:val="auto"/>
              </w:rPr>
            </w:pPr>
            <w:r>
              <w:rPr>
                <w:rFonts w:ascii="Arial" w:cs="Arial" w:eastAsia="Arial" w:hAnsi="Arial"/>
                <w:sz w:val="18"/>
                <w:szCs w:val="18"/>
                <w:color w:val="auto"/>
              </w:rPr>
              <w:t>Other investments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rate swap agreements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21,418</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21,418</w:t>
            </w:r>
          </w:p>
        </w:tc>
        <w:tc>
          <w:tcPr>
            <w:tcW w:w="10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588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assets measured at fair value</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558,575</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3,078,017</w:t>
            </w:r>
          </w:p>
        </w:tc>
        <w:tc>
          <w:tcPr>
            <w:tcW w:w="460" w:type="dxa"/>
            <w:vAlign w:val="bottom"/>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3,636,592</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880" w:type="dxa"/>
            <w:vAlign w:val="bottom"/>
            <w:gridSpan w:val="2"/>
          </w:tcPr>
          <w:p>
            <w:pPr>
              <w:ind w:left="440"/>
              <w:spacing w:after="0"/>
              <w:rPr>
                <w:sz w:val="20"/>
                <w:szCs w:val="20"/>
                <w:color w:val="auto"/>
              </w:rPr>
            </w:pPr>
            <w:r>
              <w:rPr>
                <w:rFonts w:ascii="Arial" w:cs="Arial" w:eastAsia="Arial" w:hAnsi="Arial"/>
                <w:sz w:val="18"/>
                <w:szCs w:val="18"/>
                <w:color w:val="auto"/>
              </w:rPr>
              <w:t>Forward foreign currency exchange contracts (2)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4,868</w:t>
            </w:r>
          </w:p>
        </w:tc>
        <w:tc>
          <w:tcPr>
            <w:tcW w:w="46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4,868</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$375 million aggregate principle 5.0% debt (3)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395,654</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395,654</w:t>
            </w:r>
          </w:p>
        </w:tc>
        <w:tc>
          <w:tcPr>
            <w:tcW w:w="100" w:type="dxa"/>
            <w:vAlign w:val="bottom"/>
            <w:shd w:val="clear" w:color="auto" w:fill="CCEEFF"/>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5880" w:type="dxa"/>
            <w:vAlign w:val="bottom"/>
            <w:gridSpan w:val="2"/>
          </w:tcPr>
          <w:p>
            <w:pPr>
              <w:ind w:left="440"/>
              <w:spacing w:after="0"/>
              <w:rPr>
                <w:sz w:val="20"/>
                <w:szCs w:val="20"/>
                <w:color w:val="auto"/>
              </w:rPr>
            </w:pPr>
            <w:r>
              <w:rPr>
                <w:rFonts w:ascii="Arial" w:cs="Arial" w:eastAsia="Arial" w:hAnsi="Arial"/>
                <w:sz w:val="18"/>
                <w:szCs w:val="18"/>
                <w:color w:val="auto"/>
              </w:rPr>
              <w:t>Contingent consideration</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12,244</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12,244</w:t>
            </w: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measured at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400,522</w:t>
            </w:r>
          </w:p>
        </w:tc>
        <w:tc>
          <w:tcPr>
            <w:tcW w:w="4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412,766</w:t>
            </w:r>
          </w:p>
        </w:tc>
        <w:tc>
          <w:tcPr>
            <w:tcW w:w="10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amortized cost of the Company’s investments classified as available-for-sale as of February 4, 2012 was $2,997.5 million.</w:t>
      </w:r>
    </w:p>
    <w:p>
      <w:pPr>
        <w:spacing w:after="0" w:line="15"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has a master netting arrangement by counterparty with respect to derivative contracts. As of February 4, 2012, contracts in an asset position of $0.4 million were netted against contracts in a liability position in the condensed consolidated balance sheet.</w:t>
      </w:r>
    </w:p>
    <w:p>
      <w:pPr>
        <w:ind w:left="460" w:hanging="452"/>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Equal to the accreted notional value of the debt plus the fair value of the interest rate component of the long-term debt. The fair value of the long-term debt as of February 4, 2012 was $410.6 million.</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843" w:right="2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477"/>
              <w:spacing w:after="0"/>
              <w:rPr>
                <w:sz w:val="20"/>
                <w:szCs w:val="20"/>
                <w:color w:val="auto"/>
              </w:rPr>
            </w:pPr>
            <w:r>
              <w:rPr>
                <w:rFonts w:ascii="Arial" w:cs="Arial" w:eastAsia="Arial" w:hAnsi="Arial"/>
                <w:sz w:val="14"/>
                <w:szCs w:val="14"/>
                <w:b w:val="1"/>
                <w:bCs w:val="1"/>
                <w:color w:val="auto"/>
              </w:rPr>
              <w:t>October 29, 2011</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gridSpan w:val="4"/>
          </w:tcPr>
          <w:p>
            <w:pPr>
              <w:jc w:val="right"/>
              <w:ind w:right="178"/>
              <w:spacing w:after="0" w:line="129" w:lineRule="exact"/>
              <w:rPr>
                <w:sz w:val="20"/>
                <w:szCs w:val="20"/>
                <w:color w:val="auto"/>
              </w:rPr>
            </w:pPr>
            <w:r>
              <w:rPr>
                <w:rFonts w:ascii="Arial" w:cs="Arial" w:eastAsia="Arial" w:hAnsi="Arial"/>
                <w:sz w:val="14"/>
                <w:szCs w:val="14"/>
                <w:b w:val="1"/>
                <w:bCs w:val="1"/>
                <w:color w:val="auto"/>
                <w:w w:val="95"/>
              </w:rPr>
              <w:t>Fair Value measurement at</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318"/>
              <w:spacing w:after="0"/>
              <w:rPr>
                <w:sz w:val="20"/>
                <w:szCs w:val="20"/>
                <w:color w:val="auto"/>
              </w:rPr>
            </w:pPr>
            <w:r>
              <w:rPr>
                <w:rFonts w:ascii="Arial" w:cs="Arial" w:eastAsia="Arial" w:hAnsi="Arial"/>
                <w:sz w:val="14"/>
                <w:szCs w:val="14"/>
                <w:b w:val="1"/>
                <w:bCs w:val="1"/>
                <w:color w:val="auto"/>
              </w:rPr>
              <w:t>Reporting Date using:</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21"/>
              <w:spacing w:after="0" w:line="129" w:lineRule="exact"/>
              <w:rPr>
                <w:sz w:val="20"/>
                <w:szCs w:val="20"/>
                <w:color w:val="auto"/>
              </w:rPr>
            </w:pPr>
            <w:r>
              <w:rPr>
                <w:rFonts w:ascii="Arial" w:cs="Arial" w:eastAsia="Arial" w:hAnsi="Arial"/>
                <w:sz w:val="14"/>
                <w:szCs w:val="14"/>
                <w:b w:val="1"/>
                <w:bCs w:val="1"/>
                <w:color w:val="auto"/>
                <w:w w:val="89"/>
              </w:rPr>
              <w:t>Quoted</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5"/>
              </w:rPr>
              <w:t>Prices in</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5"/>
              </w:rPr>
              <w:t>Active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0"/>
              </w:rPr>
              <w:t>Markets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3"/>
              </w:rPr>
              <w:t>Significant</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3"/>
              </w:rPr>
              <w:t>Significant</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5"/>
              </w:rPr>
              <w:t>for</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6"/>
              </w:rPr>
              <w:t>Other</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1"/>
              </w:rPr>
              <w:t>Identical</w:t>
            </w:r>
          </w:p>
        </w:tc>
        <w:tc>
          <w:tcPr>
            <w:tcW w:w="48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48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78"/>
              </w:rPr>
              <w:t>Assets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5"/>
              </w:rPr>
              <w:t>Inputs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Inputs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21"/>
              <w:spacing w:after="0"/>
              <w:rPr>
                <w:sz w:val="20"/>
                <w:szCs w:val="20"/>
                <w:color w:val="auto"/>
              </w:rPr>
            </w:pPr>
            <w:r>
              <w:rPr>
                <w:rFonts w:ascii="Arial" w:cs="Arial" w:eastAsia="Arial" w:hAnsi="Arial"/>
                <w:sz w:val="14"/>
                <w:szCs w:val="14"/>
                <w:b w:val="1"/>
                <w:bCs w:val="1"/>
                <w:color w:val="auto"/>
                <w:w w:val="91"/>
              </w:rPr>
              <w:t>(Level 1)</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8"/>
              <w:spacing w:after="0"/>
              <w:rPr>
                <w:sz w:val="20"/>
                <w:szCs w:val="20"/>
                <w:color w:val="auto"/>
              </w:rPr>
            </w:pPr>
            <w:r>
              <w:rPr>
                <w:rFonts w:ascii="Arial" w:cs="Arial" w:eastAsia="Arial" w:hAnsi="Arial"/>
                <w:sz w:val="14"/>
                <w:szCs w:val="14"/>
                <w:b w:val="1"/>
                <w:bCs w:val="1"/>
                <w:color w:val="auto"/>
                <w:w w:val="91"/>
              </w:rPr>
              <w:t>(Level 2)</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(Level 3)</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196"/>
        </w:trPr>
        <w:tc>
          <w:tcPr>
            <w:tcW w:w="460" w:type="dxa"/>
            <w:vAlign w:val="bottom"/>
          </w:tcPr>
          <w:p>
            <w:pPr>
              <w:spacing w:after="0"/>
              <w:rPr>
                <w:sz w:val="17"/>
                <w:szCs w:val="17"/>
                <w:color w:val="auto"/>
              </w:rPr>
            </w:pPr>
          </w:p>
        </w:tc>
        <w:tc>
          <w:tcPr>
            <w:tcW w:w="57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Cash equivalents: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Available-for-sale: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60" w:type="dxa"/>
            <w:vAlign w:val="bottom"/>
          </w:tcPr>
          <w:p>
            <w:pPr>
              <w:ind w:left="180"/>
              <w:spacing w:after="0"/>
              <w:rPr>
                <w:sz w:val="20"/>
                <w:szCs w:val="20"/>
                <w:color w:val="auto"/>
              </w:rPr>
            </w:pPr>
            <w:r>
              <w:rPr>
                <w:rFonts w:ascii="Arial" w:cs="Arial" w:eastAsia="Arial" w:hAnsi="Arial"/>
                <w:sz w:val="18"/>
                <w:szCs w:val="18"/>
                <w:color w:val="auto"/>
              </w:rPr>
              <w:t>Institutional money market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1,278,121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1,278,121</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obligations (1)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95,948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95,948</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Short — term investments: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Available-for-sale: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tcPr>
          <w:p>
            <w:pPr>
              <w:ind w:left="440"/>
              <w:spacing w:after="0"/>
              <w:rPr>
                <w:sz w:val="20"/>
                <w:szCs w:val="20"/>
                <w:color w:val="auto"/>
              </w:rPr>
            </w:pPr>
            <w:r>
              <w:rPr>
                <w:rFonts w:ascii="Arial" w:cs="Arial" w:eastAsia="Arial" w:hAnsi="Arial"/>
                <w:sz w:val="18"/>
                <w:szCs w:val="18"/>
                <w:color w:val="auto"/>
              </w:rPr>
              <w:t>Securities with one year or less to maturity: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obligations (1)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2,169,078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2,169,078</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60" w:type="dxa"/>
            <w:vAlign w:val="bottom"/>
          </w:tcPr>
          <w:p>
            <w:pPr>
              <w:ind w:left="180"/>
              <w:spacing w:after="0"/>
              <w:rPr>
                <w:sz w:val="20"/>
                <w:szCs w:val="20"/>
                <w:color w:val="auto"/>
              </w:rPr>
            </w:pPr>
            <w:r>
              <w:rPr>
                <w:rFonts w:ascii="Arial" w:cs="Arial" w:eastAsia="Arial" w:hAnsi="Arial"/>
                <w:sz w:val="18"/>
                <w:szCs w:val="18"/>
                <w:color w:val="auto"/>
              </w:rPr>
              <w:t>Floating rate notes (1)</w:t>
            </w:r>
          </w:p>
        </w:tc>
        <w:tc>
          <w:tcPr>
            <w:tcW w:w="100" w:type="dxa"/>
            <w:vAlign w:val="bottom"/>
          </w:tcPr>
          <w:p>
            <w:pPr>
              <w:spacing w:after="0"/>
              <w:rPr>
                <w:sz w:val="18"/>
                <w:szCs w:val="18"/>
                <w:color w:val="auto"/>
              </w:rPr>
            </w:pPr>
          </w:p>
        </w:tc>
        <w:tc>
          <w:tcPr>
            <w:tcW w:w="70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17,704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17,704</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Forward foreign currency exchange contracts (2)</w:t>
            </w:r>
          </w:p>
        </w:tc>
        <w:tc>
          <w:tcPr>
            <w:tcW w:w="100" w:type="dxa"/>
            <w:vAlign w:val="bottom"/>
          </w:tcPr>
          <w:p>
            <w:pPr>
              <w:spacing w:after="0"/>
              <w:rPr>
                <w:sz w:val="18"/>
                <w:szCs w:val="18"/>
                <w:color w:val="auto"/>
              </w:rPr>
            </w:pPr>
          </w:p>
        </w:tc>
        <w:tc>
          <w:tcPr>
            <w:tcW w:w="70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2,472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2,472</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compensation investments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26,410</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tcPr>
          <w:p>
            <w:pPr>
              <w:ind w:left="440"/>
              <w:spacing w:after="0"/>
              <w:rPr>
                <w:sz w:val="20"/>
                <w:szCs w:val="20"/>
                <w:color w:val="auto"/>
              </w:rPr>
            </w:pPr>
            <w:r>
              <w:rPr>
                <w:rFonts w:ascii="Arial" w:cs="Arial" w:eastAsia="Arial" w:hAnsi="Arial"/>
                <w:sz w:val="18"/>
                <w:szCs w:val="18"/>
                <w:color w:val="auto"/>
              </w:rPr>
              <w:t>Other investments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rate swap agreements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22,187</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22,187</w:t>
            </w:r>
          </w:p>
        </w:tc>
        <w:tc>
          <w:tcPr>
            <w:tcW w:w="10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57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assets measured at fair value</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1,305,666</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2,307,389</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3,613,055</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tcPr>
          <w:p>
            <w:pPr>
              <w:ind w:left="440"/>
              <w:spacing w:after="0"/>
              <w:rPr>
                <w:sz w:val="20"/>
                <w:szCs w:val="20"/>
                <w:color w:val="auto"/>
              </w:rPr>
            </w:pPr>
            <w:r>
              <w:rPr>
                <w:rFonts w:ascii="Arial" w:cs="Arial" w:eastAsia="Arial" w:hAnsi="Arial"/>
                <w:sz w:val="18"/>
                <w:szCs w:val="18"/>
                <w:color w:val="auto"/>
              </w:rPr>
              <w:t>$375 million aggregate principle 5.0% debt (3)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396,337</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396,337</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Contingent consideration</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13,973</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13,973</w:t>
            </w:r>
          </w:p>
        </w:tc>
        <w:tc>
          <w:tcPr>
            <w:tcW w:w="100" w:type="dxa"/>
            <w:vAlign w:val="bottom"/>
            <w:shd w:val="clear" w:color="auto" w:fill="CCEEFF"/>
          </w:tcPr>
          <w:p>
            <w:pPr>
              <w:spacing w:after="0"/>
              <w:rPr>
                <w:sz w:val="18"/>
                <w:szCs w:val="18"/>
                <w:color w:val="auto"/>
              </w:rPr>
            </w:pPr>
          </w:p>
        </w:tc>
      </w:tr>
      <w:tr>
        <w:trPr>
          <w:trHeight w:val="222"/>
        </w:trPr>
        <w:tc>
          <w:tcPr>
            <w:tcW w:w="6220" w:type="dxa"/>
            <w:vAlign w:val="bottom"/>
            <w:gridSpan w:val="3"/>
          </w:tcPr>
          <w:p>
            <w:pPr>
              <w:ind w:left="460"/>
              <w:spacing w:after="0"/>
              <w:rPr>
                <w:sz w:val="20"/>
                <w:szCs w:val="20"/>
                <w:color w:val="auto"/>
              </w:rPr>
            </w:pPr>
            <w:r>
              <w:rPr>
                <w:rFonts w:ascii="Arial" w:cs="Arial" w:eastAsia="Arial" w:hAnsi="Arial"/>
                <w:sz w:val="18"/>
                <w:szCs w:val="18"/>
                <w:b w:val="1"/>
                <w:bCs w:val="1"/>
                <w:color w:val="auto"/>
              </w:rPr>
              <w:t>Total liabilities measured at fair value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396,337</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13,973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410,310</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amortized cost of the Company’s investments classified as available-for-sale as of October 29, 2011 was $2,284.9 million.</w:t>
      </w:r>
    </w:p>
    <w:p>
      <w:pPr>
        <w:spacing w:after="0" w:line="15" w:lineRule="exact"/>
        <w:rPr>
          <w:rFonts w:ascii="Arial" w:cs="Arial" w:eastAsia="Arial" w:hAnsi="Arial"/>
          <w:sz w:val="18"/>
          <w:szCs w:val="18"/>
          <w:color w:val="auto"/>
        </w:rPr>
      </w:pPr>
    </w:p>
    <w:p>
      <w:pPr>
        <w:ind w:left="460" w:right="600" w:hanging="452"/>
        <w:spacing w:after="0" w:line="281"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has a master netting arrangement by counterparty with respect to derivative contracts. As of October 29, 2011, contracts in a liability position of $0.8 million were netted against contracts in an asset position in the condensed consolidated balance sheet.</w:t>
      </w:r>
    </w:p>
    <w:p>
      <w:pPr>
        <w:spacing w:after="0" w:line="1" w:lineRule="exact"/>
        <w:rPr>
          <w:rFonts w:ascii="Arial" w:cs="Arial" w:eastAsia="Arial" w:hAnsi="Arial"/>
          <w:sz w:val="16"/>
          <w:szCs w:val="16"/>
          <w:color w:val="auto"/>
        </w:rPr>
      </w:pPr>
    </w:p>
    <w:p>
      <w:pPr>
        <w:ind w:left="460" w:right="60" w:hanging="452"/>
        <w:spacing w:after="0" w:line="261"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Equal to the accreted notional value of the debt plus the fair value of the interest rate component of the long-term debt. The fair value of the long-term debt as of October 29, 2011 was $413.4 million.</w:t>
      </w:r>
    </w:p>
    <w:p>
      <w:pPr>
        <w:spacing w:after="0" w:line="13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methods and assumptions were used by the Company in estimating its fair value disclosures for financial instruments:</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Cash equivalents and short-term investments </w:t>
      </w:r>
      <w:r>
        <w:rPr>
          <w:rFonts w:ascii="Arial" w:cs="Arial" w:eastAsia="Arial" w:hAnsi="Arial"/>
          <w:sz w:val="18"/>
          <w:szCs w:val="18"/>
          <w:color w:val="auto"/>
        </w:rPr>
        <w:t>— These investments are adjusted to fair value based on quoted market prices or are determined using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yield curve model based on current market rates.</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Deferred compensation plan investments and other investments </w:t>
      </w:r>
      <w:r>
        <w:rPr>
          <w:rFonts w:ascii="Arial" w:cs="Arial" w:eastAsia="Arial" w:hAnsi="Arial"/>
          <w:sz w:val="18"/>
          <w:szCs w:val="18"/>
          <w:color w:val="auto"/>
        </w:rPr>
        <w:t>— The fair value of these mutual fund, money market fund and equity investments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on quoted market prices.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Long-term debt </w:t>
      </w:r>
      <w:r>
        <w:rPr>
          <w:rFonts w:ascii="Arial" w:cs="Arial" w:eastAsia="Arial" w:hAnsi="Arial"/>
          <w:sz w:val="18"/>
          <w:szCs w:val="18"/>
          <w:color w:val="auto"/>
        </w:rPr>
        <w:t>— The fair value of long-term debt is based on quotes received from third-party banks.</w:t>
      </w:r>
    </w:p>
    <w:p>
      <w:pPr>
        <w:spacing w:after="0" w:line="171"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Interest rate swap agreements </w:t>
      </w:r>
      <w:r>
        <w:rPr>
          <w:rFonts w:ascii="Arial" w:cs="Arial" w:eastAsia="Arial" w:hAnsi="Arial"/>
          <w:sz w:val="18"/>
          <w:szCs w:val="18"/>
          <w:color w:val="auto"/>
        </w:rPr>
        <w:t>— The fair value of interest rate swap agreements is based on quotes received from third-party banks. These values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 the estimated amount the Company would receive or pay to terminate the agreements taking into consideration current interest rates as well as the creditworthiness of the counterparty.</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Forward foreign currency exchange contracts </w:t>
      </w:r>
      <w:r>
        <w:rPr>
          <w:rFonts w:ascii="Arial" w:cs="Arial" w:eastAsia="Arial" w:hAnsi="Arial"/>
          <w:sz w:val="18"/>
          <w:szCs w:val="18"/>
          <w:color w:val="auto"/>
        </w:rPr>
        <w:t>— The estimated fair value of forward foreign currency exchange contracts, which includes derivatives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accounted for as cash flow hedges and those that are not designated as cash flow hedges, is based on the estimated amount the Company would receive if it sold these agreements at the reporting date taking into consideration current interest rates as well as the creditworthiness of the counterparty for assets and the Company’s creditworthiness for liabilities.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42" w:right="239" w:bottom="1440" w:gutter="0" w:footer="0" w:header="0"/>
        </w:sectPr>
      </w:pPr>
    </w:p>
    <w:bookmarkStart w:id="16" w:name="page17"/>
    <w:bookmarkEnd w:id="16"/>
    <w:p>
      <w:pPr>
        <w:ind w:right="20" w:firstLine="456"/>
        <w:spacing w:after="0" w:line="306"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Contingent consideration </w:t>
      </w:r>
      <w:r>
        <w:rPr>
          <w:rFonts w:ascii="Arial" w:cs="Arial" w:eastAsia="Arial" w:hAnsi="Arial"/>
          <w:sz w:val="16"/>
          <w:szCs w:val="16"/>
          <w:color w:val="auto"/>
        </w:rPr>
        <w:t>— The fair value of contingent consideration was estimated utilizing the income approach and is based upon significant inputs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observable in the market. Changes in the fair value of the contingent consideration subsequent to the acquisition date that are primarily driven by assumptions pertaining to the achievement of the defined milestones will be recognized in operating income in the period of the estimated fair value change.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change in the fair value of the contingent consideration measured using significant unobservable inputs (Level 3)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October 29, 2011 and February 4, 2012:</w:t>
      </w:r>
    </w:p>
    <w:p>
      <w:pPr>
        <w:spacing w:after="0" w:line="18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Contingent</w:t>
            </w: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840" w:type="dxa"/>
            <w:vAlign w:val="bottom"/>
            <w:gridSpan w:val="4"/>
          </w:tcPr>
          <w:p>
            <w:pPr>
              <w:ind w:left="1900"/>
              <w:spacing w:after="0"/>
              <w:rPr>
                <w:sz w:val="20"/>
                <w:szCs w:val="20"/>
                <w:color w:val="auto"/>
              </w:rPr>
            </w:pPr>
            <w:r>
              <w:rPr>
                <w:rFonts w:ascii="Arial" w:cs="Arial" w:eastAsia="Arial" w:hAnsi="Arial"/>
                <w:sz w:val="14"/>
                <w:szCs w:val="14"/>
                <w:b w:val="1"/>
                <w:bCs w:val="1"/>
                <w:color w:val="auto"/>
                <w:w w:val="97"/>
              </w:rPr>
              <w:t>Consideration</w:t>
            </w: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October 30, 2010</w:t>
            </w:r>
          </w:p>
        </w:tc>
        <w:tc>
          <w:tcPr>
            <w:tcW w:w="19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Contingent consideration liability recorded</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13,790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w:t>
            </w:r>
          </w:p>
        </w:tc>
        <w:tc>
          <w:tcPr>
            <w:tcW w:w="19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8"/>
                <w:szCs w:val="18"/>
                <w:color w:val="auto"/>
              </w:rPr>
            </w:pP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rPr>
              <w:t>Balance as of October 29, 2011</w:t>
            </w:r>
          </w:p>
        </w:tc>
        <w:tc>
          <w:tcPr>
            <w:tcW w:w="1980" w:type="dxa"/>
            <w:vAlign w:val="bottom"/>
            <w:gridSpan w:val="2"/>
          </w:tcPr>
          <w:p>
            <w:pPr>
              <w:ind w:left="190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13,973</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Payment made*</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w:t>
            </w: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Fair value adjustment</w:t>
            </w:r>
          </w:p>
        </w:tc>
        <w:tc>
          <w:tcPr>
            <w:tcW w:w="19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February 4, 2012</w:t>
            </w:r>
          </w:p>
        </w:tc>
        <w:tc>
          <w:tcPr>
            <w:tcW w:w="1980" w:type="dxa"/>
            <w:vAlign w:val="bottom"/>
            <w:gridSpan w:val="2"/>
            <w:shd w:val="clear" w:color="auto" w:fill="CCEEFF"/>
          </w:tcPr>
          <w:p>
            <w:pPr>
              <w:ind w:left="190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12,244</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640" w:hanging="452"/>
        <w:spacing w:after="0" w:line="332" w:lineRule="auto"/>
        <w:tabs>
          <w:tab w:leader="none" w:pos="460" w:val="left"/>
        </w:tabs>
        <w:numPr>
          <w:ilvl w:val="0"/>
          <w:numId w:val="10"/>
        </w:numPr>
        <w:rPr>
          <w:rFonts w:ascii="Arial" w:cs="Arial" w:eastAsia="Arial" w:hAnsi="Arial"/>
          <w:sz w:val="16"/>
          <w:szCs w:val="16"/>
          <w:i w:val="1"/>
          <w:iCs w:val="1"/>
          <w:color w:val="auto"/>
        </w:rPr>
      </w:pPr>
      <w:r>
        <w:rPr>
          <w:rFonts w:ascii="Arial" w:cs="Arial" w:eastAsia="Arial" w:hAnsi="Arial"/>
          <w:sz w:val="16"/>
          <w:szCs w:val="16"/>
          <w:color w:val="auto"/>
        </w:rPr>
        <w:t>The payment is reflected in the statements of cash flows as cash used in financing activities related to the liability recognized at fair value as of the acquisition date and cash provided by operating activities related to the fair value adjustments previously recognized in earnings.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Recorded at Fair Value on a Recurring Basis</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On April 4, 2011, the Company issued $375 million aggregate principal amount of 3.0% senior unsecured notes due April 15, 2016 (the 3.0% Notes) with semi-annual fixed interest payments due on April 15 and October 15 of each year, commencing October 15, 2011. Based on quotes received from third-party banks, the fair value of the 3.0% Notes as of February 4, 2012 and October 29, 2011 was $397.0 million and $392.8 million,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 xml:space="preserve">Foreign Exchange Exposure Management </w:t>
      </w:r>
      <w:r>
        <w:rPr>
          <w:rFonts w:ascii="Arial" w:cs="Arial" w:eastAsia="Arial" w:hAnsi="Arial"/>
          <w:sz w:val="16"/>
          <w:szCs w:val="16"/>
          <w:color w:val="auto"/>
        </w:rPr>
        <w:t>— The Company enters into forward foreign currency exchange contracts to offset certain operational and</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sheet exposures from the impact of changes in foreign currency exchange rates. Such exposures result from the portion of the Company’s operations, assets and liabilities that are denominated in currencies other than the U.S. dollar, primarily the Euro; other significant exposures include the Philippine Peso and the British Pound. These foreign currency exchange contracts are entered into to support transactions made in the normal course of business, and accordingly, are not speculative in nature. The contracts are for periods consistent with the terms of the underlying transactions, generally one year or less. Hedges related to anticipated transactions are designated and documented at the inception of the respective hedges as cash flow hedges and are evaluated for effectiveness monthly. Derivative instruments are employed to eliminate or minimize certain foreign currency exposures that can be confidently identified and quantified. As the terms of the contract and the underlying transaction are matched at inception, forward contract effectiveness is calculated by comparing the change in fair value of the contract to the change in the forward value of the anticipated transaction, with the effective portion of the gain or loss on the derivative instrument reported as a component of accumulated other comprehensive (loss) income (OCI) in shareholders’ equity and reclassified into earnings in the same period during which the hedged transaction affects earnings. Any residual change in fair value of the instruments, or ineffectiveness, is recognized immediately in other (income) expense. Additionally, the Company enters into forward foreign currency contracts that economically hedge the gains and losses generated by the re-measurement of certain recorded assets and liabilities in a non-functional currency. Changes in the fair value of these undesignated hedges are recognized in other (income) expense immediately as an offset to the changes in the fair value of the asset or liability being hedged. As of February 4, 2012 and October 29, 2011, the total notional amount of these undesignated hedges was $39.1 million and $41.2 million, respectively. The fair value of these hedging instruments in the Company’s condensed consolidated balance sheets as of February 4, 2012 and October 29, 2011 was immaterial.</w:t>
      </w:r>
    </w:p>
    <w:p>
      <w:pPr>
        <w:spacing w:after="0" w:line="12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Interest Rate Exposure Management </w:t>
      </w:r>
      <w:r>
        <w:rPr>
          <w:rFonts w:ascii="Arial" w:cs="Arial" w:eastAsia="Arial" w:hAnsi="Arial"/>
          <w:sz w:val="16"/>
          <w:szCs w:val="16"/>
          <w:color w:val="auto"/>
        </w:rPr>
        <w:t>— On June 30, 2009, the Company entered into interest rate swap transactions related to its outstanding 5.0% senior</w:t>
      </w:r>
      <w:r>
        <w:rPr>
          <w:rFonts w:ascii="Arial" w:cs="Arial" w:eastAsia="Arial" w:hAnsi="Arial"/>
          <w:sz w:val="16"/>
          <w:szCs w:val="16"/>
          <w:i w:val="1"/>
          <w:iCs w:val="1"/>
          <w:color w:val="auto"/>
        </w:rPr>
        <w:t xml:space="preserve"> </w:t>
      </w:r>
      <w:r>
        <w:rPr>
          <w:rFonts w:ascii="Arial" w:cs="Arial" w:eastAsia="Arial" w:hAnsi="Arial"/>
          <w:sz w:val="16"/>
          <w:szCs w:val="16"/>
          <w:color w:val="auto"/>
        </w:rPr>
        <w:t>unsecured notes where the Company swapped the notional amount of its $375 million of fixed rate debt at 5.0% into floating interest rate debt through July 1, 2014. Under the terms of the swaps, the Company will (i) receive on the $375 million notional amount a 5.0% annual interest payment that is paid in two installments on the 1st of every January and July, commencing January 1, 2010 through and ending on the maturity date; and (ii) pay on the $375 million notional amount an annual three month LIBOR plus 2.05% (2.63% as of February 4, 2012) interest payment, payable in four installments on the 1st of every January, April, July and October, commencing on October 1, 2009 and ending on the maturity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7" w:name="page18"/>
    <w:bookmarkEnd w:id="17"/>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 The LIBOR-based rate is set quarterly three months prior to the date of the interest payment. The Company designated these swaps as fair value hedges. The fair value of the swaps at inception was zero and subsequent changes in the fair value of the interest rate swaps were reflected in the carrying value of the interest rate swaps on the balance sheet. The carrying value of the debt on the balance sheet was adjusted by an equal and offsetting amount. The gain or loss on the hedged item (that is, the fixed-rate borrowings) attributable to the hedged benchmark interest rate risk and the offsetting gain or loss on the related interest rate swaps for three-month periods ended February 4, 2012 and January 29, 2011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Statement of Income</w:t>
            </w:r>
          </w:p>
        </w:tc>
        <w:tc>
          <w:tcPr>
            <w:tcW w:w="3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February 4, 2012</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January 29, 2011</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Classification</w:t>
            </w:r>
          </w:p>
        </w:tc>
        <w:tc>
          <w:tcPr>
            <w:tcW w:w="3700" w:type="dxa"/>
            <w:vAlign w:val="bottom"/>
            <w:vMerge w:val="restart"/>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4"/>
              </w:rPr>
              <w:t>Net Income</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Net 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840" w:type="dxa"/>
            <w:vAlign w:val="bottom"/>
            <w:tcBorders>
              <w:bottom w:val="single" w:sz="8" w:color="auto"/>
            </w:tcBorders>
            <w:vMerge w:val="continue"/>
          </w:tcPr>
          <w:p>
            <w:pPr>
              <w:spacing w:after="0"/>
              <w:rPr>
                <w:sz w:val="14"/>
                <w:szCs w:val="14"/>
                <w:color w:val="auto"/>
              </w:rPr>
            </w:pPr>
          </w:p>
        </w:tc>
        <w:tc>
          <w:tcPr>
            <w:tcW w:w="3700" w:type="dxa"/>
            <w:vAlign w:val="bottom"/>
            <w:vMerge w:val="continue"/>
          </w:tcPr>
          <w:p>
            <w:pPr>
              <w:spacing w:after="0"/>
              <w:rPr>
                <w:sz w:val="14"/>
                <w:szCs w:val="14"/>
                <w:color w:val="auto"/>
              </w:rPr>
            </w:pPr>
          </w:p>
        </w:tc>
        <w:tc>
          <w:tcPr>
            <w:tcW w:w="100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w w:val="94"/>
              </w:rPr>
              <w:t>Loss on Swaps</w:t>
            </w:r>
          </w:p>
        </w:tc>
        <w:tc>
          <w:tcPr>
            <w:tcW w:w="300" w:type="dxa"/>
            <w:vAlign w:val="bottom"/>
          </w:tcPr>
          <w:p>
            <w:pPr>
              <w:spacing w:after="0"/>
              <w:rPr>
                <w:sz w:val="14"/>
                <w:szCs w:val="14"/>
                <w:color w:val="auto"/>
              </w:rPr>
            </w:pPr>
          </w:p>
        </w:tc>
        <w:tc>
          <w:tcPr>
            <w:tcW w:w="12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Gain on Note</w:t>
            </w:r>
          </w:p>
        </w:tc>
        <w:tc>
          <w:tcPr>
            <w:tcW w:w="140" w:type="dxa"/>
            <w:vAlign w:val="bottom"/>
          </w:tcPr>
          <w:p>
            <w:pPr>
              <w:spacing w:after="0"/>
              <w:rPr>
                <w:sz w:val="14"/>
                <w:szCs w:val="14"/>
                <w:color w:val="auto"/>
              </w:rPr>
            </w:pPr>
          </w:p>
        </w:tc>
        <w:tc>
          <w:tcPr>
            <w:tcW w:w="540" w:type="dxa"/>
            <w:vAlign w:val="bottom"/>
          </w:tcPr>
          <w:p>
            <w:pPr>
              <w:ind w:left="20"/>
              <w:spacing w:after="0" w:line="148" w:lineRule="exact"/>
              <w:rPr>
                <w:sz w:val="20"/>
                <w:szCs w:val="20"/>
                <w:color w:val="auto"/>
              </w:rPr>
            </w:pPr>
            <w:r>
              <w:rPr>
                <w:rFonts w:ascii="Arial" w:cs="Arial" w:eastAsia="Arial" w:hAnsi="Arial"/>
                <w:sz w:val="14"/>
                <w:szCs w:val="14"/>
                <w:b w:val="1"/>
                <w:bCs w:val="1"/>
                <w:color w:val="auto"/>
              </w:rPr>
              <w:t>Effect</w:t>
            </w:r>
          </w:p>
        </w:tc>
        <w:tc>
          <w:tcPr>
            <w:tcW w:w="440" w:type="dxa"/>
            <w:vAlign w:val="bottom"/>
          </w:tcPr>
          <w:p>
            <w:pPr>
              <w:spacing w:after="0"/>
              <w:rPr>
                <w:sz w:val="14"/>
                <w:szCs w:val="14"/>
                <w:color w:val="auto"/>
              </w:rPr>
            </w:pPr>
          </w:p>
        </w:tc>
        <w:tc>
          <w:tcPr>
            <w:tcW w:w="10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6"/>
              </w:rPr>
              <w:t>Loss on Swaps</w:t>
            </w:r>
          </w:p>
        </w:tc>
        <w:tc>
          <w:tcPr>
            <w:tcW w:w="280" w:type="dxa"/>
            <w:vAlign w:val="bottom"/>
          </w:tcPr>
          <w:p>
            <w:pPr>
              <w:spacing w:after="0"/>
              <w:rPr>
                <w:sz w:val="14"/>
                <w:szCs w:val="14"/>
                <w:color w:val="auto"/>
              </w:rPr>
            </w:pPr>
          </w:p>
        </w:tc>
        <w:tc>
          <w:tcPr>
            <w:tcW w:w="122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Gain on Note</w:t>
            </w:r>
          </w:p>
        </w:tc>
        <w:tc>
          <w:tcPr>
            <w:tcW w:w="120" w:type="dxa"/>
            <w:vAlign w:val="bottom"/>
          </w:tcPr>
          <w:p>
            <w:pPr>
              <w:spacing w:after="0"/>
              <w:rPr>
                <w:sz w:val="14"/>
                <w:szCs w:val="14"/>
                <w:color w:val="auto"/>
              </w:rPr>
            </w:pPr>
          </w:p>
        </w:tc>
        <w:tc>
          <w:tcPr>
            <w:tcW w:w="64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Effect</w:t>
            </w:r>
          </w:p>
        </w:tc>
        <w:tc>
          <w:tcPr>
            <w:tcW w:w="0" w:type="dxa"/>
            <w:vAlign w:val="bottom"/>
          </w:tcPr>
          <w:p>
            <w:pPr>
              <w:spacing w:after="0"/>
              <w:rPr>
                <w:sz w:val="1"/>
                <w:szCs w:val="1"/>
                <w:color w:val="auto"/>
              </w:rPr>
            </w:pPr>
          </w:p>
        </w:tc>
      </w:tr>
      <w:tr>
        <w:trPr>
          <w:trHeight w:val="203"/>
        </w:trPr>
        <w:tc>
          <w:tcPr>
            <w:tcW w:w="4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income</w:t>
            </w: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(769)</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769</w:t>
            </w: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(8,168)</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8,168</w:t>
            </w: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amounts earned and owed under the swap agreements are accrued each period and are reported in interest expense. There was no ineffectiveness recognized in any of the periods presented.</w:t>
      </w:r>
    </w:p>
    <w:p>
      <w:pPr>
        <w:spacing w:after="0" w:line="13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market risk associated with the Company’s derivative instruments results from currency exchange rate or interest rate movements that are expected to offset the market risk of the underlying transactions, assets and liabilities being hedged. The counterparties to the agreements relating to the Company’s derivative instruments consist of a number of major international financial institutions with high credit ratings. Based on the credit ratings of the Company’s counterparties as of February 4, 2012, nonperformance is not perceived to be a significant risk. Furthermore, none of the Company’s derivatives are subject to collateral or other security arrangements and none contain provisions that are dependent on the Company’s credit ratings from any credit rating agency.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 As a result of the above considerations, the Company does not consider the risk of counterparty default to be significant.</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Company records the fair value of its derivative financial instruments in the condensed consolidated financial statements in other current assets, other assets or accrued liabilities, depending on their net position, regardless of the purpose or intent for holding the derivative contract. Changes in the fair value of the derivative financial instruments are either recognized periodically in earnings or in shareholders’ equity as a component of OCI. Changes in the fair value of cash flow hedges are recorded in OCI and reclassified into earnings when the underlying contract matures. Changes in the fair values of derivatives not qualifying for hedge accounting are reported in earnings as they occur.</w:t>
      </w:r>
    </w:p>
    <w:p>
      <w:pPr>
        <w:spacing w:after="0" w:line="116"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The total notional amounts of derivative instruments designated as hedging instruments as of February 4, 2012 and October 29, 2011 were $375 million of interest rate swap agreements accounted for as fair value hedges and $152.6 million and $153.7 million, respectively, of cash flow hedges denominated in Euros, British Pounds and Philippine Pesos. The fair values of these hedging instruments in the Company’s condensed consolidated balance sheets as of February 4, 2012 and October 29, 2011 were as follows: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86"/>
              </w:rPr>
              <w:t>Fair Value at</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8"/>
              </w:rPr>
              <w:t>Fair Value at</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280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Balance Sheet Location</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86"/>
              </w:rPr>
              <w:t>February</w:t>
            </w:r>
          </w:p>
        </w:tc>
        <w:tc>
          <w:tcPr>
            <w:tcW w:w="100" w:type="dxa"/>
            <w:vAlign w:val="bottom"/>
          </w:tcPr>
          <w:p>
            <w:pPr>
              <w:spacing w:after="0"/>
              <w:rPr>
                <w:sz w:val="12"/>
                <w:szCs w:val="12"/>
                <w:color w:val="auto"/>
              </w:rPr>
            </w:pPr>
          </w:p>
        </w:tc>
        <w:tc>
          <w:tcPr>
            <w:tcW w:w="7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October</w:t>
            </w:r>
          </w:p>
        </w:tc>
        <w:tc>
          <w:tcPr>
            <w:tcW w:w="0" w:type="dxa"/>
            <w:vAlign w:val="bottom"/>
          </w:tcPr>
          <w:p>
            <w:pPr>
              <w:spacing w:after="0"/>
              <w:rPr>
                <w:sz w:val="1"/>
                <w:szCs w:val="1"/>
                <w:color w:val="auto"/>
              </w:rPr>
            </w:pPr>
          </w:p>
        </w:tc>
      </w:tr>
      <w:tr>
        <w:trPr>
          <w:trHeight w:val="161"/>
        </w:trPr>
        <w:tc>
          <w:tcPr>
            <w:tcW w:w="3860" w:type="dxa"/>
            <w:vAlign w:val="bottom"/>
            <w:tcBorders>
              <w:bottom w:val="single" w:sz="8" w:color="CCEEFF"/>
            </w:tcBorders>
          </w:tcPr>
          <w:p>
            <w:pPr>
              <w:spacing w:after="0"/>
              <w:rPr>
                <w:sz w:val="14"/>
                <w:szCs w:val="14"/>
                <w:color w:val="auto"/>
              </w:rPr>
            </w:pPr>
          </w:p>
        </w:tc>
        <w:tc>
          <w:tcPr>
            <w:tcW w:w="280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4, 2012</w:t>
            </w: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88"/>
              </w:rPr>
              <w:t>29, 2011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swap agreements</w:t>
            </w: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21,418</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60" w:type="dxa"/>
            <w:vAlign w:val="bottom"/>
          </w:tcPr>
          <w:p>
            <w:pPr>
              <w:spacing w:after="0"/>
              <w:rPr>
                <w:sz w:val="20"/>
                <w:szCs w:val="20"/>
                <w:color w:val="auto"/>
              </w:rPr>
            </w:pPr>
            <w:r>
              <w:rPr>
                <w:rFonts w:ascii="Arial" w:cs="Arial" w:eastAsia="Arial" w:hAnsi="Arial"/>
                <w:sz w:val="18"/>
                <w:szCs w:val="18"/>
                <w:color w:val="auto"/>
              </w:rPr>
              <w:t>Forward foreign currency exchange contracts</w:t>
            </w:r>
          </w:p>
        </w:tc>
        <w:tc>
          <w:tcPr>
            <w:tcW w:w="2800" w:type="dxa"/>
            <w:vAlign w:val="bottom"/>
          </w:tcPr>
          <w:p>
            <w:pPr>
              <w:spacing w:after="0"/>
              <w:rPr>
                <w:sz w:val="20"/>
                <w:szCs w:val="20"/>
                <w:color w:val="auto"/>
              </w:rPr>
            </w:pPr>
            <w:r>
              <w:rPr>
                <w:rFonts w:ascii="Arial" w:cs="Arial" w:eastAsia="Arial" w:hAnsi="Arial"/>
                <w:sz w:val="18"/>
                <w:szCs w:val="18"/>
                <w:color w:val="auto"/>
                <w:w w:val="97"/>
              </w:rPr>
              <w:t>Prepaid expenses and other current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6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assets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4,654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3860" w:type="dxa"/>
            <w:vAlign w:val="bottom"/>
          </w:tcPr>
          <w:p>
            <w:pPr>
              <w:spacing w:after="0"/>
              <w:rPr>
                <w:sz w:val="24"/>
                <w:szCs w:val="24"/>
                <w:color w:val="auto"/>
              </w:rPr>
            </w:pPr>
          </w:p>
        </w:tc>
        <w:tc>
          <w:tcPr>
            <w:tcW w:w="2800" w:type="dxa"/>
            <w:vAlign w:val="bottom"/>
          </w:tcPr>
          <w:p>
            <w:pPr>
              <w:ind w:left="840"/>
              <w:spacing w:after="0"/>
              <w:rPr>
                <w:sz w:val="20"/>
                <w:szCs w:val="20"/>
                <w:color w:val="auto"/>
              </w:rPr>
            </w:pPr>
            <w:r>
              <w:rPr>
                <w:rFonts w:ascii="Arial" w:cs="Arial" w:eastAsia="Arial" w:hAnsi="Arial"/>
                <w:sz w:val="18"/>
                <w:szCs w:val="18"/>
                <w:color w:val="auto"/>
              </w:rPr>
              <w:t>17</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8" w:name="page19"/>
    <w:bookmarkEnd w:id="18"/>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effect of derivative instruments designated as cash flow hedges on the condensed consolidated statements of income for the three-month periods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February 4, 2012 and January 29, 2011 are as follows:</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w w:val="99"/>
              </w:rPr>
              <w:t>Three Months Ended</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February 4, 2012</w:t>
            </w:r>
          </w:p>
        </w:tc>
        <w:tc>
          <w:tcPr>
            <w:tcW w:w="1400" w:type="dxa"/>
            <w:vAlign w:val="bottom"/>
            <w:gridSpan w:val="3"/>
          </w:tcPr>
          <w:p>
            <w:pPr>
              <w:ind w:left="420"/>
              <w:spacing w:after="0" w:line="142" w:lineRule="exact"/>
              <w:rPr>
                <w:sz w:val="20"/>
                <w:szCs w:val="20"/>
                <w:color w:val="auto"/>
              </w:rPr>
            </w:pPr>
            <w:r>
              <w:rPr>
                <w:rFonts w:ascii="Arial" w:cs="Arial" w:eastAsia="Arial" w:hAnsi="Arial"/>
                <w:sz w:val="14"/>
                <w:szCs w:val="14"/>
                <w:b w:val="1"/>
                <w:bCs w:val="1"/>
                <w:color w:val="auto"/>
                <w:w w:val="85"/>
              </w:rPr>
              <w:t>January 29, 2011</w:t>
            </w:r>
          </w:p>
        </w:tc>
        <w:tc>
          <w:tcPr>
            <w:tcW w:w="120" w:type="dxa"/>
            <w:vAlign w:val="bottom"/>
          </w:tcPr>
          <w:p>
            <w:pPr>
              <w:spacing w:after="0"/>
              <w:rPr>
                <w:sz w:val="12"/>
                <w:szCs w:val="12"/>
                <w:color w:val="auto"/>
              </w:rPr>
            </w:pPr>
          </w:p>
        </w:tc>
      </w:tr>
      <w:tr>
        <w:trPr>
          <w:trHeight w:val="188"/>
        </w:trPr>
        <w:tc>
          <w:tcPr>
            <w:tcW w:w="526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8"/>
              </w:rPr>
              <w:t>Loss recognized in OCI on derivatives (net of tax of $1,123 in 2012</w:t>
            </w:r>
          </w:p>
        </w:tc>
        <w:tc>
          <w:tcPr>
            <w:tcW w:w="4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24"/>
        </w:trPr>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$346 in 2011)</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(7,771)</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(2,611)</w:t>
            </w:r>
          </w:p>
        </w:tc>
      </w:tr>
      <w:tr>
        <w:trPr>
          <w:trHeight w:val="208"/>
        </w:trPr>
        <w:tc>
          <w:tcPr>
            <w:tcW w:w="5260" w:type="dxa"/>
            <w:vAlign w:val="bottom"/>
          </w:tcPr>
          <w:p>
            <w:pPr>
              <w:spacing w:after="0"/>
              <w:rPr>
                <w:sz w:val="20"/>
                <w:szCs w:val="20"/>
                <w:color w:val="auto"/>
              </w:rPr>
            </w:pPr>
            <w:r>
              <w:rPr>
                <w:rFonts w:ascii="Arial" w:cs="Arial" w:eastAsia="Arial" w:hAnsi="Arial"/>
                <w:sz w:val="18"/>
                <w:szCs w:val="18"/>
                <w:color w:val="auto"/>
                <w:w w:val="98"/>
              </w:rPr>
              <w:t>Loss (Gain) reclassified from OCI into income (net of tax of $294 in</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5260" w:type="dxa"/>
            <w:vAlign w:val="bottom"/>
          </w:tcPr>
          <w:p>
            <w:pPr>
              <w:ind w:left="220"/>
              <w:spacing w:after="0"/>
              <w:rPr>
                <w:sz w:val="20"/>
                <w:szCs w:val="20"/>
                <w:color w:val="auto"/>
              </w:rPr>
            </w:pPr>
            <w:r>
              <w:rPr>
                <w:rFonts w:ascii="Arial" w:cs="Arial" w:eastAsia="Arial" w:hAnsi="Arial"/>
                <w:sz w:val="18"/>
                <w:szCs w:val="18"/>
                <w:color w:val="auto"/>
              </w:rPr>
              <w:t>2012 and $55 in 2011)</w:t>
            </w: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2,030</w:t>
            </w:r>
          </w:p>
        </w:tc>
        <w:tc>
          <w:tcPr>
            <w:tcW w:w="460" w:type="dxa"/>
            <w:vAlign w:val="bottom"/>
          </w:tcPr>
          <w:p>
            <w:pPr>
              <w:spacing w:after="0"/>
              <w:rPr>
                <w:sz w:val="19"/>
                <w:szCs w:val="19"/>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(412)</w:t>
            </w:r>
          </w:p>
        </w:tc>
      </w:tr>
    </w:tbl>
    <w:p>
      <w:pPr>
        <w:spacing w:after="0" w:line="15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amounts reclassified into earnings before tax are recognized in cost of sales and operating expenses for the three-month periods ended February 4, 2012 and January 29, 2011 are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February 4, 2012</w:t>
            </w:r>
          </w:p>
        </w:tc>
        <w:tc>
          <w:tcPr>
            <w:tcW w:w="1960" w:type="dxa"/>
            <w:vAlign w:val="bottom"/>
            <w:gridSpan w:val="3"/>
          </w:tcPr>
          <w:p>
            <w:pPr>
              <w:ind w:left="980"/>
              <w:spacing w:after="0" w:line="142" w:lineRule="exact"/>
              <w:rPr>
                <w:sz w:val="20"/>
                <w:szCs w:val="20"/>
                <w:color w:val="auto"/>
              </w:rPr>
            </w:pPr>
            <w:r>
              <w:rPr>
                <w:rFonts w:ascii="Arial" w:cs="Arial" w:eastAsia="Arial" w:hAnsi="Arial"/>
                <w:sz w:val="14"/>
                <w:szCs w:val="14"/>
                <w:b w:val="1"/>
                <w:bCs w:val="1"/>
                <w:color w:val="auto"/>
                <w:w w:val="85"/>
              </w:rPr>
              <w:t>January 29, 2011</w:t>
            </w:r>
          </w:p>
        </w:tc>
        <w:tc>
          <w:tcPr>
            <w:tcW w:w="120" w:type="dxa"/>
            <w:vAlign w:val="bottom"/>
          </w:tcPr>
          <w:p>
            <w:pPr>
              <w:spacing w:after="0"/>
              <w:rPr>
                <w:sz w:val="12"/>
                <w:szCs w:val="12"/>
                <w:color w:val="auto"/>
              </w:rPr>
            </w:pPr>
          </w:p>
        </w:tc>
      </w:tr>
      <w:tr>
        <w:trPr>
          <w:trHeight w:val="210"/>
        </w:trPr>
        <w:tc>
          <w:tcPr>
            <w:tcW w:w="4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sales</w:t>
            </w:r>
          </w:p>
        </w:tc>
        <w:tc>
          <w:tcPr>
            <w:tcW w:w="1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9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60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623</w:t>
            </w: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Selling, marketing, general and administrative</w:t>
            </w:r>
          </w:p>
        </w:tc>
        <w:tc>
          <w:tcPr>
            <w:tcW w:w="16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bl>
    <w:p>
      <w:pPr>
        <w:spacing w:after="0" w:line="15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All derivative gains and losses included in OCI will be reclassified into earnings within the next 12 months. There was no ineffectiveness in the three-month periods ended February 4, 2012 and January 29,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Goodwill and Intangible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Company annually evaluates goodwill for impairment as well as whenever events or changes in circumstances suggest that the carrying value of goodwill may not be recoverable. The Company tests goodwill for impairment at the reporting unit level (operating segment or one level below an operating segment) on an annual basis on the first day of the fourth quarter (on or about August 1) or more frequently if indicators of impairment exist. For the Company’s latest annual impairment assessment that occurred on July 31, 2011, the Company identified its reporting units to be its five operating segments, which meet the aggregation criteria for one reportable segment. The performance of the test involves a two-step process. The first step of the impairment test involves comparing the fair values of the applicable reporting units with their aggregate carrying values, including goodwill. The Company determines the fair value of its reporting units using the income approach methodology of valuation that includes the discounted cash flow method as well as other generally accepted valuation methodologies. If the carrying amount of a reporting unit exceeds the reporting unit’s fair value, the Company performs the second step of the goodwill impairment test to determine the amount of impairment loss. The second step of the goodwill impairment test involves comparing the implied fair value of the affected reporting unit’s goodwill with the carrying value of that goodwill. No impairment of goodwill resulted in any of the fiscal years presented. The Company’s next annual impairment assessment will be performed as of the first day of the fourth quarter of fiscal 2012 unless indicators arise that would require the Company to reevaluate at an earlier date. The following table presents the changes in goodwill during the first three months of fiscal 2012:</w:t>
      </w:r>
    </w:p>
    <w:p>
      <w:pPr>
        <w:spacing w:after="0" w:line="14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Three Months</w:t>
            </w: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Ended</w:t>
            </w: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3040" w:type="dxa"/>
            <w:vAlign w:val="bottom"/>
            <w:gridSpan w:val="4"/>
          </w:tcPr>
          <w:p>
            <w:pPr>
              <w:ind w:left="1920"/>
              <w:spacing w:after="0"/>
              <w:rPr>
                <w:sz w:val="20"/>
                <w:szCs w:val="20"/>
                <w:color w:val="auto"/>
              </w:rPr>
            </w:pPr>
            <w:r>
              <w:rPr>
                <w:rFonts w:ascii="Arial" w:cs="Arial" w:eastAsia="Arial" w:hAnsi="Arial"/>
                <w:sz w:val="14"/>
                <w:szCs w:val="14"/>
                <w:b w:val="1"/>
                <w:bCs w:val="1"/>
                <w:color w:val="auto"/>
                <w:w w:val="99"/>
              </w:rPr>
              <w:t>February 4, 2012</w:t>
            </w: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period</w:t>
            </w:r>
          </w:p>
        </w:tc>
        <w:tc>
          <w:tcPr>
            <w:tcW w:w="1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275,087</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(948)</w:t>
            </w: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9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274,139</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Company reviews finite-lived intangible assets for impairment whenever events or changes in circumstances indicate that the carrying value of assets may not be recoverable. Recoverability of these assets is measured by comparison of their carrying value to future undiscounted cash flows the assets are expected to generate over their remaining economic lives. If such assets are considered to be impaired, the impairment to be recognized in earnings equals the amount by which the carrying value of the assets exceeds their fair value determined by either a quoted market price, if any, or a value determined by utilizing a discounted cash flow technique. As of February 4, 2012 and October 29, 2011 the Company’s finite-lived intangible assets were fully amortized. Amortization expense related to finite-lived intangible assets was $0.4 million for the three-month period ended January 29, 2011.</w:t>
      </w:r>
    </w:p>
    <w:p>
      <w:pPr>
        <w:spacing w:after="0" w:line="12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Indefinite-lived intangible assets are tested for impairment on an annual basis on the first day of the fourth quarter (on or about August 1) or more frequently if indicators of impairment exist. The impairment test involves the comparison of the fair value of the intangible asset with its carrying amount. No impairment of intangible assets resulted in any of the fiscal years presented.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19" w:name="page20"/>
    <w:bookmarkEnd w:id="19"/>
    <w:p>
      <w:pPr>
        <w:ind w:right="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Intangible assets, excluding in-process research and development (IPR&amp;D), are amortized on a straight-line basis over their estimated useful lives or on an accelerated method of amortization that is expected to reflect the estimated pattern of economic use.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Indefinite-lived intangible assets consisted of the following:</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580" w:type="dxa"/>
            <w:vAlign w:val="bottom"/>
            <w:gridSpan w:val="3"/>
          </w:tcPr>
          <w:p>
            <w:pPr>
              <w:jc w:val="center"/>
              <w:ind w:left="1512"/>
              <w:spacing w:after="0"/>
              <w:rPr>
                <w:sz w:val="20"/>
                <w:szCs w:val="20"/>
                <w:color w:val="auto"/>
              </w:rPr>
            </w:pPr>
            <w:r>
              <w:rPr>
                <w:rFonts w:ascii="Arial" w:cs="Arial" w:eastAsia="Arial" w:hAnsi="Arial"/>
                <w:sz w:val="14"/>
                <w:szCs w:val="14"/>
                <w:b w:val="1"/>
                <w:bCs w:val="1"/>
                <w:color w:val="auto"/>
                <w:w w:val="90"/>
              </w:rPr>
              <w:t>February 4, 2012</w:t>
            </w:r>
          </w:p>
        </w:tc>
        <w:tc>
          <w:tcPr>
            <w:tcW w:w="1900" w:type="dxa"/>
            <w:vAlign w:val="bottom"/>
            <w:gridSpan w:val="4"/>
          </w:tcPr>
          <w:p>
            <w:pPr>
              <w:jc w:val="center"/>
              <w:ind w:left="652"/>
              <w:spacing w:after="0"/>
              <w:rPr>
                <w:sz w:val="20"/>
                <w:szCs w:val="20"/>
                <w:color w:val="auto"/>
              </w:rPr>
            </w:pPr>
            <w:r>
              <w:rPr>
                <w:rFonts w:ascii="Arial" w:cs="Arial" w:eastAsia="Arial" w:hAnsi="Arial"/>
                <w:sz w:val="14"/>
                <w:szCs w:val="14"/>
                <w:b w:val="1"/>
                <w:bCs w:val="1"/>
                <w:color w:val="auto"/>
                <w:w w:val="87"/>
              </w:rPr>
              <w:t>October 29, 2011</w:t>
            </w:r>
          </w:p>
        </w:tc>
      </w:tr>
      <w:tr>
        <w:trPr>
          <w:trHeight w:val="129"/>
        </w:trPr>
        <w:tc>
          <w:tcPr>
            <w:tcW w:w="42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86"/>
              <w:spacing w:after="0" w:line="129" w:lineRule="exact"/>
              <w:rPr>
                <w:sz w:val="20"/>
                <w:szCs w:val="20"/>
                <w:color w:val="auto"/>
              </w:rPr>
            </w:pPr>
            <w:r>
              <w:rPr>
                <w:rFonts w:ascii="Arial" w:cs="Arial" w:eastAsia="Arial" w:hAnsi="Arial"/>
                <w:sz w:val="14"/>
                <w:szCs w:val="14"/>
                <w:b w:val="1"/>
                <w:bCs w:val="1"/>
                <w:color w:val="auto"/>
                <w:w w:val="90"/>
              </w:rPr>
              <w:t>Carrying</w:t>
            </w:r>
          </w:p>
        </w:tc>
        <w:tc>
          <w:tcPr>
            <w:tcW w:w="8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86"/>
              <w:spacing w:after="0" w:line="129" w:lineRule="exact"/>
              <w:rPr>
                <w:sz w:val="20"/>
                <w:szCs w:val="20"/>
                <w:color w:val="auto"/>
              </w:rPr>
            </w:pPr>
            <w:r>
              <w:rPr>
                <w:rFonts w:ascii="Arial" w:cs="Arial" w:eastAsia="Arial" w:hAnsi="Arial"/>
                <w:sz w:val="14"/>
                <w:szCs w:val="14"/>
                <w:b w:val="1"/>
                <w:bCs w:val="1"/>
                <w:color w:val="auto"/>
                <w:w w:val="93"/>
              </w:rPr>
              <w:t>Carrying</w:t>
            </w:r>
          </w:p>
        </w:tc>
        <w:tc>
          <w:tcPr>
            <w:tcW w:w="100" w:type="dxa"/>
            <w:vAlign w:val="bottom"/>
          </w:tcPr>
          <w:p>
            <w:pPr>
              <w:spacing w:after="0"/>
              <w:rPr>
                <w:sz w:val="11"/>
                <w:szCs w:val="11"/>
                <w:color w:val="auto"/>
              </w:rPr>
            </w:pPr>
          </w:p>
        </w:tc>
      </w:tr>
      <w:tr>
        <w:trPr>
          <w:trHeight w:val="161"/>
        </w:trPr>
        <w:tc>
          <w:tcPr>
            <w:tcW w:w="4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86"/>
              <w:spacing w:after="0"/>
              <w:rPr>
                <w:sz w:val="20"/>
                <w:szCs w:val="20"/>
                <w:color w:val="auto"/>
              </w:rPr>
            </w:pPr>
            <w:r>
              <w:rPr>
                <w:rFonts w:ascii="Arial" w:cs="Arial" w:eastAsia="Arial" w:hAnsi="Arial"/>
                <w:sz w:val="14"/>
                <w:szCs w:val="14"/>
                <w:b w:val="1"/>
                <w:bCs w:val="1"/>
                <w:color w:val="auto"/>
                <w:w w:val="90"/>
              </w:rPr>
              <w:t>Amount</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Amount</w:t>
            </w:r>
          </w:p>
        </w:tc>
      </w:tr>
      <w:tr>
        <w:trPr>
          <w:trHeight w:val="210"/>
        </w:trPr>
        <w:tc>
          <w:tcPr>
            <w:tcW w:w="4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In-process research and development</w:t>
            </w:r>
          </w:p>
        </w:tc>
        <w:tc>
          <w:tcPr>
            <w:tcW w:w="1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12,200</w:t>
            </w:r>
          </w:p>
        </w:tc>
        <w:tc>
          <w:tcPr>
            <w:tcW w:w="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IPR&amp;D assets are considered indefinite-lived intangible assets until completion or abandonment of the associated R&amp;D efforts. Upon completion of the projects, the IPR&amp;D assets will be amortized over their estimated useful lives.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Pension Plans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has various defined benefit pension and other retirement plans for certain non-U.S. employees that are consistent with local statutory requirements and practices. The Company’s funding policy for its foreign defined benefit pension plans is consistent with the local requirements of each country. The plans’ assets consist primarily of U.S. and non-U.S. equity securities, bonds, property and cash.</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periodic pension cost of non-U.S. plans is presented in the following table:</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3"/>
          </w:tcPr>
          <w:p>
            <w:pPr>
              <w:jc w:val="right"/>
              <w:ind w:right="500"/>
              <w:spacing w:after="0" w:line="142" w:lineRule="exact"/>
              <w:rPr>
                <w:sz w:val="20"/>
                <w:szCs w:val="20"/>
                <w:color w:val="auto"/>
              </w:rPr>
            </w:pPr>
            <w:r>
              <w:rPr>
                <w:rFonts w:ascii="Arial" w:cs="Arial" w:eastAsia="Arial" w:hAnsi="Arial"/>
                <w:sz w:val="14"/>
                <w:szCs w:val="14"/>
                <w:b w:val="1"/>
                <w:bCs w:val="1"/>
                <w:color w:val="auto"/>
                <w:w w:val="86"/>
              </w:rPr>
              <w:t>February 4, 2012</w:t>
            </w:r>
          </w:p>
        </w:tc>
        <w:tc>
          <w:tcPr>
            <w:tcW w:w="1420" w:type="dxa"/>
            <w:vAlign w:val="bottom"/>
            <w:gridSpan w:val="3"/>
          </w:tcPr>
          <w:p>
            <w:pPr>
              <w:ind w:left="440"/>
              <w:spacing w:after="0" w:line="142" w:lineRule="exact"/>
              <w:rPr>
                <w:sz w:val="20"/>
                <w:szCs w:val="20"/>
                <w:color w:val="auto"/>
              </w:rPr>
            </w:pPr>
            <w:r>
              <w:rPr>
                <w:rFonts w:ascii="Arial" w:cs="Arial" w:eastAsia="Arial" w:hAnsi="Arial"/>
                <w:sz w:val="14"/>
                <w:szCs w:val="14"/>
                <w:b w:val="1"/>
                <w:bCs w:val="1"/>
                <w:color w:val="auto"/>
                <w:w w:val="85"/>
              </w:rPr>
              <w:t>January 29, 2011</w:t>
            </w:r>
          </w:p>
        </w:tc>
        <w:tc>
          <w:tcPr>
            <w:tcW w:w="120" w:type="dxa"/>
            <w:vAlign w:val="bottom"/>
          </w:tcPr>
          <w:p>
            <w:pPr>
              <w:spacing w:after="0"/>
              <w:rPr>
                <w:sz w:val="12"/>
                <w:szCs w:val="12"/>
                <w:color w:val="auto"/>
              </w:rPr>
            </w:pPr>
          </w:p>
        </w:tc>
      </w:tr>
      <w:tr>
        <w:trPr>
          <w:trHeight w:val="210"/>
        </w:trPr>
        <w:tc>
          <w:tcPr>
            <w:tcW w:w="5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4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2,764</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2,753</w:t>
            </w:r>
          </w:p>
        </w:tc>
        <w:tc>
          <w:tcPr>
            <w:tcW w:w="12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(2,649)</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(2,645)</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Amortization of initial net obligation</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CEEFF"/>
          </w:tcPr>
          <w:p>
            <w:pPr>
              <w:spacing w:after="0"/>
              <w:rPr>
                <w:sz w:val="18"/>
                <w:szCs w:val="18"/>
                <w:color w:val="auto"/>
              </w:rPr>
            </w:pPr>
          </w:p>
        </w:tc>
      </w:tr>
      <w:tr>
        <w:trPr>
          <w:trHeight w:val="222"/>
        </w:trPr>
        <w:tc>
          <w:tcPr>
            <w:tcW w:w="5640" w:type="dxa"/>
            <w:vAlign w:val="bottom"/>
          </w:tcPr>
          <w:p>
            <w:pPr>
              <w:ind w:left="440"/>
              <w:spacing w:after="0"/>
              <w:rPr>
                <w:sz w:val="20"/>
                <w:szCs w:val="20"/>
                <w:color w:val="auto"/>
              </w:rPr>
            </w:pPr>
            <w:r>
              <w:rPr>
                <w:rFonts w:ascii="Arial" w:cs="Arial" w:eastAsia="Arial" w:hAnsi="Arial"/>
                <w:sz w:val="18"/>
                <w:szCs w:val="18"/>
                <w:color w:val="auto"/>
              </w:rPr>
              <w:t>Net periodic pension cost</w:t>
            </w:r>
          </w:p>
        </w:tc>
        <w:tc>
          <w:tcPr>
            <w:tcW w:w="320" w:type="dxa"/>
            <w:vAlign w:val="bottom"/>
            <w:gridSpan w:val="2"/>
          </w:tcPr>
          <w:p>
            <w:pPr>
              <w:jc w:val="right"/>
              <w:ind w:right="148"/>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2,200</w:t>
            </w:r>
          </w:p>
        </w:tc>
        <w:tc>
          <w:tcPr>
            <w:tcW w:w="480" w:type="dxa"/>
            <w:vAlign w:val="bottom"/>
          </w:tcPr>
          <w:p>
            <w:pPr>
              <w:spacing w:after="0"/>
              <w:rPr>
                <w:sz w:val="19"/>
                <w:szCs w:val="19"/>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2,729</w:t>
            </w:r>
          </w:p>
        </w:tc>
        <w:tc>
          <w:tcPr>
            <w:tcW w:w="12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Pension contributions of $2.6 million were made by the Company during the three months ended February 4, 2012. The Company presently anticipates contributing an additional $8.2 million to fund its defined benefit pension plans in fiscal year 2012 for a total of $10.8 million.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Revolving Credit Facility</w:t>
      </w:r>
    </w:p>
    <w:p>
      <w:pPr>
        <w:spacing w:after="0" w:line="96"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As of February 4, 2012, the Company had $3,667.4 million of cash and cash equivalents and short-term investments, of which $1,121.7 million was held in the United States. The balance of the Company’s cash and cash equivalents and short-term investments was held outside the United States in various foreign subsidiaries. As the Company intends to reinvest certain of its foreign earnings indefinitely, this cash is not available to meet certain of the Company’s cash requirements in the United States, including for cash dividends and common stock repurchases. The Company entered into a five-year, $165 million unsecured revolving credit facility with certain institutional lenders in May 2008. To date, the Company has not borrowed under this credit facility but the Company may borrow in the future and use the proceeds for support of commercial paper issuance, stock repurchases, dividend payments, acquisitions, capital expenditures, working capital and other lawful corporate purposes. Any advances under this credit agreement will accrue interest at rates that are equal to LIBOR plus a margin that is based on the Company’s leverage ratio. The terms of the facility impose restrictions on the Company’s ability to undertake certain transactions, to create certain liens on assets and to incur certain subsidiary indebtedness. The terms of this facility also include financial covenants that require the Company to maintain a minimum interest coverage ratio and not exceed a maximum leverage ratio. As of February 4, 2012, the Company was compliant with these covenants.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13 –Debt</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June 30, 2009, the Company issued $375 million aggregate principal amount of 5.0% senior unsecured notes due July 1, 2014 (the 5.0% Notes) with semi-annual fixed interest payments due on January 1 and July 1 of each year, commencing January 1, 2010. The sale of the 5.0% Notes was made pursuant to the terms of an underwriting agreement dated June 25, 2009 between the Company and Credit Suisse Securities (USA) LLC, as representative of the several underwriters named therein. The net proceeds of the offering were $370.4 million, after issuing at a discount and deducting expenses, underwriting discounts and commissions, which will be amortized over the term of the 5.0% Notes. The indenture governing the 5.0%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 As of February 4, 2012, the Company was compliant with these covenants. The notes are subordinated to any future secured debt and to the other liabilities of the Company’s subsidiaries.</w:t>
      </w:r>
    </w:p>
    <w:p>
      <w:pPr>
        <w:spacing w:after="0" w:line="120" w:lineRule="exact"/>
        <w:rPr>
          <w:sz w:val="20"/>
          <w:szCs w:val="20"/>
          <w:color w:val="auto"/>
        </w:rPr>
      </w:pPr>
    </w:p>
    <w:p>
      <w:pPr>
        <w:ind w:right="140" w:firstLine="456"/>
        <w:spacing w:after="0" w:line="302" w:lineRule="auto"/>
        <w:rPr>
          <w:sz w:val="20"/>
          <w:szCs w:val="20"/>
          <w:color w:val="auto"/>
        </w:rPr>
      </w:pPr>
      <w:r>
        <w:rPr>
          <w:rFonts w:ascii="Arial" w:cs="Arial" w:eastAsia="Arial" w:hAnsi="Arial"/>
          <w:sz w:val="15"/>
          <w:szCs w:val="15"/>
          <w:color w:val="auto"/>
        </w:rPr>
        <w:t>On June 30, 2009, the Company entered into interest rate swap transactions where the Company swapped the notional amount of its $375 million of fixed rate debt at 5.0% into floating interest rate debt through July 1, 2014. Under the terms of the swaps, the Company will (i) receive on the $375 million notional amount a 5.0% annual interest payment that is paid in two installments on the 1st business day of every January and July, commencing January 1, 2010 through and ending on the maturity date; and (ii) pay on the $375 million notional amount an annual three month LIBOR plus 2.05% (2.63% as of February 4,</w:t>
      </w:r>
    </w:p>
    <w:p>
      <w:pPr>
        <w:spacing w:after="0" w:line="3"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2012) interest payment, payable in four installments on the 1st business day of every January, April, July and October, commencing on October 1, 2009 and ending on the maturity date. The LIBOR-based rate is set quarterly three months prior to the date of the interest payment. The Company designated these swaps as fair value hedges. The changes in the fair value of the interest rate swaps were reflected in the carrying value of the interest rate swaps in other assets on the balance sheet. The carrying value of the debt on the balance sheet was adjusted by an equal and offsetting amount.</w:t>
      </w:r>
    </w:p>
    <w:p>
      <w:pPr>
        <w:spacing w:after="0" w:line="11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December 22, 2010, Analog Devices Holdings B.V., a wholly owned subsidiary of the Company, entered into a credit agreement with Bank of America, N.A., London Branch as administrative agent. The borrower’s obligations are guaranteed by the Company. The credit agreement provides for a term loan facility of $145 million, which matures on December 22, 2013. The terms of the agreement provide for a three year principle amortization schedule with $3.6 million payable quarterly every March, June, September and December with the balance payable upon the maturity date. During the third quarter of fiscal 2011, the Company made an additional principal payment of $17.5 million. During the first quarter of fiscal 2012, the Company made an additional principal payment of $12.0 million. The loan will bear interest at a fluctuating rate for each period equal to the LIBOR rate corresponding with the tenor of the interest period plus a spread of 1.25% (1.82% as of February 4, 2012). The terms of this facility include limitations on subsidiary indebtedness and on liens against the assets of the Company and its subsidiaries, and also include financial covenants that require the Company to maintain a minimum interest coverage ratio and not exceed a maximum leverage ratio. As of February 4, 2012, the Company was compliant with these covenants. As of February 4, 2012, $14.5 million of this debt was classified as short-term.</w:t>
      </w:r>
    </w:p>
    <w:p>
      <w:pPr>
        <w:spacing w:after="0" w:line="12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On April 4, 2011, the Company issued $375 million aggregate principal amount of 3.0% senior unsecured notes due April 15, 2016 (the 3.0% Notes) with semi-annual fixed interest payments due on April 15 and October 15 of each year, commencing October 15, 2011. The sale of the 3.0% Notes was made pursuant to the terms of an underwriting agreement dated March 30, 2011 between the Company and Credit Suisse Securities (USA) LLC and Merrill Lynch, Pierce, Fenner and Smith Incorporated, as representative of the several underwriters named therein. The net proceeds of the offering were $370.5 million, after issuing at a discount and deducting expenses, underwriting discounts and commissions, which will be amortized over the term of the 3.0% Notes. The indenture governing the 3.0%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 As of February 4, 2012, the Company was compliant with these covenants. The notes are subordinated to any future secured debt and to the other liabilities of the Company’s subsidiaries.</w:t>
      </w:r>
    </w:p>
    <w:p>
      <w:pPr>
        <w:spacing w:after="0" w:line="12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Company’s principle payments related to its long-term debt obligations are as follows: $10.9 million remaining in fiscal year 2012; $14.5 million in fiscal year 2013; $450.6 million in fiscal year 2014; and $375 million in fiscal year 2016.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14 – Common Stock Repurchase</w:t>
      </w:r>
    </w:p>
    <w:p>
      <w:pPr>
        <w:spacing w:after="0" w:line="96"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The Company’s common stock repurchase program has been in place since August 2004. In the aggregate, the Board of Directors has authorized the Company to repurchase $5 billion of the Company’s common stock under the program. Under the program, the Company may repurchase outstanding shares of its common stock from time to time in the open market and through privately negotiated transactions. Unless terminated earlier by resolution of the Company’s Board of Directors, the repurchase program will expire when the Company has repurchased all shares authorized under the program. As of February 4, 2012, the Company had repurchased a total of approximately 127.1 million shares of its common stock for approximately $4,356.9 million under this program. An additional $643.1 million remains available for repurchase of shares under the current authorized program. The repurchased shares are held as authorized but unissued shares of common stock. Any future common stock repurchases will be dependent upon several factors, including the amount of cash available to the Company in the United States and the Company’s financial performance, outlook and liquidity. The Company also from time to time repurchases shares in settlement of employee tax withholding obligations due upon the vesting of restricted stock units, or in certain limited circumstances to satisfy the exercise price of options granted to the Company’s employees under the Company’s equity compensation plans.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Discontinued Operations</w:t>
      </w:r>
    </w:p>
    <w:p>
      <w:pPr>
        <w:spacing w:after="0" w:line="96" w:lineRule="exact"/>
        <w:rPr>
          <w:sz w:val="20"/>
          <w:szCs w:val="20"/>
          <w:color w:val="auto"/>
        </w:rPr>
      </w:pPr>
    </w:p>
    <w:p>
      <w:pPr>
        <w:ind w:right="520" w:firstLine="456"/>
        <w:spacing w:after="0" w:line="303" w:lineRule="auto"/>
        <w:rPr>
          <w:sz w:val="20"/>
          <w:szCs w:val="20"/>
          <w:color w:val="auto"/>
        </w:rPr>
      </w:pPr>
      <w:r>
        <w:rPr>
          <w:rFonts w:ascii="Arial" w:cs="Arial" w:eastAsia="Arial" w:hAnsi="Arial"/>
          <w:sz w:val="15"/>
          <w:szCs w:val="15"/>
          <w:color w:val="auto"/>
        </w:rPr>
        <w:t>In September 2007, the Company entered into a definitive agreement to sell its Baseband Chipset Business to MediaTek Inc. The decision to sell the Baseband Chipset Business was due to the Company’s decision to focus its resources in areas where its signal processing expertise can provide unique capabilities and earn superior returns. During fiscal 2008, the Company completed the sale of its Baseband Chipset Business for net cash proceeds of</w:t>
      </w:r>
    </w:p>
    <w:p>
      <w:pPr>
        <w:spacing w:after="0" w:line="1"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color w:val="auto"/>
        </w:rPr>
        <w:t>$269 million. The Company made cash payments of $1.7 million during fiscal 2009 related to retention payments for employees who transferred to MediaTek Inc. and for the reimbursement of intellectual property license fees incurred by MediaTek. During fiscal 2010, the Company received cash proceeds of</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$62 million as a result of the receipt of a refundable withholding tax and also recorded an additional gain on sale of $0.3 million, or $0.2 million net of tax, due to the settlement of certain items at less than the amounts accrued. In fiscal 2011, additional proceeds of $10 million were released from escrow and $6.5 million, net of tax, was recorded as additional gain from the sale of discontinued operations. The Company does not expect any additional proceeds from this sale.</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amounts related to the Baseband Chipset Business have been segregated from continuing operations and reported as discontinued operations.</w:t>
      </w:r>
    </w:p>
    <w:p>
      <w:pPr>
        <w:spacing w:after="0" w:line="22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420" w:type="dxa"/>
            <w:vAlign w:val="bottom"/>
            <w:gridSpan w:val="4"/>
          </w:tcPr>
          <w:p>
            <w:pPr>
              <w:jc w:val="center"/>
              <w:ind w:left="902"/>
              <w:spacing w:after="0"/>
              <w:rPr>
                <w:sz w:val="20"/>
                <w:szCs w:val="20"/>
                <w:color w:val="auto"/>
              </w:rPr>
            </w:pPr>
            <w:r>
              <w:rPr>
                <w:rFonts w:ascii="Arial" w:cs="Arial" w:eastAsia="Arial" w:hAnsi="Arial"/>
                <w:sz w:val="14"/>
                <w:szCs w:val="14"/>
                <w:b w:val="1"/>
                <w:bCs w:val="1"/>
                <w:color w:val="auto"/>
                <w:w w:val="89"/>
              </w:rPr>
              <w:t>Three Months Ended</w:t>
            </w:r>
          </w:p>
        </w:tc>
      </w:t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January 29, 2011</w:t>
            </w:r>
          </w:p>
        </w:tc>
      </w:tr>
      <w:tr>
        <w:trPr>
          <w:trHeight w:val="210"/>
        </w:trPr>
        <w:tc>
          <w:tcPr>
            <w:tcW w:w="2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Gain on sale of discontinued operations before income taxes</w:t>
            </w:r>
          </w:p>
        </w:tc>
        <w:tc>
          <w:tcPr>
            <w:tcW w:w="1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discontinued operations, net of tax</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Acquisitions</w:t>
      </w:r>
    </w:p>
    <w:p>
      <w:pPr>
        <w:spacing w:after="0" w:line="96"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On June 9, 2011, the Company acquired privately-held Lyric Semiconductor, Inc. (Lyric) of Cambridge, Massachusetts. The acquisition of Lyric gives the Company the potential to achieve an order of magnitude improvement in power efficiency in mixed signal processing. The acquisition-date fair value of the consideration transferred totaled $27.8 million, which consisted of $14.0 million in initial cash payments at closing and contingent consideration of up to $13.8 million. The contingent consideration arrangement requires additional cash payments to the former equity holders of Lyric upon the achievement of certain technological and product development milestones payable during the period from June 2011 through June 2016. The Company estimated the fair value of the contingent consideration arrangement utilizing the income approach. Changes in the fair value of the contingent consideration subsequent to the acquisition date primarily driven by assumptions pertaining to the achievement of the defined milestones will be recognized in operating income in the period of the estimated fair value change. As of February 4, 2012, the Company made a contingent consideration payment of $2.0 million. The payment is reflected in the statements of cash flows as cash used in financing activities related to the liability recognized at fair value as of the acquisition date and cash provided by operating activities related to the fair value adjustments previously recognized in earnings. The fair value of the remaining contingent consideration was approximately $12.2 million as of February 4, 2012, of which $7.7 million is included in accrued liabilities and $4.5 million is included in other non-current liabilities in the condensed consolidated balance sheet. The Company allocated the purchase price to the tangible and intangible assets acquired and liabilities assumed based on their estimated fair values at the date of acquisition, resulting in the recognition of $12.2 million of IPR&amp;D, $18.9 million of goodwill and $3.3 million of net deferred tax liabilities. The goodwill recognized is attributable to future technologies that have yet to be determined as well as the assembled workforce of Lyric. Future technologies do not meet the criteria for recognition separately from goodwill because they are a part of future development and growth of the business. None of the goodwill is expected to be deductible for tax purposes. In addition, the Company will be obligated to pay royalties to the former equity holders of Lyric on revenue recognized from the sale of Lyric products and licenses through the earlier of 20 years or the accrual of a maximum of $25 million. Royalty payments to Lyric employees require post-acquisition services to be rendered and, as such, the Company will record these amounts as compensation expense in the related periods. As of February 4, 2012, no royalty payments have been made. The Company recognized $0.2 million of acquisition-related costs that were expensed in the third quarter of fiscal 2011 which were included in operating expenses in the condensed consolidated statement of income.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2" w:name="page23"/>
    <w:bookmarkEnd w:id="22"/>
    <w:p>
      <w:pPr>
        <w:ind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has not provided pro forma results of operations for Lyric herein as the acquisition was not material to the Company. The Company included the results of operations of this acquisition in its condensed consolidated statement of income from the date of such acquisition.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Income Taxes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has provided for potential tax liabilities due in the various jurisdictions in which the Company operates. Judgment is required in determining the worldwide income tax expense provision. In the ordinary course of global business, there are many transactions and calculations where the ultimate tax outcome is uncertain. Some of these uncertainties arise as a consequence of cost reimbursement arrangements among related entities. Although the Company believes its estimates are reasonable, no assurance can be given that the final tax outcome of these matters will not be different from that which is reflected in the historical income tax provisions and accruals. Such differences could have a material impact on the Company’s income tax provision and operating results in the period in which such determination is made.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IRS Examination for Fiscal Years 2004 through 2007</w:t>
      </w:r>
    </w:p>
    <w:p>
      <w:pPr>
        <w:spacing w:after="0" w:line="90" w:lineRule="exact"/>
        <w:rPr>
          <w:sz w:val="20"/>
          <w:szCs w:val="20"/>
          <w:color w:val="auto"/>
        </w:rPr>
      </w:pPr>
    </w:p>
    <w:p>
      <w:pPr>
        <w:jc w:val="both"/>
        <w:ind w:right="280" w:firstLine="456"/>
        <w:spacing w:after="0" w:line="284" w:lineRule="auto"/>
        <w:rPr>
          <w:sz w:val="20"/>
          <w:szCs w:val="20"/>
          <w:color w:val="auto"/>
        </w:rPr>
      </w:pPr>
      <w:r>
        <w:rPr>
          <w:rFonts w:ascii="Arial" w:cs="Arial" w:eastAsia="Arial" w:hAnsi="Arial"/>
          <w:sz w:val="16"/>
          <w:szCs w:val="16"/>
          <w:color w:val="auto"/>
        </w:rPr>
        <w:t>The Company expects to file a petition with the Tax Court for one open matter that pertains to Section 965 of the Internal Revenue Code related to the beneficial tax treatment of dividends paid from foreign owned companies under The American Jobs Creation Act. The potential liability for this adjustment is $36.5 million. The Company has concluded, based on discussions with its tax advisors, that this item is not likely to result in any additional tax liability.</w:t>
      </w:r>
    </w:p>
    <w:p>
      <w:pPr>
        <w:spacing w:after="0" w:line="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Therefore, the Company has not recorded any additional tax liability for this issue. All of the Company’s U.S. federal tax returns prior to fiscal year 2008 are no longer subject to examination.</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 Company’s Ireland tax returns prior to fiscal year 2007 are no longer subject to examination.</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Unrealized Tax Benefits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changes in the total amounts of unrealized tax benefits for the three months ended February 4, 2012.</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 October 29, 2011</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$ 9,665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Settlements with taxing authorities</w:t>
            </w:r>
          </w:p>
        </w:tc>
        <w:tc>
          <w:tcPr>
            <w:tcW w:w="23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(3,488)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 February 4, 2012</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$ 6,177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Although the Company believes its estimates of income tax payable are reasonable, no assurance can be given that the Company will prevail in the matters raised and that the outcome of these matters will not be different than that which is reflected in the historical income tax provisions and accruals. The Company believes such differences would not have a material impact on the Company’s financial condition but could have a material impact on the Company’s income tax provision, operating results and operating cash flows in the period in which such matters are resolved as well as for subsequent years.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80"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18 – New Accounting Pronouncements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Implemented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Intangibles – Goodwill and Other</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 xml:space="preserve">In December 2010, the FASB issued ASU No. 2010-28, </w:t>
      </w:r>
      <w:r>
        <w:rPr>
          <w:rFonts w:ascii="Arial" w:cs="Arial" w:eastAsia="Arial" w:hAnsi="Arial"/>
          <w:sz w:val="16"/>
          <w:szCs w:val="16"/>
          <w:i w:val="1"/>
          <w:iCs w:val="1"/>
          <w:color w:val="auto"/>
        </w:rPr>
        <w:t>Intangibles - Goodwill and Other (ASC Topic 350)</w:t>
      </w:r>
      <w:r>
        <w:rPr>
          <w:rFonts w:ascii="Arial" w:cs="Arial" w:eastAsia="Arial" w:hAnsi="Arial"/>
          <w:sz w:val="16"/>
          <w:szCs w:val="16"/>
          <w:color w:val="auto"/>
        </w:rPr>
        <w:t xml:space="preserve"> (ASU No. 2010-28). ASU No. 2010-28 modifies Step 1 of the goodwill impairment test for reporting units with zero or negative carrying amounts. For those reporting units, an entity is required to perform Step 2 of the goodwill impairment test only if it is more likely than not that a goodwill impairment exists. In determining whether it is more likely than not that a goodwill impairment exists, an entity should consider whether there are any adverse qualitative factors indicating that an impairment may exist. ASU No. 2010-28 is effective for fiscal years that begin after December 15, 2010, which is the Company’s fiscal year 2012. The adoption of ASU No. 2010-28 in the first quarter of fiscal 2012 did not have a material impact on the Company’s financial condition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to be Implemented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Balance Sheet</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In December 2011, the FASB issued ASU No. 2011-11, </w:t>
      </w:r>
      <w:r>
        <w:rPr>
          <w:rFonts w:ascii="Arial" w:cs="Arial" w:eastAsia="Arial" w:hAnsi="Arial"/>
          <w:sz w:val="16"/>
          <w:szCs w:val="16"/>
          <w:i w:val="1"/>
          <w:iCs w:val="1"/>
          <w:color w:val="auto"/>
        </w:rPr>
        <w:t>Disclosures about Offsetting Assets and Liabilities</w:t>
      </w:r>
      <w:r>
        <w:rPr>
          <w:rFonts w:ascii="Arial" w:cs="Arial" w:eastAsia="Arial" w:hAnsi="Arial"/>
          <w:sz w:val="16"/>
          <w:szCs w:val="16"/>
          <w:color w:val="auto"/>
        </w:rPr>
        <w:t xml:space="preserve"> (ASU No. 2011-11). ASU No. 2011-11 amended ASC 210, </w:t>
      </w:r>
      <w:r>
        <w:rPr>
          <w:rFonts w:ascii="Arial" w:cs="Arial" w:eastAsia="Arial" w:hAnsi="Arial"/>
          <w:sz w:val="16"/>
          <w:szCs w:val="16"/>
          <w:i w:val="1"/>
          <w:iCs w:val="1"/>
          <w:color w:val="auto"/>
        </w:rPr>
        <w:t>Balance Sheet,</w:t>
      </w:r>
      <w:r>
        <w:rPr>
          <w:rFonts w:ascii="Arial" w:cs="Arial" w:eastAsia="Arial" w:hAnsi="Arial"/>
          <w:sz w:val="16"/>
          <w:szCs w:val="16"/>
          <w:color w:val="auto"/>
        </w:rPr>
        <w:t xml:space="preserve"> to converge the presentation of offsetting assets and liabilities between U.S GAAP and IFRS. ASU No. 2011-11 requires that entities disclose both gross information and net information about both instruments and transactions eligible for offset in the statement of financial position and instruments and transactions subject to an agreement similar to a master netting arrangement. ASU No. 2011-11 is effective for fiscal years, and interim periods within those years, beginning after January 1, 2013, which is the Company’s fiscal year 2014. The adoption of ASU No. 2011-11 will require additional disclosures related to offsetting assets and liabilities but will not impact the Company’s financial condition or results of operations.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Comprehensive Income</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In June 2011, the FASB issued ASU No. 2011-05, </w:t>
      </w:r>
      <w:r>
        <w:rPr>
          <w:rFonts w:ascii="Arial" w:cs="Arial" w:eastAsia="Arial" w:hAnsi="Arial"/>
          <w:sz w:val="16"/>
          <w:szCs w:val="16"/>
          <w:i w:val="1"/>
          <w:iCs w:val="1"/>
          <w:color w:val="auto"/>
        </w:rPr>
        <w:t>Presentation of Comprehensive Income</w:t>
      </w:r>
      <w:r>
        <w:rPr>
          <w:rFonts w:ascii="Arial" w:cs="Arial" w:eastAsia="Arial" w:hAnsi="Arial"/>
          <w:sz w:val="16"/>
          <w:szCs w:val="16"/>
          <w:color w:val="auto"/>
        </w:rPr>
        <w:t xml:space="preserve"> (ASU No. 2011-05). ASU No. 2011-05 amended ASC 220, </w:t>
      </w:r>
      <w:r>
        <w:rPr>
          <w:rFonts w:ascii="Arial" w:cs="Arial" w:eastAsia="Arial" w:hAnsi="Arial"/>
          <w:sz w:val="16"/>
          <w:szCs w:val="16"/>
          <w:i w:val="1"/>
          <w:iCs w:val="1"/>
          <w:color w:val="auto"/>
        </w:rPr>
        <w:t xml:space="preserve">Comprehensive Income, </w:t>
      </w:r>
      <w:r>
        <w:rPr>
          <w:rFonts w:ascii="Arial" w:cs="Arial" w:eastAsia="Arial" w:hAnsi="Arial"/>
          <w:sz w:val="16"/>
          <w:szCs w:val="16"/>
          <w:color w:val="auto"/>
        </w:rPr>
        <w:t>to converge the presentation of comprehensive income between U.S GAAP and IFRS. ASU No. 2011-05 requires that all non-owner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changes in stockholders’ equity be presented in either a single continuous statement of comprehensive income or in two separate but consecutive statements and requires reclassification adjustments for items that are reclassified from other comprehensive income to net income in the statements where the components of net income and the components of other comprehensive income are presented. ASU No. 2011-05 eliminates the option to present the components of other comprehensive income as part of the statement in changes of stockholders equity. ASU No. 2011-05 is effective for fiscal years, and interim periods within those years, beginning after December 15, 2011 which is the Company’s fiscal year 2013. Subsequently, in December 2011, the FASB issued ASU No. 2011-12, </w:t>
      </w:r>
      <w:r>
        <w:rPr>
          <w:rFonts w:ascii="Arial" w:cs="Arial" w:eastAsia="Arial" w:hAnsi="Arial"/>
          <w:sz w:val="16"/>
          <w:szCs w:val="16"/>
          <w:i w:val="1"/>
          <w:iCs w:val="1"/>
          <w:color w:val="auto"/>
        </w:rPr>
        <w:t xml:space="preserve">Deferral of the Effective Date for Amendments to the Presentation of Reclassifications of Items Out of Accumulated Other Comprehensive Income in Accounting Standards Update No. 2011-05 </w:t>
      </w:r>
      <w:r>
        <w:rPr>
          <w:rFonts w:ascii="Arial" w:cs="Arial" w:eastAsia="Arial" w:hAnsi="Arial"/>
          <w:sz w:val="16"/>
          <w:szCs w:val="16"/>
          <w:color w:val="auto"/>
        </w:rPr>
        <w:t>(ASU No. 2011-12), which defers only those changes in ASU No. 2011-05 that relate to the presentation of reclassification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but does not affect all other requirements in ASU No. 2011-05. The adoption of ASU No. 2011-05 and ASU No. 2011-12 will affect the presentation of comprehensive income but will not impact the Company’s financial condition or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Subsequent Event</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February 21, 2012, the Board of Directors of the Company declared a cash dividend of $0.30 per outstanding share of common stock. The dividend will be paid on March 28, 2012 to all shareholders of record at the close of business on March 9, 2012.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 Management’s Discussion and Analysis of Financial Condition and Results of Operations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This information should be read in conjunction with the unaudited condensed consolidated financial statements and related notes included in Item 1 of this Quarterly Report on Form 10-Q and the audited consolidated financial statements and related notes and Management’s Discussion and Analysis of Financial Condition and Results of Operations contained in our Annual Report on Form 10-K for the fiscal year ended October 29, 2011.</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Management’s Discussion and Analysis of Financial Condition and Results of Operations, including in particular the section entitled “Outlook,” contains forward-looking statements regarding future events and our future results that are subject to the safe harbor created under the Private Securities Litigation Reform Act of 1995.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variations of such words and similar expressions are intended to identify such forward-looking statements. In addition, any statements that refer to projections regarding our future financial performance; our anticipated growth and trends in our businesses; our future capital needs and capital expenditures; our future market position and expected competitive changes in the marketplace for our products; our ability to pay dividends or repurchase stock; our ability to service our outstanding debt; our expected tax rate; the effect of new accounting pronouncements;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II, Item 1A. Risk Factors and elsewhere in our Quarterly Report on Form 10-Q. Therefore, actual results may differ materially and adversely from those expressed in any forward-looking statements. We undertake no obligation to revise or update any forward-looking statements except to the extent required by law.</w:t>
      </w:r>
    </w:p>
    <w:p>
      <w:pPr>
        <w:spacing w:after="0" w:line="124"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During the first quarter of fiscal 2008, we sold our baseband chipset business and related support operations, or Baseband Chipset Business, to MediaTek Inc. The financial results of this business are presented as discontinued operations in the condensed consolidated statements of income for all periods presented. Unless otherwise noted, this Management’s Discussion and Analysis relates only to financial results from continuing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3"/>
              </w:rPr>
              <w:t>Three Months Ended</w:t>
            </w:r>
          </w:p>
        </w:tc>
        <w:tc>
          <w:tcPr>
            <w:tcW w:w="66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gridSpan w:val="3"/>
            <w:vMerge w:val="restart"/>
          </w:tcPr>
          <w:p>
            <w:pPr>
              <w:jc w:val="right"/>
              <w:ind w:right="680"/>
              <w:spacing w:after="0"/>
              <w:rPr>
                <w:sz w:val="20"/>
                <w:szCs w:val="20"/>
                <w:color w:val="auto"/>
              </w:rPr>
            </w:pPr>
            <w:r>
              <w:rPr>
                <w:rFonts w:ascii="Arial" w:cs="Arial" w:eastAsia="Arial" w:hAnsi="Arial"/>
                <w:sz w:val="14"/>
                <w:szCs w:val="14"/>
                <w:b w:val="1"/>
                <w:bCs w:val="1"/>
                <w:color w:val="auto"/>
                <w:w w:val="91"/>
              </w:rPr>
              <w:t>$ Change</w:t>
            </w:r>
          </w:p>
        </w:tc>
        <w:tc>
          <w:tcPr>
            <w:tcW w:w="880" w:type="dxa"/>
            <w:vAlign w:val="bottom"/>
            <w:gridSpan w:val="2"/>
            <w:vMerge w:val="restart"/>
          </w:tcPr>
          <w:p>
            <w:pPr>
              <w:jc w:val="right"/>
              <w:ind w:right="172"/>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1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February 4, 2012</w:t>
            </w:r>
          </w:p>
        </w:tc>
        <w:tc>
          <w:tcPr>
            <w:tcW w:w="10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January 29, 2011</w:t>
            </w:r>
          </w:p>
        </w:tc>
        <w:tc>
          <w:tcPr>
            <w:tcW w:w="7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648,058</w:t>
            </w:r>
          </w:p>
        </w:tc>
        <w:tc>
          <w:tcPr>
            <w:tcW w:w="7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728,504</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(80,446)</w:t>
            </w:r>
          </w:p>
        </w:tc>
        <w:tc>
          <w:tcPr>
            <w:tcW w:w="6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Gross margin %</w:t>
            </w:r>
          </w:p>
        </w:tc>
        <w:tc>
          <w:tcPr>
            <w:tcW w:w="26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63.2%</w:t>
            </w:r>
          </w:p>
        </w:tc>
        <w:tc>
          <w:tcPr>
            <w:tcW w:w="34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139,382</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215,606</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(76,224)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8"/>
        </w:trPr>
        <w:tc>
          <w:tcPr>
            <w:tcW w:w="4900" w:type="dxa"/>
            <w:vAlign w:val="bottom"/>
          </w:tcPr>
          <w:p>
            <w:pPr>
              <w:spacing w:after="0"/>
              <w:rPr>
                <w:sz w:val="20"/>
                <w:szCs w:val="20"/>
                <w:color w:val="auto"/>
              </w:rPr>
            </w:pPr>
            <w:r>
              <w:rPr>
                <w:rFonts w:ascii="Arial" w:cs="Arial" w:eastAsia="Arial" w:hAnsi="Arial"/>
                <w:sz w:val="18"/>
                <w:szCs w:val="18"/>
                <w:color w:val="auto"/>
              </w:rPr>
              <w:t>Income from continuing operations, net of tax, as a % of</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220"/>
              <w:spacing w:after="0"/>
              <w:rPr>
                <w:sz w:val="20"/>
                <w:szCs w:val="20"/>
                <w:color w:val="auto"/>
              </w:rPr>
            </w:pPr>
            <w:r>
              <w:rPr>
                <w:rFonts w:ascii="Arial" w:cs="Arial" w:eastAsia="Arial" w:hAnsi="Arial"/>
                <w:sz w:val="18"/>
                <w:szCs w:val="18"/>
                <w:color w:val="auto"/>
              </w:rPr>
              <w:t>revenue</w:t>
            </w:r>
          </w:p>
        </w:tc>
        <w:tc>
          <w:tcPr>
            <w:tcW w:w="260" w:type="dxa"/>
            <w:vAlign w:val="bottom"/>
          </w:tcPr>
          <w:p>
            <w:pPr>
              <w:spacing w:after="0"/>
              <w:rPr>
                <w:sz w:val="19"/>
                <w:szCs w:val="19"/>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21.5%</w:t>
            </w:r>
          </w:p>
        </w:tc>
        <w:tc>
          <w:tcPr>
            <w:tcW w:w="340" w:type="dxa"/>
            <w:vAlign w:val="bottom"/>
          </w:tcPr>
          <w:p>
            <w:pPr>
              <w:spacing w:after="0"/>
              <w:rPr>
                <w:sz w:val="19"/>
                <w:szCs w:val="19"/>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Diluted EPS from continuing operations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(0.24)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Diluted EPS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0.46</w:t>
            </w:r>
          </w:p>
        </w:tc>
        <w:tc>
          <w:tcPr>
            <w:tcW w:w="72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0.72</w:t>
            </w:r>
          </w:p>
        </w:tc>
        <w:tc>
          <w:tcPr>
            <w:tcW w:w="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(0.26)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first quarter of fiscal 2012 was a 14-week quarter and the first quarter of fiscal 2011 was a 13-week quarter. Therefore, the first quarter of fiscal 2012 includes an additional week of operations as compared to the first quarter of fiscal 2011.</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274" w:right="319" w:bottom="1440" w:gutter="0" w:footer="0" w:header="0"/>
        </w:sectPr>
      </w:pPr>
    </w:p>
    <w:bookmarkStart w:id="25" w:name="page26"/>
    <w:bookmarkEnd w:id="25"/>
    <w:p>
      <w:pPr>
        <w:ind w:right="2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year-to-year revenue changes by end market and product category are more fully outlined below under </w:t>
      </w:r>
      <w:r>
        <w:rPr>
          <w:rFonts w:ascii="Arial" w:cs="Arial" w:eastAsia="Arial" w:hAnsi="Arial"/>
          <w:sz w:val="18"/>
          <w:szCs w:val="18"/>
          <w:i w:val="1"/>
          <w:iCs w:val="1"/>
          <w:color w:val="auto"/>
        </w:rPr>
        <w:t>Revenue Trends by End Market</w:t>
      </w:r>
      <w:r>
        <w:rPr>
          <w:rFonts w:ascii="Arial" w:cs="Arial" w:eastAsia="Arial" w:hAnsi="Arial"/>
          <w:sz w:val="18"/>
          <w:szCs w:val="18"/>
          <w:color w:val="auto"/>
        </w:rPr>
        <w:t xml:space="preserve"> and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Trends by Product Type</w:t>
      </w:r>
      <w:r>
        <w:rPr>
          <w:rFonts w:ascii="Arial" w:cs="Arial" w:eastAsia="Arial" w:hAnsi="Arial"/>
          <w:sz w:val="18"/>
          <w:szCs w:val="18"/>
          <w:color w:val="auto"/>
        </w:rPr>
        <w:t>.</w:t>
      </w:r>
    </w:p>
    <w:p>
      <w:pPr>
        <w:spacing w:after="0" w:line="132"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During the first quarter of fiscal 2012, our revenue decreased 11%, as compared to the first quarter of fiscal 2011. Our diluted earnings per share from continuing operations decreased to $0.46 in the first quarter of fiscal 2012 as compared to $0.70 in the first quarter of fiscal 2011. Cash flow from operations in the first quarter of fiscal 2012 was $214.8 million or 33.1% of revenue. During the first quarter of fiscal 2012, we received $48.6 million in net proceeds from employee stock option exercises. During the first quarter of fiscal 2012, we repurchased a total of approximately 2.1 million shares of our common stock for an aggregate of $78.4 million, distributed $74.4 million to our shareholders in dividend payments, paid $15.6 million in principle payments related to our $145 million term loan facility and paid $25.3 million for property, plant and equipment additions. These factors contributed to the net decrease in cash and cash equivalents of $307.7 million in the first quarter of fiscal 2012.</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year-to-year decrease in revenue and profitability was primarily attributable to declining demand for our products as our customers and distributors continued to reduce their inventory levels following the inventory buildup that occurred in the first half of fiscal 2011. In addition the ongoing European debt crisis and the global credit and financial crisis affecting Europe and the United States caused customers to become more cautious in the first quarter of fiscal 2012. We believe that our variable cost structure and continued efforts to manage production, demand and inventory helped to mitigate the effect that these lower sales had on our earnings.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0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2"/>
              </w:rPr>
              <w:t>February 4, 2012</w:t>
            </w: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January 29,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rPr>
              <w:t>% of</w:t>
            </w:r>
          </w:p>
        </w:tc>
        <w:tc>
          <w:tcPr>
            <w:tcW w:w="3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38"/>
              <w:spacing w:after="0" w:line="129"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60" w:type="dxa"/>
            <w:vAlign w:val="bottom"/>
          </w:tcPr>
          <w:p>
            <w:pPr>
              <w:jc w:val="right"/>
              <w:ind w:right="2"/>
              <w:spacing w:after="0"/>
              <w:rPr>
                <w:sz w:val="20"/>
                <w:szCs w:val="20"/>
                <w:color w:val="auto"/>
              </w:rPr>
            </w:pPr>
            <w:r>
              <w:rPr>
                <w:rFonts w:ascii="Arial" w:cs="Arial" w:eastAsia="Arial" w:hAnsi="Arial"/>
                <w:sz w:val="14"/>
                <w:szCs w:val="14"/>
                <w:b w:val="1"/>
                <w:bCs w:val="1"/>
                <w:color w:val="auto"/>
                <w:w w:val="95"/>
              </w:rPr>
              <w:t>Revenue</w:t>
            </w:r>
          </w:p>
        </w:tc>
        <w:tc>
          <w:tcPr>
            <w:tcW w:w="380" w:type="dxa"/>
            <w:vAlign w:val="bottom"/>
          </w:tcPr>
          <w:p>
            <w:pPr>
              <w:spacing w:after="0"/>
              <w:rPr>
                <w:sz w:val="14"/>
                <w:szCs w:val="1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2"/>
              </w:rPr>
              <w:t>Revenue</w:t>
            </w:r>
          </w:p>
        </w:tc>
        <w:tc>
          <w:tcPr>
            <w:tcW w:w="78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Y/Y%</w:t>
            </w:r>
          </w:p>
        </w:tc>
        <w:tc>
          <w:tcPr>
            <w:tcW w:w="16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Revenue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78"/>
              </w:rPr>
              <w:t>Revenue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Industrial</w:t>
            </w:r>
          </w:p>
        </w:tc>
        <w:tc>
          <w:tcPr>
            <w:tcW w:w="27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Borders>
              <w:left w:val="single" w:sz="8" w:color="CCEEFF"/>
            </w:tcBorders>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vMerge w:val="continue"/>
            <w:shd w:val="clear" w:color="auto" w:fill="CCEEFF"/>
          </w:tcPr>
          <w:p>
            <w:pPr>
              <w:spacing w:after="0"/>
              <w:rPr>
                <w:sz w:val="18"/>
                <w:szCs w:val="18"/>
                <w:color w:val="auto"/>
              </w:rPr>
            </w:pPr>
          </w:p>
        </w:tc>
        <w:tc>
          <w:tcPr>
            <w:tcW w:w="272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$289,431</w:t>
            </w:r>
          </w:p>
        </w:tc>
        <w:tc>
          <w:tcPr>
            <w:tcW w:w="380" w:type="dxa"/>
            <w:vAlign w:val="bottom"/>
            <w:tcBorders>
              <w:left w:val="single" w:sz="8" w:color="CCEEFF"/>
            </w:tcBorders>
            <w:vMerge w:val="continue"/>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$339,028</w:t>
            </w:r>
          </w:p>
        </w:tc>
        <w:tc>
          <w:tcPr>
            <w:tcW w:w="380" w:type="dxa"/>
            <w:vAlign w:val="bottom"/>
            <w:vMerge w:val="continue"/>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Automotive</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119,123</w:t>
            </w: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auto"/>
              </w:rPr>
              <w:t>18%</w:t>
            </w:r>
          </w:p>
        </w:tc>
        <w:tc>
          <w:tcPr>
            <w:tcW w:w="780" w:type="dxa"/>
            <w:vAlign w:val="bottom"/>
            <w:gridSpan w:val="2"/>
          </w:tcPr>
          <w:p>
            <w:pPr>
              <w:jc w:val="right"/>
              <w:ind w:right="172"/>
              <w:spacing w:after="0"/>
              <w:rPr>
                <w:sz w:val="20"/>
                <w:szCs w:val="20"/>
                <w:color w:val="auto"/>
              </w:rPr>
            </w:pPr>
            <w:r>
              <w:rPr>
                <w:rFonts w:ascii="Arial" w:cs="Arial" w:eastAsia="Arial" w:hAnsi="Arial"/>
                <w:sz w:val="18"/>
                <w:szCs w:val="18"/>
                <w:color w:val="auto"/>
              </w:rPr>
              <w:t>26%</w:t>
            </w: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94,600</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116,886</w:t>
            </w:r>
          </w:p>
        </w:tc>
        <w:tc>
          <w:tcPr>
            <w:tcW w:w="1380" w:type="dxa"/>
            <w:vAlign w:val="bottom"/>
            <w:tcBorders>
              <w:lef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7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(20)%</w:t>
            </w: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145,951</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Communications</w:t>
            </w:r>
          </w:p>
        </w:tc>
        <w:tc>
          <w:tcPr>
            <w:tcW w:w="27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122,618</w:t>
            </w:r>
          </w:p>
        </w:tc>
        <w:tc>
          <w:tcPr>
            <w:tcW w:w="3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19%</w:t>
            </w:r>
          </w:p>
        </w:tc>
        <w:tc>
          <w:tcPr>
            <w:tcW w:w="780" w:type="dxa"/>
            <w:vAlign w:val="bottom"/>
            <w:gridSpan w:val="2"/>
          </w:tcPr>
          <w:p>
            <w:pPr>
              <w:jc w:val="right"/>
              <w:ind w:right="112"/>
              <w:spacing w:after="0"/>
              <w:rPr>
                <w:sz w:val="20"/>
                <w:szCs w:val="20"/>
                <w:color w:val="auto"/>
              </w:rPr>
            </w:pPr>
            <w:r>
              <w:rPr>
                <w:rFonts w:ascii="Arial" w:cs="Arial" w:eastAsia="Arial" w:hAnsi="Arial"/>
                <w:sz w:val="18"/>
                <w:szCs w:val="18"/>
                <w:color w:val="auto"/>
              </w:rPr>
              <w:t>(18)%</w:t>
            </w: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148,925</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648,058</w:t>
            </w:r>
          </w:p>
        </w:tc>
        <w:tc>
          <w:tcPr>
            <w:tcW w:w="1380" w:type="dxa"/>
            <w:vAlign w:val="bottom"/>
            <w:tcBorders>
              <w:lef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100%</w:t>
            </w:r>
          </w:p>
        </w:tc>
        <w:tc>
          <w:tcPr>
            <w:tcW w:w="7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(11)%</w:t>
            </w: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728,504</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i w:val="1"/>
          <w:iCs w:val="1"/>
          <w:color w:val="auto"/>
        </w:rPr>
        <w:t xml:space="preserve">Industrial – </w:t>
      </w:r>
      <w:r>
        <w:rPr>
          <w:rFonts w:ascii="Arial" w:cs="Arial" w:eastAsia="Arial" w:hAnsi="Arial"/>
          <w:sz w:val="18"/>
          <w:szCs w:val="18"/>
          <w:color w:val="auto"/>
        </w:rPr>
        <w:t>The year-to-year decrease in revenue in the three-month period ended February 4, 2012 in industrial end market revenue was primarily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a broad-based decrease in demand in this end market. The year-to-year decrease was most significant for products sold into the instrumentation and industrial automation sectors.</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i w:val="1"/>
          <w:iCs w:val="1"/>
          <w:color w:val="auto"/>
        </w:rPr>
        <w:t xml:space="preserve">Automotive </w:t>
      </w:r>
      <w:r>
        <w:rPr>
          <w:rFonts w:ascii="Arial" w:cs="Arial" w:eastAsia="Arial" w:hAnsi="Arial"/>
          <w:sz w:val="16"/>
          <w:szCs w:val="16"/>
          <w:color w:val="auto"/>
        </w:rPr>
        <w:t>– The year-to-year increase in revenue in the three-month period ended February 4, 2012 in automotive end market revenue was primarily the</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an increase in the electronic content, used primarily in safety and infotainment, and a general increase in demand by our customers.</w:t>
      </w:r>
    </w:p>
    <w:p>
      <w:pPr>
        <w:spacing w:after="0" w:line="85"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i w:val="1"/>
          <w:iCs w:val="1"/>
          <w:color w:val="auto"/>
        </w:rPr>
        <w:t xml:space="preserve">Consumer – </w:t>
      </w:r>
      <w:r>
        <w:rPr>
          <w:rFonts w:ascii="Arial" w:cs="Arial" w:eastAsia="Arial" w:hAnsi="Arial"/>
          <w:sz w:val="18"/>
          <w:szCs w:val="18"/>
          <w:color w:val="auto"/>
        </w:rPr>
        <w:t>The year-to-year decrease in revenue in the three-month period ended February 4, 2012 in consumer end market revenue was primarily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a broad-based decrease in demand for products sold in this end market and to a lesser extent customer production limitations caused by the floods in Thailand.</w:t>
      </w:r>
    </w:p>
    <w:p>
      <w:pPr>
        <w:spacing w:after="0" w:line="140" w:lineRule="exact"/>
        <w:rPr>
          <w:sz w:val="20"/>
          <w:szCs w:val="20"/>
          <w:color w:val="auto"/>
        </w:rPr>
      </w:pPr>
    </w:p>
    <w:p>
      <w:pPr>
        <w:jc w:val="both"/>
        <w:ind w:right="120" w:firstLine="456"/>
        <w:spacing w:after="0" w:line="370" w:lineRule="auto"/>
        <w:rPr>
          <w:sz w:val="20"/>
          <w:szCs w:val="20"/>
          <w:color w:val="auto"/>
        </w:rPr>
      </w:pPr>
      <w:r>
        <w:rPr>
          <w:rFonts w:ascii="Arial" w:cs="Arial" w:eastAsia="Arial" w:hAnsi="Arial"/>
          <w:sz w:val="15"/>
          <w:szCs w:val="15"/>
          <w:i w:val="1"/>
          <w:iCs w:val="1"/>
          <w:color w:val="auto"/>
        </w:rPr>
        <w:t xml:space="preserve">Communications </w:t>
      </w:r>
      <w:r>
        <w:rPr>
          <w:rFonts w:ascii="Arial" w:cs="Arial" w:eastAsia="Arial" w:hAnsi="Arial"/>
          <w:sz w:val="15"/>
          <w:szCs w:val="15"/>
          <w:color w:val="auto"/>
        </w:rPr>
        <w:t>– The year-to-year decrease in revenue in the three-month period ended February 4, 2012 in communications end market revenue was</w:t>
      </w:r>
      <w:r>
        <w:rPr>
          <w:rFonts w:ascii="Arial" w:cs="Arial" w:eastAsia="Arial" w:hAnsi="Arial"/>
          <w:sz w:val="15"/>
          <w:szCs w:val="15"/>
          <w:i w:val="1"/>
          <w:iCs w:val="1"/>
          <w:color w:val="auto"/>
        </w:rPr>
        <w:t xml:space="preserve"> </w:t>
      </w:r>
      <w:r>
        <w:rPr>
          <w:rFonts w:ascii="Arial" w:cs="Arial" w:eastAsia="Arial" w:hAnsi="Arial"/>
          <w:sz w:val="15"/>
          <w:szCs w:val="15"/>
          <w:color w:val="auto"/>
        </w:rPr>
        <w:t>primarily the result of a broad-based decrease in demand in this end market, which was most significant for products sold into the base station end market sector.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Product Type</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following table summarizes revenue by product categories. The categorization of our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6" w:name="page27"/>
    <w:bookmarkEnd w:id="26"/>
    <w:p>
      <w:pPr>
        <w:ind w:right="3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some cases and can vary over time. In instances where products move between product categories, we reclassify the amounts in the product categories for all prior periods. Such reclassifications typically do not materially change the sizing of, or the underlying trends of results within, each product category.</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0"/>
              </w:rPr>
              <w:t>February 4, 2012</w:t>
            </w: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January 29,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94"/>
              </w:rPr>
              <w:t>% of</w:t>
            </w:r>
          </w:p>
        </w:tc>
        <w:tc>
          <w:tcPr>
            <w:tcW w:w="38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80"/>
              <w:spacing w:after="0" w:line="129"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Revenue</w:t>
            </w: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5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Y/Y%</w:t>
            </w:r>
          </w:p>
        </w:tc>
        <w:tc>
          <w:tcPr>
            <w:tcW w:w="5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Revenue</w:t>
            </w:r>
          </w:p>
        </w:tc>
        <w:tc>
          <w:tcPr>
            <w:tcW w:w="3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Revenue*</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Converters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$285,133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$332,767</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Amplifiers / Radio frequency</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164,458</w:t>
            </w: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25%</w:t>
            </w:r>
          </w:p>
        </w:tc>
        <w:tc>
          <w:tcPr>
            <w:tcW w:w="920" w:type="dxa"/>
            <w:vAlign w:val="bottom"/>
            <w:gridSpan w:val="2"/>
          </w:tcPr>
          <w:p>
            <w:pPr>
              <w:jc w:val="right"/>
              <w:ind w:right="252"/>
              <w:spacing w:after="0"/>
              <w:rPr>
                <w:sz w:val="20"/>
                <w:szCs w:val="20"/>
                <w:color w:val="auto"/>
              </w:rPr>
            </w:pPr>
            <w:r>
              <w:rPr>
                <w:rFonts w:ascii="Arial" w:cs="Arial" w:eastAsia="Arial" w:hAnsi="Arial"/>
                <w:sz w:val="18"/>
                <w:szCs w:val="18"/>
                <w:color w:val="auto"/>
              </w:rPr>
              <w:t>(16)%</w:t>
            </w:r>
          </w:p>
        </w:tc>
        <w:tc>
          <w:tcPr>
            <w:tcW w:w="680" w:type="dxa"/>
            <w:vAlign w:val="bottom"/>
          </w:tcPr>
          <w:p>
            <w:pPr>
              <w:jc w:val="right"/>
              <w:spacing w:after="0"/>
              <w:rPr>
                <w:sz w:val="20"/>
                <w:szCs w:val="20"/>
                <w:color w:val="auto"/>
              </w:rPr>
            </w:pPr>
            <w:r>
              <w:rPr>
                <w:rFonts w:ascii="Arial" w:cs="Arial" w:eastAsia="Arial" w:hAnsi="Arial"/>
                <w:sz w:val="18"/>
                <w:szCs w:val="18"/>
                <w:color w:val="auto"/>
              </w:rPr>
              <w:t>195,007</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96,238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w:t>
            </w:r>
          </w:p>
        </w:tc>
        <w:tc>
          <w:tcPr>
            <w:tcW w:w="9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91,407</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Subtotal analog signal processing</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gridSpan w:val="2"/>
            <w:vMerge w:val="restart"/>
          </w:tcPr>
          <w:p>
            <w:pPr>
              <w:jc w:val="right"/>
              <w:ind w:right="252"/>
              <w:spacing w:after="0"/>
              <w:rPr>
                <w:sz w:val="20"/>
                <w:szCs w:val="20"/>
                <w:color w:val="auto"/>
              </w:rPr>
            </w:pPr>
            <w:r>
              <w:rPr>
                <w:rFonts w:ascii="Arial" w:cs="Arial" w:eastAsia="Arial" w:hAnsi="Arial"/>
                <w:sz w:val="18"/>
                <w:szCs w:val="18"/>
                <w:color w:val="auto"/>
              </w:rPr>
              <w:t>(12)%</w:t>
            </w: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5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545,829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84%</w:t>
            </w:r>
          </w:p>
        </w:tc>
        <w:tc>
          <w:tcPr>
            <w:tcW w:w="92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619,181</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9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(16)%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53,360</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analog products</w:t>
            </w:r>
          </w:p>
        </w:tc>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gridSpan w:val="2"/>
            <w:vMerge w:val="restart"/>
          </w:tcPr>
          <w:p>
            <w:pPr>
              <w:jc w:val="right"/>
              <w:ind w:right="212"/>
              <w:spacing w:after="0"/>
              <w:rPr>
                <w:sz w:val="20"/>
                <w:szCs w:val="20"/>
                <w:color w:val="auto"/>
              </w:rPr>
            </w:pPr>
            <w:r>
              <w:rPr>
                <w:rFonts w:ascii="Arial" w:cs="Arial" w:eastAsia="Arial" w:hAnsi="Arial"/>
                <w:sz w:val="18"/>
                <w:szCs w:val="18"/>
                <w:b w:val="1"/>
                <w:bCs w:val="1"/>
                <w:color w:val="auto"/>
              </w:rPr>
              <w:t>(12)%</w:t>
            </w:r>
          </w:p>
        </w:tc>
        <w:tc>
          <w:tcPr>
            <w:tcW w:w="6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8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590,692</w:t>
            </w:r>
          </w:p>
        </w:tc>
        <w:tc>
          <w:tcPr>
            <w:tcW w:w="2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91%</w:t>
            </w:r>
          </w:p>
        </w:tc>
        <w:tc>
          <w:tcPr>
            <w:tcW w:w="92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672,541</w:t>
            </w:r>
          </w:p>
        </w:tc>
        <w:tc>
          <w:tcPr>
            <w:tcW w:w="380" w:type="dxa"/>
            <w:vAlign w:val="bottom"/>
            <w:vMerge w:val="continue"/>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Digital signal processing</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9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55,963</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gridSpan w:val="2"/>
            <w:vMerge w:val="restart"/>
          </w:tcPr>
          <w:p>
            <w:pPr>
              <w:jc w:val="right"/>
              <w:ind w:right="212"/>
              <w:spacing w:after="0"/>
              <w:rPr>
                <w:sz w:val="20"/>
                <w:szCs w:val="20"/>
                <w:color w:val="auto"/>
              </w:rPr>
            </w:pPr>
            <w:r>
              <w:rPr>
                <w:rFonts w:ascii="Arial" w:cs="Arial" w:eastAsia="Arial" w:hAnsi="Arial"/>
                <w:sz w:val="18"/>
                <w:szCs w:val="18"/>
                <w:b w:val="1"/>
                <w:bCs w:val="1"/>
                <w:color w:val="auto"/>
              </w:rPr>
              <w:t>(11)%</w:t>
            </w:r>
          </w:p>
        </w:tc>
        <w:tc>
          <w:tcPr>
            <w:tcW w:w="6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8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648,058</w:t>
            </w:r>
          </w:p>
        </w:tc>
        <w:tc>
          <w:tcPr>
            <w:tcW w:w="2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100%</w:t>
            </w:r>
          </w:p>
        </w:tc>
        <w:tc>
          <w:tcPr>
            <w:tcW w:w="92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728,504</w:t>
            </w:r>
          </w:p>
        </w:tc>
        <w:tc>
          <w:tcPr>
            <w:tcW w:w="380" w:type="dxa"/>
            <w:vAlign w:val="bottom"/>
            <w:vMerge w:val="continue"/>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The sum of the individual percentages does not equal the total due to rounding.</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year-to-year decrease in total revenue in the three-month period ended February 4, 2012 was primarily the result of a broad-based decrease in demand across most product categories.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Geographic Region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 by geographic region, based upon customer location, for the three-month periods ended February 4, 2012 and January 29, 2011 was as follows: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Region</w:t>
            </w: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w w:val="90"/>
              </w:rPr>
              <w:t>Three Months Ended</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w w:val="88"/>
              </w:rPr>
              <w:t>$ Change</w:t>
            </w: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5200" w:type="dxa"/>
            <w:vAlign w:val="bottom"/>
            <w:gridSpan w:val="2"/>
            <w:vMerge w:val="continue"/>
          </w:tcPr>
          <w:p>
            <w:pPr>
              <w:spacing w:after="0"/>
              <w:rPr>
                <w:sz w:val="12"/>
                <w:szCs w:val="12"/>
                <w:color w:val="auto"/>
              </w:rPr>
            </w:pPr>
          </w:p>
        </w:tc>
        <w:tc>
          <w:tcPr>
            <w:tcW w:w="13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February 4, 2012</w:t>
            </w:r>
          </w:p>
        </w:tc>
        <w:tc>
          <w:tcPr>
            <w:tcW w:w="280" w:type="dxa"/>
            <w:vAlign w:val="bottom"/>
          </w:tcPr>
          <w:p>
            <w:pPr>
              <w:spacing w:after="0"/>
              <w:rPr>
                <w:sz w:val="12"/>
                <w:szCs w:val="12"/>
                <w:color w:val="auto"/>
              </w:rPr>
            </w:pPr>
          </w:p>
        </w:tc>
        <w:tc>
          <w:tcPr>
            <w:tcW w:w="10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5"/>
              </w:rPr>
              <w:t>January 29, 2011</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121,599</w:t>
            </w:r>
          </w:p>
        </w:tc>
        <w:tc>
          <w:tcPr>
            <w:tcW w:w="30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130,397</w:t>
            </w:r>
          </w:p>
        </w:tc>
        <w:tc>
          <w:tcPr>
            <w:tcW w:w="28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(8,798)</w:t>
            </w:r>
          </w:p>
        </w:tc>
        <w:tc>
          <w:tcPr>
            <w:tcW w:w="60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Rest of North and South America</w:t>
            </w:r>
          </w:p>
        </w:tc>
        <w:tc>
          <w:tcPr>
            <w:tcW w:w="2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42,360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41,893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467</w:t>
            </w:r>
          </w:p>
        </w:tc>
        <w:tc>
          <w:tcPr>
            <w:tcW w:w="6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176,492</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191,289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(14,797)</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Japan</w:t>
            </w:r>
          </w:p>
        </w:tc>
        <w:tc>
          <w:tcPr>
            <w:tcW w:w="2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81,352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104,167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(22,815)</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121,274</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148,121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(26,847)</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Rest of Asia</w:t>
            </w:r>
          </w:p>
        </w:tc>
        <w:tc>
          <w:tcPr>
            <w:tcW w:w="2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104,981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112,637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(7,656)</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648,058</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2"/>
              </w:rPr>
              <w:t>728,504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86"/>
              </w:rPr>
              <w:t>(80,446)</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the three-month periods ended February 4, 2012 and January 29, 2011, the predominant countries comprising “Rest of North and South America” are Canada and Mexico; the predominant countries comprising “Europe” are Germany, Sweden, France and the United Kingdom; and the predominant countries comprising “Rest of Asia” are Taiwan and South Korea.</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Sales decreased in nearly all regions in the first quarter of fiscal 2012 as compared to first quarter of fiscal 2011. The most significant year-to-year decrease in sales by region occurred in China and Japan. These decreases were primarily the result of lower sales activity in the communication, consumer and industrial end market sectors in these regions.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Gross Margin</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3"/>
              </w:rPr>
              <w:t>Three Months Ended</w:t>
            </w:r>
          </w:p>
        </w:tc>
        <w:tc>
          <w:tcPr>
            <w:tcW w:w="6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85"/>
              </w:rPr>
              <w:t>$ Change</w:t>
            </w:r>
          </w:p>
        </w:tc>
        <w:tc>
          <w:tcPr>
            <w:tcW w:w="880" w:type="dxa"/>
            <w:vAlign w:val="bottom"/>
            <w:gridSpan w:val="2"/>
            <w:vMerge w:val="restart"/>
          </w:tcPr>
          <w:p>
            <w:pPr>
              <w:jc w:val="right"/>
              <w:ind w:right="172"/>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7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February 4, 2012</w:t>
            </w: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January 29, 2011</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Gross margin</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409,390</w:t>
            </w:r>
          </w:p>
        </w:tc>
        <w:tc>
          <w:tcPr>
            <w:tcW w:w="7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482,173</w:t>
            </w:r>
          </w:p>
        </w:tc>
        <w:tc>
          <w:tcPr>
            <w:tcW w:w="4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(72,783)</w:t>
            </w:r>
          </w:p>
        </w:tc>
        <w:tc>
          <w:tcPr>
            <w:tcW w:w="6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860" w:type="dxa"/>
            <w:vAlign w:val="bottom"/>
          </w:tcPr>
          <w:p>
            <w:pPr>
              <w:spacing w:after="0"/>
              <w:rPr>
                <w:sz w:val="20"/>
                <w:szCs w:val="20"/>
                <w:color w:val="auto"/>
              </w:rPr>
            </w:pPr>
            <w:r>
              <w:rPr>
                <w:rFonts w:ascii="Arial" w:cs="Arial" w:eastAsia="Arial" w:hAnsi="Arial"/>
                <w:sz w:val="18"/>
                <w:szCs w:val="18"/>
                <w:color w:val="auto"/>
              </w:rPr>
              <w:t>Gross margin %</w:t>
            </w:r>
          </w:p>
        </w:tc>
        <w:tc>
          <w:tcPr>
            <w:tcW w:w="260" w:type="dxa"/>
            <w:vAlign w:val="bottom"/>
          </w:tcPr>
          <w:p>
            <w:pPr>
              <w:spacing w:after="0"/>
              <w:rPr>
                <w:sz w:val="19"/>
                <w:szCs w:val="19"/>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63.2%</w:t>
            </w:r>
          </w:p>
        </w:tc>
        <w:tc>
          <w:tcPr>
            <w:tcW w:w="32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66.2%</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Gross margin percentage was lower by 300 basis points in the three-month period ended February 4, 2012 compared to the three-month period ended January 29, 2011, primarily as a result of decreased operating levels in our manufacturing facilities as well as lower concentrations of sales in products sold into the instrumentation and industrial automation sectors of the industrial end market and wireless sector of the communications end market, which earn higher margins as compared to products sold into our other end market sectors.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(R&amp;D)</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60" w:type="dxa"/>
            <w:vAlign w:val="bottom"/>
            <w:gridSpan w:val="5"/>
          </w:tcPr>
          <w:p>
            <w:pPr>
              <w:jc w:val="right"/>
              <w:ind w:right="148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2"/>
              </w:rPr>
              <w:t>$ Change</w:t>
            </w:r>
          </w:p>
        </w:tc>
        <w:tc>
          <w:tcPr>
            <w:tcW w:w="640" w:type="dxa"/>
            <w:vAlign w:val="bottom"/>
            <w:vMerge w:val="restart"/>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88"/>
              </w:rPr>
              <w:t>% Change</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8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February 4, 2012</w:t>
            </w:r>
          </w:p>
        </w:tc>
        <w:tc>
          <w:tcPr>
            <w:tcW w:w="4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January 29, 2011</w:t>
            </w:r>
          </w:p>
        </w:tc>
        <w:tc>
          <w:tcPr>
            <w:tcW w:w="74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R&amp;D expenses</w:t>
            </w:r>
          </w:p>
        </w:tc>
        <w:tc>
          <w:tcPr>
            <w:tcW w:w="1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$124,378</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$122,745</w:t>
            </w: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89"/>
              </w:rPr>
              <w:t>$ 1,633</w:t>
            </w: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3680" w:type="dxa"/>
            <w:vAlign w:val="bottom"/>
          </w:tcPr>
          <w:p>
            <w:pPr>
              <w:spacing w:after="0"/>
              <w:rPr>
                <w:sz w:val="20"/>
                <w:szCs w:val="20"/>
                <w:color w:val="auto"/>
              </w:rPr>
            </w:pPr>
            <w:r>
              <w:rPr>
                <w:rFonts w:ascii="Arial" w:cs="Arial" w:eastAsia="Arial" w:hAnsi="Arial"/>
                <w:sz w:val="18"/>
                <w:szCs w:val="18"/>
                <w:color w:val="auto"/>
              </w:rPr>
              <w:t>R&amp;D expenses as a % of revenue</w:t>
            </w:r>
          </w:p>
        </w:tc>
        <w:tc>
          <w:tcPr>
            <w:tcW w:w="2780" w:type="dxa"/>
            <w:vAlign w:val="bottom"/>
            <w:gridSpan w:val="3"/>
          </w:tcPr>
          <w:p>
            <w:pPr>
              <w:jc w:val="right"/>
              <w:ind w:right="300"/>
              <w:spacing w:after="0"/>
              <w:rPr>
                <w:sz w:val="20"/>
                <w:szCs w:val="20"/>
                <w:color w:val="auto"/>
              </w:rPr>
            </w:pPr>
            <w:r>
              <w:rPr>
                <w:rFonts w:ascii="Arial" w:cs="Arial" w:eastAsia="Arial" w:hAnsi="Arial"/>
                <w:sz w:val="18"/>
                <w:szCs w:val="18"/>
                <w:color w:val="auto"/>
              </w:rPr>
              <w:t>19.2%</w:t>
            </w:r>
          </w:p>
        </w:tc>
        <w:tc>
          <w:tcPr>
            <w:tcW w:w="2020" w:type="dxa"/>
            <w:vAlign w:val="bottom"/>
            <w:gridSpan w:val="3"/>
          </w:tcPr>
          <w:p>
            <w:pPr>
              <w:jc w:val="right"/>
              <w:ind w:right="580"/>
              <w:spacing w:after="0"/>
              <w:rPr>
                <w:sz w:val="20"/>
                <w:szCs w:val="20"/>
                <w:color w:val="auto"/>
              </w:rPr>
            </w:pPr>
            <w:r>
              <w:rPr>
                <w:rFonts w:ascii="Arial" w:cs="Arial" w:eastAsia="Arial" w:hAnsi="Arial"/>
                <w:sz w:val="18"/>
                <w:szCs w:val="18"/>
                <w:color w:val="auto"/>
              </w:rPr>
              <w:t>16.8%</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R&amp;D expenses remained flat compared to the prior year as lower variable compensation expense, which is a variable expense linked to our overall profitability and revenue growth, was offset by an additional week of employee salary and benefit expenses and other operational spending.</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R&amp;D expenses as a percentage of revenue will fluctuate from year-to-year depending on the amount of revenue and the success of new product development efforts, which we view as critical to our future growth. At any point in time we have hundreds of R&amp;D projects underway, none of which we believe are material on an individual basis. We expect to continue the development of innovative technologies and processes for new products. We believe that a continued commitment to R&amp;D is essential to maintain product leadership with our existing products as well as to provide innovative new product offerings, and therefore, we expect to continue to make significant R&amp;D investments in the future.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Marketing, General and Administrative (SMG&amp;A)</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60" w:type="dxa"/>
            <w:vAlign w:val="bottom"/>
            <w:gridSpan w:val="5"/>
          </w:tcPr>
          <w:p>
            <w:pPr>
              <w:jc w:val="right"/>
              <w:ind w:right="15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76"/>
              </w:rPr>
              <w:t>$</w:t>
            </w:r>
          </w:p>
        </w:tc>
        <w:tc>
          <w:tcPr>
            <w:tcW w:w="116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85"/>
              </w:rPr>
              <w:t>Change</w:t>
            </w: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148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February 4, 2012</w:t>
            </w:r>
          </w:p>
        </w:tc>
        <w:tc>
          <w:tcPr>
            <w:tcW w:w="3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January 29, 2011</w:t>
            </w:r>
          </w:p>
        </w:tc>
        <w:tc>
          <w:tcPr>
            <w:tcW w:w="7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SMG&amp;A expenses</w:t>
            </w: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99,045</w:t>
            </w:r>
          </w:p>
        </w:tc>
        <w:tc>
          <w:tcPr>
            <w:tcW w:w="48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$100,022</w:t>
            </w: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7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4780" w:type="dxa"/>
            <w:vAlign w:val="bottom"/>
          </w:tcPr>
          <w:p>
            <w:pPr>
              <w:spacing w:after="0"/>
              <w:rPr>
                <w:sz w:val="20"/>
                <w:szCs w:val="20"/>
                <w:color w:val="auto"/>
              </w:rPr>
            </w:pPr>
            <w:r>
              <w:rPr>
                <w:rFonts w:ascii="Arial" w:cs="Arial" w:eastAsia="Arial" w:hAnsi="Arial"/>
                <w:sz w:val="18"/>
                <w:szCs w:val="18"/>
                <w:color w:val="auto"/>
              </w:rPr>
              <w:t>SMG&amp;A expenses as a % of revenue</w:t>
            </w:r>
          </w:p>
        </w:tc>
        <w:tc>
          <w:tcPr>
            <w:tcW w:w="32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15.3%</w:t>
            </w:r>
          </w:p>
        </w:tc>
        <w:tc>
          <w:tcPr>
            <w:tcW w:w="2100" w:type="dxa"/>
            <w:vAlign w:val="bottom"/>
            <w:gridSpan w:val="3"/>
          </w:tcPr>
          <w:p>
            <w:pPr>
              <w:jc w:val="right"/>
              <w:ind w:right="64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SMG&amp;A, expenses remained flat compared to the prior year as lower variable compensation expense, which is a variable expense linked to our overall profitability and revenue growth, was offset by an additional week of employee salary and benefit expenses.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Special Charges</w:t>
      </w:r>
    </w:p>
    <w:p>
      <w:pPr>
        <w:spacing w:after="0" w:line="90"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We monitor global macroeconomic conditions on an ongoing basis, and continue to assess opportunities for improved operational effectiveness and efficiency and better alignment of expenses with revenues. As a result of these assessments, we have undertaken various restructuring actions over the past several years. These reductions relating to ongoing actions are described below.</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Reduction of Operating Costs</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During fiscal 2008 through fiscal 2010, we recorded special charges of approximately $43.3 million. These special charges included: $39.1 million for severance and fringe benefit costs in accordance with our ongoing benefit plan or statutory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28" w:name="page29"/>
    <w:bookmarkEnd w:id="28"/>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requirements at foreign locations for 245 manufacturing employees and 470 engineering and SMG&amp;A employees; $2.1 million for lease obligation costs for facilities that we ceased using during the first quarter of fiscal 2009; $0.8 million for the write-off of property, plant and equipment; $0.5 million for contract termination costs; $0.3 million for clean-up and closure costs that we expensed as incurred; and $0.5 million related to the impairment of intellectual property. This action resulted in annual cost savings of approximately $52 million per year. We terminated the employment of all employees associated with these actions and we are paying amounts owed to them as income continuance.</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During fiscal 2011, we recorded a special charge of approximately $2.2 million. This special charge was for severance and fringe benefit costs in accordance with our ongoing benefit plan or statutory requirements at foreign locations for 25 engineering and SMG&amp;A employees. As of February 4, 2012, we employed 6 of the 25 employees included in this cost reduction action. These employees must continue to be employed by us until their employment is involuntarily terminated in order to receive the severance benefit. We estimate this action will result in annual savings in SMG&amp;A expenses of approximately $4 million once fully implemented.</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the first quarter of fiscal 2012, we recorded a special charge of approximately $2.6 million. The special charge included $2.5 million for severance and fringe benefit costs in accordance with our ongoing benefit plan or statutory requirements at foreign locations for 34 manufacturing, engineering and SMG&amp;A employees and $0.1 million for contract termination costs. As of February 4, 2012, we employed 25 of the 34 employees included in this cost reduction action. These employees must continue to be employed by us until their employment is involuntarily terminated in order to receive the severance benefit. We estimate this action will result in annual savings in SMG&amp;A expenses of approximately $4 million once fully implemented.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from Continuing Operations</w:t>
      </w:r>
    </w:p>
    <w:p>
      <w:pPr>
        <w:sectPr>
          <w:pgSz w:w="11900" w:h="16838" w:orient="portrait"/>
          <w:cols w:equalWidth="0" w:num="1">
            <w:col w:w="11360"/>
          </w:cols>
          <w:pgMar w:left="240" w:top="280" w:right="29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460" w:right="260"/>
        <w:spacing w:after="0" w:line="294" w:lineRule="auto"/>
        <w:rPr>
          <w:sz w:val="20"/>
          <w:szCs w:val="20"/>
          <w:color w:val="auto"/>
        </w:rPr>
      </w:pPr>
      <w:r>
        <w:rPr>
          <w:rFonts w:ascii="Arial" w:cs="Arial" w:eastAsia="Arial" w:hAnsi="Arial"/>
          <w:sz w:val="16"/>
          <w:szCs w:val="16"/>
          <w:color w:val="auto"/>
        </w:rPr>
        <w:t>Operating income from continuing operations Operating income from continuing operations as a % of</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revenue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3"/>
              </w:rPr>
              <w:t>Three Months Ended</w:t>
            </w:r>
          </w:p>
        </w:tc>
        <w:tc>
          <w:tcPr>
            <w:tcW w:w="66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85"/>
              </w:rPr>
              <w:t>$ Change</w:t>
            </w:r>
          </w:p>
        </w:tc>
        <w:tc>
          <w:tcPr>
            <w:tcW w:w="820" w:type="dxa"/>
            <w:vAlign w:val="bottom"/>
            <w:gridSpan w:val="2"/>
            <w:vMerge w:val="restart"/>
          </w:tcPr>
          <w:p>
            <w:pPr>
              <w:jc w:val="right"/>
              <w:ind w:right="112"/>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1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February 4, 2012</w:t>
            </w:r>
          </w:p>
        </w:tc>
        <w:tc>
          <w:tcPr>
            <w:tcW w:w="10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January 29, 2011</w:t>
            </w:r>
          </w:p>
        </w:tc>
        <w:tc>
          <w:tcPr>
            <w:tcW w:w="7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183,372</w:t>
            </w:r>
          </w:p>
        </w:tc>
        <w:tc>
          <w:tcPr>
            <w:tcW w:w="720" w:type="dxa"/>
            <w:vAlign w:val="bottom"/>
          </w:tcPr>
          <w:p>
            <w:pPr>
              <w:spacing w:after="0"/>
              <w:rPr>
                <w:sz w:val="18"/>
                <w:szCs w:val="18"/>
                <w:color w:val="auto"/>
              </w:rPr>
            </w:pPr>
          </w:p>
        </w:tc>
        <w:tc>
          <w:tcPr>
            <w:tcW w:w="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259,406</w:t>
            </w:r>
          </w:p>
        </w:tc>
        <w:tc>
          <w:tcPr>
            <w:tcW w:w="72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5"/>
              </w:rPr>
              <w:t>$ (76,034)</w:t>
            </w:r>
          </w:p>
        </w:tc>
        <w:tc>
          <w:tcPr>
            <w:tcW w:w="64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-3106420</wp:posOffset>
            </wp:positionH>
            <wp:positionV relativeFrom="paragraph">
              <wp:posOffset>-149225</wp:posOffset>
            </wp:positionV>
            <wp:extent cx="666369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181" w:lineRule="exact"/>
        <w:rPr>
          <w:sz w:val="20"/>
          <w:szCs w:val="20"/>
          <w:color w:val="auto"/>
        </w:rPr>
      </w:pPr>
    </w:p>
    <w:p>
      <w:pPr>
        <w:ind w:left="680"/>
        <w:spacing w:after="0"/>
        <w:tabs>
          <w:tab w:leader="none" w:pos="2380" w:val="left"/>
        </w:tabs>
        <w:rPr>
          <w:sz w:val="20"/>
          <w:szCs w:val="20"/>
          <w:color w:val="auto"/>
        </w:rPr>
      </w:pPr>
      <w:r>
        <w:rPr>
          <w:rFonts w:ascii="Arial" w:cs="Arial" w:eastAsia="Arial" w:hAnsi="Arial"/>
          <w:sz w:val="18"/>
          <w:szCs w:val="18"/>
          <w:color w:val="auto"/>
        </w:rPr>
        <w:t>28.3%</w:t>
      </w:r>
      <w:r>
        <w:rPr>
          <w:sz w:val="20"/>
          <w:szCs w:val="20"/>
          <w:color w:val="auto"/>
        </w:rPr>
        <w:tab/>
      </w:r>
      <w:r>
        <w:rPr>
          <w:rFonts w:ascii="Arial" w:cs="Arial" w:eastAsia="Arial" w:hAnsi="Arial"/>
          <w:sz w:val="16"/>
          <w:szCs w:val="16"/>
          <w:color w:val="auto"/>
        </w:rPr>
        <w:t>35.6%</w:t>
      </w:r>
    </w:p>
    <w:p>
      <w:pPr>
        <w:spacing w:after="0" w:line="171" w:lineRule="exact"/>
        <w:rPr>
          <w:sz w:val="20"/>
          <w:szCs w:val="20"/>
          <w:color w:val="auto"/>
        </w:rPr>
      </w:pPr>
    </w:p>
    <w:p>
      <w:pPr>
        <w:sectPr>
          <w:pgSz w:w="11900" w:h="16838" w:orient="portrait"/>
          <w:cols w:equalWidth="0" w:num="2">
            <w:col w:w="4640" w:space="720"/>
            <w:col w:w="6000"/>
          </w:cols>
          <w:pgMar w:left="240" w:top="280" w:right="299" w:bottom="1440" w:gutter="0" w:footer="0" w:header="0"/>
          <w:type w:val="continuous"/>
        </w:sectPr>
      </w:pPr>
    </w:p>
    <w:p>
      <w:pPr>
        <w:ind w:firstLine="456"/>
        <w:spacing w:after="0" w:line="259" w:lineRule="auto"/>
        <w:rPr>
          <w:sz w:val="20"/>
          <w:szCs w:val="20"/>
          <w:color w:val="auto"/>
        </w:rPr>
      </w:pPr>
      <w:r>
        <w:rPr>
          <w:rFonts w:ascii="Arial" w:cs="Arial" w:eastAsia="Arial" w:hAnsi="Arial"/>
          <w:sz w:val="18"/>
          <w:szCs w:val="18"/>
          <w:color w:val="auto"/>
        </w:rPr>
        <w:t xml:space="preserve">The year-over-year decrease in operating income from continuing operations was primarily the result of a decrease in revenue of $80.4 million, a 300 basis point decrease in gross margin percentage and a $2.6 million special charge recorded in the first quarter of fiscal 2012 as more fully described above under the heading </w:t>
      </w:r>
      <w:r>
        <w:rPr>
          <w:rFonts w:ascii="Arial" w:cs="Arial" w:eastAsia="Arial" w:hAnsi="Arial"/>
          <w:sz w:val="18"/>
          <w:szCs w:val="18"/>
          <w:i w:val="1"/>
          <w:iCs w:val="1"/>
          <w:color w:val="auto"/>
        </w:rPr>
        <w:t>Special Charges.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 Expense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w w:val="98"/>
              </w:rPr>
              <w:t>Three Months Ended</w:t>
            </w:r>
          </w:p>
        </w:tc>
        <w:tc>
          <w:tcPr>
            <w:tcW w:w="6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5"/>
              </w:rPr>
              <w:t>$ Change</w:t>
            </w:r>
          </w:p>
        </w:tc>
        <w:tc>
          <w:tcPr>
            <w:tcW w:w="720" w:type="dxa"/>
            <w:vAlign w:val="bottom"/>
            <w:vMerge w:val="restart"/>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88"/>
              </w:rPr>
              <w:t>% Change</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February 4, 2012</w:t>
            </w:r>
          </w:p>
        </w:tc>
        <w:tc>
          <w:tcPr>
            <w:tcW w:w="3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January 29, 2011</w:t>
            </w:r>
          </w:p>
        </w:tc>
        <w:tc>
          <w:tcPr>
            <w:tcW w:w="3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72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$ 3,852</w:t>
            </w:r>
          </w:p>
        </w:tc>
        <w:tc>
          <w:tcPr>
            <w:tcW w:w="7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(3,348)</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(2,285)</w:t>
            </w:r>
          </w:p>
        </w:tc>
        <w:tc>
          <w:tcPr>
            <w:tcW w:w="1600" w:type="dxa"/>
            <w:vAlign w:val="bottom"/>
            <w:gridSpan w:val="3"/>
          </w:tcPr>
          <w:p>
            <w:pPr>
              <w:jc w:val="right"/>
              <w:ind w:right="660"/>
              <w:spacing w:after="0"/>
              <w:rPr>
                <w:sz w:val="20"/>
                <w:szCs w:val="20"/>
                <w:color w:val="auto"/>
              </w:rPr>
            </w:pPr>
            <w:r>
              <w:rPr>
                <w:rFonts w:ascii="Arial" w:cs="Arial" w:eastAsia="Arial" w:hAnsi="Arial"/>
                <w:sz w:val="18"/>
                <w:szCs w:val="18"/>
                <w:color w:val="auto"/>
              </w:rPr>
              <w:t>(1,063)</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(89)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Total nonoperating (income) expense</w:t>
            </w: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line="20" w:lineRule="exact"/>
              <w:rPr>
                <w:sz w:val="1"/>
                <w:szCs w:val="1"/>
                <w:color w:val="auto"/>
              </w:rPr>
            </w:pPr>
          </w:p>
        </w:tc>
      </w:tr>
      <w:tr>
        <w:trPr>
          <w:trHeight w:val="222"/>
        </w:trPr>
        <w:tc>
          <w:tcPr>
            <w:tcW w:w="5000" w:type="dxa"/>
            <w:vAlign w:val="bottom"/>
            <w:vMerge w:val="continue"/>
          </w:tcPr>
          <w:p>
            <w:pPr>
              <w:spacing w:after="0"/>
              <w:rPr>
                <w:sz w:val="19"/>
                <w:szCs w:val="19"/>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3,286</w:t>
            </w:r>
          </w:p>
        </w:tc>
        <w:tc>
          <w:tcPr>
            <w:tcW w:w="380" w:type="dxa"/>
            <w:vAlign w:val="bottom"/>
          </w:tcPr>
          <w:p>
            <w:pPr>
              <w:spacing w:after="0"/>
              <w:rPr>
                <w:sz w:val="19"/>
                <w:szCs w:val="19"/>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586</w:t>
            </w:r>
          </w:p>
        </w:tc>
        <w:tc>
          <w:tcPr>
            <w:tcW w:w="380" w:type="dxa"/>
            <w:vAlign w:val="bottom"/>
          </w:tcPr>
          <w:p>
            <w:pPr>
              <w:spacing w:after="0"/>
              <w:rPr>
                <w:sz w:val="19"/>
                <w:szCs w:val="19"/>
                <w:color w:val="auto"/>
              </w:rPr>
            </w:pPr>
          </w:p>
        </w:tc>
        <w:tc>
          <w:tcPr>
            <w:tcW w:w="1600" w:type="dxa"/>
            <w:vAlign w:val="bottom"/>
            <w:gridSpan w:val="3"/>
          </w:tcPr>
          <w:p>
            <w:pPr>
              <w:jc w:val="right"/>
              <w:ind w:right="720"/>
              <w:spacing w:after="0"/>
              <w:rPr>
                <w:sz w:val="20"/>
                <w:szCs w:val="20"/>
                <w:color w:val="auto"/>
              </w:rPr>
            </w:pPr>
            <w:r>
              <w:rPr>
                <w:rFonts w:ascii="Arial" w:cs="Arial" w:eastAsia="Arial" w:hAnsi="Arial"/>
                <w:sz w:val="18"/>
                <w:szCs w:val="18"/>
                <w:color w:val="auto"/>
              </w:rPr>
              <w:t>$ 2,700</w:t>
            </w:r>
          </w:p>
        </w:tc>
        <w:tc>
          <w:tcPr>
            <w:tcW w:w="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year-over-year increase in nonoperating expense was primarily due to an increase in interest expense incurred as a result of the issuance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$375 million aggregate principal amount of 3.0% senior unsecured notes on April 4, 2011 and the $145 million term loan facility we entered into through 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wholly owned subsidiary in December 2010. These increases were partially offset by an increase in interest income due to the investment of higher cash balances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fiscal 2012 as compared to the first quarter of fiscal 2011.</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280" w:right="29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Provision for Income Taxes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98"/>
              </w:rPr>
              <w:t>Three Months Ended</w:t>
            </w:r>
          </w:p>
        </w:tc>
        <w:tc>
          <w:tcPr>
            <w:tcW w:w="64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18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February 4, 2012</w:t>
            </w:r>
          </w:p>
        </w:tc>
        <w:tc>
          <w:tcPr>
            <w:tcW w:w="10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January 29, 2011</w:t>
            </w:r>
          </w:p>
        </w:tc>
        <w:tc>
          <w:tcPr>
            <w:tcW w:w="7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40,704</w:t>
            </w:r>
          </w:p>
        </w:tc>
        <w:tc>
          <w:tcPr>
            <w:tcW w:w="80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43,214</w:t>
            </w:r>
          </w:p>
        </w:tc>
        <w:tc>
          <w:tcPr>
            <w:tcW w:w="78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80"/>
              </w:rPr>
              <w:t>$(2,510)</w:t>
            </w:r>
          </w:p>
        </w:tc>
        <w:tc>
          <w:tcPr>
            <w:tcW w:w="7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478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320" w:type="dxa"/>
            <w:vAlign w:val="bottom"/>
          </w:tcPr>
          <w:p>
            <w:pPr>
              <w:spacing w:after="0"/>
              <w:rPr>
                <w:sz w:val="19"/>
                <w:szCs w:val="19"/>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22.6%</w:t>
            </w:r>
          </w:p>
        </w:tc>
        <w:tc>
          <w:tcPr>
            <w:tcW w:w="360" w:type="dxa"/>
            <w:vAlign w:val="bottom"/>
          </w:tcPr>
          <w:p>
            <w:pPr>
              <w:spacing w:after="0"/>
              <w:rPr>
                <w:sz w:val="19"/>
                <w:szCs w:val="19"/>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16.7%</w:t>
            </w: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effective tax rate reflects the applicable tax rate in effect in the various tax jurisdictions around the world where our income is earned.</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increase in our effective tax rate for the first quarter of fiscal 2012 compared to the first quarter of fiscal 2011 was primarily due to the impact of discrete tax items. The provision for income taxes for the first quarter of fiscal 2011 included favorable discrete tax items which resulted in lowering our effective tax rate by approximately 5%. These items consisted of $6 million related to the reinstatement of the federal R&amp;D tax credit in December 2010 retroactive to January 1, 2010, a $7 million reduction in the state tax credits valuation reserve and a $0.5 million tax benefit from the increase in Irish deferred taxes as a result of the increase in the Irish manufacturing tax rate from 10% to 12.5%. The provision for income taxes for the first quarter of fiscal 2012 did not include the benefit of these discrete tax items. In addition, the provision for the first quarter of fiscal 2012 included $1.8 million of tax expense related to the write-off of deferred tax assets for share-based compensation which consequently increased the effective tax rate by approximately 1%. We expect our effective tax rate, excluding discrete tax items, to be approximately 21.6% for the remainder of fiscal 2012.</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Continuing Operations, net of tax</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3"/>
              </w:rPr>
              <w:t>Three Months Ended</w:t>
            </w:r>
          </w:p>
        </w:tc>
        <w:tc>
          <w:tcPr>
            <w:tcW w:w="66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85"/>
              </w:rPr>
              <w:t>$ Change</w:t>
            </w:r>
          </w:p>
        </w:tc>
        <w:tc>
          <w:tcPr>
            <w:tcW w:w="880" w:type="dxa"/>
            <w:vAlign w:val="bottom"/>
            <w:gridSpan w:val="2"/>
            <w:vMerge w:val="restart"/>
          </w:tcPr>
          <w:p>
            <w:pPr>
              <w:jc w:val="right"/>
              <w:ind w:right="172"/>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1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February 4, 2012</w:t>
            </w:r>
          </w:p>
        </w:tc>
        <w:tc>
          <w:tcPr>
            <w:tcW w:w="10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January 29, 2011</w:t>
            </w:r>
          </w:p>
        </w:tc>
        <w:tc>
          <w:tcPr>
            <w:tcW w:w="7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Income from continuing operations, net of tax</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139,382</w:t>
            </w:r>
          </w:p>
        </w:tc>
        <w:tc>
          <w:tcPr>
            <w:tcW w:w="7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215,606</w:t>
            </w:r>
          </w:p>
        </w:tc>
        <w:tc>
          <w:tcPr>
            <w:tcW w:w="7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(76,224)</w:t>
            </w:r>
          </w:p>
        </w:tc>
        <w:tc>
          <w:tcPr>
            <w:tcW w:w="6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900" w:type="dxa"/>
            <w:vAlign w:val="bottom"/>
          </w:tcPr>
          <w:p>
            <w:pPr>
              <w:spacing w:after="0"/>
              <w:rPr>
                <w:sz w:val="20"/>
                <w:szCs w:val="20"/>
                <w:color w:val="auto"/>
              </w:rPr>
            </w:pPr>
            <w:r>
              <w:rPr>
                <w:rFonts w:ascii="Arial" w:cs="Arial" w:eastAsia="Arial" w:hAnsi="Arial"/>
                <w:sz w:val="18"/>
                <w:szCs w:val="18"/>
                <w:color w:val="auto"/>
              </w:rPr>
              <w:t>Income from continuing operations, net of tax, as a % of</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220"/>
              <w:spacing w:after="0"/>
              <w:rPr>
                <w:sz w:val="20"/>
                <w:szCs w:val="20"/>
                <w:color w:val="auto"/>
              </w:rPr>
            </w:pPr>
            <w:r>
              <w:rPr>
                <w:rFonts w:ascii="Arial" w:cs="Arial" w:eastAsia="Arial" w:hAnsi="Arial"/>
                <w:sz w:val="18"/>
                <w:szCs w:val="18"/>
                <w:color w:val="auto"/>
              </w:rPr>
              <w:t>revenue</w:t>
            </w:r>
          </w:p>
        </w:tc>
        <w:tc>
          <w:tcPr>
            <w:tcW w:w="260" w:type="dxa"/>
            <w:vAlign w:val="bottom"/>
          </w:tcPr>
          <w:p>
            <w:pPr>
              <w:spacing w:after="0"/>
              <w:rPr>
                <w:sz w:val="19"/>
                <w:szCs w:val="19"/>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21.5%</w:t>
            </w:r>
          </w:p>
        </w:tc>
        <w:tc>
          <w:tcPr>
            <w:tcW w:w="340" w:type="dxa"/>
            <w:vAlign w:val="bottom"/>
          </w:tcPr>
          <w:p>
            <w:pPr>
              <w:spacing w:after="0"/>
              <w:rPr>
                <w:sz w:val="19"/>
                <w:szCs w:val="19"/>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29.6%</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Diluted EPS from continuing operations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The decrease in net income from continuing operations was primarily the result of the $76 million decrease in operating income from continuing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780" w:type="dxa"/>
            <w:vAlign w:val="bottom"/>
            <w:gridSpan w:val="4"/>
          </w:tcPr>
          <w:p>
            <w:pPr>
              <w:ind w:left="1440"/>
              <w:spacing w:after="0"/>
              <w:rPr>
                <w:sz w:val="20"/>
                <w:szCs w:val="20"/>
                <w:color w:val="auto"/>
              </w:rPr>
            </w:pPr>
            <w:r>
              <w:rPr>
                <w:rFonts w:ascii="Arial" w:cs="Arial" w:eastAsia="Arial" w:hAnsi="Arial"/>
                <w:sz w:val="14"/>
                <w:szCs w:val="14"/>
                <w:b w:val="1"/>
                <w:bCs w:val="1"/>
                <w:color w:val="auto"/>
                <w:w w:val="95"/>
              </w:rPr>
              <w:t>Three Months Ended</w:t>
            </w:r>
          </w:p>
        </w:tc>
      </w:tr>
      <w:tr>
        <w:trPr>
          <w:trHeight w:val="142"/>
        </w:trPr>
        <w:tc>
          <w:tcPr>
            <w:tcW w:w="498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7"/>
              </w:rPr>
              <w:t>January 29, 2011</w:t>
            </w:r>
          </w:p>
        </w:tc>
        <w:tc>
          <w:tcPr>
            <w:tcW w:w="100" w:type="dxa"/>
            <w:vAlign w:val="bottom"/>
            <w:tcBorders>
              <w:bottom w:val="single" w:sz="8" w:color="CCEEFF"/>
            </w:tcBorders>
          </w:tcPr>
          <w:p>
            <w:pPr>
              <w:spacing w:after="0"/>
              <w:rPr>
                <w:sz w:val="12"/>
                <w:szCs w:val="12"/>
                <w:color w:val="auto"/>
              </w:rPr>
            </w:pPr>
          </w:p>
        </w:tc>
      </w:tr>
      <w:tr>
        <w:trPr>
          <w:trHeight w:val="210"/>
        </w:trPr>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Gain on sale of discontinued operations, net of tax</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00" w:type="dxa"/>
            <w:vAlign w:val="bottom"/>
            <w:shd w:val="clear" w:color="auto" w:fill="CCEEFF"/>
          </w:tcPr>
          <w:p>
            <w:pPr>
              <w:spacing w:after="0"/>
              <w:rPr>
                <w:sz w:val="18"/>
                <w:szCs w:val="18"/>
                <w:color w:val="auto"/>
              </w:rPr>
            </w:pP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Diluted EPS from discontinued operations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sold our Baseband Chipset Business to MediaTek Inc. during the first quarter of fiscal 2008. Accordingly, we have presented the results of the operations of this business as discontinued operations within our condensed consolidated financial statements. In fiscal 2011, additional proceeds of $10 million were released from escrow and $6.5 million net of tax was recorded as additional gain from the sale of discontinued operations. We do not expect any additional proceeds from this sale.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following statements are based on current expectations. These statements are forward-looking and our actual results may differ materially as a result of, among other things, the important factors contained in Item 1A. Risk Factors in this Quarterly Report on Form 10-Q. Unless specifically mentioned, these statements do not give effect to the potential impact of any mergers, acquisitions, divestitures, or business combinations that may be announced or closed after the date of filing this report. These statements supersede all prior statements regarding our business outlook made by us.</w:t>
      </w:r>
    </w:p>
    <w:p>
      <w:pPr>
        <w:spacing w:after="0" w:line="113"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We are planning for revenue in the second quarter of fiscal 2012 to be in the range of $655 million to $675 million. Our plan is for gross margin for the second quarter of fiscal 2012 to be approximately 64% to 64.5% and for operating expenses to be approximately $226 million. As a result, we are planning for diluted earnings per share from continuing operations to be in the range of $0.48 to $0.53 in the second quarter of fiscal 2012.</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Liquidity and Capital Resources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At February 4, 2012, our principal source of liquidity was $3,667.4 million of cash and cash equivalents and short-term investments, of which approximately $1,121.7 million was held in the United States. The balance of our cash and cash equivalents and short-term investments was held outside the United States in various foreign subsidiaries. As we intend to reinvest certain of our foreign earnings indefinitely, this cash held outside the United States is not available to meet certain of our cash requirements in the United States, including for cash dividends and common stock repurchases. Our cash and cash equivalents consist of highly liquid investments with maturities of three months or less at the time of acquisition and our short-term investments consist primarily of liquid money market funds and corporate obligations, such as commercial paper, bonds and bank time deposits. We maintain these balances with high credit quality counterparties, continually monitor the amount of credit exposure to any one issuer and diversify our investments in order to minimize our credit risk.</w:t>
      </w:r>
    </w:p>
    <w:p>
      <w:pPr>
        <w:spacing w:after="0" w:line="118"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We believe that our existing sources of liquidity and cash expected to be generated from future operations, together with existing and anticipated available long-term financing, will be sufficient to fund operations, capital expenditures, research and development efforts, dividend payments (if any) and repurchases of our stock (if any) under our stock repurchase program in the immediate future and for at least the next twelve months.</w:t>
      </w:r>
    </w:p>
    <w:p>
      <w:pPr>
        <w:sectPr>
          <w:pgSz w:w="11900" w:h="16838" w:orient="portrait"/>
          <w:cols w:equalWidth="0" w:num="1">
            <w:col w:w="11360"/>
          </w:cols>
          <w:pgMar w:left="240" w:top="274" w:right="29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jc w:val="both"/>
        <w:ind w:left="460" w:right="1260"/>
        <w:spacing w:after="0" w:line="267" w:lineRule="auto"/>
        <w:rPr>
          <w:sz w:val="20"/>
          <w:szCs w:val="20"/>
          <w:color w:val="auto"/>
        </w:rPr>
      </w:pPr>
      <w:r>
        <w:rPr>
          <w:rFonts w:ascii="Arial" w:cs="Arial" w:eastAsia="Arial" w:hAnsi="Arial"/>
          <w:sz w:val="18"/>
          <w:szCs w:val="18"/>
          <w:color w:val="auto"/>
        </w:rPr>
        <w:t>Net cash provided by operating activities Net cash provided by operations as a % of revenue</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3"/>
              </w:rPr>
              <w:t>Three Months Ended</w:t>
            </w:r>
          </w:p>
        </w:tc>
        <w:tc>
          <w:tcPr>
            <w:tcW w:w="66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2"/>
              </w:rPr>
              <w:t>$ Change</w:t>
            </w:r>
          </w:p>
        </w:tc>
        <w:tc>
          <w:tcPr>
            <w:tcW w:w="640" w:type="dxa"/>
            <w:vAlign w:val="bottom"/>
            <w:vMerge w:val="restart"/>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88"/>
              </w:rPr>
              <w:t>% Change</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February 4, 2012</w:t>
            </w:r>
          </w:p>
        </w:tc>
        <w:tc>
          <w:tcPr>
            <w:tcW w:w="740" w:type="dxa"/>
            <w:vAlign w:val="bottom"/>
          </w:tcPr>
          <w:p>
            <w:pPr>
              <w:spacing w:after="0"/>
              <w:rPr>
                <w:sz w:val="12"/>
                <w:szCs w:val="12"/>
                <w:color w:val="auto"/>
              </w:rPr>
            </w:pP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January 29, 2011</w:t>
            </w:r>
          </w:p>
        </w:tc>
        <w:tc>
          <w:tcPr>
            <w:tcW w:w="740" w:type="dxa"/>
            <w:vAlign w:val="bottom"/>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214,820</w:t>
            </w:r>
          </w:p>
        </w:tc>
        <w:tc>
          <w:tcPr>
            <w:tcW w:w="7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216,751</w:t>
            </w:r>
          </w:p>
        </w:tc>
        <w:tc>
          <w:tcPr>
            <w:tcW w:w="7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(1,931)</w:t>
            </w:r>
          </w:p>
        </w:tc>
        <w:tc>
          <w:tcPr>
            <w:tcW w:w="6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-3144520</wp:posOffset>
            </wp:positionH>
            <wp:positionV relativeFrom="paragraph">
              <wp:posOffset>-149225</wp:posOffset>
            </wp:positionV>
            <wp:extent cx="666369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195" w:lineRule="exact"/>
        <w:rPr>
          <w:sz w:val="20"/>
          <w:szCs w:val="20"/>
          <w:color w:val="auto"/>
        </w:rPr>
      </w:pPr>
    </w:p>
    <w:p>
      <w:pPr>
        <w:ind w:left="700"/>
        <w:spacing w:after="0"/>
        <w:tabs>
          <w:tab w:leader="none" w:pos="240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5"/>
          <w:szCs w:val="15"/>
          <w:color w:val="auto"/>
        </w:rPr>
        <w:t>29.8%</w:t>
      </w:r>
    </w:p>
    <w:p>
      <w:pPr>
        <w:spacing w:after="0" w:line="171" w:lineRule="exact"/>
        <w:rPr>
          <w:sz w:val="20"/>
          <w:szCs w:val="20"/>
          <w:color w:val="auto"/>
        </w:rPr>
      </w:pPr>
    </w:p>
    <w:p>
      <w:pPr>
        <w:sectPr>
          <w:pgSz w:w="11900" w:h="16838" w:orient="portrait"/>
          <w:cols w:equalWidth="0" w:num="2">
            <w:col w:w="4700" w:space="720"/>
            <w:col w:w="5940"/>
          </w:cols>
          <w:pgMar w:left="240" w:top="274" w:right="299" w:bottom="1440" w:gutter="0" w:footer="0" w:header="0"/>
          <w:type w:val="continuous"/>
        </w:sectPr>
      </w:pPr>
    </w:p>
    <w:p>
      <w:pPr>
        <w:ind w:right="20" w:firstLine="456"/>
        <w:spacing w:after="0" w:line="294" w:lineRule="auto"/>
        <w:rPr>
          <w:sz w:val="20"/>
          <w:szCs w:val="20"/>
          <w:color w:val="auto"/>
        </w:rPr>
      </w:pPr>
      <w:r>
        <w:rPr>
          <w:rFonts w:ascii="Arial" w:cs="Arial" w:eastAsia="Arial" w:hAnsi="Arial"/>
          <w:sz w:val="16"/>
          <w:szCs w:val="16"/>
          <w:color w:val="auto"/>
        </w:rPr>
        <w:t>At February 4, 2012, cash and cash equivalents totaled $1,097.4 million. The primary sources of funds for the first quarter of fiscal 2012 were net cash generated from operating activities of $214.8 million. In addition, we received $48.6 million in net proceeds from employee stock option exercises. The principal uses of funds for the first quarter of fiscal 2012 were the repurchase of approximately 2.1 million shares of our common stock for an aggregate of $78.4 million, dividend payments of $74.4 million, principle payments of $15.6 million related to our $145 million term loan facility and additions to property, plant and equipment of $25.3 million. These factors contributed to the net decrease in cash and cash equivalents of $307.7 million in the first quarter of fiscal 2012.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4, 2012</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October 29, 2011</w:t>
            </w: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5"/>
              </w:rPr>
              <w:t>Change</w:t>
            </w:r>
          </w:p>
        </w:tc>
        <w:tc>
          <w:tcPr>
            <w:tcW w:w="88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w w:val="88"/>
              </w:rPr>
              <w:t>% Change</w:t>
            </w:r>
          </w:p>
        </w:tc>
      </w:tr>
      <w:tr>
        <w:trPr>
          <w:trHeight w:val="210"/>
        </w:trPr>
        <w:tc>
          <w:tcPr>
            <w:tcW w:w="3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Accounts receivable</w:t>
            </w:r>
          </w:p>
        </w:tc>
        <w:tc>
          <w:tcPr>
            <w:tcW w:w="15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301,999</w:t>
            </w:r>
          </w:p>
        </w:tc>
        <w:tc>
          <w:tcPr>
            <w:tcW w:w="5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348,416</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5"/>
              </w:rPr>
              <w:t>$ (46,417)</w:t>
            </w:r>
          </w:p>
        </w:tc>
        <w:tc>
          <w:tcPr>
            <w:tcW w:w="6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Days sales outstanding</w:t>
            </w: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80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297,160</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295,081</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2,079</w:t>
            </w:r>
          </w:p>
        </w:tc>
        <w:tc>
          <w:tcPr>
            <w:tcW w:w="8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22"/>
        </w:trPr>
        <w:tc>
          <w:tcPr>
            <w:tcW w:w="3700" w:type="dxa"/>
            <w:vAlign w:val="bottom"/>
          </w:tcPr>
          <w:p>
            <w:pPr>
              <w:spacing w:after="0"/>
              <w:rPr>
                <w:sz w:val="20"/>
                <w:szCs w:val="20"/>
                <w:color w:val="auto"/>
              </w:rPr>
            </w:pPr>
            <w:r>
              <w:rPr>
                <w:rFonts w:ascii="Arial" w:cs="Arial" w:eastAsia="Arial" w:hAnsi="Arial"/>
                <w:sz w:val="18"/>
                <w:szCs w:val="18"/>
                <w:color w:val="auto"/>
              </w:rPr>
              <w:t>Days cost of sales in inventory</w:t>
            </w: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122</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pacing w:after="0" w:line="14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decrease in accounts receivable was primarily the result of lower revenue in the first quarter of fiscal 2012 compared to the fourth quarter of fiscal 2011. Days sales outstanding increased by two days as a result of higher product shipments in the final month of the first quarter of fiscal 2012 compared to the final month of the fourth quarter of fiscal 2011.</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Inventory as of February 4, 2012 remained flat compared to the end of the fourth quarter of fiscal 2011 as a result of our continued efforts to balance manufacturing production, demand and inventory levels. Days cost of sales in inventory increased primarily due to lower manufacturing costs as a result of decreased production, which resulted in cost of sales decreasing 7% from the fourth quarter of fiscal 2011 to the first quarter of fiscal 2012 while inventory levels remained flat.</w:t>
      </w:r>
    </w:p>
    <w:p>
      <w:pPr>
        <w:spacing w:after="0" w:line="143"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Current liabilities decreased to $498.1 million at February 4, 2012, a decrease of $27.0 million, or 5%, from $525.0 million at the end of fiscal 2011. This decline was primarily due to a decrease in accrued liabilities as a result of lower variable compensation expense and a decrease in deferred income on shipments to distributors, net, which is more fully described below. These decreases were partially offset by an increase in income taxes payable as a result of an increase in our effective tax rate from the fourth quarter of fiscal 2011.</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274" w:right="299" w:bottom="1440" w:gutter="0" w:footer="0" w:header="0"/>
          <w:type w:val="continuous"/>
        </w:sectPr>
      </w:pPr>
    </w:p>
    <w:bookmarkStart w:id="31" w:name="page32"/>
    <w:bookmarkEnd w:id="31"/>
    <w:p>
      <w:pPr>
        <w:ind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February 4, 2012 and October 29, 2011, we had gross deferred revenue of $294.1 million and $309.6 million, respectively, and gross deferred cost of sales of $66.8 million and $76.4 million, respectively. Deferred income on shipments to distributors decreased by approximately $6.0 million in the first three months of fiscal 2012 primarily as a result of the distributors’ sales to their customers in the first three months of fiscal 2012 exceeding our shipments to our distributors during this same time period. Sales to distributors are made under agreements that allow distributors to receive price-adjustment credits and to return qualifying products for credit, as determined by us, in order to reduce the amounts of slow-moving, discontinued or obsolete product from their inventory. Given the uncertainties associated with the levels of price-adjustment credits to be granted to distributors, the sales price to the distributors is not fixed or determinable until the distributors resell the products to their customers. Therefore, we defer revenue recognition from sales to distributors until the distributors have sold the products to their customers. The amount of price-adjustments is dependent on future overall market conditions, and therefore the levels of these adjustments could fluctuate significantly from period to period. To the extent that we experience a significant increase in the amount of credits we issue to our distributors, there could be a material impact on the ultimate revenue and gross margin recognized relating to these transactions.</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Debt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February 4, 2012 we had $870.2 million in debt outstanding, of which $14.5 million was current. Our debt obligations consist of the following:</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$375 million aggregate principal amount of 5.0% senior unsecured notes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 June 30, 2009, we issued $375 million aggregate principal amount of 5.0% senior unsecured notes due July 1, 2014 (the 5.0% Notes) with semi-annual fixed interest payments due on January 1 and July 1 of each year, commencing January 1, 2010. We swapped the fixed interest portion of these notes for a variable interest rate based on the three-month LIBOR plus 2.05% (2.63% as of February 4, 2012). The variable interest payments based on the variable annual rate are payable quarterly. The LIBOR based rate is set quarterly three months prior to the date of the interest payment.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$145 million term loan facility</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On December 22, 2010, Analog Devices Holdings B.V., a wholly owned subsidiary of ours, entered into a credit agreement with Bank of America, N.A., London Branch as administrative agent. The credit agreement provides for a $145 million term loan facility, which matures on December 22, 2013. The borrower’s obligations are guaranteed by us. The terms of the agreement provide for a three-year principal amortization schedule with $3.6 million payable quarterly every March, June, September and December with the balance payable upon the maturity date.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$375 million aggregate principal amount of 3.0% senior unsecured notes</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On April 4, 2011, we issued $375 million aggregate principal amount of 3.0% senior unsecured notes due April 15, 2016 (the 3.0% Notes) with semi-annual fixed interest payments due on April 15 and October 15 of each year, commencing October 15, 2011.</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indenture governing the 5.0% Notes and 3.0% Notes contains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As of February 4, 2012, we were compliant with these covenants. The terms of the $145 million term loan facility include limitations on subsidiary indebtedness and on liens against our assets and the assets of our subsidiaries, and also include financial covenants that require us to maintain a minimum interest coverage ratio and not exceed a maximum leverage ratio. As of February 4, 2012, we were compliant with these covenants. See Note 13, Debt</w:t>
      </w:r>
      <w:r>
        <w:rPr>
          <w:rFonts w:ascii="Arial" w:cs="Arial" w:eastAsia="Arial" w:hAnsi="Arial"/>
          <w:sz w:val="16"/>
          <w:szCs w:val="16"/>
          <w:i w:val="1"/>
          <w:iCs w:val="1"/>
          <w:color w:val="auto"/>
        </w:rPr>
        <w:t>,</w:t>
      </w:r>
      <w:r>
        <w:rPr>
          <w:rFonts w:ascii="Arial" w:cs="Arial" w:eastAsia="Arial" w:hAnsi="Arial"/>
          <w:sz w:val="16"/>
          <w:szCs w:val="16"/>
          <w:color w:val="auto"/>
        </w:rPr>
        <w:t xml:space="preserve"> of the Notes to our Condensed Consolidated Financial Statements contained in Item 1 of this Quarterly Report on Form 10-Q for further information on our outstanding debt.</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Revolving Credit Facility</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have a five-year $165 million unsecured revolving credit facility that expires in May 2013. To date, we have not borrowed under this credit facility but we may borrow in the future and use the proceeds for support of commercial paper issuance, stock repurchases, dividend payments, acquisitions, capital expenditures, working capital and other lawful corporate purposes. The terms of this facility also include financial covenants that require us to maintain a minimum interest coverage ratio and not exceed a maximum leverage ratio. As of February 4, 2012, we were compliant with these covenants.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32" w:name="page33"/>
    <w:bookmarkEnd w:id="32"/>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Repurchase Program</w:t>
      </w:r>
    </w:p>
    <w:p>
      <w:pPr>
        <w:spacing w:after="0" w:line="90"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Our common stock repurchase program has been in place since August 2004. In the aggregate, our Board of Directors has authorized us to repurchase $5 billion of our common stock under the program. Under the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under the program. As of February 4, 2012, we had repurchased a total of approximately 127.1 million shares of our common stock for approximately $4,356.9 million under this program. As of February 4, 2012, an additional $643.1 million worth of shares remains available for repurchase under the current authorized program. The repurchased shares are held as authorized but unissued shares of common stock. We also from time to time repurchase shares in settlement of employee tax withholding obligations due upon the vesting of restricted stock units or the exercise of stock options, or in certain limited circumstances to satisfy the exercise price of options granted to our employees under our equity compensation plans. Any future common stock repurchases will be based on several factors including our financial performance, outlook, liquidity and the amount of cash we have available in the United States.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Capital Expenditures</w:t>
      </w:r>
    </w:p>
    <w:p>
      <w:pPr>
        <w:spacing w:after="0" w:line="9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Net additions to property, plant and equipment were $25.3 million in the first three months of fiscal 2012 and were funded with a combination of cash on hand and cash generated from operations. We expect capital expenditures to be in the range of approximately $125 million to $140 million in fiscal 2012 to be used primarily in our manufacturing facilities.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Dividends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On February 21, 2012, our Board of Directors declared a cash dividend of $0.30 per outstanding share of common stock. The dividend will be paid on March 28, 2012 to all shareholders of record at the close of business on March 9, 2012 and is expected to total approximately $89.3 million. We currently expect quarterly dividends to continue at $0.30 per share, although they remain subject to determination and declaration by our Board of Directors. The payment of future dividends, if any, will be based on several factors including our financial performance, outlook and liquidity.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During the first quarter of fiscal 2012, we entered into non-cancelable license obligations to providers of electronic design automation software and software maintenance used in the development of our products. The following amounts will be due under the agreements and were not previously reflected in the contractual obligations table contained in the section entitled “Management’s Discussion and Analysis of Financial Condition and Results of Operations” of our Annual Report on Form 10-K for the fiscal year ended October 29, 2011: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Payment due by period</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87"/>
              </w:rPr>
              <w:t>(thousands)</w:t>
            </w:r>
          </w:p>
        </w:tc>
        <w:tc>
          <w:tcPr>
            <w:tcW w:w="6080" w:type="dxa"/>
            <w:vAlign w:val="bottom"/>
            <w:vMerge w:val="restart"/>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5"/>
              </w:rPr>
              <w:t>Less than</w:t>
            </w: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20" w:type="dxa"/>
            <w:vAlign w:val="bottom"/>
            <w:tcBorders>
              <w:bottom w:val="single" w:sz="8" w:color="auto"/>
            </w:tcBorders>
            <w:vMerge w:val="continue"/>
          </w:tcPr>
          <w:p>
            <w:pPr>
              <w:spacing w:after="0"/>
              <w:rPr>
                <w:sz w:val="14"/>
                <w:szCs w:val="14"/>
                <w:color w:val="auto"/>
              </w:rPr>
            </w:pPr>
          </w:p>
        </w:tc>
        <w:tc>
          <w:tcPr>
            <w:tcW w:w="6080" w:type="dxa"/>
            <w:vAlign w:val="bottom"/>
            <w:vMerge w:val="continue"/>
          </w:tcPr>
          <w:p>
            <w:pPr>
              <w:spacing w:after="0"/>
              <w:rPr>
                <w:sz w:val="14"/>
                <w:szCs w:val="14"/>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Total</w:t>
            </w:r>
          </w:p>
        </w:tc>
        <w:tc>
          <w:tcPr>
            <w:tcW w:w="400" w:type="dxa"/>
            <w:vAlign w:val="bottom"/>
          </w:tcPr>
          <w:p>
            <w:pPr>
              <w:spacing w:after="0"/>
              <w:rPr>
                <w:sz w:val="14"/>
                <w:szCs w:val="14"/>
                <w:color w:val="auto"/>
              </w:rPr>
            </w:pPr>
          </w:p>
        </w:tc>
        <w:tc>
          <w:tcPr>
            <w:tcW w:w="100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5"/>
              </w:rPr>
              <w:t>1 Year</w:t>
            </w:r>
          </w:p>
        </w:tc>
        <w:tc>
          <w:tcPr>
            <w:tcW w:w="580" w:type="dxa"/>
            <w:vAlign w:val="bottom"/>
          </w:tcPr>
          <w:p>
            <w:pPr>
              <w:ind w:left="20"/>
              <w:spacing w:after="0" w:line="148" w:lineRule="exact"/>
              <w:rPr>
                <w:sz w:val="20"/>
                <w:szCs w:val="20"/>
                <w:color w:val="auto"/>
              </w:rPr>
            </w:pPr>
            <w:r>
              <w:rPr>
                <w:rFonts w:ascii="Arial" w:cs="Arial" w:eastAsia="Arial" w:hAnsi="Arial"/>
                <w:sz w:val="14"/>
                <w:szCs w:val="14"/>
                <w:b w:val="1"/>
                <w:bCs w:val="1"/>
                <w:color w:val="auto"/>
                <w:w w:val="86"/>
              </w:rPr>
              <w:t>1-3 Years</w:t>
            </w:r>
          </w:p>
        </w:tc>
        <w:tc>
          <w:tcPr>
            <w:tcW w:w="400" w:type="dxa"/>
            <w:vAlign w:val="bottom"/>
          </w:tcPr>
          <w:p>
            <w:pPr>
              <w:spacing w:after="0"/>
              <w:rPr>
                <w:sz w:val="14"/>
                <w:szCs w:val="14"/>
                <w:color w:val="auto"/>
              </w:rPr>
            </w:pPr>
          </w:p>
        </w:tc>
        <w:tc>
          <w:tcPr>
            <w:tcW w:w="9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3-5 Years</w:t>
            </w:r>
          </w:p>
        </w:tc>
        <w:tc>
          <w:tcPr>
            <w:tcW w:w="100" w:type="dxa"/>
            <w:vAlign w:val="bottom"/>
          </w:tcPr>
          <w:p>
            <w:pPr>
              <w:spacing w:after="0"/>
              <w:rPr>
                <w:sz w:val="14"/>
                <w:szCs w:val="14"/>
                <w:color w:val="auto"/>
              </w:rPr>
            </w:pPr>
          </w:p>
        </w:tc>
        <w:tc>
          <w:tcPr>
            <w:tcW w:w="6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90"/>
        </w:trPr>
        <w:tc>
          <w:tcPr>
            <w:tcW w:w="68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Contractual obligations:</w:t>
            </w:r>
          </w:p>
        </w:tc>
        <w:tc>
          <w:tcPr>
            <w:tcW w:w="5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80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$44,910</w:t>
            </w:r>
          </w:p>
        </w:tc>
        <w:tc>
          <w:tcPr>
            <w:tcW w:w="140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$12,887</w:t>
            </w:r>
          </w:p>
        </w:tc>
        <w:tc>
          <w:tcPr>
            <w:tcW w:w="580" w:type="dxa"/>
            <w:vAlign w:val="bottom"/>
          </w:tcPr>
          <w:p>
            <w:pPr>
              <w:spacing w:after="0"/>
              <w:rPr>
                <w:sz w:val="20"/>
                <w:szCs w:val="20"/>
                <w:color w:val="auto"/>
              </w:rPr>
            </w:pPr>
            <w:r>
              <w:rPr>
                <w:rFonts w:ascii="Arial" w:cs="Arial" w:eastAsia="Arial" w:hAnsi="Arial"/>
                <w:sz w:val="18"/>
                <w:szCs w:val="18"/>
                <w:color w:val="auto"/>
                <w:w w:val="86"/>
              </w:rPr>
              <w:t>$25,882</w:t>
            </w:r>
          </w:p>
        </w:tc>
        <w:tc>
          <w:tcPr>
            <w:tcW w:w="940" w:type="dxa"/>
            <w:vAlign w:val="bottom"/>
            <w:gridSpan w:val="2"/>
          </w:tcPr>
          <w:p>
            <w:pPr>
              <w:ind w:left="400"/>
              <w:spacing w:after="0"/>
              <w:rPr>
                <w:sz w:val="20"/>
                <w:szCs w:val="20"/>
                <w:color w:val="auto"/>
              </w:rPr>
            </w:pPr>
            <w:r>
              <w:rPr>
                <w:rFonts w:ascii="Arial" w:cs="Arial" w:eastAsia="Arial" w:hAnsi="Arial"/>
                <w:sz w:val="18"/>
                <w:szCs w:val="18"/>
                <w:color w:val="auto"/>
                <w:w w:val="86"/>
              </w:rPr>
              <w:t>$ 6,141</w:t>
            </w:r>
          </w:p>
        </w:tc>
        <w:tc>
          <w:tcPr>
            <w:tcW w:w="4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There have not been any other material changes during the first three months of fiscal 2012 to the amounts presented in the table summarizing our contractual obligations included in our Annual Report on Form 10-K for the fiscal year ended October 29,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that are adopted by us as of the specified effective date. Unless otherwise discussed, management believes that the impact of recently issued standards will not have a material impact on our future financial condition and results of operations. See Note 18, New Accounting Pronouncements</w:t>
      </w:r>
      <w:r>
        <w:rPr>
          <w:rFonts w:ascii="Arial" w:cs="Arial" w:eastAsia="Arial" w:hAnsi="Arial"/>
          <w:sz w:val="16"/>
          <w:szCs w:val="16"/>
          <w:i w:val="1"/>
          <w:iCs w:val="1"/>
          <w:color w:val="auto"/>
        </w:rPr>
        <w:t>,</w:t>
      </w:r>
      <w:r>
        <w:rPr>
          <w:rFonts w:ascii="Arial" w:cs="Arial" w:eastAsia="Arial" w:hAnsi="Arial"/>
          <w:sz w:val="16"/>
          <w:szCs w:val="16"/>
          <w:color w:val="auto"/>
        </w:rPr>
        <w:t xml:space="preserve"> of the Notes to our Condensed Consolidated Financial Statements contained in Item 1 of this Quarterly Report on Form 10-Q for a description of recently issued and adopted accounting pronouncements, including the dates of adoption and impact on our historical financial condition and results of operations.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Critical Accounting Policies and Estimates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There were no material changes in the first three months of fiscal 2012 to the information provided under the heading “Critical Accounting Policies and Estimates” included in our Annual Report on Form 10-K for the fiscal year ended October 29,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There were no material changes in the first three months of fiscal 2012 in the information provided under Item 7A. “Quantitative and Qualitative Disclosures about Market Risk” set forth in our Annual Report on Form 10-K for the year ended October 29,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20" w:firstLine="8"/>
        <w:spacing w:after="0" w:line="286" w:lineRule="auto"/>
        <w:tabs>
          <w:tab w:leader="none" w:pos="239"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Evaluation of Disclosure Controls and Procedures</w:t>
      </w:r>
      <w:r>
        <w:rPr>
          <w:rFonts w:ascii="Arial" w:cs="Arial" w:eastAsia="Arial" w:hAnsi="Arial"/>
          <w:sz w:val="16"/>
          <w:szCs w:val="16"/>
          <w:color w:val="auto"/>
        </w:rPr>
        <w:t>. Our management, with the participation of our Chief Executive Officer and Chief Financial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evaluated the effectiveness of our disclosure controls and procedures as of February 4, 2012.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February 4, 2012, our Chief Executive Officer and Chief Financial Officer concluded that, as of such date, our disclosure controls and procedures were effective at the reasonable assurance level.</w:t>
      </w:r>
    </w:p>
    <w:p>
      <w:pPr>
        <w:spacing w:after="0" w:line="127" w:lineRule="exact"/>
        <w:rPr>
          <w:rFonts w:ascii="Arial" w:cs="Arial" w:eastAsia="Arial" w:hAnsi="Arial"/>
          <w:sz w:val="16"/>
          <w:szCs w:val="16"/>
          <w:color w:val="auto"/>
        </w:rPr>
      </w:pPr>
    </w:p>
    <w:p>
      <w:pPr>
        <w:ind w:right="40" w:firstLine="8"/>
        <w:spacing w:after="0" w:line="259" w:lineRule="auto"/>
        <w:tabs>
          <w:tab w:leader="none" w:pos="249"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No change in our internal control over financial reporting (as defined in Rules 13a-15(f) and 15d-15(f)</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Exchange Act) occurred during the quarter ended February 4, 2012 that has materially affected, or is reasonably likely to materially affect, our internal control over financial reporting.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Set forth below and elsewhere in this report and in other documents we file with the SEC are descriptions of the risks and uncertainties that could cause our actual results to differ materially from the results contemplated by the forward-looking statements contained in this report. The description below includes any material changes to and supersedes the description of the risk factors affecting our business previously discussed in Part I, Item 1A “Risk Factors” of our Annual Report on Form 10-K for the fiscal year ended October 29, 2011.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in global credit and financial markets could materially and adversely affect our business and results of operations.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There is significant uncertainty about the stability of global credit and financial markets. Downgrades of credit ratings of the United States and several European countries and the ongoing European debt crisis have further contributed to the instability in global credit and financial markets. These economic uncertainties make it difficult for us to accurately forecast and plan our future business activities. High unemployment rates, continued weakness in commercial and residential real estate markets and the tightening of credit by financial institutions may lead consumers and businesses to postpone spending, which may cause our customers to cancel, decrease or delay their existing and future orders for our products. The continuing European debt crisis could cause the value of the Euro to deteriorate, thus reducing the purchasing power of our European customers. In addition, financial difficulties experienced by our suppliers or distributors could result in product delays, increased accounts receivable defaults and inventory challenges. During the past few years, many governments adopted stimulus or spending programs designed to ease the economic impact of the crisis. Some of our businesses benefited from these stimulus programs and as these programs conclude, those businesses could be negatively impacted. We are unable to predict the likely duration of the current uncertainty in global credit and financial markets, and if economic conditions deteriorate, we may record additional charges relating to restructuring costs or the impairment of assets and our business and results of operations could be materially and adversely affected.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future revenue, gross margins, operating results and net income are difficult to predict and may materially fluctuate.</w:t>
      </w:r>
    </w:p>
    <w:p>
      <w:pPr>
        <w:spacing w:after="0" w:line="17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Our future revenue, gross margins, operating results and net income are difficult to predict and may be materially affected by a number of factors, including:</w:t>
      </w:r>
    </w:p>
    <w:p>
      <w:pPr>
        <w:spacing w:after="0" w:line="51"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effects of adverse economic conditions in the United States and international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customer demand for our products and for end products that incorporate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reduce and control our cost structure in both the short term and over a longer duration;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new product announcements or introductions by us, our customers or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fluctuations in manufacturing yields, adequate availability of wafers and other raw materials, and manufacturing, assembly and test capacity;</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ability of our third party suppliers, subcontractors and manufacturers to supply us with sufficient quantities of products or components;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significant decline in our backlog;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delay or cancellation of significant customer orders and our ability to manage inventory;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hire, retain and motivate adequate numbers of engineers and other qualified employees to meet the demands of our customers;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geographic, product or customer mix;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utilize our manufacturing facilities at efficient levels;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significant litigation-related costs;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difficulties inherent in forecasting future operating expense levels, including with respect to costs associated with labor, utilities, transportation and raw materials;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related to compliance with increasing worldwide environmental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effective tax rates in the United States, Ireland or worldwide; and</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effects of public health emergencies, natural disasters, widespread travel disruptions, security risks, terrorist activities, international conflicts and other events beyond our control.</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addition, the semiconductor market has historically been cyclical and subject to significant economic upturns and downturns. Our business is subject to rapid technological changes and there can be no assurance (i) that products stocked in our inventory will not be rendered obsolete before we ship them, or (ii) that we will be able to produce products in a timely fashion to accommodate changing customer demand. As a result of these and other factors, there can be no assurance that we will not experience material fluctuations in future revenue, gross margins, operating results and net income on a quarterly or annual basis. In addition, if our revenue, gross margins, operating results and net income do not meet the expectations of securities analysts or investors, the market price of our common stock may decline.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80"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Changes in our effective tax rate may impact our results of operations.</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 number of factors may increase our future effective tax rate, including: increases in tax rates in various jurisdictions; the jurisdictions in which profits are earned and taxed; the resolution of issues arising from tax audits with various tax authorities; changes in the valuation of our deferred tax assets and liabilities; adjustments to income taxes upon finalization of various tax returns; increases in expenses not deductible for tax purposes, including write-offs of acquired in-process research and development and impairments of goodwill in connection with acquisitions; the lack of sufficient excess tax benefits (credits) in our additional paid in capital (APIC) pool in situations where our realized tax deductions for certain stock-based compensation awards are less than those originally anticipated; changes in available tax credits; and changes in tax laws or the interpretation of such tax laws. Any significant increase in our future effective tax rates could adversely impact our net income during future periods.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Long-term contracts are not typical for us and reductions, cancellations or delays in orders for our products could adversely affect our operating results.</w:t>
      </w:r>
    </w:p>
    <w:p>
      <w:pPr>
        <w:spacing w:after="0" w:line="19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typically do not have long-term sales contracts with our customers. 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forecasts of customer demands. As a result, we may incur inventory and manufacturing costs in advance of anticipated sales and are subject to the risk of cancellations of orders, leading to a sharp reduction of sales and backlog. Further, orders or forecasts may be for products that meet the customer’s unique requirements so that those cancelled or unrealized orders would, in addition, result in an inventory of unsaleable products, causing potential inventory write-offs. As a result of lengthy manufacturing 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118"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i w:val="1"/>
          <w:iCs w:val="1"/>
          <w:color w:val="auto"/>
        </w:rPr>
        <w:t>Our future success depends upon our ability to continue to innovate, improve our products, develop and market new products, and identify and enter new markets.</w:t>
      </w:r>
    </w:p>
    <w:p>
      <w:pPr>
        <w:spacing w:after="0" w:line="13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success significantly depends on our continued ability to improve our products and develop and market innovative new products. Product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customer quality standards or comply with industry standards and technical requirements may adversely affect demand for our products and our results of operations. In addition, our growth is dependent on our continued ability to identify and penetrate new markets where we have limited experience and competition is intense. Also, some of our customers in these markets are less established, which could subject us to increased credit risk. There can be no assurance that the markets we serve will grow in the future, that our existing and new products will meet the requirements of these markets, that our products will achieve customer acceptance in these markets, that competitors will not force price reductions or take market share from us, or that we can achieve or maintain adequate gross margins or profits in these markets. Furthermore, a decline in demand in one or several of our end-user markets could have a material adverse effect on the demand for our products and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markets within the semiconductor industry in the future.</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face intense technological and pricing competition in the semiconductor industry, and we expect this competition to increase in the future, including from companies located outside the United States. Many companies have sufficient financial, manufacturing, technical, sales and marketing resources to develop and market products that compete with our products. Some of our competitors may have more advantageous supply or development relationships with our current and potential customers or suppliers. Our competitors also include emerging companies selling specialized products in markets we serve. Competition is generally based on design and quality of products, product performance, features and functionality, and product pricing, availability and capacity, with the relative importance of these factors varying among products, markets and customers. Existing or new competitors may develop products or technologies that more effectively address the demands of our customers and markets with enhanced performance, features and functionality, lower power requirements, greater levels of integration or lower cost. Increased competition in certain markets has resulted in and may continue to result in declining average selling prices, reduced gross margins and loss of market share in those markets. There can be no assurance that we will be able to compete successfully in the future against existing or new competitors, or that our operating results will not be adversely affected by increased competition.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36" w:name="page37"/>
    <w:bookmarkEnd w:id="36"/>
    <w:p>
      <w:pPr>
        <w:ind w:right="120"/>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rely on third-party suppliers, subcontractors and manufacturers for some industry-standard wafers, manufacturing processes and assembly and test services, and generally cannot control their availability or conditions of supply.</w:t>
      </w:r>
    </w:p>
    <w:p>
      <w:pPr>
        <w:spacing w:after="0" w:line="132"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rely, and plan to continue to rely, on suppliers, assembly and test subcontractors, and third-party wafer fabricators to supply most of our wafers that can be manufactured using industry-standard submicron processes. This reliance involves several risks, including reduced control over availability, capacity utilization, delivery schedules, manufacturing yields, and costs. We currently source approximately 50% of our wafer requirements annually from third-party wafer fabrication foundries, primarily Taiwan Semiconductor Manufacturing Company, or TSMC</w:t>
      </w:r>
      <w:r>
        <w:rPr>
          <w:rFonts w:ascii="Arial" w:cs="Arial" w:eastAsia="Arial" w:hAnsi="Arial"/>
          <w:sz w:val="16"/>
          <w:szCs w:val="16"/>
          <w:i w:val="1"/>
          <w:iCs w:val="1"/>
          <w:color w:val="auto"/>
        </w:rPr>
        <w:t>.</w:t>
      </w:r>
      <w:r>
        <w:rPr>
          <w:rFonts w:ascii="Arial" w:cs="Arial" w:eastAsia="Arial" w:hAnsi="Arial"/>
          <w:sz w:val="16"/>
          <w:szCs w:val="16"/>
          <w:color w:val="auto"/>
        </w:rPr>
        <w:t xml:space="preserve"> In addition, these suppliers often provide manufacturing services to our competitors and therefore periods of increased industry demand may result in capacity constraints. In certain instances, the third party supplier is the sole source of highly specialized processing services. If our suppliers are unable or unwilling to manufacture and deliver components to us on the time schedule and of the quality or quantity that we require or provide us with required manufacturing processes, we may be forced to seek to engage additional or replacement suppliers, which could result in additional expenses and delays in product development or shipment of product to our customers. If replacement suppliers or manufacturing processes are not available, we may also experience delays in product development or shipment which could, in turn, result in the temporary or permanent loss of customers.</w:t>
      </w:r>
    </w:p>
    <w:p>
      <w:pPr>
        <w:spacing w:after="0" w:line="12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i w:val="1"/>
          <w:iCs w:val="1"/>
          <w:color w:val="auto"/>
        </w:rPr>
        <w:t>The markets for semiconductor products are cyclical, and increased production may lead to overcapacity and lower prices, and conversely, we may not be able to satisfy unexpected demand for our products.</w:t>
      </w:r>
    </w:p>
    <w:p>
      <w:pPr>
        <w:spacing w:after="0" w:line="13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cyclical nature of the semiconductor industry has resulted in periods when demand for our products has increased or decreased rapidly. If we expand our operations and workforce too rapidly or procure excessive resources in anticipation of increased demand for our products, and that demand does not materialize at the pace at which we expect or declines, or if we overbuild inventory in a period of decreased demand, our operating results may be adversely affected as a result of increased operating expenses, reduced margins, underutilization of capacity or asset impairment charges. These capacity expansions by us and other semiconductor manufacturers could also lead to overcapacity in our target markets which could lead to price erosion that would adversely impact our operating results. Conversely, during periods of rapid increases in demand, our available capacity may not be sufficient to satisfy the demand. In addition, we may not be able to expand our workforce and operations in a sufficiently timely manner, procure adequate resources and raw materials, or locate suitable third-party suppliers, to respond effectively to changes in demand for our existing products or to the demand for new products requested by our customers, and our current or future business could be materially and adversely affected.</w:t>
      </w:r>
    </w:p>
    <w:p>
      <w:pPr>
        <w:spacing w:after="0" w:line="12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i w:val="1"/>
          <w:iCs w:val="1"/>
          <w:color w:val="auto"/>
        </w:rPr>
        <w:t>Our semiconductor products are complex and we may be subject to product warranty and indemnity claims, which could result in significant costs and damage to our reputation and adversely affect the market acceptance of our products.</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Semiconductor products are highly complex and may contain defects when they are first introduced or as new versions are developed. We generally warrant our products to our customers for one year from the date title passes from us. We invest significant resources in the testing of our products; however, if any of our products contain defects,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associated with product recalls, which may adversely impact our operating results. We may also be subject to customer indemnity claims. Our customers have on occasion been sued, and may in the future be sued, by third parties with respect to infringement or other product matters, and those customers may seek indemnification from us under the terms and conditions of our sales contracts with them. In certain cases, our potential indemnification liability may be significant. If any of our products contains defects, or has reliability, quality or compatibility problems, our reputation may be damaged, which could make it more difficult for us to sell our products to existing and prospective customers and could adversely affect our operating results.</w:t>
      </w:r>
    </w:p>
    <w:p>
      <w:pPr>
        <w:spacing w:after="0" w:line="123"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have manufacturing processes that utilize a substantial amount of technology as the fabrication of integrated circuits is a highly complex and precise process.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operating results.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37" w:name="page38"/>
    <w:bookmarkEnd w:id="37"/>
    <w:p>
      <w:pPr>
        <w:ind w:right="100"/>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are involved in frequent litigation, including regarding intellectual property rights, which could be costly to bring or defend and could require us to redesign products or pay significant royalties.</w:t>
      </w:r>
    </w:p>
    <w:p>
      <w:pPr>
        <w:spacing w:after="0" w:line="13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semiconductor industry is characterized by frequent claims and litigation involving patent and other intellectual property rights, including claims arising under our contractual obligations to indemnify our customers. Other companies or individuals have obtained patents covering a variety of semiconductor designs and processes, and we might be required to obtain licenses under some of these patents or be precluded from making and selling infringing products, if those patents are found to be valid. From time to time, we receive claims from third parties asserting that our products or processes infringe their patents or other intellectual property rights.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be subject to warranty or product liability claims that could lead to significant costs and expenses as we defend those claims or pay damage awards. There can be no assurance that we are adequately insured to protect against all claims and potential liabilities. We may incur costs and expenses relating to a recall of our customers’ products due to an alleged failure of components we supply. An adverse outcome in litigation could have a material adverse effect on our financial position or on our operating results or cash flows in the period in which the litigation is resolved.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proprietary intellectual property rights, which may limit our ability to compete effectively.</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success depends, in part, on our ability to protect our intellectual property. We primarily rely on patent, mask work, copyright, trademark and trade secret laws, as well as nondisclosure agreements and other methods, to protect our proprietary technologies and processes. Despite our efforts to protect our intellectual property, it is possible that competitors or other unauthorized third parties may obtain, copy, use or disclose our technologies, products and processes. Moreover, the laws of foreign countries in which we design, manufacture, market and sell our products may afford little or no effective protection of our proprietary intellectual property.</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provide us with meaningful protection. We may not have foreign patents or pending applications corresponding to our U.S. patents and applications. Even if foreign patents are granted, effective enforcement in foreign countries may not be available. If our patents and mask works do not adequately protect our technology, our competitors may be able to offer products similar to ours. Our competitors may also be able to develop similar technology independently or design around our patents.</w:t>
      </w:r>
    </w:p>
    <w:p>
      <w:pPr>
        <w:spacing w:after="0" w:line="116"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subject to network disruptions or security breaches that could damage our reputation and harm our business and operating results.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be subject to network disruptions or security breaches caused by computer viruses, illegal break-ins or hacking, sabotage, acts of vandalism by third parties or terrorism. Our security measures or those of our third party service providers may not detect or prevent such security breaches. Any such compromise of our information security could result in the unauthorized publication of our confidential business or proprietary information, cause an interruption in our operations, result in the unauthorized release of customer or employee data, result in a violation of privacy or other laws, expose us to a risk of litigation or damage our reputation, which could harm our business and operating results.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do not retain our key personnel, our ability to execute our business strategy will be adversely affected.</w:t>
      </w:r>
    </w:p>
    <w:p>
      <w:pPr>
        <w:spacing w:after="0" w:line="17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Our continued success depends to a significant extent upon the recruitment, retention and effective succession of our executive officers and key management and technical personnel, particularly our experienced engineers. The competition for these employees is intense. The loss of the services of one or more of our key personnel could have a material adverse effect on our operating results. In addition, there could be a material adverse effect on our business should the turnover rates for engineers and other key personnel increase significantly or if we are unable to continue to attract qualified personnel. We do not maintain any key person life insurance policy on any of our officers or employees.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280" w:right="299" w:bottom="1440" w:gutter="0" w:footer="0" w:header="0"/>
        </w:sectPr>
      </w:pPr>
    </w:p>
    <w:bookmarkStart w:id="38" w:name="page39"/>
    <w:bookmarkEnd w:id="38"/>
    <w:p>
      <w:pPr>
        <w:ind w:right="220"/>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remain competitive, we may need to acquire other companies, purchase or license technology from third parties, or enter into other strategic transactions in order to introduce new products or enhance our existing products.</w:t>
      </w:r>
    </w:p>
    <w:p>
      <w:pPr>
        <w:spacing w:after="0" w:line="132"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An element of our business strategy involves expansion through the acquisitions of businesses, assets, products or technologies that allow us to complement our existing product offerings, expand our market coverage, increase our engineering workforce or enhance our technological capabilities. We may not be able to find businesses that have the technology or resources we need and, if we find such businesses, we may not be able to purchase or license the technology or resources on commercially favorable terms or at all. Acquisitions and technology licenses are difficult to identify and complete for a number of reasons, including the cost of potential transactions, competition among prospective buyers and licensees, the need for regulatory approvals, and difficulties related to integration efforts. Both in the U.S. and abroad, governmental regulation of acquisitions has become more complex, increasing the costs and risks of undertaking significant acquisitions. In order to finance a potential transaction, we may need to raise additional funds by issuing securities or borrowing money. We may not be able to find financing on favorable terms, and the sale of our stock may result in the dilution of our existing shareholders or the issuance of securities with rights that are superior to the rights of our common shareholders.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Acquisitions also involve a number of risks, including:</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integrating acquired technologies, operations and personnel with our existing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management attention in connection with both negotiating the acquisitions and integrating the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future funding requirements for acquired companies, which may be significant;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exposure to unforeseen liabilities of acquired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risk of costly and time-consuming litigation.</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we are unable to successfully address these risks, we may not realize some or all of the expected benefits of the acquisition, which may have an adverse effect on our business plans and operating results.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rely on supplies, services and manufacturing capacity located in geologically unstable areas, which could affect our ability to produce products.</w:t>
      </w:r>
    </w:p>
    <w:p>
      <w:pPr>
        <w:spacing w:after="0" w:line="19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like many companies in the semiconductor industry, rely on supplies, services, internal manufacturing capacity, wafer fabrication foundries and other sub-contractors in geologically unstable locations around the world. This reliance involves risks associated with the impact of earthquakes on us and the semiconductor industry, including temporary loss of capacity, availability and cost of key raw materials, utilities and equipment and availability of key services, including transport of our products worldwide. For example, in March 2011, a severe earthquake and tsunami hit Japan, which together with resulting damage to certain nuclear power plants created widespread destruction and economic uncertainty in that region. Our fiscal 2011 revenue in Japan decreased by approximately 9% year over year, primarily due to lower sales activity in the consumer end market sector in Japan as a result of the earthquake and tsunami. Any prolonged inability to utilize one of our manufacturing facilities, or those of our subcontractors or third-party wafer fabrication foundries, as a result of fire, flood, natural disaster, unavailability of utilities or otherwise, could result in a temporary or permanent loss of customers for affected products, which could have a material adverse effect on our results of operations and financial condition.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business, economic, political, legal and other risks through our significant worldwide operations.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significant operations and manufacturing facilities outside the United States, including in Ireland and the Philippines. Over 80% of our revenue is derived from customers in international markets. Although we engage in hedging transactions to reduce our exposure to currency exchange rate fluctuations, there can be no assurance that our competitive position will not be adversely affected by changes in the exchange rate of the United States dollar against other currencies. Potential interest rate increases, as well as high energy costs, could have an adverse impact on industrial and consumer spending patterns and could adversely impact demand for our products. At February 4, 2012, our principal source of liquidity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39" w:name="page40"/>
    <w:bookmarkEnd w:id="39"/>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 $3,667.4 million of cash and cash equivalents and short-term investments, of which approximately $1,121.7 million was held in the United States and the remaining balance was held outside the United States in various foreign subsidiaries. As we intend to reinvest certain of our foreign earnings indefinitely, this cash held outside the United States is not readily available to meet certain of our cash requirements in the United States. We require a substantial amount of cash in the United States for operating requirements, stock repurchases, cash dividends and acquisitions. If we are unable to address our U.S. cash requirements through operations, through borrowings under our current credit facility or from other sources of cash obtained at an acceptable cost, it may be necessary for us to consider repatriation of earnings that are permanently reinvested, and we may be required to pay additional taxes under current tax laws, which could have a material effect on our results of operations and financial condition.</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addition to being exposed to the ongoing economic cycles in the semiconductor industry, we are also subject to the economic, political and legal risks inherent in international operations, including the risks associated with the recent crisis in global credit and financial markets, ongoing uncertainties and political and economic instability in many countries around the world, as well as economic disruption from acts of terrorism and the response to them by the United States and its allies. Other business risks associated with global operations include increased managerial complexities, air transportation disruptions, expropriation, currency controls, currency exchange rate movement, additional costs related to foreign taxes, tariffs and freight rate increases, exposure to different business practices and legal standards, particularly with respect to price protection, competition practices, intellectual property, anti-corruption and environmental compliance, trade and travel restrictions, pandemics, import and export license requirements and restrictions, difficulties in staffing and managing worldwide operations, and accounts receivable collections.</w:t>
      </w:r>
    </w:p>
    <w:p>
      <w:pPr>
        <w:spacing w:after="0" w:line="11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expect to continue to expand our business and operations in China. Our success in the Chinese markets may be adversely affected by China’s continuously evolving laws and regulations, including those relating to taxation, import and export tariffs, currency controls, environmental regulations, and intellectual property rights and enforcement of those rights. Enforcement of existing laws or agreements may be inconsistent. In addition, changes in the political environment, governmental policies or U.S.-China relations could result in revisions to laws or regulations or their interpretation and enforcement, exposure of our proprietary intellectual property, increased taxation, restrictions on imports, import duties or currency revaluations, which could have an adverse effect on our business plans and operating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operating results are dependent on the performance of independent distributors.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significant portion of our sales are through independent distributors that are not under our control. These independent distributors generally represent product lines offered by several companies and thus could reduce their sales efforts applied to our products or they could terminate their representation of us. We generally do not require letters of credit from our distributors and are not protected against accounts receivable default or declarations of bankruptcy by these distributors. Our inability to collect open accounts receivable could adversely affect our operating results. Termination of a significant distributor, whether at our initiative or the distributor’s initiative or through consolidation in the distribution industry, could disrupt our current business, and if we are unable to find suitable replacements, our operating results could be adversely affected.</w:t>
      </w:r>
    </w:p>
    <w:p>
      <w:pPr>
        <w:spacing w:after="0" w:line="120" w:lineRule="exact"/>
        <w:rPr>
          <w:sz w:val="20"/>
          <w:szCs w:val="20"/>
          <w:color w:val="auto"/>
        </w:rPr>
      </w:pPr>
    </w:p>
    <w:p>
      <w:pPr>
        <w:jc w:val="center"/>
        <w:ind w:right="440"/>
        <w:spacing w:after="0"/>
        <w:rPr>
          <w:sz w:val="20"/>
          <w:szCs w:val="20"/>
          <w:color w:val="auto"/>
        </w:rPr>
      </w:pPr>
      <w:r>
        <w:rPr>
          <w:rFonts w:ascii="Arial" w:cs="Arial" w:eastAsia="Arial" w:hAnsi="Arial"/>
          <w:sz w:val="15"/>
          <w:szCs w:val="15"/>
          <w:i w:val="1"/>
          <w:iCs w:val="1"/>
          <w:color w:val="auto"/>
        </w:rPr>
        <w:t>We are subject to increasingly strict environmental health and safety (EHS) regulations, which could increase our expenses and affect our operating results.</w:t>
      </w:r>
    </w:p>
    <w:p>
      <w:pPr>
        <w:spacing w:after="0" w:line="206"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Our industry is subject to increasingly strict EHS requirements, particularly those environmental requirements that control and restrict the use, transportation, emission, discharge, storage and disposal of certain chemicals used or produced in the semiconductor manufacturing process. Public attention to environmental concerns continues to increase, and our customers routinely include stringent environmental standards in their contracts with us. Changes in environmental laws or regulations may require us to invest in costly equipment or alter the way our products are made. In addition, we use hazardous and other regulated materials that subject us to risks of strict liability for damages caused by potential or actual releases of such materials. Any failure to control such materials adequately or to comply with statutory or regulatory standards or contractual obligations could result in liability for damages, penalties, and civil and criminal fines, and might damage our reputation, increase our expenses, and adversely affect our operating results.</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New climate change laws and regulations could require us to change our manufacturing processes or obtain substitute materials that may cost more or be less available for our manufacturing operations. In addition, new restrictions on emissions of carbon dioxide or other greenhouse gases could result in significant costs for us. The Commonwealth of Massachusetts has adopted greenhouse gas regulations, and the U.S. Congress may pass federal greenhouse gas legislation in the future. The U.S. Environmental Protection Agency (EPA) has issued greenhouse gas reporting regulations that may apply to certain of our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40" w:name="page41"/>
    <w:bookmarkEnd w:id="40"/>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operations. EPA is developing other climate change-based regulations, as are certain states, that also may increase our expenses and adversely affect our operating results. We expect increased worldwide regulatory activity relating to climate change in the future. Compliance with these laws and regulations has not had a material impact on our capital expenditures, earnings, financial condition or competitive position. There is no assurance that the cost to comply with current or future EHS laws and regulations will not exceed our estimates or adversely affect our financial condition or results of operations. Additionally, any failure by us to comply with applicable EHS requirements or contractual obligations could result in penalties, civil and criminal fines, suspension of or changes to production, legal liability and damage to our reputation.</w:t>
      </w:r>
    </w:p>
    <w:p>
      <w:pPr>
        <w:spacing w:after="0" w:line="120"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i w:val="1"/>
          <w:iCs w:val="1"/>
          <w:color w:val="auto"/>
        </w:rPr>
        <w:t>If we are unable to generate sufficient cash flow, we may not be able to service our debt obligations, including making payments on our two issuances of $375 million senior unsecured notes or our $145 million term loan facility.</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fiscal 2009, we issued in a public offering $375 million aggregate principal amount of 5.0% senior unsecured notes due July 1, 2014. In April 2011, we issued in a public offering $375 million aggregate principal amount of 3.0% senior unsecured notes due April 15, 2016. In December 2010, Analog Devices Holdings B.V., a wholly owned subsidiary of ours, entered into a $145 million term loan facility which matures on December 22, 2013. Our ability to make payments of principal and interest on our indebtedness when due depends upon our future performance, which will be subject to general economic conditions, industry cycles and financial, business and other factors affecting our consolidated operations, many of which are beyond our control. If we are unable to generate sufficient cash flow from operations in the future to service our debt, we may be required to, among other things:</w:t>
      </w:r>
    </w:p>
    <w:p>
      <w:pPr>
        <w:spacing w:after="0" w:line="39"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additional financing in the debt or equity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refinance or restructure all or a portion of our indebtedness, including the notes;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divert funds that would otherwise be invested in our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sell selected assets;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or delay planned capital expenditures or operating expenditures.</w:t>
      </w:r>
    </w:p>
    <w:p>
      <w:pPr>
        <w:spacing w:after="0" w:line="171"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Such measures might not be sufficient to enable us to service our debt, including the notes or our term loan facility, which could negatively impact our financial results. In addition, any such financing, refinancing or sale of assets might not be possible on economically favorable terms.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 in our revolving credit and term loan facilities and outstanding debt instruments may limit our activities.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current revolving credit and term loan facilities and our 5.0% and 3.0% senior unsecured notes impose, and future debt instruments to which we may become subject may impose, restrictions that limit our ability to engage in activities that could otherwise benefit our company, including to undertake certain transactions, to create certain liens on our assets and to incur certain subsidiary indebtedness. Our ability to comply with these financial restrictions and covenants is dependent on our future performance, which is subject to prevailing economic conditions and other factors, including factors that are beyond our control such as foreign exchange rates, interest rates, changes in technology and changes in the level of competition. In addition, our credit and term loan facilities require us to maintain compliance with specified financial ratios. If we breach any of the covenants under our credit or term loan facilities or the indenture governing our outstanding notes and do not obtain appropriate waivers, then, subject to applicable cure periods, our outstanding indebtedness thereunder could be declared immediately due and payable.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may be volatile.</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market price of our common stock has been volatile in the past and may be volatile in the future, as it may be significantly affected by the following factors:</w:t>
      </w:r>
    </w:p>
    <w:p>
      <w:pPr>
        <w:spacing w:after="0" w:line="51"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crises in global credit, debt and financial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or our failure to perform in line with those estimates or our published guidance;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market valuations of other semiconductor companies;</w:t>
      </w:r>
    </w:p>
    <w:p>
      <w:pPr>
        <w:spacing w:after="0" w:line="9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new products, technical innovations, acquisitions or dispositions, litigation or capital commitments;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80" w:right="259" w:bottom="1440" w:gutter="0" w:footer="0" w:header="0"/>
        </w:sectPr>
      </w:pPr>
    </w:p>
    <w:bookmarkStart w:id="41" w:name="page42"/>
    <w:bookmarkEnd w:id="41"/>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departures of key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actual or perceived noncompliance with corporate responsibility or ethics standards by us or any of our employees, officers or directors;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negative media publicity targeting us or our competitors.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w w:val="89"/>
              </w:rPr>
              <w:t>Approximate Dollar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9"/>
              </w:rPr>
              <w:t>Total Number of</w:t>
            </w:r>
          </w:p>
        </w:tc>
        <w:tc>
          <w:tcPr>
            <w:tcW w:w="320" w:type="dxa"/>
            <w:vAlign w:val="bottom"/>
          </w:tcPr>
          <w:p>
            <w:pPr>
              <w:spacing w:after="0"/>
              <w:rPr>
                <w:sz w:val="12"/>
                <w:szCs w:val="12"/>
                <w:color w:val="auto"/>
              </w:rPr>
            </w:pPr>
          </w:p>
        </w:tc>
        <w:tc>
          <w:tcPr>
            <w:tcW w:w="11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83"/>
              </w:rPr>
              <w:t>Value of Shares that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2"/>
              </w:rPr>
              <w:t>Shares Purchased as</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8"/>
              </w:rPr>
              <w:t>May Yet Be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9"/>
              </w:rPr>
              <w:t>Part of Publicly</w:t>
            </w:r>
          </w:p>
        </w:tc>
        <w:tc>
          <w:tcPr>
            <w:tcW w:w="320" w:type="dxa"/>
            <w:vAlign w:val="bottom"/>
          </w:tcPr>
          <w:p>
            <w:pPr>
              <w:spacing w:after="0"/>
              <w:rPr>
                <w:sz w:val="12"/>
                <w:szCs w:val="12"/>
                <w:color w:val="auto"/>
              </w:rPr>
            </w:pPr>
          </w:p>
        </w:tc>
        <w:tc>
          <w:tcPr>
            <w:tcW w:w="11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4"/>
              </w:rPr>
              <w:t>Purchased Under</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color w:val="auto"/>
                <w:w w:val="88"/>
              </w:rPr>
              <w:t>Period</w:t>
            </w:r>
          </w:p>
        </w:tc>
        <w:tc>
          <w:tcPr>
            <w:tcW w:w="4700" w:type="dxa"/>
            <w:vAlign w:val="bottom"/>
            <w:vMerge w:val="restart"/>
          </w:tcPr>
          <w:p>
            <w:pPr>
              <w:spacing w:after="0"/>
              <w:rPr>
                <w:sz w:val="12"/>
                <w:szCs w:val="12"/>
                <w:color w:val="auto"/>
              </w:rPr>
            </w:pPr>
          </w:p>
        </w:tc>
        <w:tc>
          <w:tcPr>
            <w:tcW w:w="1140" w:type="dxa"/>
            <w:vAlign w:val="bottom"/>
          </w:tcPr>
          <w:p>
            <w:pPr>
              <w:jc w:val="right"/>
              <w:ind w:right="39"/>
              <w:spacing w:after="0" w:line="149" w:lineRule="exact"/>
              <w:rPr>
                <w:sz w:val="20"/>
                <w:szCs w:val="20"/>
                <w:color w:val="auto"/>
              </w:rPr>
            </w:pPr>
            <w:r>
              <w:rPr>
                <w:rFonts w:ascii="Arial" w:cs="Arial" w:eastAsia="Arial" w:hAnsi="Arial"/>
                <w:sz w:val="14"/>
                <w:szCs w:val="14"/>
                <w:color w:val="auto"/>
                <w:w w:val="99"/>
              </w:rPr>
              <w:t>Total Number of</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Average Price</w:t>
            </w:r>
          </w:p>
        </w:tc>
        <w:tc>
          <w:tcPr>
            <w:tcW w:w="14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7"/>
              </w:rPr>
              <w:t>Announced Plans</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5"/>
              </w:rPr>
              <w:t>the Plans or</w:t>
            </w:r>
          </w:p>
        </w:tc>
        <w:tc>
          <w:tcPr>
            <w:tcW w:w="0" w:type="dxa"/>
            <w:vAlign w:val="bottom"/>
          </w:tcPr>
          <w:p>
            <w:pPr>
              <w:spacing w:after="0"/>
              <w:rPr>
                <w:sz w:val="1"/>
                <w:szCs w:val="1"/>
                <w:color w:val="auto"/>
              </w:rPr>
            </w:pPr>
          </w:p>
        </w:tc>
      </w:tr>
      <w:tr>
        <w:trPr>
          <w:trHeight w:val="166"/>
        </w:trPr>
        <w:tc>
          <w:tcPr>
            <w:tcW w:w="380" w:type="dxa"/>
            <w:vAlign w:val="bottom"/>
            <w:tcBorders>
              <w:bottom w:val="single" w:sz="8" w:color="auto"/>
            </w:tcBorders>
            <w:vMerge w:val="continue"/>
          </w:tcPr>
          <w:p>
            <w:pPr>
              <w:spacing w:after="0"/>
              <w:rPr>
                <w:sz w:val="14"/>
                <w:szCs w:val="14"/>
                <w:color w:val="auto"/>
              </w:rPr>
            </w:pPr>
          </w:p>
        </w:tc>
        <w:tc>
          <w:tcPr>
            <w:tcW w:w="4700" w:type="dxa"/>
            <w:vAlign w:val="bottom"/>
            <w:vMerge w:val="continue"/>
          </w:tcPr>
          <w:p>
            <w:pPr>
              <w:spacing w:after="0"/>
              <w:rPr>
                <w:sz w:val="14"/>
                <w:szCs w:val="14"/>
                <w:color w:val="auto"/>
              </w:rPr>
            </w:pPr>
          </w:p>
        </w:tc>
        <w:tc>
          <w:tcPr>
            <w:tcW w:w="1140" w:type="dxa"/>
            <w:vAlign w:val="bottom"/>
          </w:tcPr>
          <w:p>
            <w:pPr>
              <w:jc w:val="right"/>
              <w:spacing w:after="0" w:line="146" w:lineRule="exact"/>
              <w:rPr>
                <w:sz w:val="20"/>
                <w:szCs w:val="20"/>
                <w:color w:val="auto"/>
              </w:rPr>
            </w:pPr>
            <w:r>
              <w:rPr>
                <w:rFonts w:ascii="Arial" w:cs="Arial" w:eastAsia="Arial" w:hAnsi="Arial"/>
                <w:sz w:val="14"/>
                <w:szCs w:val="14"/>
                <w:color w:val="auto"/>
                <w:w w:val="82"/>
              </w:rPr>
              <w:t>Shares Purchased (a)</w:t>
            </w:r>
          </w:p>
        </w:tc>
        <w:tc>
          <w:tcPr>
            <w:tcW w:w="640" w:type="dxa"/>
            <w:vAlign w:val="bottom"/>
          </w:tcPr>
          <w:p>
            <w:pPr>
              <w:spacing w:after="0"/>
              <w:rPr>
                <w:sz w:val="14"/>
                <w:szCs w:val="14"/>
                <w:color w:val="auto"/>
              </w:rPr>
            </w:pPr>
          </w:p>
        </w:tc>
        <w:tc>
          <w:tcPr>
            <w:tcW w:w="1620" w:type="dxa"/>
            <w:vAlign w:val="bottom"/>
            <w:gridSpan w:val="3"/>
          </w:tcPr>
          <w:p>
            <w:pPr>
              <w:spacing w:after="0" w:line="146" w:lineRule="exact"/>
              <w:rPr>
                <w:sz w:val="20"/>
                <w:szCs w:val="20"/>
                <w:color w:val="auto"/>
              </w:rPr>
            </w:pPr>
            <w:r>
              <w:rPr>
                <w:rFonts w:ascii="Arial" w:cs="Arial" w:eastAsia="Arial" w:hAnsi="Arial"/>
                <w:sz w:val="14"/>
                <w:szCs w:val="14"/>
                <w:color w:val="auto"/>
              </w:rPr>
              <w:t>Paid Per Share (b)</w:t>
            </w:r>
          </w:p>
        </w:tc>
        <w:tc>
          <w:tcPr>
            <w:tcW w:w="1440" w:type="dxa"/>
            <w:vAlign w:val="bottom"/>
            <w:gridSpan w:val="2"/>
          </w:tcPr>
          <w:p>
            <w:pPr>
              <w:jc w:val="center"/>
              <w:ind w:right="320"/>
              <w:spacing w:after="0" w:line="146" w:lineRule="exact"/>
              <w:rPr>
                <w:sz w:val="20"/>
                <w:szCs w:val="20"/>
                <w:color w:val="auto"/>
              </w:rPr>
            </w:pPr>
            <w:r>
              <w:rPr>
                <w:rFonts w:ascii="Arial" w:cs="Arial" w:eastAsia="Arial" w:hAnsi="Arial"/>
                <w:sz w:val="14"/>
                <w:szCs w:val="14"/>
                <w:color w:val="auto"/>
                <w:w w:val="86"/>
              </w:rPr>
              <w:t>or Programs (c)</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40"/>
              <w:spacing w:after="0" w:line="146" w:lineRule="exact"/>
              <w:rPr>
                <w:sz w:val="20"/>
                <w:szCs w:val="20"/>
                <w:color w:val="auto"/>
              </w:rPr>
            </w:pPr>
            <w:r>
              <w:rPr>
                <w:rFonts w:ascii="Arial" w:cs="Arial" w:eastAsia="Arial" w:hAnsi="Arial"/>
                <w:sz w:val="14"/>
                <w:szCs w:val="14"/>
                <w:color w:val="auto"/>
                <w:w w:val="85"/>
              </w:rPr>
              <w:t>Programs</w:t>
            </w:r>
          </w:p>
        </w:tc>
        <w:tc>
          <w:tcPr>
            <w:tcW w:w="0" w:type="dxa"/>
            <w:vAlign w:val="bottom"/>
          </w:tcPr>
          <w:p>
            <w:pPr>
              <w:spacing w:after="0"/>
              <w:rPr>
                <w:sz w:val="1"/>
                <w:szCs w:val="1"/>
                <w:color w:val="auto"/>
              </w:rPr>
            </w:pPr>
          </w:p>
        </w:tc>
      </w:tr>
      <w:tr>
        <w:trPr>
          <w:trHeight w:val="203"/>
        </w:trPr>
        <w:tc>
          <w:tcPr>
            <w:tcW w:w="5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October 30, 2011 through November 26, 2011</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443,678</w:t>
            </w: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35.43</w:t>
            </w:r>
          </w:p>
        </w:tc>
        <w:tc>
          <w:tcPr>
            <w:tcW w:w="6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440,414</w:t>
            </w: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705,791,814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November 27, 2011 through December 31, 2011</w:t>
            </w:r>
          </w:p>
        </w:tc>
        <w:tc>
          <w:tcPr>
            <w:tcW w:w="1140" w:type="dxa"/>
            <w:vAlign w:val="bottom"/>
          </w:tcPr>
          <w:p>
            <w:pPr>
              <w:jc w:val="right"/>
              <w:spacing w:after="0"/>
              <w:rPr>
                <w:sz w:val="20"/>
                <w:szCs w:val="20"/>
                <w:color w:val="auto"/>
              </w:rPr>
            </w:pPr>
            <w:r>
              <w:rPr>
                <w:rFonts w:ascii="Arial" w:cs="Arial" w:eastAsia="Arial" w:hAnsi="Arial"/>
                <w:sz w:val="18"/>
                <w:szCs w:val="18"/>
                <w:color w:val="auto"/>
              </w:rPr>
              <w:t>384,958</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rPr>
              <w:t>34.93</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382,418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692,343,721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2012 through February 4, 2012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1,264,936</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38.91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1,264,720</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643,130,480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4700" w:type="dxa"/>
            <w:vAlign w:val="bottom"/>
          </w:tcPr>
          <w:p>
            <w:pPr>
              <w:ind w:left="60"/>
              <w:spacing w:after="0"/>
              <w:rPr>
                <w:sz w:val="20"/>
                <w:szCs w:val="20"/>
                <w:color w:val="auto"/>
              </w:rPr>
            </w:pPr>
            <w:r>
              <w:rPr>
                <w:rFonts w:ascii="Arial" w:cs="Arial" w:eastAsia="Arial" w:hAnsi="Arial"/>
                <w:sz w:val="18"/>
                <w:szCs w:val="18"/>
                <w:color w:val="auto"/>
              </w:rPr>
              <w:t>Total</w:t>
            </w:r>
          </w:p>
        </w:tc>
        <w:tc>
          <w:tcPr>
            <w:tcW w:w="1140" w:type="dxa"/>
            <w:vAlign w:val="bottom"/>
          </w:tcPr>
          <w:p>
            <w:pPr>
              <w:jc w:val="right"/>
              <w:spacing w:after="0"/>
              <w:rPr>
                <w:sz w:val="20"/>
                <w:szCs w:val="20"/>
                <w:color w:val="auto"/>
              </w:rPr>
            </w:pPr>
            <w:r>
              <w:rPr>
                <w:rFonts w:ascii="Arial" w:cs="Arial" w:eastAsia="Arial" w:hAnsi="Arial"/>
                <w:sz w:val="18"/>
                <w:szCs w:val="18"/>
                <w:color w:val="auto"/>
              </w:rPr>
              <w:t>2,093,572</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rPr>
              <w:t>37.44</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2,087,552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643,130,480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40" w:hanging="452"/>
        <w:spacing w:after="0" w:line="25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6,020 shares paid to us by employees to satisfy employee tax obligations upon vesting of restricted stock units granted to our employees under our equity compensation plans.</w:t>
      </w: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average price paid per share of stock repurchased under the stock repurchase program includes the commissions paid to the brokers.</w:t>
      </w:r>
    </w:p>
    <w:p>
      <w:pPr>
        <w:spacing w:after="0" w:line="32" w:lineRule="exact"/>
        <w:rPr>
          <w:rFonts w:ascii="Arial" w:cs="Arial" w:eastAsia="Arial" w:hAnsi="Arial"/>
          <w:sz w:val="16"/>
          <w:szCs w:val="16"/>
          <w:color w:val="auto"/>
        </w:rPr>
      </w:pPr>
    </w:p>
    <w:p>
      <w:pPr>
        <w:ind w:left="460" w:right="220" w:hanging="452"/>
        <w:spacing w:after="0" w:line="295"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Shares repurchased pursuant to the stock repurchase program publicly announced on August 12, 2004. In the aggregate, our Board of Directors has authorized us to repurchase $5 billion of our common stock. Under the repurchase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for repurchase under the repurchase program.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exhibits listed in the Exhibit Index immediately preceding the exhibits are filed as part of this Quarterly Report on Form 10-Q and such Exhibit Index is incorporated herein by reference.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42" w:name="page43"/>
    <w:bookmarkEnd w:id="42"/>
    <w:p>
      <w:pPr>
        <w:jc w:val="center"/>
        <w:ind w:right="-4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940"/>
          </w:cols>
          <w:pgMar w:left="240" w:top="274"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February 22,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February 22, 2012</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  /s/ 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10795</wp:posOffset>
            </wp:positionV>
            <wp:extent cx="32588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Jerald G. Fishman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right"/>
        <w:ind w:right="2600"/>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  /s/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10795</wp:posOffset>
            </wp:positionV>
            <wp:extent cx="32588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David A. Zinsner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and Chief Financial Officer</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(Principal Financial Officer)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42</w:t>
      </w:r>
    </w:p>
    <w:p>
      <w:pPr>
        <w:sectPr>
          <w:pgSz w:w="11900" w:h="16838" w:orient="portrait"/>
          <w:cols w:equalWidth="0" w:num="2">
            <w:col w:w="4900" w:space="720"/>
            <w:col w:w="5320"/>
          </w:cols>
          <w:pgMar w:left="240" w:top="274" w:right="719" w:bottom="1440" w:gutter="0" w:footer="0" w:header="0"/>
          <w:type w:val="continuous"/>
        </w:sectPr>
      </w:pPr>
    </w:p>
    <w:bookmarkStart w:id="43" w:name="page44"/>
    <w:bookmarkEnd w:id="43"/>
    <w:tbl>
      <w:tblPr>
        <w:tblLayout w:type="fixed"/>
        <w:tblInd w:w="10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5920" w:type="dxa"/>
            <w:vAlign w:val="bottom"/>
            <w:gridSpan w:val="4"/>
          </w:tcPr>
          <w:p>
            <w:pPr>
              <w:spacing w:after="0"/>
              <w:rPr>
                <w:sz w:val="20"/>
                <w:szCs w:val="20"/>
                <w:color w:val="auto"/>
              </w:rPr>
            </w:pPr>
            <w:r>
              <w:rPr>
                <w:rFonts w:ascii="Arial" w:cs="Arial" w:eastAsia="Arial" w:hAnsi="Arial"/>
                <w:sz w:val="18"/>
                <w:szCs w:val="18"/>
                <w:b w:val="1"/>
                <w:bCs w:val="1"/>
                <w:color w:val="auto"/>
              </w:rPr>
              <w:t>Exhibit Index</w:t>
            </w:r>
          </w:p>
        </w:tc>
      </w:tr>
      <w:tr>
        <w:trPr>
          <w:trHeight w:val="359"/>
        </w:trPr>
        <w:tc>
          <w:tcPr>
            <w:tcW w:w="80" w:type="dxa"/>
            <w:vAlign w:val="bottom"/>
          </w:tcPr>
          <w:p>
            <w:pPr>
              <w:spacing w:after="0"/>
              <w:rPr>
                <w:sz w:val="24"/>
                <w:szCs w:val="24"/>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Exhibit</w:t>
            </w:r>
          </w:p>
        </w:tc>
        <w:tc>
          <w:tcPr>
            <w:tcW w:w="42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181"/>
        </w:trPr>
        <w:tc>
          <w:tcPr>
            <w:tcW w:w="80" w:type="dxa"/>
            <w:vAlign w:val="bottom"/>
          </w:tcPr>
          <w:p>
            <w:pPr>
              <w:spacing w:after="0"/>
              <w:rPr>
                <w:sz w:val="15"/>
                <w:szCs w:val="15"/>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36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Description</w:t>
            </w:r>
          </w:p>
        </w:tc>
        <w:tc>
          <w:tcPr>
            <w:tcW w:w="4420" w:type="dxa"/>
            <w:vAlign w:val="bottom"/>
          </w:tcPr>
          <w:p>
            <w:pPr>
              <w:spacing w:after="0"/>
              <w:rPr>
                <w:sz w:val="15"/>
                <w:szCs w:val="15"/>
                <w:color w:val="auto"/>
              </w:rPr>
            </w:pPr>
          </w:p>
        </w:tc>
      </w:tr>
      <w:tr>
        <w:trPr>
          <w:trHeight w:val="209"/>
        </w:trPr>
        <w:tc>
          <w:tcPr>
            <w:tcW w:w="900" w:type="dxa"/>
            <w:vAlign w:val="bottom"/>
            <w:gridSpan w:val="3"/>
          </w:tcPr>
          <w:p>
            <w:pPr>
              <w:jc w:val="center"/>
              <w:ind w:right="340"/>
              <w:spacing w:after="0" w:line="202" w:lineRule="exact"/>
              <w:rPr>
                <w:sz w:val="20"/>
                <w:szCs w:val="20"/>
                <w:color w:val="auto"/>
              </w:rPr>
            </w:pPr>
            <w:r>
              <w:rPr>
                <w:rFonts w:ascii="Arial" w:cs="Arial" w:eastAsia="Arial" w:hAnsi="Arial"/>
                <w:sz w:val="18"/>
                <w:szCs w:val="18"/>
                <w:color w:val="auto"/>
                <w:w w:val="88"/>
              </w:rPr>
              <w:t>10.1†</w:t>
            </w:r>
          </w:p>
        </w:tc>
        <w:tc>
          <w:tcPr>
            <w:tcW w:w="5700" w:type="dxa"/>
            <w:vAlign w:val="bottom"/>
            <w:gridSpan w:val="4"/>
          </w:tcPr>
          <w:p>
            <w:pPr>
              <w:ind w:left="260"/>
              <w:spacing w:after="0"/>
              <w:rPr>
                <w:sz w:val="20"/>
                <w:szCs w:val="20"/>
                <w:color w:val="auto"/>
              </w:rPr>
            </w:pPr>
            <w:r>
              <w:rPr>
                <w:rFonts w:ascii="Arial" w:cs="Arial" w:eastAsia="Arial" w:hAnsi="Arial"/>
                <w:sz w:val="18"/>
                <w:szCs w:val="18"/>
                <w:color w:val="auto"/>
                <w:w w:val="95"/>
              </w:rPr>
              <w:t>2012 Executive Performance Incentive Plan, as amended and restated.</w:t>
            </w:r>
          </w:p>
        </w:tc>
        <w:tc>
          <w:tcPr>
            <w:tcW w:w="4420" w:type="dxa"/>
            <w:vAlign w:val="bottom"/>
          </w:tcPr>
          <w:p>
            <w:pPr>
              <w:spacing w:after="0"/>
              <w:rPr>
                <w:sz w:val="18"/>
                <w:szCs w:val="18"/>
                <w:color w:val="auto"/>
              </w:rPr>
            </w:pPr>
          </w:p>
        </w:tc>
      </w:tr>
      <w:tr>
        <w:trPr>
          <w:trHeight w:val="309"/>
        </w:trPr>
        <w:tc>
          <w:tcPr>
            <w:tcW w:w="900" w:type="dxa"/>
            <w:vAlign w:val="bottom"/>
            <w:gridSpan w:val="3"/>
          </w:tcPr>
          <w:p>
            <w:pPr>
              <w:jc w:val="center"/>
              <w:ind w:right="340"/>
              <w:spacing w:after="0"/>
              <w:rPr>
                <w:sz w:val="20"/>
                <w:szCs w:val="20"/>
                <w:color w:val="auto"/>
              </w:rPr>
            </w:pPr>
            <w:r>
              <w:rPr>
                <w:rFonts w:ascii="Arial" w:cs="Arial" w:eastAsia="Arial" w:hAnsi="Arial"/>
                <w:sz w:val="18"/>
                <w:szCs w:val="18"/>
                <w:color w:val="auto"/>
                <w:w w:val="88"/>
              </w:rPr>
              <w:t>31.1†</w:t>
            </w:r>
          </w:p>
        </w:tc>
        <w:tc>
          <w:tcPr>
            <w:tcW w:w="10120" w:type="dxa"/>
            <w:vAlign w:val="bottom"/>
            <w:gridSpan w:val="5"/>
          </w:tcPr>
          <w:p>
            <w:pPr>
              <w:ind w:left="260"/>
              <w:spacing w:after="0"/>
              <w:rPr>
                <w:sz w:val="20"/>
                <w:szCs w:val="20"/>
                <w:color w:val="auto"/>
              </w:rPr>
            </w:pPr>
            <w:r>
              <w:rPr>
                <w:rFonts w:ascii="Arial" w:cs="Arial" w:eastAsia="Arial" w:hAnsi="Arial"/>
                <w:sz w:val="18"/>
                <w:szCs w:val="18"/>
                <w:color w:val="auto"/>
                <w:w w:val="87"/>
              </w:rPr>
              <w:t>Certification Pursuant to Rule 13a-14(a) and 15d-14(a) of the Securities Exchange Act, as Adopted Pursuant to Section 302 of the Sarbanes-</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120" w:type="dxa"/>
            <w:vAlign w:val="bottom"/>
            <w:gridSpan w:val="5"/>
          </w:tcPr>
          <w:p>
            <w:pPr>
              <w:ind w:left="260"/>
              <w:spacing w:after="0"/>
              <w:rPr>
                <w:sz w:val="20"/>
                <w:szCs w:val="20"/>
                <w:color w:val="auto"/>
              </w:rPr>
            </w:pPr>
            <w:r>
              <w:rPr>
                <w:rFonts w:ascii="Arial" w:cs="Arial" w:eastAsia="Arial" w:hAnsi="Arial"/>
                <w:sz w:val="18"/>
                <w:szCs w:val="18"/>
                <w:color w:val="auto"/>
              </w:rPr>
              <w:t>Oxley Act of 2002 (Chief Executive Officer).</w:t>
            </w:r>
          </w:p>
        </w:tc>
      </w:tr>
      <w:tr>
        <w:trPr>
          <w:trHeight w:val="318"/>
        </w:trPr>
        <w:tc>
          <w:tcPr>
            <w:tcW w:w="900" w:type="dxa"/>
            <w:vAlign w:val="bottom"/>
            <w:gridSpan w:val="3"/>
          </w:tcPr>
          <w:p>
            <w:pPr>
              <w:jc w:val="center"/>
              <w:ind w:right="340"/>
              <w:spacing w:after="0"/>
              <w:rPr>
                <w:sz w:val="20"/>
                <w:szCs w:val="20"/>
                <w:color w:val="auto"/>
              </w:rPr>
            </w:pPr>
            <w:r>
              <w:rPr>
                <w:rFonts w:ascii="Arial" w:cs="Arial" w:eastAsia="Arial" w:hAnsi="Arial"/>
                <w:sz w:val="18"/>
                <w:szCs w:val="18"/>
                <w:color w:val="auto"/>
                <w:w w:val="88"/>
              </w:rPr>
              <w:t>31.2†</w:t>
            </w:r>
          </w:p>
        </w:tc>
        <w:tc>
          <w:tcPr>
            <w:tcW w:w="10120" w:type="dxa"/>
            <w:vAlign w:val="bottom"/>
            <w:gridSpan w:val="5"/>
          </w:tcPr>
          <w:p>
            <w:pPr>
              <w:ind w:left="260"/>
              <w:spacing w:after="0"/>
              <w:rPr>
                <w:sz w:val="20"/>
                <w:szCs w:val="20"/>
                <w:color w:val="auto"/>
              </w:rPr>
            </w:pPr>
            <w:r>
              <w:rPr>
                <w:rFonts w:ascii="Arial" w:cs="Arial" w:eastAsia="Arial" w:hAnsi="Arial"/>
                <w:sz w:val="18"/>
                <w:szCs w:val="18"/>
                <w:color w:val="auto"/>
                <w:w w:val="87"/>
              </w:rPr>
              <w:t>Certification Pursuant to Rule 13a-14(a) and 15d-14(a) of the Securities Exchange Act, as Adopted Pursuant to Section 302 of the Sarbanes-</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120" w:type="dxa"/>
            <w:vAlign w:val="bottom"/>
            <w:gridSpan w:val="5"/>
          </w:tcPr>
          <w:p>
            <w:pPr>
              <w:ind w:left="260"/>
              <w:spacing w:after="0"/>
              <w:rPr>
                <w:sz w:val="20"/>
                <w:szCs w:val="20"/>
                <w:color w:val="auto"/>
              </w:rPr>
            </w:pPr>
            <w:r>
              <w:rPr>
                <w:rFonts w:ascii="Arial" w:cs="Arial" w:eastAsia="Arial" w:hAnsi="Arial"/>
                <w:sz w:val="18"/>
                <w:szCs w:val="18"/>
                <w:color w:val="auto"/>
              </w:rPr>
              <w:t>Oxley Act of 2002 (Chief Financial Officer).</w:t>
            </w:r>
          </w:p>
        </w:tc>
      </w:tr>
      <w:tr>
        <w:trPr>
          <w:trHeight w:val="324"/>
        </w:trPr>
        <w:tc>
          <w:tcPr>
            <w:tcW w:w="900" w:type="dxa"/>
            <w:vAlign w:val="bottom"/>
            <w:gridSpan w:val="3"/>
          </w:tcPr>
          <w:p>
            <w:pPr>
              <w:jc w:val="center"/>
              <w:ind w:right="340"/>
              <w:spacing w:after="0"/>
              <w:rPr>
                <w:sz w:val="20"/>
                <w:szCs w:val="20"/>
                <w:color w:val="auto"/>
              </w:rPr>
            </w:pPr>
            <w:r>
              <w:rPr>
                <w:rFonts w:ascii="Arial" w:cs="Arial" w:eastAsia="Arial" w:hAnsi="Arial"/>
                <w:sz w:val="18"/>
                <w:szCs w:val="18"/>
                <w:color w:val="auto"/>
                <w:w w:val="88"/>
              </w:rPr>
              <w:t>32.1†</w:t>
            </w:r>
          </w:p>
        </w:tc>
        <w:tc>
          <w:tcPr>
            <w:tcW w:w="10120" w:type="dxa"/>
            <w:vAlign w:val="bottom"/>
            <w:gridSpan w:val="5"/>
          </w:tcPr>
          <w:p>
            <w:pPr>
              <w:ind w:left="260"/>
              <w:spacing w:after="0"/>
              <w:rPr>
                <w:sz w:val="20"/>
                <w:szCs w:val="20"/>
                <w:color w:val="auto"/>
              </w:rPr>
            </w:pPr>
            <w:r>
              <w:rPr>
                <w:rFonts w:ascii="Arial" w:cs="Arial" w:eastAsia="Arial" w:hAnsi="Arial"/>
                <w:sz w:val="18"/>
                <w:szCs w:val="18"/>
                <w:color w:val="auto"/>
              </w:rPr>
              <w:t>Certification Pursuant to 18 U.S.C. Section 1350 (Chief Executive Officer).</w:t>
            </w:r>
          </w:p>
        </w:tc>
      </w:tr>
      <w:tr>
        <w:trPr>
          <w:trHeight w:val="324"/>
        </w:trPr>
        <w:tc>
          <w:tcPr>
            <w:tcW w:w="900" w:type="dxa"/>
            <w:vAlign w:val="bottom"/>
            <w:gridSpan w:val="3"/>
          </w:tcPr>
          <w:p>
            <w:pPr>
              <w:jc w:val="center"/>
              <w:ind w:right="340"/>
              <w:spacing w:after="0"/>
              <w:rPr>
                <w:sz w:val="20"/>
                <w:szCs w:val="20"/>
                <w:color w:val="auto"/>
              </w:rPr>
            </w:pPr>
            <w:r>
              <w:rPr>
                <w:rFonts w:ascii="Arial" w:cs="Arial" w:eastAsia="Arial" w:hAnsi="Arial"/>
                <w:sz w:val="18"/>
                <w:szCs w:val="18"/>
                <w:color w:val="auto"/>
                <w:w w:val="88"/>
              </w:rPr>
              <w:t>32.2†</w:t>
            </w:r>
          </w:p>
        </w:tc>
        <w:tc>
          <w:tcPr>
            <w:tcW w:w="10120" w:type="dxa"/>
            <w:vAlign w:val="bottom"/>
            <w:gridSpan w:val="5"/>
          </w:tcPr>
          <w:p>
            <w:pPr>
              <w:ind w:left="260"/>
              <w:spacing w:after="0"/>
              <w:rPr>
                <w:sz w:val="20"/>
                <w:szCs w:val="20"/>
                <w:color w:val="auto"/>
              </w:rPr>
            </w:pPr>
            <w:r>
              <w:rPr>
                <w:rFonts w:ascii="Arial" w:cs="Arial" w:eastAsia="Arial" w:hAnsi="Arial"/>
                <w:sz w:val="18"/>
                <w:szCs w:val="18"/>
                <w:color w:val="auto"/>
              </w:rPr>
              <w:t>Certification Pursuant to 18 U.S.C. Section 1350 (Chief Financial Officer).</w:t>
            </w:r>
          </w:p>
        </w:tc>
      </w:tr>
      <w:tr>
        <w:trPr>
          <w:trHeight w:val="324"/>
        </w:trPr>
        <w:tc>
          <w:tcPr>
            <w:tcW w:w="900" w:type="dxa"/>
            <w:vAlign w:val="bottom"/>
            <w:gridSpan w:val="3"/>
          </w:tcPr>
          <w:p>
            <w:pPr>
              <w:jc w:val="center"/>
              <w:ind w:right="320"/>
              <w:spacing w:after="0"/>
              <w:rPr>
                <w:sz w:val="20"/>
                <w:szCs w:val="20"/>
                <w:color w:val="auto"/>
              </w:rPr>
            </w:pPr>
            <w:r>
              <w:rPr>
                <w:rFonts w:ascii="Arial" w:cs="Arial" w:eastAsia="Arial" w:hAnsi="Arial"/>
                <w:sz w:val="18"/>
                <w:szCs w:val="18"/>
                <w:color w:val="auto"/>
                <w:w w:val="89"/>
              </w:rPr>
              <w:t>101.INS</w:t>
            </w:r>
          </w:p>
        </w:tc>
        <w:tc>
          <w:tcPr>
            <w:tcW w:w="10120" w:type="dxa"/>
            <w:vAlign w:val="bottom"/>
            <w:gridSpan w:val="5"/>
          </w:tcPr>
          <w:p>
            <w:pPr>
              <w:ind w:left="260"/>
              <w:spacing w:after="0"/>
              <w:rPr>
                <w:sz w:val="20"/>
                <w:szCs w:val="20"/>
                <w:color w:val="auto"/>
              </w:rPr>
            </w:pPr>
            <w:r>
              <w:rPr>
                <w:rFonts w:ascii="Arial" w:cs="Arial" w:eastAsia="Arial" w:hAnsi="Arial"/>
                <w:sz w:val="18"/>
                <w:szCs w:val="18"/>
                <w:color w:val="auto"/>
              </w:rPr>
              <w:t>XBRL Instance Document.**</w:t>
            </w:r>
          </w:p>
        </w:tc>
      </w:tr>
      <w:tr>
        <w:trPr>
          <w:trHeight w:val="324"/>
        </w:trPr>
        <w:tc>
          <w:tcPr>
            <w:tcW w:w="900" w:type="dxa"/>
            <w:vAlign w:val="bottom"/>
            <w:gridSpan w:val="3"/>
          </w:tcPr>
          <w:p>
            <w:pPr>
              <w:jc w:val="center"/>
              <w:ind w:right="260"/>
              <w:spacing w:after="0"/>
              <w:rPr>
                <w:sz w:val="20"/>
                <w:szCs w:val="20"/>
                <w:color w:val="auto"/>
              </w:rPr>
            </w:pPr>
            <w:r>
              <w:rPr>
                <w:rFonts w:ascii="Arial" w:cs="Arial" w:eastAsia="Arial" w:hAnsi="Arial"/>
                <w:sz w:val="18"/>
                <w:szCs w:val="18"/>
                <w:color w:val="auto"/>
                <w:w w:val="87"/>
              </w:rPr>
              <w:t>101.SCH</w:t>
            </w:r>
          </w:p>
        </w:tc>
        <w:tc>
          <w:tcPr>
            <w:tcW w:w="10120" w:type="dxa"/>
            <w:vAlign w:val="bottom"/>
            <w:gridSpan w:val="5"/>
          </w:tcPr>
          <w:p>
            <w:pPr>
              <w:ind w:left="260"/>
              <w:spacing w:after="0"/>
              <w:rPr>
                <w:sz w:val="20"/>
                <w:szCs w:val="20"/>
                <w:color w:val="auto"/>
              </w:rPr>
            </w:pPr>
            <w:r>
              <w:rPr>
                <w:rFonts w:ascii="Arial" w:cs="Arial" w:eastAsia="Arial" w:hAnsi="Arial"/>
                <w:sz w:val="18"/>
                <w:szCs w:val="18"/>
                <w:color w:val="auto"/>
              </w:rPr>
              <w:t>XBRL Schema Document.**</w:t>
            </w:r>
          </w:p>
        </w:tc>
      </w:tr>
      <w:tr>
        <w:trPr>
          <w:trHeight w:val="324"/>
        </w:trPr>
        <w:tc>
          <w:tcPr>
            <w:tcW w:w="900" w:type="dxa"/>
            <w:vAlign w:val="bottom"/>
            <w:gridSpan w:val="3"/>
          </w:tcPr>
          <w:p>
            <w:pPr>
              <w:jc w:val="center"/>
              <w:ind w:right="240"/>
              <w:spacing w:after="0"/>
              <w:rPr>
                <w:sz w:val="20"/>
                <w:szCs w:val="20"/>
                <w:color w:val="auto"/>
              </w:rPr>
            </w:pPr>
            <w:r>
              <w:rPr>
                <w:rFonts w:ascii="Arial" w:cs="Arial" w:eastAsia="Arial" w:hAnsi="Arial"/>
                <w:sz w:val="18"/>
                <w:szCs w:val="18"/>
                <w:color w:val="auto"/>
                <w:w w:val="94"/>
              </w:rPr>
              <w:t>101.CAL</w:t>
            </w:r>
          </w:p>
        </w:tc>
        <w:tc>
          <w:tcPr>
            <w:tcW w:w="10120" w:type="dxa"/>
            <w:vAlign w:val="bottom"/>
            <w:gridSpan w:val="5"/>
          </w:tcPr>
          <w:p>
            <w:pPr>
              <w:ind w:left="260"/>
              <w:spacing w:after="0"/>
              <w:rPr>
                <w:sz w:val="20"/>
                <w:szCs w:val="20"/>
                <w:color w:val="auto"/>
              </w:rPr>
            </w:pPr>
            <w:r>
              <w:rPr>
                <w:rFonts w:ascii="Arial" w:cs="Arial" w:eastAsia="Arial" w:hAnsi="Arial"/>
                <w:sz w:val="18"/>
                <w:szCs w:val="18"/>
                <w:color w:val="auto"/>
              </w:rPr>
              <w:t>XBRL Calculation Linkbase Document.**</w:t>
            </w:r>
          </w:p>
        </w:tc>
      </w:tr>
      <w:tr>
        <w:trPr>
          <w:trHeight w:val="324"/>
        </w:trPr>
        <w:tc>
          <w:tcPr>
            <w:tcW w:w="900" w:type="dxa"/>
            <w:vAlign w:val="bottom"/>
            <w:gridSpan w:val="3"/>
          </w:tcPr>
          <w:p>
            <w:pPr>
              <w:jc w:val="center"/>
              <w:ind w:right="240"/>
              <w:spacing w:after="0"/>
              <w:rPr>
                <w:sz w:val="20"/>
                <w:szCs w:val="20"/>
                <w:color w:val="auto"/>
              </w:rPr>
            </w:pPr>
            <w:r>
              <w:rPr>
                <w:rFonts w:ascii="Arial" w:cs="Arial" w:eastAsia="Arial" w:hAnsi="Arial"/>
                <w:sz w:val="18"/>
                <w:szCs w:val="18"/>
                <w:color w:val="auto"/>
                <w:w w:val="95"/>
              </w:rPr>
              <w:t>101.LAB</w:t>
            </w:r>
          </w:p>
        </w:tc>
        <w:tc>
          <w:tcPr>
            <w:tcW w:w="10120" w:type="dxa"/>
            <w:vAlign w:val="bottom"/>
            <w:gridSpan w:val="5"/>
          </w:tcPr>
          <w:p>
            <w:pPr>
              <w:ind w:left="260"/>
              <w:spacing w:after="0"/>
              <w:rPr>
                <w:sz w:val="20"/>
                <w:szCs w:val="20"/>
                <w:color w:val="auto"/>
              </w:rPr>
            </w:pPr>
            <w:r>
              <w:rPr>
                <w:rFonts w:ascii="Arial" w:cs="Arial" w:eastAsia="Arial" w:hAnsi="Arial"/>
                <w:sz w:val="18"/>
                <w:szCs w:val="18"/>
                <w:color w:val="auto"/>
              </w:rPr>
              <w:t>XBRL Labels Linkbase Document.**</w:t>
            </w:r>
          </w:p>
        </w:tc>
      </w:tr>
      <w:tr>
        <w:trPr>
          <w:trHeight w:val="324"/>
        </w:trPr>
        <w:tc>
          <w:tcPr>
            <w:tcW w:w="900" w:type="dxa"/>
            <w:vAlign w:val="bottom"/>
            <w:gridSpan w:val="3"/>
          </w:tcPr>
          <w:p>
            <w:pPr>
              <w:jc w:val="center"/>
              <w:ind w:right="280"/>
              <w:spacing w:after="0"/>
              <w:rPr>
                <w:sz w:val="20"/>
                <w:szCs w:val="20"/>
                <w:color w:val="auto"/>
              </w:rPr>
            </w:pPr>
            <w:r>
              <w:rPr>
                <w:rFonts w:ascii="Arial" w:cs="Arial" w:eastAsia="Arial" w:hAnsi="Arial"/>
                <w:sz w:val="18"/>
                <w:szCs w:val="18"/>
                <w:color w:val="auto"/>
                <w:w w:val="85"/>
              </w:rPr>
              <w:t>101.PRE</w:t>
            </w:r>
          </w:p>
        </w:tc>
        <w:tc>
          <w:tcPr>
            <w:tcW w:w="10120" w:type="dxa"/>
            <w:vAlign w:val="bottom"/>
            <w:gridSpan w:val="5"/>
          </w:tcPr>
          <w:p>
            <w:pPr>
              <w:ind w:left="260"/>
              <w:spacing w:after="0"/>
              <w:rPr>
                <w:sz w:val="20"/>
                <w:szCs w:val="20"/>
                <w:color w:val="auto"/>
              </w:rPr>
            </w:pPr>
            <w:r>
              <w:rPr>
                <w:rFonts w:ascii="Arial" w:cs="Arial" w:eastAsia="Arial" w:hAnsi="Arial"/>
                <w:sz w:val="18"/>
                <w:szCs w:val="18"/>
                <w:color w:val="auto"/>
              </w:rPr>
              <w:t>XBRL Presentation Linkbase Document.**</w:t>
            </w:r>
          </w:p>
        </w:tc>
      </w:tr>
      <w:tr>
        <w:trPr>
          <w:trHeight w:val="324"/>
        </w:trPr>
        <w:tc>
          <w:tcPr>
            <w:tcW w:w="90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101.DEF</w:t>
            </w:r>
          </w:p>
        </w:tc>
        <w:tc>
          <w:tcPr>
            <w:tcW w:w="10120" w:type="dxa"/>
            <w:vAlign w:val="bottom"/>
            <w:gridSpan w:val="5"/>
          </w:tcPr>
          <w:p>
            <w:pPr>
              <w:ind w:left="260"/>
              <w:spacing w:after="0"/>
              <w:rPr>
                <w:sz w:val="20"/>
                <w:szCs w:val="20"/>
                <w:color w:val="auto"/>
              </w:rPr>
            </w:pPr>
            <w:r>
              <w:rPr>
                <w:rFonts w:ascii="Arial" w:cs="Arial" w:eastAsia="Arial" w:hAnsi="Arial"/>
                <w:sz w:val="18"/>
                <w:szCs w:val="18"/>
                <w:color w:val="auto"/>
              </w:rPr>
              <w:t>XBRL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15"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Attached as Exhibit 101 to this report are the following formatted in XBRL (Extensible Business Reporting Language): (i) Condensed Consolidated Statements of Income for the three months ended February 4, 2012 and January 29, 2011, (ii) Condensed Consolidated Balance Sheets at February 4, 2012 and October 29, 2011, (iii) Condensed Consolidated Statements of Cash Flows for the three months ended February 4, 2012 and January 29, 2011 and (iv) Notes to Condensed Consolidated Financial Statements.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57"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2012 Executive Performance Incentive Plan</w:t>
      </w:r>
    </w:p>
    <w:p>
      <w:pPr>
        <w:spacing w:after="0" w:line="1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September 13, 2011, the Compensation Committee of the Board of Directors of Analog Devices, Inc. (the “Company”) approved the terms of the 2012 Executive Performance Incentive Plan (the “Executive Performance Incentive Plan”). All executive officers and other senior management selected by the Chief Executive Officer will participate in the Executive Performance Incentive Plan. Bonus payments under the Executive Performance Incentive Plan are calculated and paid as follows:</w:t>
      </w:r>
    </w:p>
    <w:p>
      <w:pPr>
        <w:spacing w:after="0" w:line="143" w:lineRule="exact"/>
        <w:rPr>
          <w:sz w:val="20"/>
          <w:szCs w:val="20"/>
          <w:color w:val="auto"/>
        </w:rPr>
      </w:pPr>
    </w:p>
    <w:p>
      <w:pPr>
        <w:ind w:left="640" w:hanging="176"/>
        <w:spacing w:after="0"/>
        <w:tabs>
          <w:tab w:leader="none" w:pos="6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Each participant’s Fiscal 2012 Bonus Target is obtained by multiplying his or her Base Salary by his or her Individual Target Bonus Percentage:</w:t>
      </w:r>
    </w:p>
    <w:p>
      <w:pPr>
        <w:spacing w:after="0" w:line="234" w:lineRule="exact"/>
        <w:rPr>
          <w:rFonts w:ascii="Arial" w:cs="Arial" w:eastAsia="Arial" w:hAnsi="Arial"/>
          <w:sz w:val="16"/>
          <w:szCs w:val="16"/>
          <w:color w:val="auto"/>
        </w:rPr>
      </w:pPr>
    </w:p>
    <w:p>
      <w:pPr>
        <w:ind w:left="440" w:hanging="324"/>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 Salary — the individual’s base pay during the applicable bonus period.</w:t>
      </w:r>
    </w:p>
    <w:p>
      <w:pPr>
        <w:spacing w:after="0" w:line="90" w:lineRule="exact"/>
        <w:rPr>
          <w:rFonts w:ascii="Arial" w:cs="Arial" w:eastAsia="Arial" w:hAnsi="Arial"/>
          <w:sz w:val="18"/>
          <w:szCs w:val="18"/>
          <w:color w:val="auto"/>
        </w:rPr>
      </w:pPr>
    </w:p>
    <w:p>
      <w:pPr>
        <w:ind w:left="440" w:right="420" w:hanging="324"/>
        <w:spacing w:after="0" w:line="268"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Individual Target Bonus Percentage — a percentage of the individual’s Base Salary, determined individually for each participant by the Compensation Committee and ranging from 50% to 160%.</w:t>
      </w:r>
    </w:p>
    <w:p>
      <w:pPr>
        <w:spacing w:after="0" w:line="131" w:lineRule="exact"/>
        <w:rPr>
          <w:rFonts w:ascii="Arial" w:cs="Arial" w:eastAsia="Arial" w:hAnsi="Arial"/>
          <w:sz w:val="18"/>
          <w:szCs w:val="18"/>
          <w:color w:val="auto"/>
        </w:rPr>
      </w:pPr>
    </w:p>
    <w:p>
      <w:pPr>
        <w:ind w:firstLine="464"/>
        <w:spacing w:after="0" w:line="305" w:lineRule="auto"/>
        <w:tabs>
          <w:tab w:leader="none" w:pos="632" w:val="left"/>
        </w:tabs>
        <w:numPr>
          <w:ilvl w:val="1"/>
          <w:numId w:val="21"/>
        </w:numPr>
        <w:rPr>
          <w:rFonts w:ascii="Arial" w:cs="Arial" w:eastAsia="Arial" w:hAnsi="Arial"/>
          <w:sz w:val="15"/>
          <w:szCs w:val="15"/>
          <w:color w:val="auto"/>
        </w:rPr>
      </w:pPr>
      <w:r>
        <w:rPr>
          <w:rFonts w:ascii="Arial" w:cs="Arial" w:eastAsia="Arial" w:hAnsi="Arial"/>
          <w:sz w:val="15"/>
          <w:szCs w:val="15"/>
          <w:color w:val="auto"/>
        </w:rPr>
        <w:t>Each participant’s Fiscal 2012 Bonus Target is then multiplied by the Bonus Payout Factor. The Bonus Payout Factor is equal to (A) 50% of the Bonus Payout Factor (as shown in the table below) based on the Company’s operating profit before tax (OPBT) as a percentage of revenue for the applicable quarter plus</w:t>
      </w:r>
    </w:p>
    <w:p>
      <w:pPr>
        <w:ind w:right="40"/>
        <w:spacing w:after="0" w:line="292" w:lineRule="auto"/>
        <w:rPr>
          <w:rFonts w:ascii="Arial" w:cs="Arial" w:eastAsia="Arial" w:hAnsi="Arial"/>
          <w:sz w:val="15"/>
          <w:szCs w:val="15"/>
          <w:color w:val="auto"/>
        </w:rPr>
      </w:pPr>
      <w:r>
        <w:rPr>
          <w:rFonts w:ascii="Arial" w:cs="Arial" w:eastAsia="Arial" w:hAnsi="Arial"/>
          <w:sz w:val="16"/>
          <w:szCs w:val="16"/>
          <w:color w:val="auto"/>
        </w:rPr>
        <w:t>(B) 50% of the Bonus Payout Factor (as shown in the table below) based on the Company’s revenue growth for the applicable quarter compared to the same quarter in the prior fiscal year.</w:t>
      </w:r>
      <w:r>
        <w:rPr>
          <w:rFonts w:ascii="Arial" w:cs="Arial" w:eastAsia="Arial" w:hAnsi="Arial"/>
          <w:sz w:val="10"/>
          <w:szCs w:val="10"/>
          <w:color w:val="auto"/>
        </w:rPr>
        <w:t>1</w:t>
      </w:r>
      <w:r>
        <w:rPr>
          <w:rFonts w:ascii="Arial" w:cs="Arial" w:eastAsia="Arial" w:hAnsi="Arial"/>
          <w:sz w:val="16"/>
          <w:szCs w:val="16"/>
          <w:color w:val="auto"/>
        </w:rPr>
        <w:t xml:space="preserve"> The calculations of revenue growth and OPBT as a percentage of revenue are adjustable by the Compensation Committee in its sole discretion to take account of special items, including but not limited to: restructuring-related expense, acquisition- or disposition-related items, non-recurring royalty payments or receipts, and other similar non-cash or non-recurring items. If OPBT is less than 15% of revenue for the applicable quarter, the Bonus Payout Factor shall be zero for that quarter, even if the Company has revenue growth for that quarter. The Bonus Payout Factor can range from 0% to 300%.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 adopted the following Bonus Payout Factor tables under the 2012 Executive Performance Incentive Plan:</w:t>
      </w:r>
    </w:p>
    <w:p>
      <w:pPr>
        <w:spacing w:after="0" w:line="19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200" w:type="dxa"/>
            <w:vAlign w:val="bottom"/>
          </w:tcPr>
          <w:p>
            <w:pPr>
              <w:spacing w:after="0"/>
              <w:rPr>
                <w:sz w:val="20"/>
                <w:szCs w:val="20"/>
                <w:color w:val="auto"/>
              </w:rPr>
            </w:pPr>
            <w:r>
              <w:rPr>
                <w:rFonts w:ascii="Arial" w:cs="Arial" w:eastAsia="Arial" w:hAnsi="Arial"/>
                <w:sz w:val="14"/>
                <w:szCs w:val="14"/>
                <w:color w:val="auto"/>
                <w:w w:val="90"/>
              </w:rPr>
              <w:t>50% of Bonus Based</w:t>
            </w:r>
          </w:p>
        </w:tc>
        <w:tc>
          <w:tcPr>
            <w:tcW w:w="5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59"/>
        </w:trPr>
        <w:tc>
          <w:tcPr>
            <w:tcW w:w="1200" w:type="dxa"/>
            <w:vAlign w:val="bottom"/>
            <w:tcBorders>
              <w:bottom w:val="single" w:sz="8" w:color="auto"/>
            </w:tcBorders>
          </w:tcPr>
          <w:p>
            <w:pPr>
              <w:spacing w:after="0" w:line="139" w:lineRule="exact"/>
              <w:rPr>
                <w:sz w:val="20"/>
                <w:szCs w:val="20"/>
                <w:color w:val="auto"/>
              </w:rPr>
            </w:pPr>
            <w:r>
              <w:rPr>
                <w:rFonts w:ascii="Arial" w:cs="Arial" w:eastAsia="Arial" w:hAnsi="Arial"/>
                <w:sz w:val="14"/>
                <w:szCs w:val="14"/>
                <w:color w:val="auto"/>
              </w:rPr>
              <w:t>on OPBT/Revenue</w:t>
            </w:r>
          </w:p>
        </w:tc>
        <w:tc>
          <w:tcPr>
            <w:tcW w:w="6560" w:type="dxa"/>
            <w:vAlign w:val="bottom"/>
            <w:gridSpan w:val="3"/>
          </w:tcPr>
          <w:p>
            <w:pPr>
              <w:jc w:val="right"/>
              <w:ind w:right="220"/>
              <w:spacing w:after="0" w:line="139" w:lineRule="exact"/>
              <w:rPr>
                <w:sz w:val="20"/>
                <w:szCs w:val="20"/>
                <w:color w:val="auto"/>
              </w:rPr>
            </w:pPr>
            <w:r>
              <w:rPr>
                <w:rFonts w:ascii="Arial" w:cs="Arial" w:eastAsia="Arial" w:hAnsi="Arial"/>
                <w:sz w:val="14"/>
                <w:szCs w:val="14"/>
                <w:color w:val="auto"/>
              </w:rPr>
              <w:t>Bonus Payout Factor</w:t>
            </w:r>
          </w:p>
        </w:tc>
      </w:tr>
      <w:tr>
        <w:trPr>
          <w:trHeight w:val="20"/>
        </w:trPr>
        <w:tc>
          <w:tcPr>
            <w:tcW w:w="1200" w:type="dxa"/>
            <w:vAlign w:val="bottom"/>
            <w:tcBorders>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97"/>
        </w:trPr>
        <w:tc>
          <w:tcPr>
            <w:tcW w:w="1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15%</w:t>
            </w:r>
          </w:p>
        </w:tc>
        <w:tc>
          <w:tcPr>
            <w:tcW w:w="5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22.5%</w:t>
            </w:r>
          </w:p>
        </w:tc>
        <w:tc>
          <w:tcPr>
            <w:tcW w:w="65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6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r>
      <w:tr>
        <w:trPr>
          <w:trHeight w:val="222"/>
        </w:trPr>
        <w:tc>
          <w:tcPr>
            <w:tcW w:w="1200" w:type="dxa"/>
            <w:vAlign w:val="bottom"/>
          </w:tcPr>
          <w:p>
            <w:pPr>
              <w:spacing w:after="0"/>
              <w:rPr>
                <w:sz w:val="20"/>
                <w:szCs w:val="20"/>
                <w:color w:val="auto"/>
              </w:rPr>
            </w:pPr>
            <w:r>
              <w:rPr>
                <w:rFonts w:ascii="Arial" w:cs="Arial" w:eastAsia="Arial" w:hAnsi="Arial"/>
                <w:sz w:val="18"/>
                <w:szCs w:val="18"/>
                <w:color w:val="auto"/>
              </w:rPr>
              <w:t>36%</w:t>
            </w:r>
          </w:p>
        </w:tc>
        <w:tc>
          <w:tcPr>
            <w:tcW w:w="6560" w:type="dxa"/>
            <w:vAlign w:val="bottom"/>
            <w:gridSpan w:val="3"/>
          </w:tcPr>
          <w:p>
            <w:pPr>
              <w:jc w:val="right"/>
              <w:ind w:right="60"/>
              <w:spacing w:after="0"/>
              <w:rPr>
                <w:sz w:val="20"/>
                <w:szCs w:val="20"/>
                <w:color w:val="auto"/>
              </w:rPr>
            </w:pPr>
            <w:r>
              <w:rPr>
                <w:rFonts w:ascii="Arial" w:cs="Arial" w:eastAsia="Arial" w:hAnsi="Arial"/>
                <w:sz w:val="18"/>
                <w:szCs w:val="18"/>
                <w:color w:val="auto"/>
              </w:rPr>
              <w:t>300%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220" w:right="300" w:hanging="212"/>
        <w:spacing w:after="0" w:line="228" w:lineRule="auto"/>
        <w:tabs>
          <w:tab w:leader="none" w:pos="220" w:val="left"/>
        </w:tabs>
        <w:numPr>
          <w:ilvl w:val="0"/>
          <w:numId w:val="22"/>
        </w:numPr>
        <w:rPr>
          <w:rFonts w:ascii="Arial" w:cs="Arial" w:eastAsia="Arial" w:hAnsi="Arial"/>
          <w:sz w:val="22"/>
          <w:szCs w:val="22"/>
          <w:color w:val="auto"/>
          <w:vertAlign w:val="superscript"/>
        </w:rPr>
      </w:pPr>
      <w:r>
        <w:rPr>
          <w:rFonts w:ascii="Arial" w:cs="Arial" w:eastAsia="Arial" w:hAnsi="Arial"/>
          <w:sz w:val="18"/>
          <w:szCs w:val="18"/>
          <w:color w:val="auto"/>
        </w:rPr>
        <w:t>In order to facilitate a comparison of fiscal quarters for purposes of the revenue growth element of the plan, all 14 week quarters will be normalized to a 13 week quarter.</w:t>
      </w:r>
    </w:p>
    <w:p>
      <w:pPr>
        <w:sectPr>
          <w:pgSz w:w="11900" w:h="16838" w:orient="portrait"/>
          <w:cols w:equalWidth="0" w:num="1">
            <w:col w:w="11420"/>
          </w:cols>
          <w:pgMar w:left="240" w:top="125" w:right="239" w:bottom="1440" w:gutter="0" w:footer="0" w:header="0"/>
        </w:sectPr>
      </w:pPr>
    </w:p>
    <w:bookmarkStart w:id="45" w:name="page46"/>
    <w:bookmarkEnd w:id="45"/>
    <w:tbl>
      <w:tblPr>
        <w:tblLayout w:type="fixed"/>
        <w:tblInd w:w="1840" w:type="dxa"/>
        <w:tblCellMar>
          <w:top w:w="0" w:type="dxa"/>
          <w:left w:w="0" w:type="dxa"/>
          <w:bottom w:w="0" w:type="dxa"/>
          <w:right w:w="0" w:type="dxa"/>
        </w:tblCellMar>
      </w:tblPr>
      <w:tr>
        <w:trPr>
          <w:trHeight w:val="161"/>
        </w:trPr>
        <w:tc>
          <w:tcPr>
            <w:tcW w:w="1200" w:type="dxa"/>
            <w:vAlign w:val="bottom"/>
          </w:tcPr>
          <w:p>
            <w:pPr>
              <w:spacing w:after="0"/>
              <w:rPr>
                <w:sz w:val="20"/>
                <w:szCs w:val="20"/>
                <w:color w:val="auto"/>
              </w:rPr>
            </w:pPr>
            <w:r>
              <w:rPr>
                <w:rFonts w:ascii="Arial" w:cs="Arial" w:eastAsia="Arial" w:hAnsi="Arial"/>
                <w:sz w:val="14"/>
                <w:szCs w:val="14"/>
                <w:color w:val="auto"/>
                <w:w w:val="90"/>
              </w:rPr>
              <w:t>50% of Bonus Based</w:t>
            </w:r>
          </w:p>
        </w:tc>
        <w:tc>
          <w:tcPr>
            <w:tcW w:w="5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59"/>
        </w:trPr>
        <w:tc>
          <w:tcPr>
            <w:tcW w:w="1200" w:type="dxa"/>
            <w:vAlign w:val="bottom"/>
            <w:tcBorders>
              <w:bottom w:val="single" w:sz="8" w:color="auto"/>
            </w:tcBorders>
          </w:tcPr>
          <w:p>
            <w:pPr>
              <w:spacing w:after="0" w:line="139" w:lineRule="exact"/>
              <w:rPr>
                <w:sz w:val="20"/>
                <w:szCs w:val="20"/>
                <w:color w:val="auto"/>
              </w:rPr>
            </w:pPr>
            <w:r>
              <w:rPr>
                <w:rFonts w:ascii="Arial" w:cs="Arial" w:eastAsia="Arial" w:hAnsi="Arial"/>
                <w:sz w:val="14"/>
                <w:szCs w:val="14"/>
                <w:color w:val="auto"/>
                <w:w w:val="94"/>
              </w:rPr>
              <w:t>on Revenue Growth</w:t>
            </w:r>
          </w:p>
        </w:tc>
        <w:tc>
          <w:tcPr>
            <w:tcW w:w="6560" w:type="dxa"/>
            <w:vAlign w:val="bottom"/>
            <w:gridSpan w:val="3"/>
          </w:tcPr>
          <w:p>
            <w:pPr>
              <w:jc w:val="right"/>
              <w:ind w:right="220"/>
              <w:spacing w:after="0" w:line="139" w:lineRule="exact"/>
              <w:rPr>
                <w:sz w:val="20"/>
                <w:szCs w:val="20"/>
                <w:color w:val="auto"/>
              </w:rPr>
            </w:pPr>
            <w:r>
              <w:rPr>
                <w:rFonts w:ascii="Arial" w:cs="Arial" w:eastAsia="Arial" w:hAnsi="Arial"/>
                <w:sz w:val="14"/>
                <w:szCs w:val="14"/>
                <w:color w:val="auto"/>
              </w:rPr>
              <w:t>Bonus Payout Factor</w:t>
            </w:r>
          </w:p>
        </w:tc>
      </w:tr>
      <w:tr>
        <w:trPr>
          <w:trHeight w:val="20"/>
        </w:trPr>
        <w:tc>
          <w:tcPr>
            <w:tcW w:w="1200" w:type="dxa"/>
            <w:vAlign w:val="bottom"/>
            <w:tcBorders>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97"/>
        </w:trPr>
        <w:tc>
          <w:tcPr>
            <w:tcW w:w="1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0%</w:t>
            </w:r>
          </w:p>
        </w:tc>
        <w:tc>
          <w:tcPr>
            <w:tcW w:w="5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10%</w:t>
            </w:r>
          </w:p>
        </w:tc>
        <w:tc>
          <w:tcPr>
            <w:tcW w:w="65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20%</w:t>
            </w:r>
          </w:p>
        </w:tc>
        <w:tc>
          <w:tcPr>
            <w:tcW w:w="6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r>
      <w:tr>
        <w:trPr>
          <w:trHeight w:val="222"/>
        </w:trPr>
        <w:tc>
          <w:tcPr>
            <w:tcW w:w="1200" w:type="dxa"/>
            <w:vAlign w:val="bottom"/>
          </w:tcPr>
          <w:p>
            <w:pPr>
              <w:spacing w:after="0"/>
              <w:rPr>
                <w:sz w:val="20"/>
                <w:szCs w:val="20"/>
                <w:color w:val="auto"/>
              </w:rPr>
            </w:pPr>
            <w:r>
              <w:rPr>
                <w:rFonts w:ascii="Arial" w:cs="Arial" w:eastAsia="Arial" w:hAnsi="Arial"/>
                <w:sz w:val="18"/>
                <w:szCs w:val="18"/>
                <w:color w:val="auto"/>
              </w:rPr>
              <w:t>30%</w:t>
            </w:r>
          </w:p>
        </w:tc>
        <w:tc>
          <w:tcPr>
            <w:tcW w:w="6560" w:type="dxa"/>
            <w:vAlign w:val="bottom"/>
            <w:gridSpan w:val="3"/>
          </w:tcPr>
          <w:p>
            <w:pPr>
              <w:jc w:val="right"/>
              <w:ind w:right="60"/>
              <w:spacing w:after="0"/>
              <w:rPr>
                <w:sz w:val="20"/>
                <w:szCs w:val="20"/>
                <w:color w:val="auto"/>
              </w:rPr>
            </w:pPr>
            <w:r>
              <w:rPr>
                <w:rFonts w:ascii="Arial" w:cs="Arial" w:eastAsia="Arial" w:hAnsi="Arial"/>
                <w:sz w:val="18"/>
                <w:szCs w:val="18"/>
                <w:color w:val="auto"/>
              </w:rPr>
              <w:t>300%</w:t>
            </w:r>
          </w:p>
        </w:tc>
      </w:tr>
    </w:tbl>
    <w:p>
      <w:pPr>
        <w:spacing w:after="0" w:line="1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20" w:firstLine="456"/>
        <w:spacing w:after="0" w:line="255" w:lineRule="auto"/>
        <w:rPr>
          <w:sz w:val="20"/>
          <w:szCs w:val="20"/>
          <w:color w:val="auto"/>
        </w:rPr>
      </w:pPr>
      <w:r>
        <w:rPr>
          <w:rFonts w:ascii="Arial" w:cs="Arial" w:eastAsia="Arial" w:hAnsi="Arial"/>
          <w:sz w:val="18"/>
          <w:szCs w:val="18"/>
          <w:color w:val="auto"/>
        </w:rPr>
        <w:t>The Bonus Payout Factor is determined quarterly. For example, if OPBT for a quarter is 22.5% of revenue (which would result in a Bonus Payout Factor of 100% for that element) and revenue growth for the quarter compared to the same quarter in the prior fiscal year was 30% (which would result in a Bonus Payout Factor of 300% for that element), then the Bonus Payout Factor for the quarter would be 200% which is the sum of 50% of the OPBT factor of 100% and 50% of the revenue growth factor of 300%. The Bonus Payout Factor is also used to determine the bonuses paid to all other employees of the Company under the Company’s 2012 Bonus Plan for Employees.</w:t>
      </w:r>
    </w:p>
    <w:p>
      <w:pPr>
        <w:spacing w:after="0" w:line="143"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A participant’s bonus for a quarter shall be equal to the product obtained by multiplying a participant’s Fiscal 2012 Bonus Target for the quarter by the Bonus Payout Factor for that quarter. Each participant’s Fiscal 2012 Bonus Payment can range from zero to three times his or her Fiscal 2012 Bonus Target.</w:t>
      </w:r>
    </w:p>
    <w:p>
      <w:pPr>
        <w:spacing w:after="0" w:line="62" w:lineRule="exact"/>
        <w:rPr>
          <w:sz w:val="20"/>
          <w:szCs w:val="20"/>
          <w:color w:val="auto"/>
        </w:rPr>
      </w:pPr>
    </w:p>
    <w:p>
      <w:pPr>
        <w:jc w:val="both"/>
        <w:ind w:right="200" w:firstLine="464"/>
        <w:spacing w:after="0" w:line="259" w:lineRule="auto"/>
        <w:tabs>
          <w:tab w:leader="none" w:pos="632"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Fiscal 2012 bonus payments, if any, under the Executive Performance Incentive Plan will be calculated at the end of each fiscal quarter and distributed after the first half and second half of fiscal year 2012. The bonus payment for the first half of Fiscal 2012 will be paid on or before June 30, 2012 and the bonus payment for the second half of Fiscal 2012 will be paid on or before December 31, 2012.</w:t>
      </w:r>
    </w:p>
    <w:p>
      <w:pPr>
        <w:spacing w:after="0" w:line="140" w:lineRule="exact"/>
        <w:rPr>
          <w:rFonts w:ascii="Arial" w:cs="Arial" w:eastAsia="Arial" w:hAnsi="Arial"/>
          <w:sz w:val="18"/>
          <w:szCs w:val="18"/>
          <w:color w:val="auto"/>
        </w:rPr>
      </w:pPr>
    </w:p>
    <w:p>
      <w:pPr>
        <w:jc w:val="both"/>
        <w:ind w:right="80" w:firstLine="464"/>
        <w:spacing w:after="0" w:line="306" w:lineRule="auto"/>
        <w:tabs>
          <w:tab w:leader="none" w:pos="632"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Executives are eligible for a bonus payment with respect to their first full fiscal quarter of employment, so long as they remain actively employed by the Company on the applicable bonus payment date in June or December. For example, an executive hired during the first quarter would only be eligible for a bonus payment with respect to the second quarter, so long as he or she was still actively employed on the June payment date.</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29, 2011</w:t>
      </w:r>
    </w:p>
    <w:p>
      <w:pPr>
        <w:sectPr>
          <w:pgSz w:w="11900" w:h="16838" w:orient="portrait"/>
          <w:cols w:equalWidth="0" w:num="1">
            <w:col w:w="11420"/>
          </w:cols>
          <w:pgMar w:left="240" w:top="832"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31.1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Jerald G. Fishman, certify that:</w:t>
      </w:r>
    </w:p>
    <w:p>
      <w:pPr>
        <w:spacing w:after="0" w:line="90"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6"/>
          <w:szCs w:val="16"/>
          <w:color w:val="auto"/>
        </w:rPr>
      </w:pPr>
    </w:p>
    <w:p>
      <w:pPr>
        <w:jc w:val="both"/>
        <w:ind w:left="1920" w:hanging="440"/>
        <w:spacing w:after="0" w:line="357" w:lineRule="auto"/>
        <w:tabs>
          <w:tab w:leader="none" w:pos="1920" w:val="left"/>
        </w:tabs>
        <w:numPr>
          <w:ilvl w:val="1"/>
          <w:numId w:val="2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306" w:lineRule="auto"/>
        <w:tabs>
          <w:tab w:leader="none" w:pos="19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rFonts w:ascii="Arial" w:cs="Arial" w:eastAsia="Arial" w:hAnsi="Arial"/>
          <w:sz w:val="16"/>
          <w:szCs w:val="16"/>
          <w:color w:val="auto"/>
        </w:rPr>
      </w:pPr>
    </w:p>
    <w:p>
      <w:pPr>
        <w:ind w:left="900" w:right="200" w:hanging="446"/>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Dated: February 22, 2012</w:t>
      </w:r>
      <w:r>
        <w:rPr>
          <w:sz w:val="20"/>
          <w:szCs w:val="20"/>
          <w:color w:val="auto"/>
        </w:rPr>
        <w:tab/>
      </w:r>
      <w:r>
        <w:rPr>
          <w:rFonts w:ascii="Arial" w:cs="Arial" w:eastAsia="Arial" w:hAnsi="Arial"/>
          <w:sz w:val="15"/>
          <w:szCs w:val="15"/>
          <w:color w:val="auto"/>
        </w:rPr>
        <w:t>/s/ 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Jerald G. Fishman</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3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31.2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David A. Zinsner, certify that:</w:t>
      </w:r>
    </w:p>
    <w:p>
      <w:pPr>
        <w:spacing w:after="0" w:line="90"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6"/>
          <w:szCs w:val="16"/>
          <w:color w:val="auto"/>
        </w:rPr>
      </w:pPr>
    </w:p>
    <w:p>
      <w:pPr>
        <w:jc w:val="both"/>
        <w:ind w:left="1920" w:hanging="440"/>
        <w:spacing w:after="0" w:line="357" w:lineRule="auto"/>
        <w:tabs>
          <w:tab w:leader="none" w:pos="1920" w:val="left"/>
        </w:tabs>
        <w:numPr>
          <w:ilvl w:val="1"/>
          <w:numId w:val="2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306" w:lineRule="auto"/>
        <w:tabs>
          <w:tab w:leader="none" w:pos="19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rFonts w:ascii="Arial" w:cs="Arial" w:eastAsia="Arial" w:hAnsi="Arial"/>
          <w:sz w:val="16"/>
          <w:szCs w:val="16"/>
          <w:color w:val="auto"/>
        </w:rPr>
      </w:pPr>
    </w:p>
    <w:p>
      <w:pPr>
        <w:ind w:left="900" w:right="20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Dated: February 22, 2012</w:t>
      </w:r>
      <w:r>
        <w:rPr>
          <w:sz w:val="20"/>
          <w:szCs w:val="20"/>
          <w:color w:val="auto"/>
        </w:rPr>
        <w:tab/>
      </w:r>
      <w:r>
        <w:rPr>
          <w:rFonts w:ascii="Arial" w:cs="Arial" w:eastAsia="Arial" w:hAnsi="Arial"/>
          <w:sz w:val="16"/>
          <w:szCs w:val="16"/>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David A. Zinsner</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3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32.1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February 4, 2012 as filed with the Securities and Exchange Commission on the date hereof (the “Report”), the undersigned, Jerald G. Fishman, Chief Executive Officer of the Company, hereby certifies, pursuant to 18 U.S.C. Section 1350, that:</w:t>
      </w:r>
    </w:p>
    <w:p>
      <w:pPr>
        <w:spacing w:after="0" w:line="59"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Dated: February 22, 2012</w:t>
      </w:r>
      <w:r>
        <w:rPr>
          <w:sz w:val="20"/>
          <w:szCs w:val="20"/>
          <w:color w:val="auto"/>
        </w:rPr>
        <w:tab/>
      </w:r>
      <w:r>
        <w:rPr>
          <w:rFonts w:ascii="Arial" w:cs="Arial" w:eastAsia="Arial" w:hAnsi="Arial"/>
          <w:sz w:val="15"/>
          <w:szCs w:val="15"/>
          <w:color w:val="auto"/>
        </w:rPr>
        <w:t>/s/ 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Jerald G. Fishman</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3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32.2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February 4, 2012 as filed with the Securities and Exchange Commission on the date hereof (the “Report”), the undersigned, David A. Zinsner, Chief Financial Officer of the Company, hereby certifies, pursuant to 18 U.S.C. Section 1350, that:</w:t>
      </w:r>
    </w:p>
    <w:p>
      <w:pPr>
        <w:spacing w:after="0" w:line="59"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Dated: February 22, 2012</w:t>
      </w:r>
      <w:r>
        <w:rPr>
          <w:sz w:val="20"/>
          <w:szCs w:val="20"/>
          <w:color w:val="auto"/>
        </w:rPr>
        <w:tab/>
      </w:r>
      <w:r>
        <w:rPr>
          <w:rFonts w:ascii="Arial" w:cs="Arial" w:eastAsia="Arial" w:hAnsi="Arial"/>
          <w:sz w:val="16"/>
          <w:szCs w:val="16"/>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David A. Zinsner</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2"/>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1)"/>
      <w:numFmt w:val="lowerLetter"/>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lvl w:ilvl="1">
      <w:lvlJc w:val="left"/>
      <w:lvlText w:val="%2."/>
      <w:numFmt w:val="decimal"/>
      <w:start w:val="1"/>
    </w:lvl>
  </w:abstractNum>
  <w:abstractNum w:abstractNumId="20">
    <w:nsid w:val="75A2A8D4"/>
    <w:multiLevelType w:val="hybridMultilevel"/>
    <w:lvl w:ilvl="0">
      <w:lvlJc w:val="left"/>
      <w:lvlText w:val="•"/>
      <w:numFmt w:val="bullet"/>
      <w:start w:val="1"/>
    </w:lvl>
    <w:lvl w:ilvl="1">
      <w:lvlJc w:val="left"/>
      <w:lvlText w:val="%2."/>
      <w:numFmt w:val="decimal"/>
      <w:start w:val="2"/>
    </w:lvl>
  </w:abstractNum>
  <w:abstractNum w:abstractNumId="21">
    <w:nsid w:val="8EDBDAB"/>
    <w:multiLevelType w:val="hybridMultilevel"/>
    <w:lvl w:ilvl="0">
      <w:lvlJc w:val="left"/>
      <w:lvlText w:val="1"/>
      <w:numFmt w:val="bullet"/>
      <w:start w:val="1"/>
    </w:lvl>
  </w:abstractNum>
  <w:abstractNum w:abstractNumId="22">
    <w:nsid w:val="79838CB2"/>
    <w:multiLevelType w:val="hybridMultilevel"/>
    <w:lvl w:ilvl="0">
      <w:lvlJc w:val="left"/>
      <w:lvlText w:val="%1."/>
      <w:numFmt w:val="decimal"/>
      <w:start w:val="3"/>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2019-12-09T05:33:12Z</dcterms:created>
  <dcterms:modified xsi:type="dcterms:W3CDTF">2019-12-09T05:33:12Z</dcterms:modified>
</cp:coreProperties>
</file>