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620395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534670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158750</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7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152400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August 2, 2014</w:t>
      </w:r>
    </w:p>
    <w:p>
      <w:pPr>
        <w:spacing w:after="0" w:line="17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671"/>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880" w:type="dxa"/>
        <w:tblCellMar>
          <w:top w:w="0" w:type="dxa"/>
          <w:left w:w="0" w:type="dxa"/>
          <w:bottom w:w="0" w:type="dxa"/>
          <w:right w:w="0" w:type="dxa"/>
        </w:tblCellMar>
      </w:tblPr>
      <w:tr>
        <w:trPr>
          <w:trHeight w:val="204"/>
        </w:trPr>
        <w:tc>
          <w:tcPr>
            <w:tcW w:w="5340" w:type="dxa"/>
            <w:vAlign w:val="bottom"/>
            <w:gridSpan w:val="2"/>
          </w:tcPr>
          <w:p>
            <w:pPr>
              <w:ind w:left="3020"/>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line="204" w:lineRule="exact"/>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gridSpan w:val="2"/>
          </w:tcPr>
          <w:p>
            <w:pPr>
              <w:spacing w:after="0"/>
              <w:rPr>
                <w:sz w:val="17"/>
                <w:szCs w:val="17"/>
                <w:color w:val="auto"/>
              </w:rPr>
            </w:pPr>
          </w:p>
        </w:tc>
        <w:tc>
          <w:tcPr>
            <w:tcW w:w="2660" w:type="dxa"/>
            <w:vAlign w:val="bottom"/>
          </w:tcPr>
          <w:p>
            <w:pPr>
              <w:spacing w:after="0"/>
              <w:rPr>
                <w:sz w:val="17"/>
                <w:szCs w:val="17"/>
                <w:color w:val="auto"/>
              </w:rPr>
            </w:pPr>
          </w:p>
        </w:tc>
      </w:tr>
      <w:tr>
        <w:trPr>
          <w:trHeight w:val="412"/>
        </w:trPr>
        <w:tc>
          <w:tcPr>
            <w:tcW w:w="3440" w:type="dxa"/>
            <w:vAlign w:val="bottom"/>
          </w:tcPr>
          <w:p>
            <w:pPr>
              <w:spacing w:after="0"/>
              <w:rPr>
                <w:sz w:val="24"/>
                <w:szCs w:val="24"/>
                <w:color w:val="auto"/>
              </w:rPr>
            </w:pPr>
          </w:p>
        </w:tc>
        <w:tc>
          <w:tcPr>
            <w:tcW w:w="248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9"/>
              </w:rPr>
              <w:t>Commission File No. 1-7819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57"/>
        </w:trPr>
        <w:tc>
          <w:tcPr>
            <w:tcW w:w="344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60" w:type="dxa"/>
            <w:vAlign w:val="bottom"/>
          </w:tcPr>
          <w:p>
            <w:pPr>
              <w:spacing w:after="0"/>
              <w:rPr>
                <w:sz w:val="22"/>
                <w:szCs w:val="22"/>
                <w:color w:val="auto"/>
              </w:rPr>
            </w:pPr>
          </w:p>
        </w:tc>
      </w:tr>
      <w:tr>
        <w:trPr>
          <w:trHeight w:val="492"/>
        </w:trPr>
        <w:tc>
          <w:tcPr>
            <w:tcW w:w="9320" w:type="dxa"/>
            <w:vAlign w:val="bottom"/>
            <w:gridSpan w:val="8"/>
          </w:tcPr>
          <w:p>
            <w:pPr>
              <w:jc w:val="center"/>
              <w:ind w:left="245"/>
              <w:spacing w:after="0" w:line="491" w:lineRule="exact"/>
              <w:rPr>
                <w:sz w:val="20"/>
                <w:szCs w:val="20"/>
                <w:color w:val="auto"/>
              </w:rPr>
            </w:pPr>
            <w:r>
              <w:rPr>
                <w:rFonts w:ascii="Arial" w:cs="Arial" w:eastAsia="Arial" w:hAnsi="Arial"/>
                <w:sz w:val="43"/>
                <w:szCs w:val="43"/>
                <w:b w:val="1"/>
                <w:bCs w:val="1"/>
                <w:color w:val="auto"/>
                <w:w w:val="89"/>
              </w:rPr>
              <w:t>Analog Devices, Inc.</w:t>
            </w:r>
          </w:p>
        </w:tc>
      </w:tr>
      <w:tr>
        <w:trPr>
          <w:trHeight w:val="230"/>
        </w:trPr>
        <w:tc>
          <w:tcPr>
            <w:tcW w:w="9320" w:type="dxa"/>
            <w:vAlign w:val="bottom"/>
            <w:gridSpan w:val="8"/>
          </w:tcPr>
          <w:p>
            <w:pPr>
              <w:jc w:val="center"/>
              <w:ind w:left="225"/>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203"/>
        </w:trPr>
        <w:tc>
          <w:tcPr>
            <w:tcW w:w="344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493"/>
        </w:trPr>
        <w:tc>
          <w:tcPr>
            <w:tcW w:w="5920" w:type="dxa"/>
            <w:vAlign w:val="bottom"/>
            <w:gridSpan w:val="4"/>
          </w:tcPr>
          <w:p>
            <w:pPr>
              <w:jc w:val="center"/>
              <w:ind w:right="2420"/>
              <w:spacing w:after="0"/>
              <w:rPr>
                <w:sz w:val="20"/>
                <w:szCs w:val="20"/>
                <w:color w:val="auto"/>
              </w:rPr>
            </w:pPr>
            <w:r>
              <w:rPr>
                <w:rFonts w:ascii="Arial" w:cs="Arial" w:eastAsia="Arial" w:hAnsi="Arial"/>
                <w:sz w:val="18"/>
                <w:szCs w:val="18"/>
                <w:b w:val="1"/>
                <w:bCs w:val="1"/>
                <w:color w:val="auto"/>
                <w:w w:val="85"/>
              </w:rPr>
              <w:t>Massachusetts</w:t>
            </w:r>
          </w:p>
        </w:tc>
        <w:tc>
          <w:tcPr>
            <w:tcW w:w="3400" w:type="dxa"/>
            <w:vAlign w:val="bottom"/>
            <w:gridSpan w:val="4"/>
          </w:tcPr>
          <w:p>
            <w:pPr>
              <w:jc w:val="center"/>
              <w:ind w:left="1250"/>
              <w:spacing w:after="0"/>
              <w:rPr>
                <w:sz w:val="20"/>
                <w:szCs w:val="20"/>
                <w:color w:val="auto"/>
              </w:rPr>
            </w:pPr>
            <w:r>
              <w:rPr>
                <w:rFonts w:ascii="Arial" w:cs="Arial" w:eastAsia="Arial" w:hAnsi="Arial"/>
                <w:sz w:val="18"/>
                <w:szCs w:val="18"/>
                <w:b w:val="1"/>
                <w:bCs w:val="1"/>
                <w:color w:val="auto"/>
                <w:w w:val="89"/>
              </w:rPr>
              <w:t>04-2348234</w:t>
            </w:r>
          </w:p>
        </w:tc>
      </w:tr>
      <w:tr>
        <w:trPr>
          <w:trHeight w:val="218"/>
        </w:trPr>
        <w:tc>
          <w:tcPr>
            <w:tcW w:w="5920" w:type="dxa"/>
            <w:vAlign w:val="bottom"/>
            <w:gridSpan w:val="4"/>
          </w:tcPr>
          <w:p>
            <w:pPr>
              <w:jc w:val="center"/>
              <w:ind w:right="242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tcPr>
          <w:p>
            <w:pPr>
              <w:jc w:val="center"/>
              <w:ind w:left="52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90"/>
        </w:trPr>
        <w:tc>
          <w:tcPr>
            <w:tcW w:w="5920" w:type="dxa"/>
            <w:vAlign w:val="bottom"/>
            <w:gridSpan w:val="4"/>
          </w:tcPr>
          <w:p>
            <w:pPr>
              <w:jc w:val="center"/>
              <w:ind w:right="2420"/>
              <w:spacing w:after="0"/>
              <w:rPr>
                <w:sz w:val="20"/>
                <w:szCs w:val="20"/>
                <w:color w:val="auto"/>
              </w:rPr>
            </w:pPr>
            <w:r>
              <w:rPr>
                <w:rFonts w:ascii="Arial" w:cs="Arial" w:eastAsia="Arial" w:hAnsi="Arial"/>
                <w:sz w:val="18"/>
                <w:szCs w:val="18"/>
                <w:b w:val="1"/>
                <w:bCs w:val="1"/>
                <w:color w:val="auto"/>
                <w:w w:val="91"/>
              </w:rPr>
              <w:t>One Technology Way, Norwood, MA</w:t>
            </w:r>
          </w:p>
        </w:tc>
        <w:tc>
          <w:tcPr>
            <w:tcW w:w="3400" w:type="dxa"/>
            <w:vAlign w:val="bottom"/>
            <w:gridSpan w:val="4"/>
          </w:tcPr>
          <w:p>
            <w:pPr>
              <w:jc w:val="center"/>
              <w:ind w:left="1250"/>
              <w:spacing w:after="0"/>
              <w:rPr>
                <w:sz w:val="20"/>
                <w:szCs w:val="20"/>
                <w:color w:val="auto"/>
              </w:rPr>
            </w:pPr>
            <w:r>
              <w:rPr>
                <w:rFonts w:ascii="Arial" w:cs="Arial" w:eastAsia="Arial" w:hAnsi="Arial"/>
                <w:sz w:val="18"/>
                <w:szCs w:val="18"/>
                <w:b w:val="1"/>
                <w:bCs w:val="1"/>
                <w:color w:val="auto"/>
                <w:w w:val="89"/>
              </w:rPr>
              <w:t>02062-9106</w:t>
            </w:r>
          </w:p>
        </w:tc>
      </w:tr>
      <w:tr>
        <w:trPr>
          <w:trHeight w:val="218"/>
        </w:trPr>
        <w:tc>
          <w:tcPr>
            <w:tcW w:w="5920" w:type="dxa"/>
            <w:vAlign w:val="bottom"/>
            <w:gridSpan w:val="4"/>
          </w:tcPr>
          <w:p>
            <w:pPr>
              <w:jc w:val="center"/>
              <w:ind w:right="2420"/>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tcPr>
          <w:p>
            <w:pPr>
              <w:jc w:val="center"/>
              <w:ind w:left="528"/>
              <w:spacing w:after="0"/>
              <w:rPr>
                <w:sz w:val="20"/>
                <w:szCs w:val="20"/>
                <w:color w:val="auto"/>
              </w:rPr>
            </w:pPr>
            <w:r>
              <w:rPr>
                <w:rFonts w:ascii="Arial" w:cs="Arial" w:eastAsia="Arial" w:hAnsi="Arial"/>
                <w:sz w:val="14"/>
                <w:szCs w:val="14"/>
                <w:i w:val="1"/>
                <w:iCs w:val="1"/>
                <w:color w:val="auto"/>
                <w:w w:val="93"/>
              </w:rPr>
              <w:t>(Zip Code)</w:t>
            </w:r>
          </w:p>
        </w:tc>
      </w:tr>
      <w:tr>
        <w:trPr>
          <w:trHeight w:val="371"/>
        </w:trPr>
        <w:tc>
          <w:tcPr>
            <w:tcW w:w="5880" w:type="dxa"/>
            <w:vAlign w:val="bottom"/>
            <w:gridSpan w:val="3"/>
          </w:tcPr>
          <w:p>
            <w:pPr>
              <w:jc w:val="center"/>
              <w:ind w:left="3705"/>
              <w:spacing w:after="0"/>
              <w:rPr>
                <w:sz w:val="20"/>
                <w:szCs w:val="20"/>
                <w:color w:val="auto"/>
              </w:rPr>
            </w:pPr>
            <w:r>
              <w:rPr>
                <w:rFonts w:ascii="Arial" w:cs="Arial" w:eastAsia="Arial" w:hAnsi="Arial"/>
                <w:sz w:val="18"/>
                <w:szCs w:val="18"/>
                <w:b w:val="1"/>
                <w:bCs w:val="1"/>
                <w:color w:val="auto"/>
                <w:w w:val="90"/>
              </w:rPr>
              <w:t>(781) 329-4700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62"/>
        </w:trPr>
        <w:tc>
          <w:tcPr>
            <w:tcW w:w="9320" w:type="dxa"/>
            <w:vAlign w:val="bottom"/>
            <w:gridSpan w:val="8"/>
          </w:tcPr>
          <w:p>
            <w:pPr>
              <w:jc w:val="center"/>
              <w:ind w:left="245"/>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182"/>
        </w:trPr>
        <w:tc>
          <w:tcPr>
            <w:tcW w:w="9320" w:type="dxa"/>
            <w:vAlign w:val="bottom"/>
            <w:gridSpan w:val="8"/>
          </w:tcPr>
          <w:p>
            <w:pPr>
              <w:jc w:val="center"/>
              <w:ind w:left="245"/>
              <w:spacing w:after="0"/>
              <w:rPr>
                <w:sz w:val="20"/>
                <w:szCs w:val="20"/>
                <w:color w:val="auto"/>
              </w:rPr>
            </w:pPr>
            <w:r>
              <w:rPr>
                <w:rFonts w:ascii="Arial" w:cs="Arial" w:eastAsia="Arial" w:hAnsi="Arial"/>
                <w:sz w:val="14"/>
                <w:szCs w:val="14"/>
                <w:i w:val="1"/>
                <w:iCs w:val="1"/>
                <w:color w:val="auto"/>
                <w:w w:val="93"/>
              </w:rPr>
              <w:t>(Former name, former address and former fiscal year, if changed since last report)</w:t>
            </w:r>
          </w:p>
        </w:tc>
      </w:tr>
      <w:tr>
        <w:trPr>
          <w:trHeight w:val="255"/>
        </w:trPr>
        <w:tc>
          <w:tcPr>
            <w:tcW w:w="344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60" w:type="dxa"/>
            <w:vAlign w:val="bottom"/>
          </w:tcPr>
          <w:p>
            <w:pPr>
              <w:spacing w:after="0"/>
              <w:rPr>
                <w:sz w:val="22"/>
                <w:szCs w:val="22"/>
                <w:color w:val="auto"/>
              </w:rPr>
            </w:pPr>
          </w:p>
        </w:tc>
      </w:tr>
    </w:tbl>
    <w:p>
      <w:pPr>
        <w:spacing w:after="0" w:line="36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240"/>
          </w:cols>
          <w:pgMar w:left="240" w:top="1017" w:right="419" w:bottom="1440" w:gutter="0" w:footer="0" w:header="0"/>
        </w:sectPr>
      </w:pPr>
    </w:p>
    <w:p>
      <w:pPr>
        <w:spacing w:after="0" w:line="1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860" w:space="720"/>
            <w:col w:w="4820" w:space="720"/>
            <w:col w:w="2160" w:space="720"/>
            <w:col w:w="240"/>
          </w:cols>
          <w:pgMar w:left="240" w:top="1017" w:right="41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860" w:space="720"/>
            <w:col w:w="160" w:space="80"/>
            <w:col w:w="4580" w:space="720"/>
            <w:col w:w="2160" w:space="720"/>
            <w:col w:w="240"/>
          </w:cols>
          <w:pgMar w:left="240" w:top="1017" w:right="419" w:bottom="1440" w:gutter="0" w:footer="0" w:header="0"/>
          <w:type w:val="continuous"/>
        </w:sectPr>
      </w:pPr>
    </w:p>
    <w:p>
      <w:pPr>
        <w:ind w:left="440" w:right="122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 2014 there were 314,212,784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240"/>
          </w:cols>
          <w:pgMar w:left="240" w:top="1017"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5320" w:type="dxa"/>
            <w:vAlign w:val="bottom"/>
          </w:tcPr>
          <w:p>
            <w:pPr>
              <w:ind w:left="60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602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INCOME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(thousands, except per share amounts)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4"/>
        </w:trPr>
        <w:tc>
          <w:tcPr>
            <w:tcW w:w="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2, 2014</w:t>
            </w: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2013</w:t>
            </w: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2, 2014</w:t>
            </w:r>
          </w:p>
        </w:tc>
        <w:tc>
          <w:tcPr>
            <w:tcW w:w="140" w:type="dxa"/>
            <w:vAlign w:val="bottom"/>
          </w:tcPr>
          <w:p>
            <w:pPr>
              <w:spacing w:after="0"/>
              <w:rPr>
                <w:sz w:val="22"/>
                <w:szCs w:val="22"/>
                <w:color w:val="auto"/>
              </w:rPr>
            </w:pPr>
          </w:p>
        </w:tc>
        <w:tc>
          <w:tcPr>
            <w:tcW w:w="1120" w:type="dxa"/>
            <w:vAlign w:val="bottom"/>
          </w:tcPr>
          <w:p>
            <w:pPr>
              <w:jc w:val="right"/>
              <w:ind w:right="91"/>
              <w:spacing w:after="0"/>
              <w:rPr>
                <w:sz w:val="20"/>
                <w:szCs w:val="20"/>
                <w:color w:val="auto"/>
              </w:rPr>
            </w:pPr>
            <w:r>
              <w:rPr>
                <w:rFonts w:ascii="Arial" w:cs="Arial" w:eastAsia="Arial" w:hAnsi="Arial"/>
                <w:sz w:val="14"/>
                <w:szCs w:val="14"/>
                <w:b w:val="1"/>
                <w:bCs w:val="1"/>
                <w:color w:val="auto"/>
                <w:w w:val="93"/>
              </w:rPr>
              <w:t>August 3, 2013</w:t>
            </w:r>
          </w:p>
        </w:tc>
        <w:tc>
          <w:tcPr>
            <w:tcW w:w="0" w:type="dxa"/>
            <w:vAlign w:val="bottom"/>
          </w:tcPr>
          <w:p>
            <w:pPr>
              <w:spacing w:after="0"/>
              <w:rPr>
                <w:sz w:val="1"/>
                <w:szCs w:val="1"/>
                <w:color w:val="auto"/>
              </w:rPr>
            </w:pPr>
          </w:p>
        </w:tc>
      </w:tr>
      <w:tr>
        <w:trPr>
          <w:trHeight w:val="250"/>
        </w:trPr>
        <w:tc>
          <w:tcPr>
            <w:tcW w:w="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Revenue</w:t>
            </w:r>
          </w:p>
        </w:tc>
        <w:tc>
          <w:tcPr>
            <w:tcW w:w="53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727,752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2,050,526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1,955,556</w:t>
            </w:r>
          </w:p>
        </w:tc>
        <w:tc>
          <w:tcPr>
            <w:tcW w:w="0" w:type="dxa"/>
            <w:vAlign w:val="bottom"/>
          </w:tcPr>
          <w:p>
            <w:pPr>
              <w:spacing w:after="0"/>
              <w:rPr>
                <w:sz w:val="1"/>
                <w:szCs w:val="1"/>
                <w:color w:val="auto"/>
              </w:rPr>
            </w:pPr>
          </w:p>
        </w:tc>
      </w:tr>
      <w:tr>
        <w:trPr>
          <w:trHeight w:val="243"/>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Cost of sales (1)</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251,462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239,110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706,375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708,015</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435,062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1,247,541</w:t>
            </w:r>
          </w:p>
        </w:tc>
        <w:tc>
          <w:tcPr>
            <w:tcW w:w="0" w:type="dxa"/>
            <w:vAlign w:val="bottom"/>
          </w:tcPr>
          <w:p>
            <w:pPr>
              <w:spacing w:after="0"/>
              <w:rPr>
                <w:sz w:val="1"/>
                <w:szCs w:val="1"/>
                <w:color w:val="auto"/>
              </w:rPr>
            </w:pPr>
          </w:p>
        </w:tc>
      </w:tr>
      <w:tr>
        <w:trPr>
          <w:trHeight w:val="243"/>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(1)</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382,056</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 (1)</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132,989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97,773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333,252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298,036</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r>
        <w:trPr>
          <w:trHeight w:val="27"/>
        </w:trPr>
        <w:tc>
          <w:tcPr>
            <w:tcW w:w="70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694,328</w:t>
            </w:r>
          </w:p>
        </w:tc>
        <w:tc>
          <w:tcPr>
            <w:tcW w:w="0" w:type="dxa"/>
            <w:vAlign w:val="bottom"/>
          </w:tcPr>
          <w:p>
            <w:pPr>
              <w:spacing w:after="0"/>
              <w:rPr>
                <w:sz w:val="1"/>
                <w:szCs w:val="1"/>
                <w:color w:val="auto"/>
              </w:rPr>
            </w:pPr>
          </w:p>
        </w:tc>
      </w:tr>
      <w:tr>
        <w:trPr>
          <w:trHeight w:val="243"/>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202,546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208,342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602,555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553,213</w:t>
            </w:r>
          </w:p>
        </w:tc>
        <w:tc>
          <w:tcPr>
            <w:tcW w:w="0" w:type="dxa"/>
            <w:vAlign w:val="bottom"/>
          </w:tcPr>
          <w:p>
            <w:pPr>
              <w:spacing w:after="0"/>
              <w:rPr>
                <w:sz w:val="1"/>
                <w:szCs w:val="1"/>
                <w:color w:val="auto"/>
              </w:rPr>
            </w:pPr>
          </w:p>
        </w:tc>
      </w:tr>
      <w:tr>
        <w:trPr>
          <w:trHeight w:val="27"/>
        </w:trPr>
        <w:tc>
          <w:tcPr>
            <w:tcW w:w="6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Nonoperating expense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21,623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20,443</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9,361</w:t>
            </w:r>
          </w:p>
        </w:tc>
        <w:tc>
          <w:tcPr>
            <w:tcW w:w="0" w:type="dxa"/>
            <w:vAlign w:val="bottom"/>
          </w:tcPr>
          <w:p>
            <w:pPr>
              <w:spacing w:after="0"/>
              <w:rPr>
                <w:sz w:val="1"/>
                <w:szCs w:val="1"/>
                <w:color w:val="auto"/>
              </w:rPr>
            </w:pPr>
          </w:p>
        </w:tc>
      </w:tr>
      <w:tr>
        <w:trPr>
          <w:trHeight w:val="27"/>
        </w:trPr>
        <w:tc>
          <w:tcPr>
            <w:tcW w:w="70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 w:type="dxa"/>
            <w:vAlign w:val="bottom"/>
            <w:tcBorders>
              <w:bottom w:val="single" w:sz="8" w:color="CCEEFF"/>
            </w:tcBorders>
            <w:shd w:val="clear" w:color="auto" w:fill="CCEEFF"/>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20,402</w:t>
            </w:r>
          </w:p>
        </w:tc>
        <w:tc>
          <w:tcPr>
            <w:tcW w:w="0" w:type="dxa"/>
            <w:vAlign w:val="bottom"/>
          </w:tcPr>
          <w:p>
            <w:pPr>
              <w:spacing w:after="0"/>
              <w:rPr>
                <w:sz w:val="1"/>
                <w:szCs w:val="1"/>
                <w:color w:val="auto"/>
              </w:rPr>
            </w:pPr>
          </w:p>
        </w:tc>
      </w:tr>
      <w:tr>
        <w:trPr>
          <w:trHeight w:val="237"/>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197,388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195,041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590,647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532,811</w:t>
            </w:r>
          </w:p>
        </w:tc>
        <w:tc>
          <w:tcPr>
            <w:tcW w:w="0" w:type="dxa"/>
            <w:vAlign w:val="bottom"/>
          </w:tcPr>
          <w:p>
            <w:pPr>
              <w:spacing w:after="0"/>
              <w:rPr>
                <w:sz w:val="1"/>
                <w:szCs w:val="1"/>
                <w:color w:val="auto"/>
              </w:rPr>
            </w:pPr>
          </w:p>
        </w:tc>
      </w:tr>
      <w:tr>
        <w:trPr>
          <w:trHeight w:val="27"/>
        </w:trPr>
        <w:tc>
          <w:tcPr>
            <w:tcW w:w="6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60,878</w:t>
            </w:r>
          </w:p>
        </w:tc>
        <w:tc>
          <w:tcPr>
            <w:tcW w:w="0" w:type="dxa"/>
            <w:vAlign w:val="bottom"/>
          </w:tcPr>
          <w:p>
            <w:pPr>
              <w:spacing w:after="0"/>
              <w:rPr>
                <w:sz w:val="1"/>
                <w:szCs w:val="1"/>
                <w:color w:val="auto"/>
              </w:rPr>
            </w:pPr>
          </w:p>
        </w:tc>
      </w:tr>
      <w:tr>
        <w:trPr>
          <w:trHeight w:val="237"/>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180,606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176,239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520,625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471,933</w:t>
            </w:r>
          </w:p>
        </w:tc>
        <w:tc>
          <w:tcPr>
            <w:tcW w:w="0" w:type="dxa"/>
            <w:vAlign w:val="bottom"/>
          </w:tcPr>
          <w:p>
            <w:pPr>
              <w:spacing w:after="0"/>
              <w:rPr>
                <w:sz w:val="1"/>
                <w:szCs w:val="1"/>
                <w:color w:val="auto"/>
              </w:rPr>
            </w:pPr>
          </w:p>
        </w:tc>
      </w:tr>
      <w:tr>
        <w:trPr>
          <w:trHeight w:val="67"/>
        </w:trPr>
        <w:tc>
          <w:tcPr>
            <w:tcW w:w="6020" w:type="dxa"/>
            <w:vAlign w:val="bottom"/>
            <w:tcBorders>
              <w:bottom w:val="single" w:sz="8" w:color="CCEEFF"/>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to compute earnings per share – basic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306,681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Shares used to compute earnings per share –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318,876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315,307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318,413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312,983</w:t>
            </w:r>
          </w:p>
        </w:tc>
        <w:tc>
          <w:tcPr>
            <w:tcW w:w="0" w:type="dxa"/>
            <w:vAlign w:val="bottom"/>
          </w:tcPr>
          <w:p>
            <w:pPr>
              <w:spacing w:after="0"/>
              <w:rPr>
                <w:sz w:val="1"/>
                <w:szCs w:val="1"/>
                <w:color w:val="auto"/>
              </w:rPr>
            </w:pPr>
          </w:p>
        </w:tc>
      </w:tr>
      <w:tr>
        <w:trPr>
          <w:trHeight w:val="67"/>
        </w:trPr>
        <w:tc>
          <w:tcPr>
            <w:tcW w:w="6020" w:type="dxa"/>
            <w:vAlign w:val="bottom"/>
            <w:tcBorders>
              <w:bottom w:val="single" w:sz="8" w:color="CCEEFF"/>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67"/>
        </w:trPr>
        <w:tc>
          <w:tcPr>
            <w:tcW w:w="6020" w:type="dxa"/>
            <w:vAlign w:val="bottom"/>
            <w:tcBorders>
              <w:bottom w:val="single" w:sz="8" w:color="CCEEFF"/>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and paid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2"/>
            <w:vMerge w:val="restart"/>
          </w:tcPr>
          <w:p>
            <w:pPr>
              <w:ind w:left="540"/>
              <w:spacing w:after="0"/>
              <w:rPr>
                <w:sz w:val="20"/>
                <w:szCs w:val="20"/>
                <w:color w:val="auto"/>
              </w:rPr>
            </w:pPr>
            <w:r>
              <w:rPr>
                <w:rFonts w:ascii="Arial" w:cs="Arial" w:eastAsia="Arial" w:hAnsi="Arial"/>
                <w:sz w:val="18"/>
                <w:szCs w:val="18"/>
                <w:color w:val="auto"/>
              </w:rPr>
              <w:t>(1) Includes stock-based compensation expense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5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3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16,180</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0" w:type="dxa"/>
            <w:vAlign w:val="bottom"/>
            <w:shd w:val="clear" w:color="auto" w:fill="CCEEFF"/>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Selling, marketing, 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22,728</w:t>
            </w: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2, 2014</w:t>
            </w:r>
          </w:p>
        </w:tc>
        <w:tc>
          <w:tcPr>
            <w:tcW w:w="16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2013</w:t>
            </w: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 2014</w:t>
            </w:r>
          </w:p>
        </w:tc>
        <w:tc>
          <w:tcPr>
            <w:tcW w:w="160" w:type="dxa"/>
            <w:vAlign w:val="bottom"/>
          </w:tcPr>
          <w:p>
            <w:pPr>
              <w:spacing w:after="0"/>
              <w:rPr>
                <w:sz w:val="22"/>
                <w:szCs w:val="22"/>
                <w:color w:val="auto"/>
              </w:rPr>
            </w:pPr>
          </w:p>
        </w:tc>
        <w:tc>
          <w:tcPr>
            <w:tcW w:w="116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August 3, 2013</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180,606</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176,239</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520,625</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471,933</w:t>
            </w:r>
          </w:p>
        </w:tc>
      </w:tr>
      <w:tr>
        <w:trPr>
          <w:trHeight w:val="27"/>
        </w:trPr>
        <w:tc>
          <w:tcPr>
            <w:tcW w:w="5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r>
      <w:tr>
        <w:trPr>
          <w:trHeight w:val="229"/>
        </w:trPr>
        <w:tc>
          <w:tcPr>
            <w:tcW w:w="5800" w:type="dxa"/>
            <w:vAlign w:val="bottom"/>
          </w:tcPr>
          <w:p>
            <w:pPr>
              <w:ind w:left="180"/>
              <w:spacing w:after="0"/>
              <w:rPr>
                <w:sz w:val="20"/>
                <w:szCs w:val="20"/>
                <w:color w:val="auto"/>
              </w:rPr>
            </w:pPr>
            <w:r>
              <w:rPr>
                <w:rFonts w:ascii="Arial" w:cs="Arial" w:eastAsia="Arial" w:hAnsi="Arial"/>
                <w:sz w:val="18"/>
                <w:szCs w:val="18"/>
                <w:color w:val="auto"/>
                <w:w w:val="94"/>
              </w:rPr>
              <w:t>Change in unrealized holding (losses) gains (net of taxes of $78, $42, $13,</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w w:val="91"/>
              </w:rPr>
              <w:t>and $63, respectively) on available for sale securities classified as short-term</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8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155</w:t>
            </w:r>
          </w:p>
        </w:tc>
      </w:tr>
      <w:tr>
        <w:trPr>
          <w:trHeight w:val="27"/>
        </w:trPr>
        <w:tc>
          <w:tcPr>
            <w:tcW w:w="5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Change in unrealized (losses) gains (net of taxes of $542, $3,326, $632, and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$3,619, respectively) on derivative instruments designated as cash flow</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7"/>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hedges</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5,443</w:t>
            </w:r>
          </w:p>
        </w:tc>
      </w:tr>
      <w:tr>
        <w:trPr>
          <w:trHeight w:val="229"/>
        </w:trPr>
        <w:tc>
          <w:tcPr>
            <w:tcW w:w="5800" w:type="dxa"/>
            <w:vAlign w:val="bottom"/>
          </w:tcPr>
          <w:p>
            <w:pPr>
              <w:ind w:left="180"/>
              <w:spacing w:after="0"/>
              <w:rPr>
                <w:sz w:val="20"/>
                <w:szCs w:val="20"/>
                <w:color w:val="auto"/>
              </w:rPr>
            </w:pPr>
            <w:r>
              <w:rPr>
                <w:rFonts w:ascii="Arial" w:cs="Arial" w:eastAsia="Arial" w:hAnsi="Arial"/>
                <w:sz w:val="18"/>
                <w:szCs w:val="18"/>
                <w:color w:val="auto"/>
                <w:w w:val="94"/>
              </w:rPr>
              <w:t>Changes in pension plans including prior service cost, transition obligation,</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w w:val="92"/>
              </w:rPr>
              <w:t>net actuarial loss and foreign currency translation adjustments, (net of taxes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800" w:type="dxa"/>
            <w:vAlign w:val="bottom"/>
          </w:tcPr>
          <w:p>
            <w:pPr>
              <w:ind w:left="180"/>
              <w:spacing w:after="0"/>
              <w:rPr>
                <w:sz w:val="20"/>
                <w:szCs w:val="20"/>
                <w:color w:val="auto"/>
              </w:rPr>
            </w:pPr>
            <w:r>
              <w:rPr>
                <w:rFonts w:ascii="Arial" w:cs="Arial" w:eastAsia="Arial" w:hAnsi="Arial"/>
                <w:sz w:val="18"/>
                <w:szCs w:val="18"/>
                <w:color w:val="auto"/>
              </w:rPr>
              <w:t>of $164, $98, $493, and $303 respectively)</w:t>
            </w:r>
          </w:p>
        </w:tc>
        <w:tc>
          <w:tcPr>
            <w:tcW w:w="16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3,365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155</w:t>
            </w:r>
          </w:p>
        </w:tc>
      </w:tr>
      <w:tr>
        <w:trPr>
          <w:trHeight w:val="27"/>
        </w:trPr>
        <w:tc>
          <w:tcPr>
            <w:tcW w:w="5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w:t>
            </w:r>
          </w:p>
        </w:tc>
      </w:tr>
      <w:tr>
        <w:trPr>
          <w:trHeight w:val="257"/>
        </w:trPr>
        <w:tc>
          <w:tcPr>
            <w:tcW w:w="5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179,801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179,362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523,918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472,418</w:t>
            </w: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71" w:right="239" w:bottom="1440" w:gutter="0" w:footer="0" w:header="0"/>
        </w:sectPr>
      </w:pPr>
    </w:p>
    <w:bookmarkStart w:id="3" w:name="page4"/>
    <w:bookmarkEnd w:id="3"/>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2, 2014</w:t>
            </w:r>
          </w:p>
        </w:tc>
        <w:tc>
          <w:tcPr>
            <w:tcW w:w="200" w:type="dxa"/>
            <w:vAlign w:val="bottom"/>
          </w:tcPr>
          <w:p>
            <w:pPr>
              <w:spacing w:after="0"/>
              <w:rPr>
                <w:sz w:val="16"/>
                <w:szCs w:val="16"/>
                <w:color w:val="auto"/>
              </w:rPr>
            </w:pPr>
          </w:p>
        </w:tc>
        <w:tc>
          <w:tcPr>
            <w:tcW w:w="1500" w:type="dxa"/>
            <w:vAlign w:val="bottom"/>
          </w:tcPr>
          <w:p>
            <w:pPr>
              <w:jc w:val="right"/>
              <w:ind w:right="219"/>
              <w:spacing w:after="0"/>
              <w:rPr>
                <w:sz w:val="20"/>
                <w:szCs w:val="20"/>
                <w:color w:val="auto"/>
              </w:rPr>
            </w:pPr>
            <w:r>
              <w:rPr>
                <w:rFonts w:ascii="Arial" w:cs="Arial" w:eastAsia="Arial" w:hAnsi="Arial"/>
                <w:sz w:val="14"/>
                <w:szCs w:val="14"/>
                <w:b w:val="1"/>
                <w:bCs w:val="1"/>
                <w:color w:val="auto"/>
                <w:w w:val="99"/>
              </w:rPr>
              <w:t>November 2, 2013</w:t>
            </w:r>
          </w:p>
        </w:tc>
        <w:tc>
          <w:tcPr>
            <w:tcW w:w="0" w:type="dxa"/>
            <w:vAlign w:val="bottom"/>
          </w:tcPr>
          <w:p>
            <w:pPr>
              <w:spacing w:after="0"/>
              <w:rPr>
                <w:sz w:val="1"/>
                <w:szCs w:val="1"/>
                <w:color w:val="auto"/>
              </w:rPr>
            </w:pPr>
          </w:p>
        </w:tc>
      </w:tr>
      <w:tr>
        <w:trPr>
          <w:trHeight w:val="236"/>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2,585,441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392,089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2,346,818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4,290,823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394,762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325,144</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Inventories (1)</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415,098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283,337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134,684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136,299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Prepaid income tax</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3,398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42,342</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5,923,884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5,472,425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at Cost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Land and buildings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488,517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458,853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1,861,604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1,733,850</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Office equipment</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51,477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49,321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Leasehold improvements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50,870</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2,453,469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2,292,894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1,843,532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1,784,723</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Net property, plant and equipment</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609,937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508,171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compensation plan investments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20,003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17,364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3,816</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1,631,890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284,112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695,832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28,552</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29,554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26,226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41,084</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other assets</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2,439,644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401,154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8,973,465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6,381,750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142,653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119,994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on shipments to distributors,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285,832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247,428</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40,664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45,490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debt</w:t>
            </w:r>
          </w:p>
        </w:tc>
        <w:tc>
          <w:tcPr>
            <w:tcW w:w="240" w:type="dxa"/>
            <w:vAlign w:val="bottom"/>
            <w:shd w:val="clear" w:color="auto" w:fill="CCEEFF"/>
          </w:tcPr>
          <w:p>
            <w:pPr>
              <w:spacing w:after="0"/>
              <w:rPr>
                <w:sz w:val="19"/>
                <w:szCs w:val="19"/>
                <w:color w:val="auto"/>
              </w:rPr>
            </w:pPr>
          </w:p>
        </w:tc>
        <w:tc>
          <w:tcPr>
            <w:tcW w:w="14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1,995,398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157,979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157,600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2,622,526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570,512</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872,652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872,241</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276,234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6,037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compensation plan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17,364</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174,853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176,020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1,343,742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1,071,662</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Preferred stock, $1.00 par value, 471,934 shares authorized, none outstanding</w:t>
            </w:r>
          </w:p>
        </w:tc>
        <w:tc>
          <w:tcPr>
            <w:tcW w:w="24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Common stock, $0.16 2/3 par value, 1,200,000,000 shares authorized, 314,212,784 shares issued and outstanding</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(311,045,084 on November 2, 2013)</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52,370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51,842</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792,971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711,879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4,239,109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4,056,401</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(77,253)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(80,546)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5,007,197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4,739,576</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8,973,465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6,381,750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0" w:right="2960" w:firstLine="272"/>
        <w:spacing w:after="0" w:line="494" w:lineRule="auto"/>
        <w:tabs>
          <w:tab w:leader="none" w:pos="65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$2,094 and $2,273 related to stock-based compensation at August 2, 2014 and November 2, 2013, respectively. See accompanying notes.</w:t>
      </w:r>
    </w:p>
    <w:p>
      <w:pPr>
        <w:sectPr>
          <w:pgSz w:w="11900" w:h="17037" w:orient="portrait"/>
          <w:cols w:equalWidth="0" w:num="1">
            <w:col w:w="11420"/>
          </w:cols>
          <w:pgMar w:left="240" w:top="773"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68"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2, 2014</w:t>
            </w:r>
          </w:p>
        </w:tc>
        <w:tc>
          <w:tcPr>
            <w:tcW w:w="260" w:type="dxa"/>
            <w:vAlign w:val="bottom"/>
          </w:tcPr>
          <w:p>
            <w:pPr>
              <w:spacing w:after="0"/>
              <w:rPr>
                <w:sz w:val="22"/>
                <w:szCs w:val="22"/>
                <w:color w:val="auto"/>
              </w:rPr>
            </w:pPr>
          </w:p>
        </w:tc>
        <w:tc>
          <w:tcPr>
            <w:tcW w:w="1440" w:type="dxa"/>
            <w:vAlign w:val="bottom"/>
          </w:tcPr>
          <w:p>
            <w:pPr>
              <w:jc w:val="right"/>
              <w:ind w:right="319"/>
              <w:spacing w:after="0"/>
              <w:rPr>
                <w:sz w:val="20"/>
                <w:szCs w:val="20"/>
                <w:color w:val="auto"/>
              </w:rPr>
            </w:pPr>
            <w:r>
              <w:rPr>
                <w:rFonts w:ascii="Arial" w:cs="Arial" w:eastAsia="Arial" w:hAnsi="Arial"/>
                <w:sz w:val="14"/>
                <w:szCs w:val="14"/>
                <w:b w:val="1"/>
                <w:bCs w:val="1"/>
                <w:color w:val="auto"/>
              </w:rPr>
              <w:t>August 3, 2013</w:t>
            </w:r>
          </w:p>
        </w:tc>
      </w:tr>
      <w:tr>
        <w:trPr>
          <w:trHeight w:val="210"/>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60"/>
        </w:trPr>
        <w:tc>
          <w:tcPr>
            <w:tcW w:w="79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520,625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471,933</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83,147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82,681</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35,419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43,764</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10,205</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Excess tax benefit-stock options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(21,349)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(15,073)</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(11,141)</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Other non-cash activity</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(1,072)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48,718</w:t>
            </w: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Total adjustments</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88,714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158,247</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609,339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630,180</w:t>
            </w: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60"/>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short-term available-for-sale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(5,539,018)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(5,980,735)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Maturities of short-term available-for-sale investments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5,810,937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4,771,441</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short-term available-for-sale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1,700,130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590,827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Additions to property, plant and equipment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(134,496)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(74,516)</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acquisitions,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(1,943,704)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Increase in other assets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(9,422)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(4,066)</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(115,573)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(699,524)</w:t>
            </w: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60"/>
        </w:trPr>
        <w:tc>
          <w:tcPr>
            <w:tcW w:w="7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senior unsecured notes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(392,790)</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Proceeds from debt</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1,995,398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493,880</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Term loan repayments</w:t>
            </w:r>
          </w:p>
        </w:tc>
        <w:tc>
          <w:tcPr>
            <w:tcW w:w="24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(60,108)</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 payments to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(300,017)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(168,971)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(17,720)</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employee stock plans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178,581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261,878</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Contingent consideration payment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(3,752)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other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Excess tax benefit-stock options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21,349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15,073</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1,701,234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669</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2,193,352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(68,765)</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392,089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528,833</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2,585,441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460,068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420"/>
          </w:cols>
          <w:pgMar w:left="240" w:top="1206"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06"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AUGUST 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2, 2013 and related notes. The results of operations for the interim periods shown in this report are not necessarily indicative of the results that may be expected for the fiscal year ending November 1, 2014 or any future period.</w:t>
      </w:r>
    </w:p>
    <w:p>
      <w:pPr>
        <w:spacing w:after="0" w:line="33" w:lineRule="exact"/>
        <w:rPr>
          <w:sz w:val="20"/>
          <w:szCs w:val="20"/>
          <w:color w:val="auto"/>
        </w:rPr>
      </w:pPr>
    </w:p>
    <w:p>
      <w:pPr>
        <w:ind w:right="60" w:firstLine="432"/>
        <w:spacing w:after="0" w:line="287" w:lineRule="auto"/>
        <w:rPr>
          <w:sz w:val="20"/>
          <w:szCs w:val="20"/>
          <w:color w:val="auto"/>
        </w:rPr>
      </w:pPr>
      <w:r>
        <w:rPr>
          <w:rFonts w:ascii="Arial" w:cs="Arial" w:eastAsia="Arial" w:hAnsi="Arial"/>
          <w:sz w:val="17"/>
          <w:szCs w:val="17"/>
          <w:color w:val="auto"/>
        </w:rPr>
        <w:t xml:space="preserve">On July 22, 2014, the Company completed its acquisition of Hittite Microwave Corporation (Hittite), a company that designs and develops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The acquisition of Hittite is referred to as the Acquisition. </w:t>
      </w:r>
      <w:r>
        <w:rPr>
          <w:rFonts w:ascii="Arial" w:cs="Arial" w:eastAsia="Arial" w:hAnsi="Arial"/>
          <w:sz w:val="18"/>
          <w:szCs w:val="18"/>
          <w:color w:val="auto"/>
        </w:rPr>
        <w:t>T</w:t>
      </w:r>
      <w:r>
        <w:rPr>
          <w:rFonts w:ascii="Arial" w:cs="Arial" w:eastAsia="Arial" w:hAnsi="Arial"/>
          <w:sz w:val="17"/>
          <w:szCs w:val="17"/>
          <w:color w:val="auto"/>
        </w:rPr>
        <w:t xml:space="preserve">he condensed consolidated financial statements included in this Quarterly Report on Form 10-Q include the financial results of Hittite prospectively from July 22, 2014, the closing date of the Acquisition. See Note 16,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of these Notes to Condensed Consolidated Financial Statements for further discussion related to the Acquisition.</w:t>
      </w:r>
    </w:p>
    <w:p>
      <w:pPr>
        <w:spacing w:after="0" w:line="11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Certain amounts reported in previous periods have been reclassified to conform to the fiscal 2014 presentation. Such reclassified amounts are immaterial. The Company has a 52-53 week fiscal year that ends on the Saturday closest to the last day in October. Fiscal 2014 and fiscal 2013 are 52-week fiscal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94" w:lineRule="exact"/>
        <w:rPr>
          <w:sz w:val="20"/>
          <w:szCs w:val="20"/>
          <w:color w:val="auto"/>
        </w:rPr>
      </w:pPr>
    </w:p>
    <w:p>
      <w:pPr>
        <w:ind w:right="280" w:firstLine="432"/>
        <w:spacing w:after="0" w:line="258"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For multiple element arrangements, the Company allocates arrangement consideration among the elements based on the relative fair values of those elements as determined using vendor-specific objective evidence or third-party evidence. The Company uses its best estimate of selling price to allocate arrangement consideration between the deliverables in cases where neither vendor-specific objective evidence nor third-party evidence is available. A reserve for sales returns and allowances for customers is recorded based on historical experience or specific identification of an event necessitating a reserve.</w:t>
      </w:r>
    </w:p>
    <w:p>
      <w:pPr>
        <w:spacing w:after="0" w:line="8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Revenue from contracts with the United States Government, government prime contractors and some commercial customers is generally recorded on a percentage of completion basis using either units delivered or costs incurred as the measurement basis for progress towards completion. The output measure is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26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As a result,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2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upon with the customer will be influenced by many factors, including the particular product being sold, the quantity ordered, the particular customer,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7" w:name="page8"/>
    <w:bookmarkEnd w:id="7"/>
    <w:p>
      <w:pPr>
        <w:ind w:right="240"/>
        <w:spacing w:after="0" w:line="277" w:lineRule="auto"/>
        <w:rPr>
          <w:sz w:val="20"/>
          <w:szCs w:val="20"/>
          <w:color w:val="auto"/>
        </w:rPr>
      </w:pPr>
      <w:r>
        <w:rPr>
          <w:rFonts w:ascii="Arial" w:cs="Arial" w:eastAsia="Arial" w:hAnsi="Arial"/>
          <w:sz w:val="18"/>
          <w:szCs w:val="18"/>
          <w:color w:val="auto"/>
        </w:rPr>
        <w:t>geographic location of the distributor and the competitive landscape. As a result, the distributor may request and receive a price-adjustment credit from the Company to allow the distributor to earn an appropriate margin on the transaction.</w:t>
      </w:r>
    </w:p>
    <w:p>
      <w:pPr>
        <w:spacing w:after="0" w:line="116"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the specific product in the distributor’s inventory at the time of the price decrease.</w:t>
      </w:r>
    </w:p>
    <w:p>
      <w:pPr>
        <w:spacing w:after="0" w:line="9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2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 Shipping costs are charged to cost of sales as incurred.</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frequent contact with the distributors to ensure reserves are established for all known material issues.</w:t>
      </w:r>
    </w:p>
    <w:p>
      <w:pPr>
        <w:spacing w:after="0" w:line="13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As of August 2, 2014 and November 2, 2013, the Company had gross deferred revenue of $356.1 million and $309.2 million, respectively, and gross deferred cost of sales of $70.3 million and $61.8 million, respectively. Deferred income on shipments to distributors increased in the first nine months of fiscal 2014 primarily as a result of an increase in product shipments into the channel during fiscal 2014 in order to support anticipated sales demand and, to a lesser extent, deferred income acquired as part of the Acquisition.</w:t>
      </w:r>
    </w:p>
    <w:p>
      <w:pPr>
        <w:spacing w:after="0" w:line="133"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Company generally offers a twelve-month warranty for its products. The Company’s warranty policy provides for replacement of defective products. Specific accruals are recorded for known product warranty issues. Product warranty expenses during each of the three- and nine-month periods ended August 2, 2014 and August 3, 2013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22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In addition to restricted stock units with a service condition, we grant restricted stock units with both a market condition and a service condition (market-based restricted stock units). The number of shares of the Company's common stock to be issued upon vesting of market-based restricted stock units will range from 0% to 200% of the target amount, based on the comparison of the Company's total shareholder return (TSR) to the median TSR of a specified peer group over a three-year period. TSR is a measure of stock price appreciation plus any dividends paid during the performance period. Determining the amount of stock-based compensation to be recorded for stock options and market-based restricted stock units requires the Company to develop estimates to calculate the grant-date fair value of awards.</w:t>
      </w:r>
    </w:p>
    <w:p>
      <w:pPr>
        <w:spacing w:after="0" w:line="179" w:lineRule="exact"/>
        <w:rPr>
          <w:sz w:val="20"/>
          <w:szCs w:val="20"/>
          <w:color w:val="auto"/>
        </w:rPr>
      </w:pPr>
    </w:p>
    <w:p>
      <w:pPr>
        <w:ind w:right="260" w:firstLine="405"/>
        <w:spacing w:after="0" w:line="273" w:lineRule="auto"/>
        <w:rPr>
          <w:sz w:val="20"/>
          <w:szCs w:val="20"/>
          <w:color w:val="auto"/>
        </w:rPr>
      </w:pPr>
      <w:r>
        <w:rPr>
          <w:rFonts w:ascii="Arial" w:cs="Arial" w:eastAsia="Arial" w:hAnsi="Arial"/>
          <w:sz w:val="17"/>
          <w:szCs w:val="17"/>
          <w:i w:val="1"/>
          <w:iCs w:val="1"/>
          <w:color w:val="auto"/>
        </w:rPr>
        <w:t xml:space="preserve">Hittite Replacement Awards </w:t>
      </w:r>
      <w:r>
        <w:rPr>
          <w:rFonts w:ascii="Arial" w:cs="Arial" w:eastAsia="Arial" w:hAnsi="Arial"/>
          <w:sz w:val="17"/>
          <w:szCs w:val="17"/>
          <w:color w:val="auto"/>
        </w:rPr>
        <w:t>— In connection with the Acquisition, the Company issued equity awards to certain Hittite employees in replacement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Hittite equity awards that were canceled at closing. The replacement awards consisted of approximately 0.7 million restricted stock units with a weighted average grant date fair value of $48.20. The terms and intrinsic value of these awards were substantially the same as the canceled Hittite awards. The fair value of the replaced awards associated with services rendered though the date of Acquisition was recognized as a component of the total preliminary estimated acquisition consideration and the remaining fair value of the replaced awards associated with post Acquisition services will be recognized as an expense on a straight-line basis over the remaining vesting period.</w:t>
      </w:r>
    </w:p>
    <w:p>
      <w:pPr>
        <w:spacing w:after="0" w:line="17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 The Company uses the Black-Scholes valuation model to calculate the grant-date fair value of stock option awards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Monte Carlo simulation model to calculate the grant-date fair value of market-based restricted stock units. The use of these valuation models requires the Company to make estimates and assumptions, such as expected volatility, expected term, risk-free interest rate, expected dividend yield and forfeiture rates. The grant-date fair value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46" w:right="259" w:bottom="1440" w:gutter="0" w:footer="0" w:header="0"/>
        </w:sectPr>
      </w:pPr>
    </w:p>
    <w:bookmarkStart w:id="8" w:name="page9"/>
    <w:bookmarkEnd w:id="8"/>
    <w:p>
      <w:pPr>
        <w:ind w:right="100"/>
        <w:spacing w:after="0" w:line="277" w:lineRule="auto"/>
        <w:rPr>
          <w:sz w:val="20"/>
          <w:szCs w:val="20"/>
          <w:color w:val="auto"/>
        </w:rPr>
      </w:pPr>
      <w:r>
        <w:rPr>
          <w:rFonts w:ascii="Arial" w:cs="Arial" w:eastAsia="Arial" w:hAnsi="Arial"/>
          <w:sz w:val="18"/>
          <w:szCs w:val="18"/>
          <w:color w:val="auto"/>
        </w:rPr>
        <w:t>restricted stock units with only a service condition represents the value of the Company’s common stock on the date of grant, reduced by the present value of dividends expected to be paid on the Company’s common stock prior to vesting.</w:t>
      </w:r>
    </w:p>
    <w:p>
      <w:pPr>
        <w:spacing w:after="0" w:line="170" w:lineRule="exact"/>
        <w:rPr>
          <w:sz w:val="20"/>
          <w:szCs w:val="20"/>
          <w:color w:val="auto"/>
        </w:rPr>
      </w:pPr>
    </w:p>
    <w:p>
      <w:pPr>
        <w:jc w:val="both"/>
        <w:ind w:right="340" w:firstLine="486"/>
        <w:spacing w:after="0" w:line="264"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using the Black-Scholes valuation model granted during the three- and nine-month periods ended August 2, 2014 and August 3, 2013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932"/>
              <w:spacing w:after="0"/>
              <w:rPr>
                <w:sz w:val="20"/>
                <w:szCs w:val="20"/>
                <w:color w:val="auto"/>
              </w:rPr>
            </w:pPr>
            <w:r>
              <w:rPr>
                <w:rFonts w:ascii="Arial" w:cs="Arial" w:eastAsia="Arial" w:hAnsi="Arial"/>
                <w:sz w:val="14"/>
                <w:szCs w:val="14"/>
                <w:b w:val="1"/>
                <w:bCs w:val="1"/>
                <w:color w:val="auto"/>
              </w:rPr>
              <w:t>Nine Months Ended</w:t>
            </w:r>
          </w:p>
        </w:tc>
      </w:tr>
      <w:tr>
        <w:trPr>
          <w:trHeight w:val="229"/>
        </w:trPr>
        <w:tc>
          <w:tcPr>
            <w:tcW w:w="472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Options</w:t>
            </w:r>
          </w:p>
        </w:tc>
        <w:tc>
          <w:tcPr>
            <w:tcW w:w="1700" w:type="dxa"/>
            <w:vAlign w:val="bottom"/>
            <w:gridSpan w:val="2"/>
          </w:tcPr>
          <w:p>
            <w:pPr>
              <w:ind w:left="340"/>
              <w:spacing w:after="0"/>
              <w:rPr>
                <w:sz w:val="20"/>
                <w:szCs w:val="20"/>
                <w:color w:val="auto"/>
              </w:rPr>
            </w:pPr>
            <w:r>
              <w:rPr>
                <w:rFonts w:ascii="Arial" w:cs="Arial" w:eastAsia="Arial" w:hAnsi="Arial"/>
                <w:sz w:val="14"/>
                <w:szCs w:val="14"/>
                <w:b w:val="1"/>
                <w:bCs w:val="1"/>
                <w:color w:val="auto"/>
              </w:rPr>
              <w:t>August 2, 2014</w:t>
            </w:r>
          </w:p>
        </w:tc>
        <w:tc>
          <w:tcPr>
            <w:tcW w:w="1700" w:type="dxa"/>
            <w:vAlign w:val="bottom"/>
            <w:gridSpan w:val="2"/>
          </w:tcPr>
          <w:p>
            <w:pPr>
              <w:ind w:left="340"/>
              <w:spacing w:after="0"/>
              <w:rPr>
                <w:sz w:val="20"/>
                <w:szCs w:val="20"/>
                <w:color w:val="auto"/>
              </w:rPr>
            </w:pPr>
            <w:r>
              <w:rPr>
                <w:rFonts w:ascii="Arial" w:cs="Arial" w:eastAsia="Arial" w:hAnsi="Arial"/>
                <w:sz w:val="14"/>
                <w:szCs w:val="14"/>
                <w:b w:val="1"/>
                <w:bCs w:val="1"/>
                <w:color w:val="auto"/>
              </w:rPr>
              <w:t>August 3, 2013</w:t>
            </w:r>
          </w:p>
        </w:tc>
        <w:tc>
          <w:tcPr>
            <w:tcW w:w="1700" w:type="dxa"/>
            <w:vAlign w:val="bottom"/>
            <w:gridSpan w:val="2"/>
          </w:tcPr>
          <w:p>
            <w:pPr>
              <w:ind w:left="340"/>
              <w:spacing w:after="0"/>
              <w:rPr>
                <w:sz w:val="20"/>
                <w:szCs w:val="20"/>
                <w:color w:val="auto"/>
              </w:rPr>
            </w:pPr>
            <w:r>
              <w:rPr>
                <w:rFonts w:ascii="Arial" w:cs="Arial" w:eastAsia="Arial" w:hAnsi="Arial"/>
                <w:sz w:val="14"/>
                <w:szCs w:val="14"/>
                <w:b w:val="1"/>
                <w:bCs w:val="1"/>
                <w:color w:val="auto"/>
              </w:rPr>
              <w:t>August 2, 2014</w:t>
            </w:r>
          </w:p>
        </w:tc>
        <w:tc>
          <w:tcPr>
            <w:tcW w:w="1600" w:type="dxa"/>
            <w:vAlign w:val="bottom"/>
          </w:tcPr>
          <w:p>
            <w:pPr>
              <w:jc w:val="right"/>
              <w:ind w:right="252"/>
              <w:spacing w:after="0"/>
              <w:rPr>
                <w:sz w:val="20"/>
                <w:szCs w:val="20"/>
                <w:color w:val="auto"/>
              </w:rPr>
            </w:pPr>
            <w:r>
              <w:rPr>
                <w:rFonts w:ascii="Arial" w:cs="Arial" w:eastAsia="Arial" w:hAnsi="Arial"/>
                <w:sz w:val="14"/>
                <w:szCs w:val="14"/>
                <w:b w:val="1"/>
                <w:bCs w:val="1"/>
                <w:color w:val="auto"/>
              </w:rPr>
              <w:t>August 3,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4"/>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granted (in thousands)</w:t>
            </w:r>
          </w:p>
        </w:tc>
        <w:tc>
          <w:tcPr>
            <w:tcW w:w="16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2,389</w:t>
            </w:r>
          </w:p>
        </w:tc>
      </w:tr>
      <w:tr>
        <w:trPr>
          <w:trHeight w:val="243"/>
        </w:trPr>
        <w:tc>
          <w:tcPr>
            <w:tcW w:w="4720" w:type="dxa"/>
            <w:vAlign w:val="bottom"/>
            <w:gridSpan w:val="3"/>
          </w:tcPr>
          <w:p>
            <w:pPr>
              <w:ind w:left="40"/>
              <w:spacing w:after="0"/>
              <w:rPr>
                <w:sz w:val="20"/>
                <w:szCs w:val="20"/>
                <w:color w:val="auto"/>
              </w:rPr>
            </w:pPr>
            <w:r>
              <w:rPr>
                <w:rFonts w:ascii="Arial" w:cs="Arial" w:eastAsia="Arial" w:hAnsi="Arial"/>
                <w:sz w:val="18"/>
                <w:szCs w:val="18"/>
                <w:color w:val="auto"/>
              </w:rPr>
              <w:t>Weighted-average exercise price</w:t>
            </w:r>
          </w:p>
        </w:tc>
        <w:tc>
          <w:tcPr>
            <w:tcW w:w="1600" w:type="dxa"/>
            <w:vAlign w:val="bottom"/>
          </w:tcPr>
          <w:p>
            <w:pPr>
              <w:jc w:val="right"/>
              <w:ind w:right="114"/>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21"/>
                <w:szCs w:val="21"/>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1"/>
                <w:szCs w:val="21"/>
                <w:color w:val="auto"/>
              </w:rPr>
            </w:pPr>
          </w:p>
        </w:tc>
        <w:tc>
          <w:tcPr>
            <w:tcW w:w="1600" w:type="dxa"/>
            <w:vAlign w:val="bottom"/>
          </w:tcPr>
          <w:p>
            <w:pPr>
              <w:jc w:val="right"/>
              <w:ind w:right="114"/>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$46.39</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w:t>
            </w:r>
          </w:p>
        </w:tc>
        <w:tc>
          <w:tcPr>
            <w:tcW w:w="16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$7.37</w:t>
            </w:r>
          </w:p>
        </w:tc>
      </w:tr>
      <w:tr>
        <w:trPr>
          <w:trHeight w:val="243"/>
        </w:trPr>
        <w:tc>
          <w:tcPr>
            <w:tcW w:w="4720" w:type="dxa"/>
            <w:vAlign w:val="bottom"/>
            <w:gridSpan w:val="3"/>
          </w:tcPr>
          <w:p>
            <w:pPr>
              <w:ind w:left="40"/>
              <w:spacing w:after="0"/>
              <w:rPr>
                <w:sz w:val="20"/>
                <w:szCs w:val="20"/>
                <w:color w:val="auto"/>
              </w:rPr>
            </w:pPr>
            <w:r>
              <w:rPr>
                <w:rFonts w:ascii="Arial" w:cs="Arial" w:eastAsia="Arial" w:hAnsi="Arial"/>
                <w:sz w:val="18"/>
                <w:szCs w:val="18"/>
                <w:color w:val="auto"/>
              </w:rPr>
              <w:t>Assumptions: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43"/>
        </w:trPr>
        <w:tc>
          <w:tcPr>
            <w:tcW w:w="472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term (in years)</w:t>
            </w:r>
          </w:p>
        </w:tc>
        <w:tc>
          <w:tcPr>
            <w:tcW w:w="1600" w:type="dxa"/>
            <w:vAlign w:val="bottom"/>
          </w:tcPr>
          <w:p>
            <w:pPr>
              <w:jc w:val="right"/>
              <w:ind w:right="11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0" w:type="dxa"/>
            <w:vAlign w:val="bottom"/>
          </w:tcPr>
          <w:p>
            <w:pPr>
              <w:jc w:val="right"/>
              <w:ind w:right="11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72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dividend yield</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Monte Carlo simulation model utilizes multiple input variables that determine the probability of satisfying the performance conditions stipulated in the award grant and calculates the fair market value for the market-based restricted stock units granted. The Monte Carlo simulation model also uses stock price volatility and other variables to estimate the probability of satisfying the performance conditions, including the possibility that the market condition may not be satisfied, and the resulting fair value of the award. Information pertaining to the Company’s market-based restricted stock units and the related estimated assumptions used to calculate the fair value of market-based restricted stock units granted during the nine-month period ended August 2, 2014 using the Monte Carlo simulation model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5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98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Market-based Restricted Stock Units</w:t>
            </w:r>
          </w:p>
        </w:tc>
        <w:tc>
          <w:tcPr>
            <w:tcW w:w="1580" w:type="dxa"/>
            <w:vAlign w:val="bottom"/>
          </w:tcPr>
          <w:p>
            <w:pPr>
              <w:jc w:val="right"/>
              <w:ind w:right="255"/>
              <w:spacing w:after="0"/>
              <w:rPr>
                <w:sz w:val="20"/>
                <w:szCs w:val="20"/>
                <w:color w:val="auto"/>
              </w:rPr>
            </w:pPr>
            <w:r>
              <w:rPr>
                <w:rFonts w:ascii="Arial" w:cs="Arial" w:eastAsia="Arial" w:hAnsi="Arial"/>
                <w:sz w:val="14"/>
                <w:szCs w:val="14"/>
                <w:b w:val="1"/>
                <w:bCs w:val="1"/>
                <w:color w:val="auto"/>
              </w:rPr>
              <w:t>August 2,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9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Units granted (in thousands)</w:t>
            </w:r>
          </w:p>
        </w:tc>
        <w:tc>
          <w:tcPr>
            <w:tcW w:w="15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86</w:t>
            </w:r>
          </w:p>
        </w:tc>
      </w:tr>
      <w:tr>
        <w:trPr>
          <w:trHeight w:val="243"/>
        </w:trPr>
        <w:tc>
          <w:tcPr>
            <w:tcW w:w="9840" w:type="dxa"/>
            <w:vAlign w:val="bottom"/>
            <w:gridSpan w:val="3"/>
          </w:tcPr>
          <w:p>
            <w:pPr>
              <w:ind w:left="40"/>
              <w:spacing w:after="0"/>
              <w:rPr>
                <w:sz w:val="20"/>
                <w:szCs w:val="20"/>
                <w:color w:val="auto"/>
              </w:rPr>
            </w:pPr>
            <w:r>
              <w:rPr>
                <w:rFonts w:ascii="Arial" w:cs="Arial" w:eastAsia="Arial" w:hAnsi="Arial"/>
                <w:sz w:val="18"/>
                <w:szCs w:val="18"/>
                <w:color w:val="auto"/>
              </w:rPr>
              <w:t>Grant-date fair value</w:t>
            </w:r>
          </w:p>
        </w:tc>
        <w:tc>
          <w:tcPr>
            <w:tcW w:w="1580" w:type="dxa"/>
            <w:vAlign w:val="bottom"/>
          </w:tcPr>
          <w:p>
            <w:pPr>
              <w:jc w:val="right"/>
              <w:ind w:right="95"/>
              <w:spacing w:after="0"/>
              <w:rPr>
                <w:sz w:val="20"/>
                <w:szCs w:val="20"/>
                <w:color w:val="auto"/>
              </w:rPr>
            </w:pPr>
            <w:r>
              <w:rPr>
                <w:rFonts w:ascii="Arial" w:cs="Arial" w:eastAsia="Arial" w:hAnsi="Arial"/>
                <w:sz w:val="18"/>
                <w:szCs w:val="18"/>
                <w:color w:val="auto"/>
              </w:rPr>
              <w:t>$50.79</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Assumptions:</w:t>
            </w: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9840" w:type="dxa"/>
            <w:vAlign w:val="bottom"/>
            <w:gridSpan w:val="3"/>
          </w:tcPr>
          <w:p>
            <w:pPr>
              <w:ind w:left="40"/>
              <w:spacing w:after="0"/>
              <w:rPr>
                <w:sz w:val="20"/>
                <w:szCs w:val="20"/>
                <w:color w:val="auto"/>
              </w:rPr>
            </w:pPr>
            <w:r>
              <w:rPr>
                <w:rFonts w:ascii="Arial" w:cs="Arial" w:eastAsia="Arial" w:hAnsi="Arial"/>
                <w:sz w:val="18"/>
                <w:szCs w:val="18"/>
                <w:color w:val="auto"/>
              </w:rPr>
              <w:t>Historical stock price volatility</w:t>
            </w:r>
          </w:p>
        </w:tc>
        <w:tc>
          <w:tcPr>
            <w:tcW w:w="15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9840" w:type="dxa"/>
            <w:vAlign w:val="bottom"/>
            <w:gridSpan w:val="3"/>
          </w:tcPr>
          <w:p>
            <w:pPr>
              <w:ind w:left="40"/>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Market-based restricted stock units were not granted during the three-month period ended August 2, 2014 or the three- and nine-month periods ended August 3, 2013.</w:t>
      </w:r>
    </w:p>
    <w:p>
      <w:pPr>
        <w:spacing w:after="0" w:line="116"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 the remaining maturities of the traded options used to estimate volatility are at least one year.</w:t>
      </w:r>
    </w:p>
    <w:p>
      <w:pPr>
        <w:spacing w:after="0" w:line="21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ind w:firstLine="432"/>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4.4% to all unvested stock-based awards as of August 2, 2014. The rate of 4.4%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Additional paid-in-capital (APIC) Pool</w:t>
      </w:r>
    </w:p>
    <w:p>
      <w:pPr>
        <w:spacing w:after="0" w:line="90"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condensed consolidated statements of income. During the three- and nine-month periods ended August 2, 2014 and August 3, 2013, the Company had available APIC pool to absorb tax deficiencies recorded and as a result, these deficiencies did not affect its results of operations.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Activity</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 summary of the activity under the Company’s stock option plans as of August 2, 2014 and changes during the three- and nine-month periods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August 2, 2014</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5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Price Per Share</w:t>
            </w: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Term in Years</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6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May 3, 2014</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16,324</w:t>
            </w:r>
          </w:p>
        </w:tc>
        <w:tc>
          <w:tcPr>
            <w:tcW w:w="15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540" w:type="dxa"/>
            <w:vAlign w:val="bottom"/>
            <w:gridSpan w:val="2"/>
          </w:tcPr>
          <w:p>
            <w:pPr>
              <w:jc w:val="right"/>
              <w:ind w:right="28"/>
              <w:spacing w:after="0"/>
              <w:rPr>
                <w:sz w:val="20"/>
                <w:szCs w:val="20"/>
                <w:color w:val="auto"/>
              </w:rPr>
            </w:pPr>
            <w:r>
              <w:rPr>
                <w:rFonts w:ascii="Arial" w:cs="Arial" w:eastAsia="Arial" w:hAnsi="Arial"/>
                <w:sz w:val="18"/>
                <w:szCs w:val="18"/>
                <w:color w:val="auto"/>
              </w:rPr>
              <w:t>$52.60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5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$31.15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Options 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1540" w:type="dxa"/>
            <w:vAlign w:val="bottom"/>
            <w:gridSpan w:val="2"/>
          </w:tcPr>
          <w:p>
            <w:pPr>
              <w:jc w:val="right"/>
              <w:ind w:right="28"/>
              <w:spacing w:after="0"/>
              <w:rPr>
                <w:sz w:val="20"/>
                <w:szCs w:val="20"/>
                <w:color w:val="auto"/>
              </w:rPr>
            </w:pPr>
            <w:r>
              <w:rPr>
                <w:rFonts w:ascii="Arial" w:cs="Arial" w:eastAsia="Arial" w:hAnsi="Arial"/>
                <w:sz w:val="18"/>
                <w:szCs w:val="18"/>
                <w:color w:val="auto"/>
              </w:rPr>
              <w:t>$44.38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expired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5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$46.27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Options outstanding at August 2, 2014</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15,146</w:t>
            </w:r>
          </w:p>
        </w:tc>
        <w:tc>
          <w:tcPr>
            <w:tcW w:w="154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$203,415</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exercisable at August 2, 2014</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8,927</w:t>
            </w:r>
          </w:p>
        </w:tc>
        <w:tc>
          <w:tcPr>
            <w:tcW w:w="15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$168,707</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Options vested or expected to vest at August 2, 2014 (1)</w:t>
            </w: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gridSpan w:val="3"/>
            <w:vMerge w:val="continue"/>
          </w:tcPr>
          <w:p>
            <w:pPr>
              <w:spacing w:after="0"/>
              <w:rPr>
                <w:sz w:val="21"/>
                <w:szCs w:val="21"/>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14,637</w:t>
            </w:r>
          </w:p>
        </w:tc>
        <w:tc>
          <w:tcPr>
            <w:tcW w:w="1540" w:type="dxa"/>
            <w:vAlign w:val="bottom"/>
            <w:gridSpan w:val="2"/>
          </w:tcPr>
          <w:p>
            <w:pPr>
              <w:jc w:val="right"/>
              <w:ind w:right="28"/>
              <w:spacing w:after="0"/>
              <w:rPr>
                <w:sz w:val="20"/>
                <w:szCs w:val="20"/>
                <w:color w:val="auto"/>
              </w:rPr>
            </w:pPr>
            <w:r>
              <w:rPr>
                <w:rFonts w:ascii="Arial" w:cs="Arial" w:eastAsia="Arial" w:hAnsi="Arial"/>
                <w:sz w:val="18"/>
                <w:szCs w:val="18"/>
                <w:color w:val="auto"/>
              </w:rPr>
              <w:t>$36.47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$201,403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Activity during the Nine Months Ended August 2, 2014</w:t>
            </w:r>
          </w:p>
        </w:tc>
        <w:tc>
          <w:tcPr>
            <w:tcW w:w="39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0" w:type="dxa"/>
            <w:vAlign w:val="bottom"/>
          </w:tcPr>
          <w:p>
            <w:pPr>
              <w:spacing w:after="0"/>
              <w:rPr>
                <w:sz w:val="1"/>
                <w:szCs w:val="1"/>
                <w:color w:val="auto"/>
              </w:rPr>
            </w:pPr>
          </w:p>
        </w:tc>
      </w:tr>
      <w:tr>
        <w:trPr>
          <w:trHeight w:val="158"/>
        </w:trPr>
        <w:tc>
          <w:tcPr>
            <w:tcW w:w="4500" w:type="dxa"/>
            <w:vAlign w:val="bottom"/>
            <w:gridSpan w:val="3"/>
            <w:vMerge w:val="continue"/>
          </w:tcPr>
          <w:p>
            <w:pPr>
              <w:spacing w:after="0"/>
              <w:rPr>
                <w:sz w:val="13"/>
                <w:szCs w:val="13"/>
                <w:color w:val="auto"/>
              </w:rPr>
            </w:pPr>
          </w:p>
        </w:tc>
        <w:tc>
          <w:tcPr>
            <w:tcW w:w="396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14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Price Per Share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38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November 2, 2013</w:t>
            </w:r>
          </w:p>
        </w:tc>
        <w:tc>
          <w:tcPr>
            <w:tcW w:w="53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18,992</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5300" w:type="dxa"/>
            <w:vAlign w:val="bottom"/>
            <w:gridSpan w:val="2"/>
          </w:tcPr>
          <w:p>
            <w:pPr>
              <w:jc w:val="right"/>
              <w:ind w:right="21"/>
              <w:spacing w:after="0"/>
              <w:rPr>
                <w:sz w:val="20"/>
                <w:szCs w:val="20"/>
                <w:color w:val="auto"/>
              </w:rPr>
            </w:pPr>
            <w:r>
              <w:rPr>
                <w:rFonts w:ascii="Arial" w:cs="Arial" w:eastAsia="Arial" w:hAnsi="Arial"/>
                <w:sz w:val="18"/>
                <w:szCs w:val="18"/>
                <w:color w:val="auto"/>
              </w:rPr>
              <w:t>2,137</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5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gridSpan w:val="2"/>
          </w:tcPr>
          <w:p>
            <w:pPr>
              <w:ind w:left="360"/>
              <w:spacing w:after="0"/>
              <w:rPr>
                <w:sz w:val="20"/>
                <w:szCs w:val="20"/>
                <w:color w:val="auto"/>
              </w:rPr>
            </w:pPr>
            <w:r>
              <w:rPr>
                <w:rFonts w:ascii="Arial" w:cs="Arial" w:eastAsia="Arial" w:hAnsi="Arial"/>
                <w:sz w:val="18"/>
                <w:szCs w:val="18"/>
                <w:color w:val="auto"/>
              </w:rPr>
              <w:t>Options forfeited</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Options expired</w:t>
            </w:r>
          </w:p>
        </w:tc>
        <w:tc>
          <w:tcPr>
            <w:tcW w:w="39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57"/>
        </w:trPr>
        <w:tc>
          <w:tcPr>
            <w:tcW w:w="4500" w:type="dxa"/>
            <w:vAlign w:val="bottom"/>
            <w:gridSpan w:val="3"/>
          </w:tcPr>
          <w:p>
            <w:pPr>
              <w:ind w:left="20"/>
              <w:spacing w:after="0"/>
              <w:rPr>
                <w:sz w:val="20"/>
                <w:szCs w:val="20"/>
                <w:color w:val="auto"/>
              </w:rPr>
            </w:pPr>
            <w:r>
              <w:rPr>
                <w:rFonts w:ascii="Arial" w:cs="Arial" w:eastAsia="Arial" w:hAnsi="Arial"/>
                <w:sz w:val="18"/>
                <w:szCs w:val="18"/>
                <w:b w:val="1"/>
                <w:bCs w:val="1"/>
                <w:color w:val="auto"/>
              </w:rPr>
              <w:t>Options outstanding at August 2, 2014</w:t>
            </w:r>
          </w:p>
        </w:tc>
        <w:tc>
          <w:tcPr>
            <w:tcW w:w="396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15,146</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60" w:type="dxa"/>
            <w:vAlign w:val="bottom"/>
            <w:vMerge w:val="restart"/>
          </w:tcPr>
          <w:p>
            <w:pPr>
              <w:jc w:val="right"/>
              <w:ind w:right="2670"/>
              <w:spacing w:after="0"/>
              <w:rPr>
                <w:sz w:val="20"/>
                <w:szCs w:val="20"/>
                <w:color w:val="auto"/>
              </w:rPr>
            </w:pPr>
            <w:r>
              <w:rPr>
                <w:rFonts w:ascii="Arial" w:cs="Arial" w:eastAsia="Arial" w:hAnsi="Arial"/>
                <w:sz w:val="18"/>
                <w:szCs w:val="18"/>
                <w:color w:val="auto"/>
              </w:rPr>
              <w:t>8</w:t>
            </w: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0" w:name="page11"/>
    <w:bookmarkEnd w:id="10"/>
    <w:p>
      <w:pPr>
        <w:ind w:left="60" w:right="240" w:firstLine="405"/>
        <w:spacing w:after="0" w:line="286" w:lineRule="auto"/>
        <w:rPr>
          <w:sz w:val="20"/>
          <w:szCs w:val="20"/>
          <w:color w:val="auto"/>
        </w:rPr>
      </w:pPr>
      <w:r>
        <w:rPr>
          <w:rFonts w:ascii="Arial" w:cs="Arial" w:eastAsia="Arial" w:hAnsi="Arial"/>
          <w:sz w:val="17"/>
          <w:szCs w:val="17"/>
          <w:color w:val="auto"/>
        </w:rPr>
        <w:t>During the three and nine months ended August 2, 2014, the total intrinsic value of options exercised (i.e., the difference between the market price at exercise and the price paid by the employee to exercise the options) was $26.7 million and $114.5 million, respectively, and the total amount of proceeds received by the Company from the exercise of these options was $36.0 million and $178.6 million, respectively.</w:t>
      </w:r>
    </w:p>
    <w:p>
      <w:pPr>
        <w:spacing w:after="0" w:line="166" w:lineRule="exact"/>
        <w:rPr>
          <w:sz w:val="20"/>
          <w:szCs w:val="20"/>
          <w:color w:val="auto"/>
        </w:rPr>
      </w:pPr>
    </w:p>
    <w:p>
      <w:pPr>
        <w:ind w:left="60" w:right="240" w:firstLine="405"/>
        <w:spacing w:after="0" w:line="286" w:lineRule="auto"/>
        <w:rPr>
          <w:sz w:val="20"/>
          <w:szCs w:val="20"/>
          <w:color w:val="auto"/>
        </w:rPr>
      </w:pPr>
      <w:r>
        <w:rPr>
          <w:rFonts w:ascii="Arial" w:cs="Arial" w:eastAsia="Arial" w:hAnsi="Arial"/>
          <w:sz w:val="17"/>
          <w:szCs w:val="17"/>
          <w:color w:val="auto"/>
        </w:rPr>
        <w:t>During the three and nine months ended August 3, 2013, the total intrinsic value of options exercised (i.e., the difference between the market price at exercise and the price paid by the employee to exercise the options) was $29.3 million and $112.5 million, respectively, and the total amount of proceeds received by the Company from the exercise of these options was $85.9 million and $261.9 million, respectively.</w:t>
      </w:r>
    </w:p>
    <w:p>
      <w:pPr>
        <w:spacing w:after="0" w:line="166" w:lineRule="exact"/>
        <w:rPr>
          <w:sz w:val="20"/>
          <w:szCs w:val="20"/>
          <w:color w:val="auto"/>
        </w:rPr>
      </w:pPr>
    </w:p>
    <w:p>
      <w:pPr>
        <w:ind w:left="60" w:right="420" w:firstLine="405"/>
        <w:spacing w:after="0" w:line="277" w:lineRule="auto"/>
        <w:rPr>
          <w:sz w:val="20"/>
          <w:szCs w:val="20"/>
          <w:color w:val="auto"/>
        </w:rPr>
      </w:pPr>
      <w:r>
        <w:rPr>
          <w:rFonts w:ascii="Arial" w:cs="Arial" w:eastAsia="Arial" w:hAnsi="Arial"/>
          <w:sz w:val="18"/>
          <w:szCs w:val="18"/>
          <w:color w:val="auto"/>
        </w:rPr>
        <w:t>A summary of the Company’s restricted stock unit award activity as of August 2, 2014 and changes during the three- and nine-month periods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4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August 2, 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58"/>
        </w:trPr>
        <w:tc>
          <w:tcPr>
            <w:tcW w:w="8420" w:type="dxa"/>
            <w:vAlign w:val="bottom"/>
            <w:gridSpan w:val="4"/>
            <w:vMerge w:val="continue"/>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38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May 3, 2014</w:t>
            </w: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2,449</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3"/>
          </w:tcPr>
          <w:p>
            <w:pPr>
              <w:ind w:left="340"/>
              <w:spacing w:after="0"/>
              <w:rPr>
                <w:sz w:val="20"/>
                <w:szCs w:val="20"/>
                <w:color w:val="auto"/>
              </w:rPr>
            </w:pPr>
            <w:r>
              <w:rPr>
                <w:rFonts w:ascii="Arial" w:cs="Arial" w:eastAsia="Arial" w:hAnsi="Arial"/>
                <w:sz w:val="18"/>
                <w:szCs w:val="18"/>
                <w:color w:val="auto"/>
              </w:rPr>
              <w:t>Units granted</w:t>
            </w: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730</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3"/>
          </w:tcPr>
          <w:p>
            <w:pPr>
              <w:ind w:left="3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August 2, 2014</w:t>
            </w: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3,135</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4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Activity during the Nine Months Ended August 2, 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58"/>
        </w:trPr>
        <w:tc>
          <w:tcPr>
            <w:tcW w:w="8420" w:type="dxa"/>
            <w:vAlign w:val="bottom"/>
            <w:gridSpan w:val="4"/>
            <w:vMerge w:val="continue"/>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4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Restricted stock units outstanding at November 2, 2013</w:t>
            </w: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420" w:type="dxa"/>
            <w:vAlign w:val="bottom"/>
            <w:gridSpan w:val="4"/>
            <w:vMerge w:val="continue"/>
          </w:tcPr>
          <w:p>
            <w:pPr>
              <w:spacing w:after="0"/>
              <w:rPr>
                <w:sz w:val="20"/>
                <w:szCs w:val="20"/>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2,493</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Units granted</w:t>
            </w: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1,568</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3"/>
          </w:tcPr>
          <w:p>
            <w:pPr>
              <w:ind w:left="340"/>
              <w:spacing w:after="0"/>
              <w:rPr>
                <w:sz w:val="20"/>
                <w:szCs w:val="20"/>
                <w:color w:val="auto"/>
              </w:rPr>
            </w:pPr>
            <w:r>
              <w:rPr>
                <w:rFonts w:ascii="Arial" w:cs="Arial" w:eastAsia="Arial" w:hAnsi="Arial"/>
                <w:sz w:val="18"/>
                <w:szCs w:val="18"/>
                <w:color w:val="auto"/>
              </w:rPr>
              <w:t>Restrictions lapsed</w:t>
            </w:r>
          </w:p>
        </w:tc>
        <w:tc>
          <w:tcPr>
            <w:tcW w:w="1440" w:type="dxa"/>
            <w:vAlign w:val="bottom"/>
          </w:tcPr>
          <w:p>
            <w:pPr>
              <w:jc w:val="right"/>
              <w:spacing w:after="0"/>
              <w:rPr>
                <w:sz w:val="20"/>
                <w:szCs w:val="20"/>
                <w:color w:val="auto"/>
              </w:rPr>
            </w:pPr>
            <w:r>
              <w:rPr>
                <w:rFonts w:ascii="Arial" w:cs="Arial" w:eastAsia="Arial" w:hAnsi="Arial"/>
                <w:sz w:val="18"/>
                <w:szCs w:val="18"/>
                <w:color w:val="auto"/>
              </w:rPr>
              <w:t>(844)</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57"/>
        </w:trPr>
        <w:tc>
          <w:tcPr>
            <w:tcW w:w="8420" w:type="dxa"/>
            <w:vAlign w:val="bottom"/>
            <w:gridSpan w:val="4"/>
          </w:tcPr>
          <w:p>
            <w:pPr>
              <w:ind w:left="40"/>
              <w:spacing w:after="0"/>
              <w:rPr>
                <w:sz w:val="20"/>
                <w:szCs w:val="20"/>
                <w:color w:val="auto"/>
              </w:rPr>
            </w:pPr>
            <w:r>
              <w:rPr>
                <w:rFonts w:ascii="Arial" w:cs="Arial" w:eastAsia="Arial" w:hAnsi="Arial"/>
                <w:sz w:val="18"/>
                <w:szCs w:val="18"/>
                <w:b w:val="1"/>
                <w:bCs w:val="1"/>
                <w:color w:val="auto"/>
              </w:rPr>
              <w:t>Restricted stock units outstanding at August 2, 2014</w:t>
            </w:r>
          </w:p>
        </w:tc>
        <w:tc>
          <w:tcPr>
            <w:tcW w:w="14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3,135</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As of August 2, 2014, there was $137.8 million of total unrecognized compensation cost related to unvested share-based awards comprised of stock options, and restricted stock units. That cost is expected to be recognized over a weighted-average period of 1.4 years. The total grant-date fair value of shares that vested during the three and nine months ended August 2, 2014 was approximately $1.1 million and $53.4 million, respectively. The total grant-date fair value of shares that vested during the three and nine months ended August 3, 2013 was approximately $0.9 million and $63.0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 Repurchase</w:t>
      </w:r>
    </w:p>
    <w:p>
      <w:pPr>
        <w:spacing w:after="0" w:line="9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Company’s common stock repurchase program has been in place since August 2004. As of August 2, 2014, in the aggregate, the Board of Directors has authorized the Company to repurchase $5.6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August 2, 2014, the Company had repurchased a total of approximately 133.2 million shares of its common stock for approximately $4.6 billion under this program. As of August 2, 2014, an additional $934.2 million remains available for repurchase of shares under the current authorized program. The repurchased shares are held as authorized but unissued shares of common stock. The Company also, from time to time, repurchases shares in settlement of employee minimum tax withholding obligations due upon the vesting of restricted stock units, or in certain limited circumstances to satisfy the exercise price of options granted to the Company’s employees under the Company’s equity compensation plans. Any future common stock repurchases will be dependent upon several factors, including the Company's financial performance, outlook, liquidity and the amount of cash the Company has available in the United States.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 – Accumulated Other Comprehensive Income (Loss)</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provides the changes in accumulated other comprehensive income (loss), OCI, by component and the related tax effects during the first nine months of fiscal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Unrealized</w:t>
            </w:r>
          </w:p>
        </w:tc>
        <w:tc>
          <w:tcPr>
            <w:tcW w:w="2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holding gains on</w:t>
            </w:r>
          </w:p>
        </w:tc>
        <w:tc>
          <w:tcPr>
            <w:tcW w:w="1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holding (losses) on</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available for sale</w:t>
            </w:r>
          </w:p>
        </w:tc>
        <w:tc>
          <w:tcPr>
            <w:tcW w:w="1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available for sale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currency</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securities</w:t>
            </w: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securities</w:t>
            </w: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classified as short-</w:t>
            </w:r>
          </w:p>
        </w:tc>
        <w:tc>
          <w:tcPr>
            <w:tcW w:w="1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classified as short-</w:t>
            </w: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holding Gains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adjustment</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term investments</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term investments</w:t>
            </w: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Derivatives</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Pension Plans</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November 2, 2013</w:t>
            </w: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vMerge w:val="continue"/>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(80,546)</w:t>
            </w:r>
          </w:p>
        </w:tc>
        <w:tc>
          <w:tcPr>
            <w:tcW w:w="0" w:type="dxa"/>
            <w:vAlign w:val="bottom"/>
          </w:tcPr>
          <w:p>
            <w:pPr>
              <w:spacing w:after="0"/>
              <w:rPr>
                <w:sz w:val="1"/>
                <w:szCs w:val="1"/>
                <w:color w:val="auto"/>
              </w:rPr>
            </w:pP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rPr>
              <w:t>Other comprehensive income before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3,204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out of other</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Tax effects</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57"/>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August 2,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3,687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(77,253)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ind w:right="480"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income into the consolidated condensed statement of income, with presentation location during each period were as follows:</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Nine Months Ended</w:t>
            </w:r>
          </w:p>
        </w:tc>
        <w:tc>
          <w:tcPr>
            <w:tcW w:w="1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August 2, 2014</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August 2, 2014</w:t>
            </w:r>
          </w:p>
        </w:tc>
        <w:tc>
          <w:tcPr>
            <w:tcW w:w="120" w:type="dxa"/>
            <w:vAlign w:val="bottom"/>
            <w:tcBorders>
              <w:bottom w:val="single" w:sz="8" w:color="CCEEFF"/>
            </w:tcBorders>
          </w:tcPr>
          <w:p>
            <w:pPr>
              <w:spacing w:after="0"/>
              <w:rPr>
                <w:sz w:val="22"/>
                <w:szCs w:val="22"/>
                <w:color w:val="auto"/>
              </w:rPr>
            </w:pPr>
          </w:p>
        </w:tc>
        <w:tc>
          <w:tcPr>
            <w:tcW w:w="27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Component</w:t>
            </w: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37"/>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Unrealized holding (losses) gains on derivatives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marketing, general and</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Treasury rate lock</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21"/>
                <w:szCs w:val="21"/>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pension components</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Transition obligation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Prior service credit</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Actuarial losses</w:t>
            </w:r>
          </w:p>
        </w:tc>
        <w:tc>
          <w:tcPr>
            <w:tcW w:w="18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21"/>
                <w:szCs w:val="21"/>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3,268</w:t>
            </w: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2760" w:type="dxa"/>
            <w:vAlign w:val="bottom"/>
          </w:tcPr>
          <w:p>
            <w:pPr>
              <w:ind w:left="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2,775</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amounts reclassified out of accumulated other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w:t>
      </w:r>
    </w:p>
    <w:p>
      <w:pPr>
        <w:spacing w:after="0" w:line="9" w:lineRule="exact"/>
        <w:rPr>
          <w:sz w:val="20"/>
          <w:szCs w:val="20"/>
          <w:color w:val="auto"/>
        </w:rPr>
      </w:pPr>
    </w:p>
    <w:p>
      <w:pPr>
        <w:ind w:left="660" w:right="660" w:hanging="4"/>
        <w:spacing w:after="0" w:line="290" w:lineRule="auto"/>
        <w:tabs>
          <w:tab w:leader="none" w:pos="84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amortization of pension components is included in the computation of net periodic pension cost. For further information see Note 13, </w:t>
      </w:r>
      <w:r>
        <w:rPr>
          <w:rFonts w:ascii="Arial" w:cs="Arial" w:eastAsia="Arial" w:hAnsi="Arial"/>
          <w:sz w:val="17"/>
          <w:szCs w:val="17"/>
          <w:i w:val="1"/>
          <w:iCs w:val="1"/>
          <w:color w:val="auto"/>
        </w:rPr>
        <w:t>Retirement Plans</w:t>
      </w:r>
      <w:r>
        <w:rPr>
          <w:rFonts w:ascii="Arial" w:cs="Arial" w:eastAsia="Arial" w:hAnsi="Arial"/>
          <w:sz w:val="17"/>
          <w:szCs w:val="17"/>
          <w:color w:val="auto"/>
        </w:rPr>
        <w:t>, contained in Item 8 of the Annual Report on Form 10-K for the fiscal year ended November 2, 2013.</w:t>
      </w:r>
    </w:p>
    <w:p>
      <w:pPr>
        <w:spacing w:after="0" w:line="16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estimates $1.1 million of net derivative unrealized holding gains included in OCI will be reclassified into earnings within the next twelve months. There was no ineffectiveness in the three- and nine-month periods ended August 2, 2014 and August 3,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Unrealized gains and losses on available-for-sale securities classified as short-term investments at August 2, 2014 and November 2, 2013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 2014</w:t>
            </w:r>
          </w:p>
        </w:tc>
        <w:tc>
          <w:tcPr>
            <w:tcW w:w="160" w:type="dxa"/>
            <w:vAlign w:val="bottom"/>
          </w:tcPr>
          <w:p>
            <w:pPr>
              <w:spacing w:after="0"/>
              <w:rPr>
                <w:sz w:val="16"/>
                <w:szCs w:val="16"/>
                <w:color w:val="auto"/>
              </w:rPr>
            </w:pPr>
          </w:p>
        </w:tc>
        <w:tc>
          <w:tcPr>
            <w:tcW w:w="136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November 2, 2013</w:t>
            </w:r>
          </w:p>
        </w:tc>
      </w:tr>
      <w:tr>
        <w:trPr>
          <w:trHeight w:val="250"/>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securities classified as short-term investments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Unrealized losses on securities classified as short-term investments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gains on securities classified as short-term investments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As of August 2, 2014, the Company held 116 investment securities, 33 of which were in an unrealized loss position with an aggregate fair value of $1.7 billion. As of November 2, 2013, the Company held 137 investment securities, 31 of which were in an unrealized loss position with an aggregate fair value of $972.2 million. These unrealized losses were primarily related to corporate obligations that earn lower interest rates than current market rates. None of these investments have been in a loss position for more than twelve months. As the Company does not intend to sell these investments and it is unlikely that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3" w:name="page14"/>
    <w:bookmarkEnd w:id="13"/>
    <w:p>
      <w:pPr>
        <w:ind w:right="280"/>
        <w:spacing w:after="0" w:line="277" w:lineRule="auto"/>
        <w:rPr>
          <w:sz w:val="20"/>
          <w:szCs w:val="20"/>
          <w:color w:val="auto"/>
        </w:rPr>
      </w:pPr>
      <w:r>
        <w:rPr>
          <w:rFonts w:ascii="Arial" w:cs="Arial" w:eastAsia="Arial" w:hAnsi="Arial"/>
          <w:sz w:val="18"/>
          <w:szCs w:val="18"/>
          <w:color w:val="auto"/>
        </w:rPr>
        <w:t>Company will be required to sell the investments before recovery of their amortized basis, which will be at maturity, the Company does not consider those investments to be other-than-temporarily impaired at August 2, 2014 and November 2,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(income)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net realized gains or losses from the sales of available-for-sale investments during any of the fiscal periods presented.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Earnings Per Share</w:t>
      </w:r>
    </w:p>
    <w:p>
      <w:pPr>
        <w:spacing w:after="0" w:line="9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were excluded because they were anti-dilutive. Those potential shares, determined based on the weighted average exercise prices during the respective periods, related to the Company’s outstanding stock options could be dilutive in the future.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ectPr>
          <w:pgSz w:w="11900" w:h="16838" w:orient="portrait"/>
          <w:cols w:equalWidth="0" w:num="1">
            <w:col w:w="11420"/>
          </w:cols>
          <w:pgMar w:left="240" w:top="746" w:right="239" w:bottom="1440" w:gutter="0" w:footer="0" w:header="0"/>
        </w:sectPr>
      </w:pPr>
    </w:p>
    <w:p>
      <w:pPr>
        <w:spacing w:after="0" w:line="230"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23495</wp:posOffset>
            </wp:positionV>
            <wp:extent cx="1680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6140"/>
        <w:spacing w:after="0"/>
        <w:tabs>
          <w:tab w:leader="none" w:pos="7500" w:val="left"/>
        </w:tabs>
        <w:rPr>
          <w:sz w:val="20"/>
          <w:szCs w:val="20"/>
          <w:color w:val="auto"/>
        </w:rPr>
      </w:pPr>
      <w:r>
        <w:rPr>
          <w:rFonts w:ascii="Arial" w:cs="Arial" w:eastAsia="Arial" w:hAnsi="Arial"/>
          <w:sz w:val="14"/>
          <w:szCs w:val="14"/>
          <w:b w:val="1"/>
          <w:bCs w:val="1"/>
          <w:color w:val="auto"/>
        </w:rPr>
        <w:t>August 2, 2014</w:t>
      </w:r>
      <w:r>
        <w:rPr>
          <w:sz w:val="20"/>
          <w:szCs w:val="20"/>
          <w:color w:val="auto"/>
        </w:rPr>
        <w:tab/>
      </w:r>
      <w:r>
        <w:rPr>
          <w:rFonts w:ascii="Arial" w:cs="Arial" w:eastAsia="Arial" w:hAnsi="Arial"/>
          <w:sz w:val="12"/>
          <w:szCs w:val="12"/>
          <w:b w:val="1"/>
          <w:bCs w:val="1"/>
          <w:color w:val="auto"/>
        </w:rPr>
        <w:t>August 3, 2013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23495</wp:posOffset>
            </wp:positionV>
            <wp:extent cx="1680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August 2, 2014</w:t>
      </w:r>
      <w:r>
        <w:rPr>
          <w:sz w:val="20"/>
          <w:szCs w:val="20"/>
          <w:color w:val="auto"/>
        </w:rPr>
        <w:tab/>
      </w:r>
      <w:r>
        <w:rPr>
          <w:rFonts w:ascii="Arial" w:cs="Arial" w:eastAsia="Arial" w:hAnsi="Arial"/>
          <w:sz w:val="12"/>
          <w:szCs w:val="12"/>
          <w:b w:val="1"/>
          <w:bCs w:val="1"/>
          <w:color w:val="auto"/>
        </w:rPr>
        <w:t>August 3, 2013</w:t>
      </w:r>
    </w:p>
    <w:p>
      <w:pPr>
        <w:spacing w:after="0" w:line="25" w:lineRule="exact"/>
        <w:rPr>
          <w:sz w:val="20"/>
          <w:szCs w:val="20"/>
          <w:color w:val="auto"/>
        </w:rPr>
      </w:pPr>
    </w:p>
    <w:p>
      <w:pPr>
        <w:sectPr>
          <w:pgSz w:w="11900" w:h="16838" w:orient="portrait"/>
          <w:cols w:equalWidth="0" w:num="2">
            <w:col w:w="8420" w:space="480"/>
            <w:col w:w="2520"/>
          </w:cols>
          <w:pgMar w:left="240" w:top="746" w:right="239" w:bottom="144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180,606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176,239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520,625</w:t>
            </w: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471,933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shares: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314,190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309,117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313,321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306,681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Earnings per share basic:</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314,190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309,117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313,321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306,681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Assumed exercise of common stock equivalents</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37"/>
        </w:trPr>
        <w:tc>
          <w:tcPr>
            <w:tcW w:w="5960" w:type="dxa"/>
            <w:vAlign w:val="bottom"/>
          </w:tcPr>
          <w:p>
            <w:pPr>
              <w:ind w:left="380"/>
              <w:spacing w:after="0"/>
              <w:rPr>
                <w:sz w:val="20"/>
                <w:szCs w:val="20"/>
                <w:color w:val="auto"/>
              </w:rPr>
            </w:pPr>
            <w:r>
              <w:rPr>
                <w:rFonts w:ascii="Arial" w:cs="Arial" w:eastAsia="Arial" w:hAnsi="Arial"/>
                <w:sz w:val="18"/>
                <w:szCs w:val="18"/>
                <w:color w:val="auto"/>
              </w:rPr>
              <w:t>Weighted-average common and common equivalent shares</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318,876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315,307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318,413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312,983</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Earnings per share 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Anti-dilutive shares related to:</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stock options</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Special Charges</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12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tables display the special charges taken for ongoing actions and a roll-forward from November 2, 2013 to August 2, 2014 of the employee separation and exit cost accruals established related to these actions.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Reduction of Operating Costs</w:t>
            </w:r>
          </w:p>
        </w:tc>
        <w:tc>
          <w:tcPr>
            <w:tcW w:w="0" w:type="dxa"/>
            <w:vAlign w:val="bottom"/>
          </w:tcPr>
          <w:p>
            <w:pPr>
              <w:spacing w:after="0"/>
              <w:rPr>
                <w:sz w:val="1"/>
                <w:szCs w:val="1"/>
                <w:color w:val="auto"/>
              </w:rPr>
            </w:pP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Statements of Income</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9"/>
                <w:szCs w:val="19"/>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Workforce reductions</w:t>
            </w:r>
          </w:p>
        </w:tc>
        <w:tc>
          <w:tcPr>
            <w:tcW w:w="4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7,966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Facility closure costs</w:t>
            </w:r>
          </w:p>
        </w:tc>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impairment charge</w:t>
            </w:r>
          </w:p>
        </w:tc>
        <w:tc>
          <w:tcPr>
            <w:tcW w:w="4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Other items</w:t>
            </w:r>
          </w:p>
        </w:tc>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Charges</w:t>
            </w:r>
          </w:p>
        </w:tc>
        <w:tc>
          <w:tcPr>
            <w:tcW w:w="4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jc w:val="right"/>
              <w:ind w:right="261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160" w:type="dxa"/>
            <w:vAlign w:val="bottom"/>
          </w:tcPr>
          <w:p>
            <w:pPr>
              <w:spacing w:after="0"/>
              <w:rPr>
                <w:sz w:val="14"/>
                <w:szCs w:val="14"/>
                <w:color w:val="auto"/>
              </w:rPr>
            </w:pPr>
          </w:p>
        </w:tc>
        <w:tc>
          <w:tcPr>
            <w:tcW w:w="1280" w:type="dxa"/>
            <w:vAlign w:val="bottom"/>
          </w:tcPr>
          <w:p>
            <w:pPr>
              <w:jc w:val="right"/>
              <w:ind w:right="233"/>
              <w:spacing w:after="0"/>
              <w:rPr>
                <w:sz w:val="20"/>
                <w:szCs w:val="20"/>
                <w:color w:val="auto"/>
              </w:rPr>
            </w:pPr>
            <w:r>
              <w:rPr>
                <w:rFonts w:ascii="Arial" w:cs="Arial" w:eastAsia="Arial" w:hAnsi="Arial"/>
                <w:sz w:val="14"/>
                <w:szCs w:val="14"/>
                <w:b w:val="1"/>
                <w:bCs w:val="1"/>
                <w:color w:val="auto"/>
              </w:rPr>
              <w:t>Reduction of</w:t>
            </w:r>
          </w:p>
        </w:tc>
        <w:tc>
          <w:tcPr>
            <w:tcW w:w="0" w:type="dxa"/>
            <w:vAlign w:val="bottom"/>
          </w:tcPr>
          <w:p>
            <w:pPr>
              <w:spacing w:after="0"/>
              <w:rPr>
                <w:sz w:val="1"/>
                <w:szCs w:val="1"/>
                <w:color w:val="auto"/>
              </w:rPr>
            </w:pPr>
          </w:p>
        </w:tc>
      </w:tr>
      <w:tr>
        <w:trPr>
          <w:trHeight w:val="158"/>
        </w:trPr>
        <w:tc>
          <w:tcPr>
            <w:tcW w:w="99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133"/>
              <w:spacing w:after="0" w:line="158" w:lineRule="exact"/>
              <w:rPr>
                <w:sz w:val="20"/>
                <w:szCs w:val="20"/>
                <w:color w:val="auto"/>
              </w:rPr>
            </w:pPr>
            <w:r>
              <w:rPr>
                <w:rFonts w:ascii="Arial" w:cs="Arial" w:eastAsia="Arial" w:hAnsi="Arial"/>
                <w:sz w:val="14"/>
                <w:szCs w:val="14"/>
                <w:b w:val="1"/>
                <w:bCs w:val="1"/>
                <w:color w:val="auto"/>
                <w:w w:val="95"/>
              </w:rPr>
              <w:t>Operating Costs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November 2,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43"/>
        </w:trPr>
        <w:tc>
          <w:tcPr>
            <w:tcW w:w="9980" w:type="dxa"/>
            <w:vAlign w:val="bottom"/>
            <w:gridSpan w:val="3"/>
          </w:tcPr>
          <w:p>
            <w:pPr>
              <w:ind w:left="40"/>
              <w:spacing w:after="0"/>
              <w:rPr>
                <w:sz w:val="20"/>
                <w:szCs w:val="20"/>
                <w:color w:val="auto"/>
              </w:rPr>
            </w:pPr>
            <w:r>
              <w:rPr>
                <w:rFonts w:ascii="Arial" w:cs="Arial" w:eastAsia="Arial" w:hAnsi="Arial"/>
                <w:sz w:val="18"/>
                <w:szCs w:val="18"/>
                <w:color w:val="auto"/>
              </w:rPr>
              <w:t>First quarter 2014 special charge</w:t>
            </w:r>
          </w:p>
        </w:tc>
        <w:tc>
          <w:tcPr>
            <w:tcW w:w="1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43"/>
        </w:trPr>
        <w:tc>
          <w:tcPr>
            <w:tcW w:w="9980" w:type="dxa"/>
            <w:vAlign w:val="bottom"/>
            <w:gridSpan w:val="3"/>
          </w:tcPr>
          <w:p>
            <w:pPr>
              <w:ind w:left="40"/>
              <w:spacing w:after="0"/>
              <w:rPr>
                <w:sz w:val="20"/>
                <w:szCs w:val="20"/>
                <w:color w:val="auto"/>
              </w:rPr>
            </w:pPr>
            <w:r>
              <w:rPr>
                <w:rFonts w:ascii="Arial" w:cs="Arial" w:eastAsia="Arial" w:hAnsi="Arial"/>
                <w:sz w:val="18"/>
                <w:szCs w:val="18"/>
                <w:color w:val="auto"/>
              </w:rPr>
              <w:t>Effect of foreign currency on accrual</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February 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37"/>
        </w:trPr>
        <w:tc>
          <w:tcPr>
            <w:tcW w:w="9980" w:type="dxa"/>
            <w:vAlign w:val="bottom"/>
            <w:gridSpan w:val="3"/>
          </w:tcPr>
          <w:p>
            <w:pPr>
              <w:ind w:left="40"/>
              <w:spacing w:after="0"/>
              <w:rPr>
                <w:sz w:val="20"/>
                <w:szCs w:val="20"/>
                <w:color w:val="auto"/>
              </w:rPr>
            </w:pPr>
            <w:r>
              <w:rPr>
                <w:rFonts w:ascii="Arial" w:cs="Arial" w:eastAsia="Arial" w:hAnsi="Arial"/>
                <w:sz w:val="18"/>
                <w:szCs w:val="18"/>
                <w:color w:val="auto"/>
              </w:rPr>
              <w:t>Severance payments</w:t>
            </w: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998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May 3,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37"/>
        </w:trPr>
        <w:tc>
          <w:tcPr>
            <w:tcW w:w="998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August 2,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Reduction of Operating Costs</w:t>
      </w:r>
    </w:p>
    <w:p>
      <w:pPr>
        <w:spacing w:after="0" w:line="90"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During fiscal 2012, the Company recorded special charges of approximately $8.4 million. These special charges included: $8.0 million for severance and fringe benefit costs in accordance with its ongoing benefit plan or statutory requirements at foreign locations for 95 manufacturing, engineering and selling, marketing, general and administrative (SMG&amp;A) employees; $0.2 million for lease obligation costs for facilities that the Company ceased using during the third quarter of fiscal 2012; $0.1 million for contract termination costs; and $0.2 million for the write-off of property, plant and equipment. The Company terminated the employment of all employees associated with these actions.</w:t>
      </w:r>
    </w:p>
    <w:p>
      <w:pPr>
        <w:spacing w:after="0" w:line="3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During fiscal 2013, the Company recorded special charges of approximately $29.8 million for severance and fringe benefit costs in accordance with its ongoing benefit plan or statutory requirements at foreign locations for 235 engineering and SMG&amp;A employees. As of August 2, 2014, the Company employed 11 of the 235 employees included in these cost reduction actions. These employees must continue to be employed by the Company until their employment is involuntarily terminated in order to receive the severance benefit.</w:t>
      </w:r>
    </w:p>
    <w:p>
      <w:pPr>
        <w:spacing w:after="0" w:line="52"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During the first quarter of fiscal 2014, the Company recorded a special charge of approximately $2.7 million for severance and fringe benefit costs in accordance with its ongoing benefit plan or statutory requirements at foreign locations for 30 engineering and SMG&amp;A employees. The Company has terminated the employment of all employees associated with this cost-reduction action.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Segment Information</w:t>
      </w:r>
    </w:p>
    <w:p>
      <w:pPr>
        <w:spacing w:after="0" w:line="94"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Company operates and tracks its results in one reportable segment based upon the aggregation of five operating segments. The Company designs, develops, manufactures and markets a broad range of integrated circuits. The Chief Executive Officer has been identified as the Chief Operating Decision Maker. The Company has determined that all of the Company's operating segments share the following similar economic characteristics, and therefore meet the criteria established for operating segments to be aggregated into one reportable segment, namely:</w:t>
      </w:r>
    </w:p>
    <w:p>
      <w:pPr>
        <w:spacing w:after="0" w:line="63" w:lineRule="exact"/>
        <w:rPr>
          <w:sz w:val="20"/>
          <w:szCs w:val="20"/>
          <w:color w:val="auto"/>
        </w:rPr>
      </w:pPr>
    </w:p>
    <w:p>
      <w:pPr>
        <w:ind w:left="720" w:hanging="280"/>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primary source of revenue for each operating segment is the sale of integrated circuits.</w:t>
      </w:r>
    </w:p>
    <w:p>
      <w:pPr>
        <w:spacing w:after="0" w:line="130" w:lineRule="exact"/>
        <w:rPr>
          <w:rFonts w:ascii="Arial" w:cs="Arial" w:eastAsia="Arial" w:hAnsi="Arial"/>
          <w:sz w:val="18"/>
          <w:szCs w:val="18"/>
          <w:color w:val="auto"/>
        </w:rPr>
      </w:pPr>
    </w:p>
    <w:p>
      <w:pPr>
        <w:ind w:right="180" w:firstLine="440"/>
        <w:spacing w:after="0" w:line="357" w:lineRule="auto"/>
        <w:tabs>
          <w:tab w:leader="none" w:pos="71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integrated circuits sold by each of the Company's operating segments are manufactured using similar semiconductor manufacturing processes and raw materials in either the Company’s own production facilities or by third-party wafer fabricators using proprietary processes.</w:t>
      </w:r>
    </w:p>
    <w:p>
      <w:pPr>
        <w:spacing w:after="0" w:line="12" w:lineRule="exact"/>
        <w:rPr>
          <w:rFonts w:ascii="Arial" w:cs="Arial" w:eastAsia="Arial" w:hAnsi="Arial"/>
          <w:sz w:val="17"/>
          <w:szCs w:val="17"/>
          <w:color w:val="auto"/>
        </w:rPr>
      </w:pPr>
    </w:p>
    <w:p>
      <w:pPr>
        <w:ind w:right="680" w:firstLine="440"/>
        <w:spacing w:after="0" w:line="324"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sells its products to tens of thousands of customers worldwide. Many of these customers use products spanning all operating segments in a wide range of applications.</w:t>
      </w:r>
    </w:p>
    <w:p>
      <w:pPr>
        <w:spacing w:after="0" w:line="35" w:lineRule="exact"/>
        <w:rPr>
          <w:rFonts w:ascii="Arial" w:cs="Arial" w:eastAsia="Arial" w:hAnsi="Arial"/>
          <w:sz w:val="18"/>
          <w:szCs w:val="18"/>
          <w:color w:val="auto"/>
        </w:rPr>
      </w:pPr>
    </w:p>
    <w:p>
      <w:pPr>
        <w:ind w:right="20" w:firstLine="440"/>
        <w:spacing w:after="0" w:line="324"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integrated circuits marketed by each of the Company's operating segments are sold globally through a direct sales force, third-party distributors, independent sales representatives and via our website to the same types of customers.</w:t>
      </w:r>
    </w:p>
    <w:p>
      <w:pPr>
        <w:spacing w:after="0" w:line="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All of the Company's operating segments share a similar long-term financial model as they have similar economic characteristics. The causes for variation in operating and financial performance are the same among the Company's operating segments and include factors such as (i) life cycle and price and cost fluctuations, (ii) number of competitors, (iii) product differentiation and (iv) size of market opportunity. Additionally, each operating segment is subject to the overall cyclical nature of the semiconductor industry. Lastly, the number and composition of employees and the amounts and types of tools and materials required for production of products are similar for each operating segment.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 The results below in the consumer end market are reflective of the sale of the Company's microphone product line in the fourth quarter of fiscal 2013.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August 2, 2014</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August 3, 2013</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Revenue</w:t>
            </w:r>
          </w:p>
        </w:tc>
        <w:tc>
          <w:tcPr>
            <w:tcW w:w="120" w:type="dxa"/>
            <w:vAlign w:val="bottom"/>
            <w:gridSpan w:val="2"/>
            <w:vMerge w:val="restart"/>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43"/>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350,578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312,970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130,052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120,925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80,870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100,254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166,252</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140,023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41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727,752</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8 %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674,172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4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August 2, 2014</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August 3, 2013</w:t>
            </w:r>
          </w:p>
        </w:tc>
        <w:tc>
          <w:tcPr>
            <w:tcW w:w="0" w:type="dxa"/>
            <w:vAlign w:val="bottom"/>
          </w:tcPr>
          <w:p>
            <w:pPr>
              <w:spacing w:after="0"/>
              <w:rPr>
                <w:sz w:val="1"/>
                <w:szCs w:val="1"/>
                <w:color w:val="auto"/>
              </w:rPr>
            </w:pPr>
          </w:p>
        </w:tc>
      </w:tr>
      <w:tr>
        <w:trPr>
          <w:trHeight w:val="152"/>
        </w:trPr>
        <w:tc>
          <w:tcPr>
            <w:tcW w:w="4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965,422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904,385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390,485</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351,939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233,130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461,489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390,470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2,050,526</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1,955,556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 The results below in the other analog product category market are reflective of the sale of the Company's microphone product line in the fourth quarter of fiscal 2013.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August 2, 2014</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3"/>
          </w:tcPr>
          <w:p>
            <w:pPr>
              <w:jc w:val="right"/>
              <w:ind w:right="874"/>
              <w:spacing w:after="0"/>
              <w:rPr>
                <w:sz w:val="20"/>
                <w:szCs w:val="20"/>
                <w:color w:val="auto"/>
              </w:rPr>
            </w:pPr>
            <w:r>
              <w:rPr>
                <w:rFonts w:ascii="Arial" w:cs="Arial" w:eastAsia="Arial" w:hAnsi="Arial"/>
                <w:sz w:val="14"/>
                <w:szCs w:val="14"/>
                <w:b w:val="1"/>
                <w:bCs w:val="1"/>
                <w:color w:val="auto"/>
              </w:rPr>
              <w:t>August 3, 2013</w:t>
            </w: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400" w:type="dxa"/>
            <w:vAlign w:val="bottom"/>
          </w:tcPr>
          <w:p>
            <w:pPr>
              <w:jc w:val="right"/>
              <w:ind w:right="455"/>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42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327,538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300,484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Amplifiers / Radio frequency</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194,017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177,451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95,964</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92,278</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617,519</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570,213</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45,913</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45,611</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663,432</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615,824</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64,320</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58,348</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727,752</w:t>
            </w:r>
          </w:p>
        </w:tc>
        <w:tc>
          <w:tcPr>
            <w:tcW w:w="100" w:type="dxa"/>
            <w:vAlign w:val="bottom"/>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674,172</w:t>
            </w:r>
          </w:p>
        </w:tc>
        <w:tc>
          <w:tcPr>
            <w:tcW w:w="10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8890</wp:posOffset>
            </wp:positionV>
            <wp:extent cx="1792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8890</wp:posOffset>
            </wp:positionV>
            <wp:extent cx="17926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-130175</wp:posOffset>
            </wp:positionV>
            <wp:extent cx="1792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-130175</wp:posOffset>
            </wp:positionV>
            <wp:extent cx="1792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962"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August 2, 2014</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3"/>
          </w:tcPr>
          <w:p>
            <w:pPr>
              <w:jc w:val="right"/>
              <w:ind w:right="874"/>
              <w:spacing w:after="0"/>
              <w:rPr>
                <w:sz w:val="20"/>
                <w:szCs w:val="20"/>
                <w:color w:val="auto"/>
              </w:rPr>
            </w:pPr>
            <w:r>
              <w:rPr>
                <w:rFonts w:ascii="Arial" w:cs="Arial" w:eastAsia="Arial" w:hAnsi="Arial"/>
                <w:sz w:val="14"/>
                <w:szCs w:val="14"/>
                <w:b w:val="1"/>
                <w:bCs w:val="1"/>
                <w:color w:val="auto"/>
              </w:rPr>
              <w:t>August 3, 2013</w:t>
            </w: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380" w:type="dxa"/>
            <w:vAlign w:val="bottom"/>
          </w:tcPr>
          <w:p>
            <w:pPr>
              <w:jc w:val="right"/>
              <w:ind w:right="455"/>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4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42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Converters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936,004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873,884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Amplifiers / Radio frequency</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545,018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506,222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Other analog</w:t>
            </w: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263,486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279,876</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 analog signal processing</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1,744,508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1,659,982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Power management &amp; reference</w:t>
            </w: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127,761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128,694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1,872,269</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1,788,676</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Digital signal processing</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178,257</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166,880</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2,050,526</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1,955,556</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Revenue by geographic region, based on the primary location of the Company's customers’ design activity for its products, for the three- and nine-month periods ended August 2, 2014 and August 3, 2013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Nine Months Ended</w:t>
            </w:r>
          </w:p>
        </w:tc>
      </w:tr>
      <w:tr>
        <w:trPr>
          <w:trHeight w:val="229"/>
        </w:trPr>
        <w:tc>
          <w:tcPr>
            <w:tcW w:w="4540" w:type="dxa"/>
            <w:vAlign w:val="bottom"/>
            <w:gridSpan w:val="3"/>
          </w:tcPr>
          <w:p>
            <w:pPr>
              <w:ind w:left="40"/>
              <w:spacing w:after="0"/>
              <w:rPr>
                <w:sz w:val="20"/>
                <w:szCs w:val="20"/>
                <w:color w:val="auto"/>
              </w:rPr>
            </w:pPr>
            <w:r>
              <w:rPr>
                <w:rFonts w:ascii="Arial" w:cs="Arial" w:eastAsia="Arial" w:hAnsi="Arial"/>
                <w:sz w:val="14"/>
                <w:szCs w:val="14"/>
                <w:b w:val="1"/>
                <w:bCs w:val="1"/>
                <w:color w:val="auto"/>
              </w:rPr>
              <w:t>Region</w:t>
            </w:r>
          </w:p>
        </w:tc>
        <w:tc>
          <w:tcPr>
            <w:tcW w:w="240" w:type="dxa"/>
            <w:vAlign w:val="bottom"/>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 2014</w:t>
            </w:r>
          </w:p>
        </w:tc>
        <w:tc>
          <w:tcPr>
            <w:tcW w:w="24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 2013</w:t>
            </w:r>
          </w:p>
        </w:tc>
        <w:tc>
          <w:tcPr>
            <w:tcW w:w="240" w:type="dxa"/>
            <w:vAlign w:val="bottom"/>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 2014</w:t>
            </w:r>
          </w:p>
        </w:tc>
        <w:tc>
          <w:tcPr>
            <w:tcW w:w="220" w:type="dxa"/>
            <w:vAlign w:val="bottom"/>
          </w:tcPr>
          <w:p>
            <w:pPr>
              <w:spacing w:after="0"/>
              <w:rPr>
                <w:sz w:val="19"/>
                <w:szCs w:val="19"/>
                <w:color w:val="auto"/>
              </w:rPr>
            </w:pPr>
          </w:p>
        </w:tc>
        <w:tc>
          <w:tcPr>
            <w:tcW w:w="1400" w:type="dxa"/>
            <w:vAlign w:val="bottom"/>
          </w:tcPr>
          <w:p>
            <w:pPr>
              <w:jc w:val="right"/>
              <w:ind w:right="272"/>
              <w:spacing w:after="0"/>
              <w:rPr>
                <w:sz w:val="20"/>
                <w:szCs w:val="20"/>
                <w:color w:val="auto"/>
              </w:rPr>
            </w:pPr>
            <w:r>
              <w:rPr>
                <w:rFonts w:ascii="Arial" w:cs="Arial" w:eastAsia="Arial" w:hAnsi="Arial"/>
                <w:sz w:val="14"/>
                <w:szCs w:val="14"/>
                <w:b w:val="1"/>
                <w:bCs w:val="1"/>
                <w:color w:val="auto"/>
              </w:rPr>
              <w:t>August 3,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200,590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576,496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613,139</w:t>
            </w: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2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25,959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25,063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70,826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76,769</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677,134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622,977</w:t>
            </w: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79,063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77,790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224,745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214,352</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262,044</w:t>
            </w: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2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64,059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57,719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177,325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166,275</w:t>
            </w:r>
          </w:p>
        </w:tc>
      </w:tr>
      <w:tr>
        <w:trPr>
          <w:trHeight w:val="27"/>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727,752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674,172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2,050,526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1,955,556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the three- and nine-month periods ended August 2, 2014 and August 3, 2013, the predominant country comprising “Rest of North and South America” is Canada; the predominant countries comprising “Europe” are Germany, Sweden, France and the United Kingdom; and the predominant countries comprising “Rest of Asia” are South Korea and Taiwan.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w:t>
      </w:r>
    </w:p>
    <w:p>
      <w:pPr>
        <w:spacing w:after="0" w:line="9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tables below set forth by level the Company’s financial assets and liabilities, excluding accrued interest components, that are accounted for at fair value on a recurring basis as of August 2, 2014 and November 2, 2013. The tables exclude cash on hand and assets and liabilities that are measured at historical cost or any basis other than fair value. As of August 2, 2014 and November 2, 2013, the Company held $157.1 million and $45.6 million, respectively, of cash and held-to-maturity investments that were excluded from the tables below.</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927" w:right="299" w:bottom="1440" w:gutter="0" w:footer="0" w:header="0"/>
        </w:sectPr>
      </w:pPr>
    </w:p>
    <w:bookmarkStart w:id="17" w:name="page18"/>
    <w:bookmarkEnd w:id="17"/>
    <w:p>
      <w:pPr>
        <w:ind w:left="7920"/>
        <w:spacing w:after="0"/>
        <w:rPr>
          <w:sz w:val="20"/>
          <w:szCs w:val="20"/>
          <w:color w:val="auto"/>
        </w:rPr>
      </w:pPr>
      <w:r>
        <w:rPr>
          <w:rFonts w:ascii="Arial" w:cs="Arial" w:eastAsia="Arial" w:hAnsi="Arial"/>
          <w:sz w:val="14"/>
          <w:szCs w:val="14"/>
          <w:b w:val="1"/>
          <w:bCs w:val="1"/>
          <w:color w:val="auto"/>
        </w:rPr>
        <w:t>August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23495</wp:posOffset>
            </wp:positionV>
            <wp:extent cx="3876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13335</wp:posOffset>
            </wp:positionV>
            <wp:extent cx="2889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Quoted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for</w:t>
            </w: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Identical</w:t>
            </w: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Assets</w:t>
            </w: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505,052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505,052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1,923,333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1,923,333</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2,049,403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2,049,403</w:t>
            </w:r>
          </w:p>
        </w:tc>
        <w:tc>
          <w:tcPr>
            <w:tcW w:w="0" w:type="dxa"/>
            <w:vAlign w:val="bottom"/>
          </w:tcPr>
          <w:p>
            <w:pPr>
              <w:spacing w:after="0"/>
              <w:rPr>
                <w:sz w:val="1"/>
                <w:szCs w:val="1"/>
                <w:color w:val="auto"/>
              </w:rPr>
            </w:pPr>
          </w:p>
        </w:tc>
      </w:tr>
      <w:tr>
        <w:trPr>
          <w:trHeight w:val="243"/>
        </w:trPr>
        <w:tc>
          <w:tcPr>
            <w:tcW w:w="532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2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245,359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245,359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140"/>
              <w:spacing w:after="0"/>
              <w:rPr>
                <w:sz w:val="20"/>
                <w:szCs w:val="20"/>
                <w:color w:val="auto"/>
              </w:rPr>
            </w:pPr>
            <w:r>
              <w:rPr>
                <w:rFonts w:ascii="Arial" w:cs="Arial" w:eastAsia="Arial" w:hAnsi="Arial"/>
                <w:sz w:val="18"/>
                <w:szCs w:val="18"/>
                <w:color w:val="auto"/>
              </w:rPr>
              <w:t>Corporate obligations (1)</w:t>
            </w:r>
          </w:p>
        </w:tc>
        <w:tc>
          <w:tcPr>
            <w:tcW w:w="280" w:type="dxa"/>
            <w:vAlign w:val="bottom"/>
          </w:tcPr>
          <w:p>
            <w:pPr>
              <w:spacing w:after="0"/>
              <w:rPr>
                <w:sz w:val="21"/>
                <w:szCs w:val="21"/>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vMerge w:val="restart"/>
          </w:tcPr>
          <w:p>
            <w:pPr>
              <w:jc w:val="right"/>
              <w:ind w:right="36"/>
              <w:spacing w:after="0"/>
              <w:rPr>
                <w:sz w:val="20"/>
                <w:szCs w:val="20"/>
                <w:color w:val="auto"/>
              </w:rPr>
            </w:pPr>
            <w:r>
              <w:rPr>
                <w:rFonts w:ascii="Arial" w:cs="Arial" w:eastAsia="Arial" w:hAnsi="Arial"/>
                <w:sz w:val="18"/>
                <w:szCs w:val="18"/>
                <w:color w:val="auto"/>
              </w:rPr>
              <w:t>12,009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12,009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40,047</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20,645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20,645</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525,697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4,270,151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4,795,848</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280" w:type="dxa"/>
            <w:vAlign w:val="bottom"/>
          </w:tcPr>
          <w:p>
            <w:pPr>
              <w:spacing w:after="0"/>
              <w:rPr>
                <w:sz w:val="21"/>
                <w:szCs w:val="21"/>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vMerge w:val="restart"/>
          </w:tcPr>
          <w:p>
            <w:pPr>
              <w:jc w:val="right"/>
              <w:ind w:right="36"/>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August 2, 2014 was $3.6 billion.</w:t>
      </w:r>
    </w:p>
    <w:p>
      <w:pPr>
        <w:spacing w:after="0" w:line="23"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Company has a master netting arrangement by counterparty with respect to derivative contracts. See Note 10,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for more information related to the Company's master netting arrangements.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38" w:right="239" w:bottom="1440" w:gutter="0" w:footer="0" w:header="0"/>
        </w:sectPr>
      </w:pPr>
    </w:p>
    <w:bookmarkStart w:id="18" w:name="page19"/>
    <w:bookmarkEnd w:id="18"/>
    <w:p>
      <w:pPr>
        <w:ind w:left="7820"/>
        <w:spacing w:after="0"/>
        <w:rPr>
          <w:sz w:val="20"/>
          <w:szCs w:val="20"/>
          <w:color w:val="auto"/>
        </w:rPr>
      </w:pPr>
      <w:r>
        <w:rPr>
          <w:rFonts w:ascii="Arial" w:cs="Arial" w:eastAsia="Arial" w:hAnsi="Arial"/>
          <w:sz w:val="14"/>
          <w:szCs w:val="14"/>
          <w:b w:val="1"/>
          <w:bCs w:val="1"/>
          <w:color w:val="auto"/>
        </w:rPr>
        <w:t>November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23495</wp:posOffset>
            </wp:positionV>
            <wp:extent cx="38760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13335</wp:posOffset>
            </wp:positionV>
            <wp:extent cx="2889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Quoted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for</w:t>
            </w: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Identical</w:t>
            </w: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Assets</w:t>
            </w: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186,896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186,896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159,556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3,764,213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3,764,213</w:t>
            </w:r>
          </w:p>
        </w:tc>
        <w:tc>
          <w:tcPr>
            <w:tcW w:w="0" w:type="dxa"/>
            <w:vAlign w:val="bottom"/>
          </w:tcPr>
          <w:p>
            <w:pPr>
              <w:spacing w:after="0"/>
              <w:rPr>
                <w:sz w:val="1"/>
                <w:szCs w:val="1"/>
                <w:color w:val="auto"/>
              </w:rPr>
            </w:pPr>
          </w:p>
        </w:tc>
      </w:tr>
      <w:tr>
        <w:trPr>
          <w:trHeight w:val="243"/>
        </w:trPr>
        <w:tc>
          <w:tcPr>
            <w:tcW w:w="532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2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207,521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207,521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113,886</w:t>
            </w:r>
          </w:p>
        </w:tc>
        <w:tc>
          <w:tcPr>
            <w:tcW w:w="0" w:type="dxa"/>
            <w:vAlign w:val="bottom"/>
          </w:tcPr>
          <w:p>
            <w:pPr>
              <w:spacing w:after="0"/>
              <w:rPr>
                <w:sz w:val="1"/>
                <w:szCs w:val="1"/>
                <w:color w:val="auto"/>
              </w:rPr>
            </w:pPr>
          </w:p>
        </w:tc>
      </w:tr>
      <w:tr>
        <w:trPr>
          <w:trHeight w:val="243"/>
        </w:trPr>
        <w:tc>
          <w:tcPr>
            <w:tcW w:w="532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205,203</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Deferred compensation investments</w:t>
            </w:r>
          </w:p>
        </w:tc>
        <w:tc>
          <w:tcPr>
            <w:tcW w:w="28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17,431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17,431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204,327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4,452,646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4,656,973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6,479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November 2, 2013 was $3.8 billion.</w:t>
      </w:r>
    </w:p>
    <w:p>
      <w:pPr>
        <w:spacing w:after="0" w:line="23"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Company has a master netting arrangement by counterparty with respect to derivative contracts. See Note 10,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for more information related to the Company's master netting arrangements.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11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18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fair value of the contingent consideration was estimated utilizing the income approach and is based upon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inputs not observable in the market. The income approach is based on two steps. The first step involves a projection of the cash flows that is based on the Company’s estimates of the timing and probability of achieving the 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3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fair value measurement of the contingent consideration encompasses the following significant unobservable inputs: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 Inputs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980" w:type="dxa"/>
            <w:vAlign w:val="bottom"/>
            <w:gridSpan w:val="3"/>
            <w:vMerge w:val="restart"/>
          </w:tcPr>
          <w:p>
            <w:pPr>
              <w:ind w:left="40"/>
              <w:spacing w:after="0"/>
              <w:rPr>
                <w:sz w:val="20"/>
                <w:szCs w:val="20"/>
                <w:color w:val="auto"/>
              </w:rPr>
            </w:pPr>
            <w:r>
              <w:rPr>
                <w:rFonts w:ascii="Arial" w:cs="Arial" w:eastAsia="Arial" w:hAnsi="Arial"/>
                <w:sz w:val="18"/>
                <w:szCs w:val="18"/>
                <w:color w:val="auto"/>
              </w:rPr>
              <w:t>Estimated contingent consideration payments</w:t>
            </w: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980" w:type="dxa"/>
            <w:vAlign w:val="bottom"/>
            <w:gridSpan w:val="3"/>
            <w:vMerge w:val="continue"/>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$3,000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 - 10%</w:t>
            </w:r>
          </w:p>
        </w:tc>
        <w:tc>
          <w:tcPr>
            <w:tcW w:w="0" w:type="dxa"/>
            <w:vAlign w:val="bottom"/>
          </w:tcPr>
          <w:p>
            <w:pPr>
              <w:spacing w:after="0"/>
              <w:rPr>
                <w:sz w:val="1"/>
                <w:szCs w:val="1"/>
                <w:color w:val="auto"/>
              </w:rPr>
            </w:pPr>
          </w:p>
        </w:tc>
      </w:tr>
      <w:tr>
        <w:trPr>
          <w:trHeight w:val="243"/>
        </w:trPr>
        <w:tc>
          <w:tcPr>
            <w:tcW w:w="9980" w:type="dxa"/>
            <w:vAlign w:val="bottom"/>
            <w:gridSpan w:val="3"/>
          </w:tcPr>
          <w:p>
            <w:pPr>
              <w:ind w:left="40"/>
              <w:spacing w:after="0"/>
              <w:rPr>
                <w:sz w:val="20"/>
                <w:szCs w:val="20"/>
                <w:color w:val="auto"/>
              </w:rPr>
            </w:pPr>
            <w:r>
              <w:rPr>
                <w:rFonts w:ascii="Arial" w:cs="Arial" w:eastAsia="Arial" w:hAnsi="Arial"/>
                <w:sz w:val="18"/>
                <w:szCs w:val="18"/>
                <w:color w:val="auto"/>
              </w:rPr>
              <w:t>Timing of cash flows</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1 - 14 months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Probability of achievement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Changes in the fair value of the contingent consideration subsequent to the acquisition date that are primarily driven by assumptions pertaining to the achievement of the defined milestones will be recognized in operating income in the period of the estimated fair value change. Significant increases or decreases in any of the inputs in isolation may result in a fluctuation in the fair value measurement.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change in the fair value of the contingent consideration measured using significant unobservable inputs (Level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August 2,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96"/>
              <w:spacing w:after="0"/>
              <w:rPr>
                <w:sz w:val="20"/>
                <w:szCs w:val="20"/>
                <w:color w:val="auto"/>
              </w:rPr>
            </w:pPr>
            <w:r>
              <w:rPr>
                <w:rFonts w:ascii="Arial" w:cs="Arial" w:eastAsia="Arial" w:hAnsi="Arial"/>
                <w:sz w:val="14"/>
                <w:szCs w:val="14"/>
                <w:b w:val="1"/>
                <w:bCs w:val="1"/>
                <w:color w:val="auto"/>
              </w:rPr>
              <w:t>Contingent</w:t>
            </w:r>
          </w:p>
        </w:tc>
      </w:tr>
      <w:tr>
        <w:trPr>
          <w:trHeight w:val="192"/>
        </w:trPr>
        <w:tc>
          <w:tcPr>
            <w:tcW w:w="9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Consideration</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b w:val="1"/>
                <w:bCs w:val="1"/>
                <w:color w:val="auto"/>
              </w:rPr>
              <w:t>Balance as of November 2,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6,479</w:t>
            </w:r>
          </w:p>
        </w:tc>
      </w:tr>
      <w:tr>
        <w:trPr>
          <w:trHeight w:val="27"/>
        </w:trPr>
        <w:tc>
          <w:tcPr>
            <w:tcW w:w="9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made (1)</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Fair value adjustment (2)</w:t>
            </w:r>
          </w:p>
        </w:tc>
        <w:tc>
          <w:tcPr>
            <w:tcW w:w="20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396</w:t>
            </w:r>
          </w:p>
        </w:tc>
      </w:tr>
      <w:tr>
        <w:trPr>
          <w:trHeight w:val="27"/>
        </w:trPr>
        <w:tc>
          <w:tcPr>
            <w:tcW w:w="9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August 2,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2,875</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2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payment is reflected in the Company's condensed consolidated statements of cash flows as cash used in financing activities related to the liability recognized at fair value as of the acquisition date and as cash provided by operating activities related to the fair value adjustments previously recognized in earnings.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Recorded in research and development expense in the Company's condensed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April 4, 2011, the Company issued $375.0 million aggregate principal amount of 3.0% senior unsecured notes due April 15, 2016 (the 2016 Notes) with semi-annual fixed interest payments due on April 15 and October 15 of each year, commencing October 15, 2011. Based on quotes received from third-party banks, the fair value of the 2016 Notes as of August 2, 2014 and November 2, 2013 was $388.1 million and $392.8 million, respectively, and is classified as a Level 1 measurement according to the fair value hierarchy.</w:t>
      </w:r>
    </w:p>
    <w:p>
      <w:pPr>
        <w:spacing w:after="0" w:line="13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On June 3, 2013, the Company issued $500.0 million aggregate principal amount of 2.875% senior unsecured notes due June 1, 2023 (the 2023 Notes) with semi-annual fixed interest payments due on June 1 and December 1 of each year, commencing December 1, 2013. Based on quotes received from third-party banks, the fair value of the 2023 Notes as of August 2, 2014 and November 2, 2013 was $479.9 million and $466.0 million, respectively, and is classified as a Level 1 measurement according to the fair value hierarchy.</w:t>
      </w:r>
    </w:p>
    <w:p>
      <w:pPr>
        <w:spacing w:after="0" w:line="133"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On July 22, 2014, the Company entered into a 90-day term loan facility in an aggregate principal amount of $2 billion with Credit Suisse AG, as Administrative Agent, and each lender from time to time party thereto (the Term Loan Agreement) to finance the Acquisition. Payments of the principal amounts of revolving loans under the Term Loan Agreement are due no later than October 20, 2014. As of August 2, 2014 the $2.0 billion carrying value of the loan approximates the fair value of the loan due to its short term nature. It is classified as a Level 2 measurement according to the fair value hierarchy.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Derivatives</w:t>
      </w:r>
    </w:p>
    <w:p>
      <w:pPr>
        <w:spacing w:after="0" w:line="94"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i w:val="1"/>
          <w:iCs w:val="1"/>
          <w:color w:val="auto"/>
        </w:rPr>
        <w:t xml:space="preserve">Foreign Exchange Exposure Management </w:t>
      </w:r>
      <w:r>
        <w:rPr>
          <w:rFonts w:ascii="Arial" w:cs="Arial" w:eastAsia="Arial" w:hAnsi="Arial"/>
          <w:sz w:val="18"/>
          <w:szCs w:val="18"/>
          <w:color w:val="auto"/>
        </w:rPr>
        <w:t>— The Company enters into forward foreign currency exchange contracts to offset certain operational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exposures from the impact of changes in foreign currency exchange rates. Such exposures result from the portion of the Company’s operations, assets and liabilities that are denominated in currencies other</w:t>
      </w:r>
    </w:p>
    <w:p>
      <w:pPr>
        <w:ind w:right="40"/>
        <w:spacing w:after="0" w:line="292" w:lineRule="auto"/>
        <w:rPr>
          <w:sz w:val="20"/>
          <w:szCs w:val="20"/>
          <w:color w:val="auto"/>
        </w:rPr>
      </w:pPr>
      <w:r>
        <w:rPr>
          <w:rFonts w:ascii="Arial" w:cs="Arial" w:eastAsia="Arial" w:hAnsi="Arial"/>
          <w:sz w:val="16"/>
          <w:szCs w:val="16"/>
          <w:color w:val="auto"/>
        </w:rPr>
        <w:t>than the U.S. dollar, primarily the Euro; other significant exposures include the Philippine Peso, the Japanese Yen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20" w:name="page21"/>
    <w:bookmarkEnd w:id="20"/>
    <w:p>
      <w:pPr>
        <w:ind w:right="80"/>
        <w:spacing w:after="0" w:line="289" w:lineRule="auto"/>
        <w:rPr>
          <w:sz w:val="20"/>
          <w:szCs w:val="20"/>
          <w:color w:val="auto"/>
        </w:rPr>
      </w:pPr>
      <w:r>
        <w:rPr>
          <w:rFonts w:ascii="Arial" w:cs="Arial" w:eastAsia="Arial" w:hAnsi="Arial"/>
          <w:sz w:val="16"/>
          <w:szCs w:val="16"/>
          <w:color w:val="auto"/>
        </w:rPr>
        <w:t>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reported as a component of accumulated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August 2, 2014 and November 2, 2013, the total notional amount of these undesignated hedges was $41.9 million and $33.4 million, respectively. The fair value of these undesignated hedges in the Company’s condensed consolidated balance sheets as of August 2, 2014 and November 2, 2013 was immaterial.</w:t>
      </w:r>
    </w:p>
    <w:p>
      <w:pPr>
        <w:spacing w:after="0" w:line="113"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i w:val="1"/>
          <w:iCs w:val="1"/>
          <w:color w:val="auto"/>
        </w:rPr>
        <w:t xml:space="preserve">Interest Rate Exposure Management </w:t>
      </w:r>
      <w:r>
        <w:rPr>
          <w:rFonts w:ascii="Arial" w:cs="Arial" w:eastAsia="Arial" w:hAnsi="Arial"/>
          <w:sz w:val="17"/>
          <w:szCs w:val="17"/>
          <w:color w:val="auto"/>
        </w:rPr>
        <w:t>— The Company's current and future debt may be subject to interest rate risk. The Company utilizes interest rate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derivatives to alter interest rate exposure in an attempt to reduce the effects of these changes. On April 24, 2013, the Company entered into a treasury rate lock agreement with Bank of America. This agreement allowed the Company to lock a 10-year US Treasury rate of 1.7845% through June 14, 2013 for its anticipated issuance of the 2023 Notes. The Company designated this agreement as a cash flow hedge. On June 3, 2013, the Company terminated the treasury rate lock simultaneously with the issuance of the 2023 Notes which resulted in a gain of approximately $11.0 million. This gain is being amortized into interest expense over the 10-year term of the 2023 Notes. See Note 5, </w:t>
      </w:r>
      <w:r>
        <w:rPr>
          <w:rFonts w:ascii="Arial" w:cs="Arial" w:eastAsia="Arial" w:hAnsi="Arial"/>
          <w:sz w:val="17"/>
          <w:szCs w:val="17"/>
          <w:i w:val="1"/>
          <w:iCs w:val="1"/>
          <w:color w:val="auto"/>
        </w:rPr>
        <w:t>Accumulated Other Comprehensive Income (Loss)</w:t>
      </w:r>
      <w:r>
        <w:rPr>
          <w:rFonts w:ascii="Arial" w:cs="Arial" w:eastAsia="Arial" w:hAnsi="Arial"/>
          <w:sz w:val="17"/>
          <w:szCs w:val="17"/>
          <w:color w:val="auto"/>
        </w:rPr>
        <w:t>, for more information relating to the amortization of the treasury rate lock into interest expense.</w:t>
      </w:r>
    </w:p>
    <w:p>
      <w:pPr>
        <w:spacing w:after="0" w:line="12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On June 30, 2009, the Company entered into interest rate swap transactions related to its outstanding $375 million aggregate principal amount of 5.0% senior unsecured notes due July 1, 2014 (the 2014 Notes) where the Company swapped the notional amount of its $375.0 million of fixed rate debt at 5.0% into floating interest rate debt through July 1, 2014.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amounts earned and owed under the swap agreements were accrued each period and were reported in interest expense. There was no ineffectiveness recognized in any of the periods presented. In the second quarter of fiscal 2012, the Company terminated the interest rate swap agreement. The Company received $19.8 million in cash proceeds from the swap termination, which included $1.3 million in accrued interest. As a result of the termination, the carrying value of the 2014 Notes was adjusted for the change in the fair value of the interest component of the debt up to the date of the termination of the swap in an amount equal to the fair value of the swap, and was amortized into earnings as a reduction of interest expense over the remaining life of the debt. During the third quarter of fiscal 2013, in conjunction with the redemption of the 2014 Notes, the Company recognized the remaining $8.6 million in unamortized proceeds received from the termination of the interest rate swap as other, net expense.</w:t>
      </w:r>
    </w:p>
    <w:p>
      <w:pPr>
        <w:spacing w:after="0" w:line="12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August 2, 2014, nonperformance is not perceived to be a significant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67"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The Company records the fair value of its derivative financial instruments in its condensed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or the ineffective portion of designated hedges are reported in earnings as they occur.</w:t>
      </w:r>
    </w:p>
    <w:p>
      <w:pPr>
        <w:spacing w:after="0" w:line="104"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August 2, 2014 and November 2, 2013 was $184.4 million and $196.9 million, respectively. The fair values of forward foreign currency derivative instruments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designated as hedging instruments in the Company’s condensed consolidated balance sheets as of August 2, 2014 and November 2, 2013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116"/>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4160" w:type="dxa"/>
            <w:vAlign w:val="bottom"/>
            <w:tcBorders>
              <w:bottom w:val="single" w:sz="8" w:color="CCEEFF"/>
            </w:tcBorders>
          </w:tcPr>
          <w:p>
            <w:pPr>
              <w:spacing w:after="0"/>
              <w:rPr>
                <w:sz w:val="22"/>
                <w:szCs w:val="22"/>
                <w:color w:val="auto"/>
              </w:rPr>
            </w:pPr>
          </w:p>
        </w:tc>
        <w:tc>
          <w:tcPr>
            <w:tcW w:w="382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August 2, 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November 2, 2013</w:t>
            </w: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2,377</w:t>
            </w:r>
          </w:p>
        </w:tc>
      </w:tr>
      <w:tr>
        <w:trPr>
          <w:trHeight w:val="243"/>
        </w:trPr>
        <w:tc>
          <w:tcPr>
            <w:tcW w:w="4160" w:type="dxa"/>
            <w:vAlign w:val="bottom"/>
          </w:tcPr>
          <w:p>
            <w:pPr>
              <w:spacing w:after="0"/>
              <w:rPr>
                <w:sz w:val="21"/>
                <w:szCs w:val="21"/>
                <w:color w:val="auto"/>
              </w:rPr>
            </w:pP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accumulated other comprehensive income into the condensed consolidated statement of income related to forward foreign currency exchange contracts, see Note 5,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(Loss)</w:t>
      </w:r>
      <w:r>
        <w:rPr>
          <w:rFonts w:ascii="Arial" w:cs="Arial" w:eastAsia="Arial" w:hAnsi="Arial"/>
          <w:sz w:val="18"/>
          <w:szCs w:val="18"/>
          <w:color w:val="auto"/>
        </w:rPr>
        <w:t>.</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All of the Company’s derivative financial instruments are subject to master netting arrangements that allow the Company and its counterparties to net settle amounts owed to each other. Derivative assets and liabilities that can be net settled under these arrangements have been presented in the Company's consolidated balance sheet on a net basis. As of August 2, 2014 and November 2, 2013, none of the master netting arrangements involved collateral. The following table presents the gross amounts of the Company's derivative assets and liabilities and the net amounts recorded in our consolidated balance sheet:</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 2014</w:t>
            </w:r>
          </w:p>
        </w:tc>
        <w:tc>
          <w:tcPr>
            <w:tcW w:w="180" w:type="dxa"/>
            <w:vAlign w:val="bottom"/>
          </w:tcPr>
          <w:p>
            <w:pPr>
              <w:spacing w:after="0"/>
              <w:rPr>
                <w:sz w:val="16"/>
                <w:szCs w:val="16"/>
                <w:color w:val="auto"/>
              </w:rPr>
            </w:pPr>
          </w:p>
        </w:tc>
        <w:tc>
          <w:tcPr>
            <w:tcW w:w="146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November 2, 2013</w:t>
            </w:r>
          </w:p>
        </w:tc>
      </w:tr>
      <w:tr>
        <w:trPr>
          <w:trHeight w:val="250"/>
        </w:trPr>
        <w:tc>
          <w:tcPr>
            <w:tcW w:w="8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 of recognized (liabilities)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4,217</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Gross amounts recognized assets (liabilities) offset in the consolidated balance sheet</w:t>
            </w:r>
          </w:p>
        </w:tc>
        <w:tc>
          <w:tcPr>
            <w:tcW w:w="24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(1,950)</w:t>
            </w:r>
          </w:p>
        </w:tc>
      </w:tr>
      <w:tr>
        <w:trPr>
          <w:trHeight w:val="27"/>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 presented in the consolidated balance sheet (liabilities)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Company evaluates goodwill for impairment annually,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3) or more frequently if indicators of impairment exist. For the Company’s latest annual impairment assessment that occurred on August 4, 2013, the Company identified its reporting units to be its five operating segments.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periods presented. The following table presents the changes in goodwill during the first nine months of fiscal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Nine Months Ended</w:t>
            </w:r>
          </w:p>
        </w:tc>
      </w:tr>
      <w:tr>
        <w:trPr>
          <w:trHeight w:val="250"/>
        </w:trPr>
        <w:tc>
          <w:tcPr>
            <w:tcW w:w="96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August 2, 2014</w:t>
            </w:r>
          </w:p>
        </w:tc>
      </w:tr>
      <w:tr>
        <w:trPr>
          <w:trHeight w:val="250"/>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November 2,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284,112</w:t>
            </w:r>
          </w:p>
        </w:tc>
      </w:tr>
      <w:tr>
        <w:trPr>
          <w:trHeight w:val="243"/>
        </w:trPr>
        <w:tc>
          <w:tcPr>
            <w:tcW w:w="9640" w:type="dxa"/>
            <w:vAlign w:val="bottom"/>
          </w:tcPr>
          <w:p>
            <w:pPr>
              <w:ind w:left="40"/>
              <w:spacing w:after="0"/>
              <w:rPr>
                <w:sz w:val="20"/>
                <w:szCs w:val="20"/>
                <w:color w:val="auto"/>
              </w:rPr>
            </w:pPr>
            <w:r>
              <w:rPr>
                <w:rFonts w:ascii="Arial" w:cs="Arial" w:eastAsia="Arial" w:hAnsi="Arial"/>
                <w:sz w:val="18"/>
                <w:szCs w:val="18"/>
                <w:color w:val="auto"/>
              </w:rPr>
              <w:t>Acquisition of Hittite (Note 16)</w:t>
            </w:r>
          </w:p>
        </w:tc>
        <w:tc>
          <w:tcPr>
            <w:tcW w:w="18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1,344,851</w:t>
            </w:r>
          </w:p>
        </w:tc>
      </w:tr>
      <w:tr>
        <w:trPr>
          <w:trHeight w:val="27"/>
        </w:trPr>
        <w:tc>
          <w:tcPr>
            <w:tcW w:w="9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2,927</w:t>
            </w:r>
          </w:p>
        </w:tc>
      </w:tr>
      <w:tr>
        <w:trPr>
          <w:trHeight w:val="237"/>
        </w:trPr>
        <w:tc>
          <w:tcPr>
            <w:tcW w:w="9640" w:type="dxa"/>
            <w:vAlign w:val="bottom"/>
          </w:tcPr>
          <w:p>
            <w:pPr>
              <w:ind w:left="40"/>
              <w:spacing w:after="0"/>
              <w:rPr>
                <w:sz w:val="20"/>
                <w:szCs w:val="20"/>
                <w:color w:val="auto"/>
              </w:rPr>
            </w:pPr>
            <w:r>
              <w:rPr>
                <w:rFonts w:ascii="Arial" w:cs="Arial" w:eastAsia="Arial" w:hAnsi="Arial"/>
                <w:sz w:val="18"/>
                <w:szCs w:val="18"/>
                <w:b w:val="1"/>
                <w:bCs w:val="1"/>
                <w:color w:val="auto"/>
              </w:rPr>
              <w:t>Balance as of August 2, 2014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1,631,890</w:t>
            </w:r>
          </w:p>
        </w:tc>
      </w:tr>
      <w:tr>
        <w:trPr>
          <w:trHeight w:val="27"/>
        </w:trPr>
        <w:tc>
          <w:tcPr>
            <w:tcW w:w="9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9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reviews finite-lived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2" w:name="page23"/>
    <w:bookmarkEnd w:id="22"/>
    <w:p>
      <w:pPr>
        <w:ind w:right="40"/>
        <w:spacing w:after="0" w:line="277" w:lineRule="auto"/>
        <w:rPr>
          <w:sz w:val="20"/>
          <w:szCs w:val="20"/>
          <w:color w:val="auto"/>
        </w:rPr>
      </w:pPr>
      <w:r>
        <w:rPr>
          <w:rFonts w:ascii="Arial" w:cs="Arial" w:eastAsia="Arial" w:hAnsi="Arial"/>
          <w:sz w:val="18"/>
          <w:szCs w:val="18"/>
          <w:color w:val="auto"/>
        </w:rPr>
        <w:t xml:space="preserve">a discounted cash flow technique. As of August 2, 2014 and November 2, 2013, the Company’s finite-lived intangible assets consisted of the following which related to the acquisitions of Hittite and Multigig, Inc. (See Note 16, </w:t>
      </w:r>
      <w:r>
        <w:rPr>
          <w:rFonts w:ascii="Arial" w:cs="Arial" w:eastAsia="Arial" w:hAnsi="Arial"/>
          <w:sz w:val="18"/>
          <w:szCs w:val="18"/>
          <w:i w:val="1"/>
          <w:iCs w:val="1"/>
          <w:color w:val="auto"/>
        </w:rPr>
        <w:t>Acquisitions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1056"/>
              <w:spacing w:after="0"/>
              <w:rPr>
                <w:sz w:val="20"/>
                <w:szCs w:val="20"/>
                <w:color w:val="auto"/>
              </w:rPr>
            </w:pPr>
            <w:r>
              <w:rPr>
                <w:rFonts w:ascii="Arial" w:cs="Arial" w:eastAsia="Arial" w:hAnsi="Arial"/>
                <w:sz w:val="14"/>
                <w:szCs w:val="14"/>
                <w:b w:val="1"/>
                <w:bCs w:val="1"/>
                <w:color w:val="auto"/>
              </w:rPr>
              <w:t>August 2, 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November 2, 2013</w:t>
            </w:r>
          </w:p>
        </w:tc>
      </w:tr>
      <w:tr>
        <w:trPr>
          <w:trHeight w:val="152"/>
        </w:trPr>
        <w:tc>
          <w:tcPr>
            <w:tcW w:w="4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3"/>
                <w:szCs w:val="13"/>
                <w:color w:val="auto"/>
              </w:rPr>
            </w:pPr>
          </w:p>
        </w:tc>
        <w:tc>
          <w:tcPr>
            <w:tcW w:w="14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4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3"/>
                <w:szCs w:val="13"/>
                <w:color w:val="auto"/>
              </w:rPr>
            </w:pPr>
          </w:p>
        </w:tc>
        <w:tc>
          <w:tcPr>
            <w:tcW w:w="1320" w:type="dxa"/>
            <w:vAlign w:val="bottom"/>
          </w:tcPr>
          <w:p>
            <w:pPr>
              <w:jc w:val="right"/>
              <w:ind w:right="276"/>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Amortization</w:t>
            </w: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628,500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220" w:type="dxa"/>
            <w:vAlign w:val="bottom"/>
          </w:tcPr>
          <w:p>
            <w:pPr>
              <w:spacing w:after="0"/>
              <w:rPr>
                <w:sz w:val="21"/>
                <w:szCs w:val="21"/>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348</w:t>
            </w:r>
          </w:p>
        </w:tc>
      </w:tr>
      <w:tr>
        <w:trPr>
          <w:trHeight w:val="27"/>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669,200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348</w:t>
            </w:r>
          </w:p>
        </w:tc>
      </w:tr>
      <w:tr>
        <w:trPr>
          <w:trHeight w:val="27"/>
        </w:trPr>
        <w:tc>
          <w:tcPr>
            <w:tcW w:w="4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 the three- and nine-month periods ended August 2, 2014, amortization expense related to finite-lived intangible assets was $1.6 million and $1.7 million, respectively. Amortization expense related to finite-lived intangible assets for each of the three- and nine-month periods ended August 3, 2013 was $0.1 million and $0.2 million, respectively. The remaining amortization expense will be recognized over an estimated weighted average life of approximately 14.0 years.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expects annual amortization expense for intangible assets to be: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2040" w:type="dxa"/>
            <w:vAlign w:val="bottom"/>
          </w:tcPr>
          <w:p>
            <w:pPr>
              <w:jc w:val="right"/>
              <w:ind w:right="253"/>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380" w:type="dxa"/>
            <w:vAlign w:val="bottom"/>
            <w:gridSpan w:val="3"/>
            <w:vMerge w:val="restart"/>
          </w:tcPr>
          <w:p>
            <w:pPr>
              <w:ind w:left="40"/>
              <w:spacing w:after="0"/>
              <w:rPr>
                <w:sz w:val="20"/>
                <w:szCs w:val="20"/>
                <w:color w:val="auto"/>
              </w:rPr>
            </w:pPr>
            <w:r>
              <w:rPr>
                <w:rFonts w:ascii="Arial" w:cs="Arial" w:eastAsia="Arial" w:hAnsi="Arial"/>
                <w:sz w:val="18"/>
                <w:szCs w:val="18"/>
                <w:color w:val="auto"/>
              </w:rPr>
              <w:t>Remainder of fiscal 2014</w:t>
            </w: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380" w:type="dxa"/>
            <w:vAlign w:val="bottom"/>
            <w:gridSpan w:val="3"/>
            <w:vMerge w:val="continue"/>
          </w:tcPr>
          <w:p>
            <w:pPr>
              <w:spacing w:after="0"/>
              <w:rPr>
                <w:sz w:val="20"/>
                <w:szCs w:val="20"/>
                <w:color w:val="auto"/>
              </w:rPr>
            </w:pP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$12,779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8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$77,619</w:t>
            </w:r>
          </w:p>
        </w:tc>
        <w:tc>
          <w:tcPr>
            <w:tcW w:w="0" w:type="dxa"/>
            <w:vAlign w:val="bottom"/>
          </w:tcPr>
          <w:p>
            <w:pPr>
              <w:spacing w:after="0"/>
              <w:rPr>
                <w:sz w:val="1"/>
                <w:szCs w:val="1"/>
                <w:color w:val="auto"/>
              </w:rPr>
            </w:pP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8660" w:type="dxa"/>
            <w:vAlign w:val="bottom"/>
          </w:tcPr>
          <w:p>
            <w:pPr>
              <w:spacing w:after="0"/>
              <w:rPr>
                <w:sz w:val="21"/>
                <w:szCs w:val="21"/>
                <w:color w:val="auto"/>
              </w:rPr>
            </w:pP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$80,237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$76,974</w:t>
            </w:r>
          </w:p>
        </w:tc>
        <w:tc>
          <w:tcPr>
            <w:tcW w:w="0" w:type="dxa"/>
            <w:vAlign w:val="bottom"/>
          </w:tcPr>
          <w:p>
            <w:pPr>
              <w:spacing w:after="0"/>
              <w:rPr>
                <w:sz w:val="1"/>
                <w:szCs w:val="1"/>
                <w:color w:val="auto"/>
              </w:rPr>
            </w:pP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8660" w:type="dxa"/>
            <w:vAlign w:val="bottom"/>
          </w:tcPr>
          <w:p>
            <w:pPr>
              <w:spacing w:after="0"/>
              <w:rPr>
                <w:sz w:val="21"/>
                <w:szCs w:val="21"/>
                <w:color w:val="auto"/>
              </w:rPr>
            </w:pP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$70,421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440" w:firstLine="432"/>
        <w:spacing w:after="0" w:line="342" w:lineRule="auto"/>
        <w:rPr>
          <w:sz w:val="20"/>
          <w:szCs w:val="20"/>
          <w:color w:val="auto"/>
        </w:rPr>
      </w:pPr>
      <w:r>
        <w:rPr>
          <w:rFonts w:ascii="Arial" w:cs="Arial" w:eastAsia="Arial" w:hAnsi="Arial"/>
          <w:sz w:val="16"/>
          <w:szCs w:val="16"/>
          <w:color w:val="auto"/>
        </w:rPr>
        <w:t>Indefinite-lived intangible assets are tested for impairment on an annual basis on the first day of the fourth quarter (on or about August 3) or more frequently if indicators of impairment exist. No impairment of intangible assets resulted from the impairment tests in any of the fiscal periods presented.</w:t>
      </w:r>
    </w:p>
    <w:p>
      <w:pPr>
        <w:spacing w:after="0" w:line="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Intangible assets, excluding in-process research and development (IPR&amp;D),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research and development efforts. Upon completion of the projects, the IPR&amp;D assets will be amortized over their estimated useful lives.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Indefinite-lived intangible assets consisted of $28.7 million and $27.8 million of IPR&amp;D as of August 2, 2014 and November 2, 2013,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Pension Plans</w:t>
      </w:r>
    </w:p>
    <w:p>
      <w:pPr>
        <w:spacing w:after="0" w:line="9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 2014</w:t>
            </w:r>
          </w:p>
        </w:tc>
        <w:tc>
          <w:tcPr>
            <w:tcW w:w="240" w:type="dxa"/>
            <w:vAlign w:val="bottom"/>
          </w:tcPr>
          <w:p>
            <w:pPr>
              <w:spacing w:after="0"/>
              <w:rPr>
                <w:sz w:val="22"/>
                <w:szCs w:val="22"/>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 2013</w:t>
            </w:r>
          </w:p>
        </w:tc>
        <w:tc>
          <w:tcPr>
            <w:tcW w:w="240" w:type="dxa"/>
            <w:vAlign w:val="bottom"/>
          </w:tcPr>
          <w:p>
            <w:pPr>
              <w:spacing w:after="0"/>
              <w:rPr>
                <w:sz w:val="22"/>
                <w:szCs w:val="22"/>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2, 2014</w:t>
            </w:r>
          </w:p>
        </w:tc>
        <w:tc>
          <w:tcPr>
            <w:tcW w:w="240" w:type="dxa"/>
            <w:vAlign w:val="bottom"/>
          </w:tcPr>
          <w:p>
            <w:pPr>
              <w:spacing w:after="0"/>
              <w:rPr>
                <w:sz w:val="22"/>
                <w:szCs w:val="22"/>
                <w:color w:val="auto"/>
              </w:rPr>
            </w:pPr>
          </w:p>
        </w:tc>
        <w:tc>
          <w:tcPr>
            <w:tcW w:w="1420" w:type="dxa"/>
            <w:vAlign w:val="bottom"/>
          </w:tcPr>
          <w:p>
            <w:pPr>
              <w:jc w:val="right"/>
              <w:ind w:right="292"/>
              <w:spacing w:after="0"/>
              <w:rPr>
                <w:sz w:val="20"/>
                <w:szCs w:val="20"/>
                <w:color w:val="auto"/>
              </w:rPr>
            </w:pPr>
            <w:r>
              <w:rPr>
                <w:rFonts w:ascii="Arial" w:cs="Arial" w:eastAsia="Arial" w:hAnsi="Arial"/>
                <w:sz w:val="14"/>
                <w:szCs w:val="14"/>
                <w:b w:val="1"/>
                <w:bCs w:val="1"/>
                <w:color w:val="auto"/>
              </w:rPr>
              <w:t>August 3, 2013</w:t>
            </w:r>
          </w:p>
        </w:tc>
      </w:tr>
      <w:tr>
        <w:trPr>
          <w:trHeight w:val="250"/>
        </w:trPr>
        <w:tc>
          <w:tcPr>
            <w:tcW w:w="4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8,472</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10,660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9,351</w:t>
            </w:r>
          </w:p>
        </w:tc>
      </w:tr>
      <w:tr>
        <w:trPr>
          <w:trHeight w:val="27"/>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Amortization of initial net obligation</w:t>
            </w:r>
          </w:p>
        </w:tc>
        <w:tc>
          <w:tcPr>
            <w:tcW w:w="2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15</w:t>
            </w:r>
          </w:p>
        </w:tc>
      </w:tr>
      <w:tr>
        <w:trPr>
          <w:trHeight w:val="27"/>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2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2,235</w:t>
            </w:r>
          </w:p>
        </w:tc>
      </w:tr>
      <w:tr>
        <w:trPr>
          <w:trHeight w:val="27"/>
        </w:trPr>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pension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11,111</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19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3" w:name="page24"/>
    <w:bookmarkEnd w:id="23"/>
    <w:p>
      <w:pPr>
        <w:ind w:right="40" w:firstLine="432"/>
        <w:spacing w:after="0" w:line="264" w:lineRule="auto"/>
        <w:rPr>
          <w:sz w:val="20"/>
          <w:szCs w:val="20"/>
          <w:color w:val="auto"/>
        </w:rPr>
      </w:pPr>
      <w:r>
        <w:rPr>
          <w:rFonts w:ascii="Arial" w:cs="Arial" w:eastAsia="Arial" w:hAnsi="Arial"/>
          <w:sz w:val="18"/>
          <w:szCs w:val="18"/>
          <w:color w:val="auto"/>
        </w:rPr>
        <w:t>Pension contributions of $4.4 million and $13.2 million were made by the Company during the three and nine months ended August 2, 2014, respectively. The Company presently anticipates contributing an additional $4.3 million to fund its defined benefit pension plans in fiscal year 2014 for a total of $17.5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Revolving Credit Facility</w:t>
      </w:r>
    </w:p>
    <w:p>
      <w:pPr>
        <w:spacing w:after="0" w:line="229"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As of August 2, 2014, the Company had $4.9 billion of cash and cash equivalents and short-term investments, of which $1.1 billion was held in the United States. The balance of the Company's cash and cash equivalents and short-term investments was held outside the United States in various foreign subsidiaries. As the Company intends to reinvest its foreign earnings indefinitely, this cash is not available to meet the Company's cash requirements in the United States, including cash dividends and common stock repurchases. During December 2012, the Company terminated its five-year, $165.0 million unsecured revolving credit facility with certain institutional lenders entered into in May 2008. On December 19, 2012, the Company entered into a five-year, $500.0 million senior unsecured revolving credit facility with certain institutional lenders (the Credit Agreement). In June 2014, the Company amended this credit facility to temporarily increase the amount of allowed subsidiary indebtedness related to the financing of the Acquisition. To date, the Company has not borrowed under this credit facility but the Company may borrow in the future and use the proceeds for repayment of existing indebtedness, stock repurchases, acquisitions, capital expenditures, working capital and other lawful corporate purposes. Revolving loans under the Credit Agreement (other than swing line loans) bear interest, at the Company's option, at either a rate equal to (a) the Eurodollar Rate (as defined in the Credit Agreement) plus a margin based on the Company's debt rating or (b) the Base Rate (defined as the highest of (i) the Bank of America prime rate, (ii) the Federal Funds Rate (as defined in the Credit Agreement) plus .50% and (iii) one month Eurodollar Rate plus 1.00%) plus a margin based on the Company's debt rating. The terms of the facility impose restrictions on the Company’s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August 2, 2014, the Company was compliant with these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Debt</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June 30, 2009, the Company issued $375.0 million aggregate principal amount of 5.0% senior unsecured notes due July 1, 2014 (the 2014 Notes) with semi-annual fixed interest payments due on January 1 and July 1 of each year, commencing January 1, 2010. The sale of the 2014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were amortized over the term of the 2014 Notes.</w:t>
      </w:r>
    </w:p>
    <w:p>
      <w:pPr>
        <w:spacing w:after="0" w:line="11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On June 30, 2009, the Company entered into interest rate swap transactions related to its outstanding 2014 Notes where the Company swapped the notional amount of its $375.0 million of fixed rate debt at 5.0% into floating interest rate debt through July 1, 2014</w:t>
      </w:r>
      <w:r>
        <w:rPr>
          <w:rFonts w:ascii="Arial" w:cs="Arial" w:eastAsia="Arial" w:hAnsi="Arial"/>
          <w:sz w:val="17"/>
          <w:szCs w:val="17"/>
          <w:color w:val="FF0000"/>
        </w:rPr>
        <w:t>.</w:t>
      </w:r>
      <w:r>
        <w:rPr>
          <w:rFonts w:ascii="Arial" w:cs="Arial" w:eastAsia="Arial" w:hAnsi="Arial"/>
          <w:sz w:val="17"/>
          <w:szCs w:val="17"/>
          <w:color w:val="auto"/>
        </w:rPr>
        <w:t xml:space="preserve">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 In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Company's condensed consolidated statements of cash flows. As a result of the termination, the carrying value of the 2014 Notes was adjusted for the change in the fair value of the interest component of the debt up to the date of the termination of the swap in an amount equal to the fair value of the swap, and was amortized into earnings as a reduction of interest expense over the remaining life of the debt. During the third quarter of fiscal 2013, in conjunction with the redemption of the 2014 Notes, the Company recognized the remaining $8.6 million unamortized proceeds received from the termination of the interest rate swap as other, net expense, within non-operating (income) expense.</w:t>
      </w:r>
    </w:p>
    <w:p>
      <w:pPr>
        <w:spacing w:after="0" w:line="129"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 xml:space="preserve">During the third quarter of fiscal 2013, the Company redeemed its outstanding 2014 Notes. The redemption price was 104.744% of the principal amount of the 2014 Notes. The Company applied the provisions of Accounting Standards Codification (ASC) Subtopic 470-50, </w:t>
      </w:r>
      <w:r>
        <w:rPr>
          <w:rFonts w:ascii="Arial" w:cs="Arial" w:eastAsia="Arial" w:hAnsi="Arial"/>
          <w:sz w:val="18"/>
          <w:szCs w:val="18"/>
          <w:i w:val="1"/>
          <w:iCs w:val="1"/>
          <w:color w:val="auto"/>
        </w:rPr>
        <w:t>Modifications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Extinguishments </w:t>
      </w:r>
      <w:r>
        <w:rPr>
          <w:rFonts w:ascii="Arial" w:cs="Arial" w:eastAsia="Arial" w:hAnsi="Arial"/>
          <w:sz w:val="18"/>
          <w:szCs w:val="18"/>
          <w:color w:val="auto"/>
        </w:rPr>
        <w:t>(ASC 470-50) in order to determine if the terms of the debt were substantially different and, as a result, whether to apply modification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extinguishment accounting. The Company concluded that the debt transaction qualified as a debt extinguishment and, as a result, recognized a net loss on debt extinguishment of approximately $10.2 million recorded in other, net expense within non-operating (income) expense. This loss was comprised of the make-whole premium of $17.8 million paid to bondholders on the 2014 Notes in accordance with the terms of the notes, the recognition of the remaining $8.6 million of unamortized proceeds received from the termination of the interest rate swap associated with the debt, and the write off of approximately $1.0 million of debt issuance and discount costs that remained to be amortized. The write off of the remaining unamortized portion of debt issuance costs, discount and swap</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4" w:name="page25"/>
    <w:bookmarkEnd w:id="24"/>
    <w:p>
      <w:pPr>
        <w:ind w:right="440"/>
        <w:spacing w:after="0" w:line="277" w:lineRule="auto"/>
        <w:rPr>
          <w:sz w:val="20"/>
          <w:szCs w:val="20"/>
          <w:color w:val="auto"/>
        </w:rPr>
      </w:pPr>
      <w:r>
        <w:rPr>
          <w:rFonts w:ascii="Arial" w:cs="Arial" w:eastAsia="Arial" w:hAnsi="Arial"/>
          <w:sz w:val="18"/>
          <w:szCs w:val="18"/>
          <w:color w:val="auto"/>
        </w:rPr>
        <w:t>proceeds were reflected in the Company's condensed consolidated statements of cash flows within operating activities, and the make-whole premium is reflected within financing activities.</w:t>
      </w:r>
    </w:p>
    <w:p>
      <w:pPr>
        <w:spacing w:after="0" w:line="292"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On December 22, 2010, Analog Devices Holdings B.V., a wholly owned subsidiary of the Company, entered into a credit agreement with Bank of America, N.A., London Branch as administrative agent. The borrower’s obligations were guaranteed by the Company. The credit agreement provided for a term loan facility of $145.0 million, which was set to mature on December 22, 2013. During the first quarter of fiscal 2013, the Company repaid the remaining outstanding principal balance on the loan of $60.1 million and the credit agreement was terminated. The terms of the agreement provided for a three year principal amortization schedule with $3.6 million payable quarterly every March, June, September and December with the balance payable upon the maturity date. During fiscal 2011 and fiscal 2012, the Company made additional principal payments of $17.5 million and $42.0 million, respectively. The loan bore interest at a fluctuating rate for each period equal to the LIBOR rate corresponding with the tenor of the interest period plus a spread of 1.25%. The terms of this facility included limitations on subsidiary indebtedness and on liens against the assets of the Company and its subsidiaries, and also included financial covenants that required the Company to maintain a minimum interest coverage ratio and not exceed a maximum leverage ratio.</w:t>
      </w:r>
    </w:p>
    <w:p>
      <w:pPr>
        <w:spacing w:after="0" w:line="113"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On April 4, 2011, the Company issued $375.0 million aggregate principal amount of 3.0% senior unsecured notes due April 15, 2016 (the 2016 Notes) with semi-annual fixed interest payments due on April 15 and October 15 of each year, commencing October 15, 2011. The sale of the 2016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2016 Notes. The indenture governing the 2016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August 2, 2014, the Company was compliant with these covenants. The 2016 Notes are subordinated to any future secured debt and to the other liabilities of the Company’s subsidiaries.</w:t>
      </w:r>
    </w:p>
    <w:p>
      <w:pPr>
        <w:spacing w:after="0" w:line="113"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On June 3, 2013, the Company issued $500.0 million aggregate principal amount of 2.875% senior unsecured notes due June 1, 2023 (the 2023 Notes) with semi-annual fixed interest payments due on June 1 and December 1 of each year, commencing December 1, 2013. Prior to issuing the 2023 Notes, on April 24, 2013, the Company entered into a treasury rate lock agreement with Bank of America. This agreement allowed the Company to lock a 10-year US Treasury rate of 1.7845% through June 14, 2013 for its anticipated issuance of the 2023 Notes. Upon issuing the 2023 Notes, the Company simultaneously terminated the treasury rate lock agreement resulting in a gain of approximately $11.0 million. This gain will be amortized into interest expense over the 10-year term of the 2023 Notes. The sale of the 2023 Notes was made pursuant to the terms of an underwriting agreement, dated as of May 22, 2013, among the Company and J.P. Morgan Securities LLC, Merrill Lynch, Pierce, Fenner &amp; Smith Incorporated and Credit Suisse Securities (USA) LLC, as the representatives of the several underwriters named therein. The net proceeds of the offering were $493.9 million, after discount and issuance costs. Debt discount and issuance costs will be amortized through interest expense over the term of the 2023 Notes. The indenture governing the 2023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August 2, 2014, the Company was compliant with these covenants. The notes are subordinated to any future secured debt and to the other liabilities of the Company's subsidiaries.</w:t>
      </w:r>
    </w:p>
    <w:p>
      <w:pPr>
        <w:spacing w:after="0" w:line="12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On July 22, 2014, the Company entered into a 90-day term loan facility in an aggregate principal amount of $2.0 billion with Credit Suisse AG, as Administrative Agent, and each lender from time to time party thereto (the Term Loan Agreement) to finance the Acquisition. Loans under the Term Loan Agreement bear interest at the Eurodollar Rate (as defined in the Term Loan Agreement) plus 1.00% (1.16% as of August 2, 2014). Payments of the principal amounts of revolving loans under the Term Loan Agreement are due no later than October 20, 2014 and will not require interim amortization. The Company may prepay loans under the Term Loan Agreement in whole or in part at any time, without premium or penalty, subject to reimbursement of certain costs in the case of borrowings that bear interest at the Eurodollar Rate. Expenses incurred related to the debt are being amortized over the 90-day term. The Term Loan Agreement contains customary representations and warranties and affirmative and negative covenants, including, among others, limitations on liens, indebtedness of subsidiaries, mergers and other fundamental changes, sales and other dispositions of property or assets and transactions with affiliates. The Term Loan Agreement contains a consolidated leverage ratio covenant of total consolidated funded debt to consolidated EBITDA (earnings before interest, taxes, depreciation, and amortization) of not greater than 3.0 to 1.0. As of August 2, 2014, the Company was compliant with these covenants.</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746" w:right="299" w:bottom="1440" w:gutter="0" w:footer="0" w:header="0"/>
        </w:sectPr>
      </w:pPr>
    </w:p>
    <w:bookmarkStart w:id="25" w:name="page26"/>
    <w:bookmarkEnd w:id="25"/>
    <w:p>
      <w:pPr>
        <w:ind w:right="500" w:firstLine="432"/>
        <w:spacing w:after="0" w:line="277" w:lineRule="auto"/>
        <w:rPr>
          <w:sz w:val="20"/>
          <w:szCs w:val="20"/>
          <w:color w:val="auto"/>
        </w:rPr>
      </w:pPr>
      <w:r>
        <w:rPr>
          <w:rFonts w:ascii="Arial" w:cs="Arial" w:eastAsia="Arial" w:hAnsi="Arial"/>
          <w:sz w:val="18"/>
          <w:szCs w:val="18"/>
          <w:color w:val="auto"/>
        </w:rPr>
        <w:t>The Company’s principal payments related to its debt obligations are due as follows: $2.0 billion in fiscal 2014, $375.0 million in fiscal 2016 and $500.0 million in fiscal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Inventories</w:t>
      </w:r>
    </w:p>
    <w:p>
      <w:pPr>
        <w:spacing w:after="0" w:line="9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Inventories are valued at the lower of cost (first-in, first-out method) or market. The valuation of inventory requires the Company to estimate obsolete or excess inventory as well as inventory that is not of sellable quality. The Company employs a variety of methodologies to determine the net realizable value of its inventory. While a portion of the calculation to record inventory at its net realizable value is based on the age of the inventory and lower of cost or market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sellable amounts is not valued, and the remaining inventory is valued at the lower of cost or market. In connection with the Acquisition the Company acquired approximately $6.1 million of raw materials which has been classified as non-current and is presented within the consolidated balance sheet as other assets as the Company does not expect this inventory to be sold within one year. This inventory was purchased as part of a planned transition from a principal foundry supplier. The larger than normal purchase was made to maintain an adequate supply of the raw material for customers, which has a natural life of five to ten years.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August 2, 2014 and November 2, 2013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 2014</w:t>
            </w:r>
          </w:p>
        </w:tc>
        <w:tc>
          <w:tcPr>
            <w:tcW w:w="180" w:type="dxa"/>
            <w:vAlign w:val="bottom"/>
          </w:tcPr>
          <w:p>
            <w:pPr>
              <w:spacing w:after="0"/>
              <w:rPr>
                <w:sz w:val="16"/>
                <w:szCs w:val="16"/>
                <w:color w:val="auto"/>
              </w:rPr>
            </w:pPr>
          </w:p>
        </w:tc>
        <w:tc>
          <w:tcPr>
            <w:tcW w:w="140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November 2, 2013</w:t>
            </w:r>
          </w:p>
        </w:tc>
      </w:tr>
      <w:tr>
        <w:trPr>
          <w:trHeight w:val="250"/>
        </w:trPr>
        <w:tc>
          <w:tcPr>
            <w:tcW w:w="8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19,641</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244,583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175,155</w:t>
            </w: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123,376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88,541</w:t>
            </w:r>
          </w:p>
        </w:tc>
      </w:tr>
      <w:tr>
        <w:trPr>
          <w:trHeight w:val="297"/>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415,098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283,337</w:t>
            </w:r>
          </w:p>
        </w:tc>
      </w:tr>
      <w:tr>
        <w:trPr>
          <w:trHeight w:val="251"/>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Hittite Microwave Corporation</w:t>
      </w:r>
    </w:p>
    <w:p>
      <w:pPr>
        <w:spacing w:after="0" w:line="225"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On July 22, 2014, the Company completed its acquisition of Hittite Microwave Corporation (Hittite), a company that designs and develops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The acquisition of Hittite is referred to as the Acquisition. The Acquisition is expected to expand the Company’s technology position in high performance signal processing solutions and drive growth in key markets. The Company completed the Acquisition through a cash tender offer (the Offer) by BBAC Corp., a wholly-owned subsidiary of the Company, for all of the outstanding shares of common stock, par value $0.01 per share, of Hittite at a purchase price of $78.00 per share, net to the seller in cash, without interest, less any applicable withholding taxes. After completion of the Offer, BBAC Corp. merged with and into Hittite, with Hittite continuing as the surviving corporation and a wholly-owned subsidiary of the Company. The results of operations of Hittite from July 22, 2014 (the Acquisition Date) are included in the Company’s condensed consolidated statements of income for the three and nine months ended August 2, 2014. Given the proximity of the Acquisition Date to August 2, 2014, the amount of revenue and earnings attributable to Hittite included in the Company’s unaudited condensed consolidated statements of income was immaterial.</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Acquisition-date fair value of the consideration transferred in the Acquisition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tcPr>
          <w:p>
            <w:pPr>
              <w:ind w:left="40"/>
              <w:spacing w:after="0"/>
              <w:rPr>
                <w:sz w:val="20"/>
                <w:szCs w:val="20"/>
                <w:color w:val="auto"/>
              </w:rPr>
            </w:pPr>
            <w:r>
              <w:rPr>
                <w:rFonts w:ascii="Arial" w:cs="Arial" w:eastAsia="Arial" w:hAnsi="Arial"/>
                <w:sz w:val="18"/>
                <w:szCs w:val="18"/>
                <w:color w:val="auto"/>
              </w:rPr>
              <w:t>Cash consideration</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2,424,446</w:t>
            </w:r>
          </w:p>
        </w:tc>
      </w:tr>
      <w:tr>
        <w:trPr>
          <w:trHeight w:val="27"/>
        </w:trPr>
        <w:tc>
          <w:tcPr>
            <w:tcW w:w="9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replacement share-based awards</w:t>
            </w: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8,851</w:t>
            </w:r>
          </w:p>
        </w:tc>
      </w:tr>
      <w:tr>
        <w:trPr>
          <w:trHeight w:val="257"/>
        </w:trPr>
        <w:tc>
          <w:tcPr>
            <w:tcW w:w="9520" w:type="dxa"/>
            <w:vAlign w:val="bottom"/>
          </w:tcPr>
          <w:p>
            <w:pPr>
              <w:ind w:left="180"/>
              <w:spacing w:after="0"/>
              <w:rPr>
                <w:sz w:val="20"/>
                <w:szCs w:val="20"/>
                <w:color w:val="auto"/>
              </w:rPr>
            </w:pPr>
            <w:r>
              <w:rPr>
                <w:rFonts w:ascii="Arial" w:cs="Arial" w:eastAsia="Arial" w:hAnsi="Arial"/>
                <w:sz w:val="18"/>
                <w:szCs w:val="18"/>
                <w:color w:val="auto"/>
              </w:rPr>
              <w:t>Total estimated purchase price</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2,433,297</w:t>
            </w:r>
          </w:p>
        </w:tc>
      </w:tr>
      <w:tr>
        <w:trPr>
          <w:trHeight w:val="20"/>
        </w:trPr>
        <w:tc>
          <w:tcPr>
            <w:tcW w:w="9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i w:val="1"/>
          <w:iCs w:val="1"/>
          <w:color w:val="auto"/>
        </w:rPr>
        <w:t xml:space="preserve">Hittite Replacement Awards </w:t>
      </w:r>
      <w:r>
        <w:rPr>
          <w:rFonts w:ascii="Arial" w:cs="Arial" w:eastAsia="Arial" w:hAnsi="Arial"/>
          <w:sz w:val="18"/>
          <w:szCs w:val="18"/>
          <w:color w:val="auto"/>
        </w:rPr>
        <w:t>— In connection with the Acquisition, the Company issued equity awards to certain Hittite employees in replacement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Hittite equity awards that were canceled at closing. The replacement awards consisted of approximately 0.7 million restricted stock units with a weighted average grant date fair value of $48.20. The grant-date fair value of the restricted stock units represents the value of the Company’s common stock on the date of grant, reduced by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6" w:name="page27"/>
    <w:bookmarkEnd w:id="26"/>
    <w:p>
      <w:pPr>
        <w:ind w:right="340"/>
        <w:spacing w:after="0" w:line="312" w:lineRule="auto"/>
        <w:rPr>
          <w:sz w:val="20"/>
          <w:szCs w:val="20"/>
          <w:color w:val="auto"/>
        </w:rPr>
      </w:pPr>
      <w:r>
        <w:rPr>
          <w:rFonts w:ascii="Arial" w:cs="Arial" w:eastAsia="Arial" w:hAnsi="Arial"/>
          <w:sz w:val="16"/>
          <w:szCs w:val="16"/>
          <w:color w:val="auto"/>
        </w:rPr>
        <w:t>present value of dividends expected to be paid on the Company’s common stock prior to vesting. The terms and the intrinsic value of these awards were substantially the same as the canceled Hittite awards. The $8.9 million noted in the table above, represents the portion of the fair value of the replacement awards associated with services rendered though the Acquisition Date and have been included as a component of the total estimated purchase price.</w:t>
      </w:r>
    </w:p>
    <w:p>
      <w:pPr>
        <w:spacing w:after="0" w:line="14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preliminary fair values of assets acquired and liabilities assumed as of the Acquisition Date is set forth in the table below. The excess of the purchase price over the aggregate fair value of identifiable net assets acquired was recorded as goodwill. None of the goodwill is expected to be deductible for tax purposes. These preliminary fair values were determined through established and generally accepted valuation techniques and are subject to change during the measurement period as valuations are finalized. As a result, the Acquisition accounting is not complete and additional information that existed at the Acquisition Date may become known to the Company during the remainder of the measurement period. As of the filing date of this Quarterly Report on Form 10-Q, the Company is still in the process of valuing the assets acquired of Hittite's business, including inventory, fixed assets, deferred taxes, intangible assets, and liabilities, including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480,742</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Accounts receivable (a)</w:t>
            </w:r>
          </w:p>
        </w:tc>
        <w:tc>
          <w:tcPr>
            <w:tcW w:w="6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36,991</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115,801</w:t>
            </w:r>
          </w:p>
        </w:tc>
        <w:tc>
          <w:tcPr>
            <w:tcW w:w="0" w:type="dxa"/>
            <w:vAlign w:val="bottom"/>
          </w:tcPr>
          <w:p>
            <w:pPr>
              <w:spacing w:after="0"/>
              <w:rPr>
                <w:sz w:val="1"/>
                <w:szCs w:val="1"/>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6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50,490</w:t>
            </w:r>
          </w:p>
        </w:tc>
        <w:tc>
          <w:tcPr>
            <w:tcW w:w="0" w:type="dxa"/>
            <w:vAlign w:val="bottom"/>
          </w:tcPr>
          <w:p>
            <w:pPr>
              <w:spacing w:after="0"/>
              <w:rPr>
                <w:sz w:val="1"/>
                <w:szCs w:val="1"/>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6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(Note 11)</w:t>
            </w:r>
          </w:p>
        </w:tc>
        <w:tc>
          <w:tcPr>
            <w:tcW w:w="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669,000</w:t>
            </w:r>
          </w:p>
        </w:tc>
        <w:tc>
          <w:tcPr>
            <w:tcW w:w="0" w:type="dxa"/>
            <w:vAlign w:val="bottom"/>
          </w:tcPr>
          <w:p>
            <w:pPr>
              <w:spacing w:after="0"/>
              <w:rPr>
                <w:sz w:val="1"/>
                <w:szCs w:val="1"/>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Goodwill (Note 11)</w:t>
            </w:r>
          </w:p>
        </w:tc>
        <w:tc>
          <w:tcPr>
            <w:tcW w:w="6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1,344,851</w:t>
            </w:r>
          </w:p>
        </w:tc>
        <w:tc>
          <w:tcPr>
            <w:tcW w:w="0" w:type="dxa"/>
            <w:vAlign w:val="bottom"/>
          </w:tcPr>
          <w:p>
            <w:pPr>
              <w:spacing w:after="0"/>
              <w:rPr>
                <w:sz w:val="1"/>
                <w:szCs w:val="1"/>
                <w:color w:val="auto"/>
              </w:rPr>
            </w:pPr>
          </w:p>
        </w:tc>
      </w:tr>
      <w:tr>
        <w:trPr>
          <w:trHeight w:val="27"/>
        </w:trPr>
        <w:tc>
          <w:tcPr>
            <w:tcW w:w="94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2,742,783</w:t>
            </w:r>
          </w:p>
        </w:tc>
        <w:tc>
          <w:tcPr>
            <w:tcW w:w="0" w:type="dxa"/>
            <w:vAlign w:val="bottom"/>
          </w:tcPr>
          <w:p>
            <w:pPr>
              <w:spacing w:after="0"/>
              <w:rPr>
                <w:sz w:val="1"/>
                <w:szCs w:val="1"/>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Assumed liabilities</w:t>
            </w:r>
          </w:p>
        </w:tc>
        <w:tc>
          <w:tcPr>
            <w:tcW w:w="6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55,380</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6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254,106</w:t>
            </w:r>
          </w:p>
        </w:tc>
        <w:tc>
          <w:tcPr>
            <w:tcW w:w="0" w:type="dxa"/>
            <w:vAlign w:val="bottom"/>
          </w:tcPr>
          <w:p>
            <w:pPr>
              <w:spacing w:after="0"/>
              <w:rPr>
                <w:sz w:val="1"/>
                <w:szCs w:val="1"/>
                <w:color w:val="auto"/>
              </w:rPr>
            </w:pPr>
          </w:p>
        </w:tc>
      </w:tr>
      <w:tr>
        <w:trPr>
          <w:trHeight w:val="257"/>
        </w:trPr>
        <w:tc>
          <w:tcPr>
            <w:tcW w:w="9440" w:type="dxa"/>
            <w:vAlign w:val="bottom"/>
          </w:tcPr>
          <w:p>
            <w:pPr>
              <w:ind w:left="40"/>
              <w:spacing w:after="0"/>
              <w:rPr>
                <w:sz w:val="20"/>
                <w:szCs w:val="20"/>
                <w:color w:val="auto"/>
              </w:rPr>
            </w:pPr>
            <w:r>
              <w:rPr>
                <w:rFonts w:ascii="Arial" w:cs="Arial" w:eastAsia="Arial" w:hAnsi="Arial"/>
                <w:sz w:val="18"/>
                <w:szCs w:val="18"/>
                <w:color w:val="auto"/>
              </w:rPr>
              <w:t>Total estimated purchase price</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2,433,297</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20"/>
                <w:szCs w:val="20"/>
                <w:color w:val="auto"/>
              </w:rPr>
              <w:t>____________</w:t>
            </w: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fair value of accounts receivable was $37.0 million, with the gross contractual amount being $37.3 million, of which the Company estimates that $0.3 million is uncollectible.</w:t>
      </w:r>
    </w:p>
    <w:p>
      <w:pPr>
        <w:spacing w:after="0" w:line="19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Of the $669.0 million of acquired intangible assets, $0.9 million was recorded as in-process research and development (IPR&amp;D) assets at estimated fair value on the Acquisition Date. The IPR&amp;D assets acquired are being capitalized until the technology is commercially available for their intended uses at which point the assets will be amortized over their estimated useful lives. The amortizable intangible assets acquired consisted of the following, which are being amortized on a straight-line basis over their estimated useful lives or on an accelerated method of amortization that is expected to reflect the estimated pattern of economic use.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516"/>
              <w:spacing w:after="0"/>
              <w:rPr>
                <w:sz w:val="20"/>
                <w:szCs w:val="20"/>
                <w:color w:val="auto"/>
              </w:rPr>
            </w:pPr>
            <w:r>
              <w:rPr>
                <w:rFonts w:ascii="Arial" w:cs="Arial" w:eastAsia="Arial" w:hAnsi="Arial"/>
                <w:sz w:val="14"/>
                <w:szCs w:val="14"/>
                <w:b w:val="1"/>
                <w:bCs w:val="1"/>
                <w:color w:val="auto"/>
              </w:rPr>
              <w:t>Fair Value</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Weighted Average Useful</w:t>
            </w: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20" w:type="dxa"/>
            <w:vAlign w:val="bottom"/>
            <w:vMerge w:val="continue"/>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Lives</w:t>
            </w: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324"/>
        </w:trPr>
        <w:tc>
          <w:tcPr>
            <w:tcW w:w="7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15,100</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24,500</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628,500</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7740" w:type="dxa"/>
            <w:vAlign w:val="bottom"/>
          </w:tcPr>
          <w:p>
            <w:pPr>
              <w:ind w:left="2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668,100</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The goodwill recognized is attributable to synergies which are expected to enhance and expand the Company’s overall product portfolio and opportunities in new markets, future technologies that have yet to be determined and Hittite’s assembled workforce. Future technologies do not meet the criteria for recognition separately from goodwill because they are part of future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ind w:right="80"/>
        <w:spacing w:after="0" w:line="277" w:lineRule="auto"/>
        <w:rPr>
          <w:sz w:val="20"/>
          <w:szCs w:val="20"/>
          <w:color w:val="auto"/>
        </w:rPr>
      </w:pPr>
      <w:r>
        <w:rPr>
          <w:rFonts w:ascii="Arial" w:cs="Arial" w:eastAsia="Arial" w:hAnsi="Arial"/>
          <w:sz w:val="18"/>
          <w:szCs w:val="18"/>
          <w:color w:val="auto"/>
        </w:rPr>
        <w:t>development and growth of the business. As of the filing date of this Quarterly Report on Form 10-Q, the assignment of goodwill to the Company's reporting units has not been completed.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significant contingencies assumed as part of the Acquisition.</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Company recognized $21.1 million of transaction-related costs, including legal, accounting and other related fees that were expensed in the nine-month period ended August 2, 2014. These costs are included in the condensed consolidated statements of income in operating expenses within SMG&amp;A expenses. The Company may incur additional transaction-related costs within the next twelve months related to the Acquisition that will be expensed as incurred.</w:t>
      </w:r>
    </w:p>
    <w:p>
      <w:pPr>
        <w:spacing w:after="0" w:line="18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The following unaudited pro forma consolidated financial information combines the unaudited results of the Company for the three and nine months ended August 2, 2014 and the unaudited results of Hittite for the three and nine months ended June 30, 2014 and assumes that the Acquisition, which closed on July 22, 2014, was completed on November 4, 2012 (the first day of the Company’s 2013 fiscal year). The pro forma consolidated financial information has been calculated after applying the Company’s accounting policies and includes adjustments for amortization expense of acquired intangible assets, transaction-related costs, a step-up in the value of acquired inventory and property, plant and equipment, and interest expense for the debt incurred to fund the Acquisition, together with the consequential tax effects. These pro forma results have been prepared for comparative purposes only and do not purport to be indicative of the operating results of the Company that would have been achieved had the Acquisition actually taken place on November 4, 2012.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220" w:type="dxa"/>
            <w:vAlign w:val="bottom"/>
          </w:tcPr>
          <w:p>
            <w:pPr>
              <w:ind w:left="80"/>
              <w:spacing w:after="0"/>
              <w:rPr>
                <w:sz w:val="20"/>
                <w:szCs w:val="20"/>
                <w:color w:val="auto"/>
              </w:rPr>
            </w:pPr>
            <w:r>
              <w:rPr>
                <w:rFonts w:ascii="Arial" w:cs="Arial" w:eastAsia="Arial" w:hAnsi="Arial"/>
                <w:sz w:val="18"/>
                <w:szCs w:val="18"/>
                <w:color w:val="auto"/>
              </w:rPr>
              <w:t>(thousands, except per share data)</w:t>
            </w:r>
          </w:p>
        </w:tc>
        <w:tc>
          <w:tcPr>
            <w:tcW w:w="38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3"/>
          </w:tcPr>
          <w:p>
            <w:pPr>
              <w:jc w:val="right"/>
              <w:ind w:right="994"/>
              <w:spacing w:after="0"/>
              <w:rPr>
                <w:sz w:val="20"/>
                <w:szCs w:val="20"/>
                <w:color w:val="auto"/>
              </w:rPr>
            </w:pPr>
            <w:r>
              <w:rPr>
                <w:rFonts w:ascii="Arial" w:cs="Arial" w:eastAsia="Arial" w:hAnsi="Arial"/>
                <w:sz w:val="14"/>
                <w:szCs w:val="14"/>
                <w:b w:val="1"/>
                <w:bCs w:val="1"/>
                <w:color w:val="auto"/>
              </w:rPr>
              <w:t>Pro Forma Three Months Ended</w:t>
            </w:r>
          </w:p>
        </w:tc>
      </w:tr>
      <w:tr>
        <w:trPr>
          <w:trHeight w:val="264"/>
        </w:trPr>
        <w:tc>
          <w:tcPr>
            <w:tcW w:w="7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August 2, 2014</w:t>
            </w:r>
          </w:p>
        </w:tc>
        <w:tc>
          <w:tcPr>
            <w:tcW w:w="4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August 3, 2013</w:t>
            </w: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799,064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742,779</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56"/>
              <w:spacing w:after="0"/>
              <w:rPr>
                <w:sz w:val="20"/>
                <w:szCs w:val="20"/>
                <w:color w:val="auto"/>
              </w:rPr>
            </w:pPr>
            <w:r>
              <w:rPr>
                <w:rFonts w:ascii="Arial" w:cs="Arial" w:eastAsia="Arial" w:hAnsi="Arial"/>
                <w:sz w:val="18"/>
                <w:szCs w:val="18"/>
                <w:color w:val="auto"/>
              </w:rPr>
              <w:t>205,992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183,281</w:t>
            </w:r>
          </w:p>
        </w:tc>
      </w:tr>
      <w:tr>
        <w:trPr>
          <w:trHeight w:val="27"/>
        </w:trPr>
        <w:tc>
          <w:tcPr>
            <w:tcW w:w="7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0.66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0.59</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56"/>
              <w:spacing w:after="0"/>
              <w:rPr>
                <w:sz w:val="20"/>
                <w:szCs w:val="20"/>
                <w:color w:val="auto"/>
              </w:rPr>
            </w:pPr>
            <w:r>
              <w:rPr>
                <w:rFonts w:ascii="Arial" w:cs="Arial" w:eastAsia="Arial" w:hAnsi="Arial"/>
                <w:sz w:val="18"/>
                <w:szCs w:val="18"/>
                <w:color w:val="auto"/>
              </w:rPr>
              <w:t>0.64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0.58</w:t>
            </w:r>
          </w:p>
        </w:tc>
      </w:tr>
      <w:tr>
        <w:trPr>
          <w:trHeight w:val="426"/>
        </w:trPr>
        <w:tc>
          <w:tcPr>
            <w:tcW w:w="7220" w:type="dxa"/>
            <w:vAlign w:val="bottom"/>
          </w:tcPr>
          <w:p>
            <w:pPr>
              <w:ind w:left="80"/>
              <w:spacing w:after="0"/>
              <w:rPr>
                <w:sz w:val="20"/>
                <w:szCs w:val="20"/>
                <w:color w:val="auto"/>
              </w:rPr>
            </w:pPr>
            <w:r>
              <w:rPr>
                <w:rFonts w:ascii="Arial" w:cs="Arial" w:eastAsia="Arial" w:hAnsi="Arial"/>
                <w:sz w:val="18"/>
                <w:szCs w:val="18"/>
                <w:color w:val="auto"/>
              </w:rPr>
              <w:t>(thousands, except per share data)</w:t>
            </w:r>
          </w:p>
        </w:tc>
        <w:tc>
          <w:tcPr>
            <w:tcW w:w="3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3"/>
          </w:tcPr>
          <w:p>
            <w:pPr>
              <w:jc w:val="right"/>
              <w:ind w:right="1034"/>
              <w:spacing w:after="0"/>
              <w:rPr>
                <w:sz w:val="20"/>
                <w:szCs w:val="20"/>
                <w:color w:val="auto"/>
              </w:rPr>
            </w:pPr>
            <w:r>
              <w:rPr>
                <w:rFonts w:ascii="Arial" w:cs="Arial" w:eastAsia="Arial" w:hAnsi="Arial"/>
                <w:sz w:val="14"/>
                <w:szCs w:val="14"/>
                <w:b w:val="1"/>
                <w:bCs w:val="1"/>
                <w:color w:val="auto"/>
              </w:rPr>
              <w:t>Pro Forma Nine Months Ended</w:t>
            </w:r>
          </w:p>
        </w:tc>
      </w:tr>
      <w:tr>
        <w:trPr>
          <w:trHeight w:val="264"/>
        </w:trPr>
        <w:tc>
          <w:tcPr>
            <w:tcW w:w="7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August 2, 2014</w:t>
            </w:r>
          </w:p>
        </w:tc>
        <w:tc>
          <w:tcPr>
            <w:tcW w:w="4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August 3, 2013</w:t>
            </w: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2,261,221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2,160,374</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56"/>
              <w:spacing w:after="0"/>
              <w:rPr>
                <w:sz w:val="20"/>
                <w:szCs w:val="20"/>
                <w:color w:val="auto"/>
              </w:rPr>
            </w:pPr>
            <w:r>
              <w:rPr>
                <w:rFonts w:ascii="Arial" w:cs="Arial" w:eastAsia="Arial" w:hAnsi="Arial"/>
                <w:sz w:val="18"/>
                <w:szCs w:val="18"/>
                <w:color w:val="auto"/>
              </w:rPr>
              <w:t>555,016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448,407</w:t>
            </w:r>
          </w:p>
        </w:tc>
      </w:tr>
      <w:tr>
        <w:trPr>
          <w:trHeight w:val="27"/>
        </w:trPr>
        <w:tc>
          <w:tcPr>
            <w:tcW w:w="7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56"/>
              <w:spacing w:after="0"/>
              <w:rPr>
                <w:sz w:val="20"/>
                <w:szCs w:val="20"/>
                <w:color w:val="auto"/>
              </w:rPr>
            </w:pPr>
            <w:r>
              <w:rPr>
                <w:rFonts w:ascii="Arial" w:cs="Arial" w:eastAsia="Arial" w:hAnsi="Arial"/>
                <w:sz w:val="18"/>
                <w:szCs w:val="18"/>
                <w:color w:val="auto"/>
              </w:rPr>
              <w:t>1.74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1.43</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Multigig, Inc</w:t>
      </w:r>
    </w:p>
    <w:p>
      <w:pPr>
        <w:spacing w:after="0" w:line="13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On March 30, 2012, the Company acquired privately-held Multigig, Inc. (Multigig) of San Jose, California. The acquisition of Multigig is expected to enhance the Company’s clocking capabilities in stand-alone and embedded applications and strengthen the Company’s high speed signal processing solutions. The acquisition-date fair value of the consideration transferred totaled $26.8 million, which consisted of $24.2 million in initial cash payments at closing and an additional $2.6 million subject to an indemnification holdback that was payable within 15 months of the transaction date. During the third quarter of fiscal 2012, the Company reduced this holdback amount by $0.1 million as a result of indemnification claims. During the third quarter of fiscal 2013, the Company paid the remaining $2.5 million due under the holdback. The Company’s assessment of fair value of the tangible and intangible assets acquired and liabilities assumed was based on their estimated fair values at the date of acquisition, resulting in the recognition of $15.6 million of IPR&amp;D, $1.1 million of developed technology, $7.0 million of goodwill and $3.1 million of net deferred tax assets. The goodwill recognized is attributable to future technologies that have yet to be determined as well as the assembled workforce of Multigig. Future technologies do not meet the criteria for recognition separately from goodwill because they are a part of future development and growth of the business. None of the goodwill is expected to be deductible for tax purposes. During the fourth quarter of fiscal 2012, the Company finalized its purchase accounting for Multigig, which resulted in adjustments of $0.4 million to deferred taxes and goodwill. In addition, the Company will be obligated to pay royalties to the Multigig employees on revenue recognized from the sale of certain Multigig products through the earlier of 5 years or the aggregate maximum payment of $1.0 million. Royalty payments to Multigig employees require post-acquisition services to be rendered and, as such, the Company will record these amounts as compensation expense in the related periods. As of August 2, 2014, no royalty payments have been made. The Company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p>
      <w:pPr>
        <w:ind w:right="740"/>
        <w:spacing w:after="0" w:line="277" w:lineRule="auto"/>
        <w:rPr>
          <w:sz w:val="20"/>
          <w:szCs w:val="20"/>
          <w:color w:val="auto"/>
        </w:rPr>
      </w:pPr>
      <w:r>
        <w:rPr>
          <w:rFonts w:ascii="Arial" w:cs="Arial" w:eastAsia="Arial" w:hAnsi="Arial"/>
          <w:sz w:val="18"/>
          <w:szCs w:val="18"/>
          <w:color w:val="auto"/>
        </w:rPr>
        <w:t>recognized $0.5 million of acquisition-related costs that were expensed in fiscal 2012, which were included in operating expenses in the Company's condensed consolidated statement of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Lyric Semiconductor, Inc.</w:t>
      </w:r>
    </w:p>
    <w:p>
      <w:pPr>
        <w:spacing w:after="0" w:line="171"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On June 9, 2011, the Company acquired privately-held Lyric Semiconductor, Inc. (Lyric) of Cambridge, Massachusetts. The acquisition of Lyric gives the Company the potential to achieve significant improvement in power efficiency in mixed signal processing. The acquisition-date fair value of the consideration transferred totaled $27.8 million, which consisted of $14.0 million in initial cash payments at closing and contingent consideration of up to $13.8 million. The contingent consideration arrangement requires additional cash payments to the former equity holders of Lyric upon the achievement of certain technological and product development milestones payable during the period from June 2011 through June 2016. The Company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operating income in the period of the estimated fair value change. As of August 2, 2014, the Company had paid $12.0 million in contingent consideration. These payments are reflected in the Company's condensed consolidated statements of cash flows as cash used in financing activities related to the liability recognized at fair value as of the acquisition date and cash provided by operating activities related to the fair value adjustments previously recognized in earnings. The Company’s assessment of fair value of the tangible and intangible assets acquired and liabilities assumed was based on their estimated fair values at the date of acquisition, resulting in the recognition of $12.2 million of IPR&amp;D, $18.9 million of goodwill and $3.3 million of net deferred tax liabilities.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 The fair value of the remaining contingent consideration was approximately $2.9 million as of August 2, 2014, of which $2.0 million is included in accrued liabilities and $0.9 million is included in other non-current liabilities in the Company's condensed consolidated balance sheet. In addition, the Company will be obligated to pay royalties to the former equity holders of Lyric on revenue recognized from the sale of Lyric products and licenses through the earlier of 20 years, or the accrual of a maximum of $25.0 million. Royalty payments to Lyric employees require post-acquisition services to be rendered and, as such, the Company will record these amounts as compensation expense in the related periods. As of August 2, 2014, an immaterial amount of royalty payments have been made. The Company recognized $0.2 million of acquisition-related costs that were expensed in fiscal 2011, which were included in operating expenses in the Company's condensed consolidated statement of income.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9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from that which is reflected in the historical income tax provisions and accruals. Such differences could have a material impact on the Company’s income tax provision and operating results in the period in which such determination is made.</w:t>
      </w:r>
    </w:p>
    <w:p>
      <w:pPr>
        <w:spacing w:after="0" w:line="8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Company’s effective tax rate reflects the applicable tax rate in effect in the various tax jurisdictions around the world where our income is earned. The Company's effective tax rate for all periods presented is lower than the U.S. federal statutory rate of 35%, primarily due to lower statutory tax rates applicable to the Company's operations in jurisdictions in which the Company earns income.</w:t>
      </w:r>
    </w:p>
    <w:p>
      <w:pPr>
        <w:spacing w:after="0" w:line="8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Company has filed a petition with the U.S. Tax Court for one open matter for fiscal years 2006 and 2007. The matter that pertains to Section 965 of the Internal Revenue Code related to the beneficial tax treatment of dividends paid from foreign owned companies under The American Jobs Creation Act. The potential liability for this adjustment is $36.5 million. On September 18, 2013, in a matter not involving the Company, the U.S. Tax Court held that accounts receivable created under Rev. Proc. 99-32 may constitute indebtedness for purposes of Section 965 (b)(3) of the Internal Revenue Code and that the IRS was not precluded from reducing the beneficial dividend-received deduction because of the increase in related-party indebtedness (BMC Software Inc. v Commissioner, 141 T.C. No. 5 2013). After analyzing the Tax Court’s decision, the Company has determined that its tax position with respect to Section 965(b)(3) of the Internal Revenue Code no longer meets the more likely than not standard of recognition for accounting purposes. Accordingly, the Company recorded a $36.5 million reserve for this matter in the fourth quarter of fiscal 2013.</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 of the Company's U.S. federal tax returns for years prior to fiscal year 2011 are subject to examination.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 of the Company's Ireland tax returns for years prior to fiscal year 2010 are subject to examination.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665"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Unrealized Tax Benefits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changes in the total amounts of unrealized tax benefits for the nine months ended August 2, 2014.</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Unrealized Tax Benefits</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b w:val="1"/>
                <w:bCs w:val="1"/>
                <w:color w:val="auto"/>
              </w:rPr>
              <w:t>Balance as of November 2, 2013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68,139</w:t>
            </w:r>
          </w:p>
        </w:tc>
      </w:tr>
      <w:tr>
        <w:trPr>
          <w:trHeight w:val="27"/>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(1,321)</w:t>
            </w:r>
          </w:p>
        </w:tc>
      </w:tr>
      <w:tr>
        <w:trPr>
          <w:trHeight w:val="27"/>
        </w:trPr>
        <w:tc>
          <w:tcPr>
            <w:tcW w:w="9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57"/>
        </w:trPr>
        <w:tc>
          <w:tcPr>
            <w:tcW w:w="9200" w:type="dxa"/>
            <w:vAlign w:val="bottom"/>
          </w:tcPr>
          <w:p>
            <w:pPr>
              <w:ind w:left="40"/>
              <w:spacing w:after="0"/>
              <w:rPr>
                <w:sz w:val="20"/>
                <w:szCs w:val="20"/>
                <w:color w:val="auto"/>
              </w:rPr>
            </w:pPr>
            <w:r>
              <w:rPr>
                <w:rFonts w:ascii="Arial" w:cs="Arial" w:eastAsia="Arial" w:hAnsi="Arial"/>
                <w:sz w:val="18"/>
                <w:szCs w:val="18"/>
                <w:b w:val="1"/>
                <w:bCs w:val="1"/>
                <w:color w:val="auto"/>
              </w:rPr>
              <w:t>Balance as of August 2, 2014</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65,464</w:t>
            </w:r>
          </w:p>
        </w:tc>
      </w:tr>
      <w:tr>
        <w:trPr>
          <w:trHeight w:val="20"/>
        </w:trPr>
        <w:tc>
          <w:tcPr>
            <w:tcW w:w="9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New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In January 2013, the FASB issued ASU No. 2013-02, </w:t>
      </w:r>
      <w:r>
        <w:rPr>
          <w:rFonts w:ascii="Arial" w:cs="Arial" w:eastAsia="Arial" w:hAnsi="Arial"/>
          <w:sz w:val="17"/>
          <w:szCs w:val="17"/>
          <w:i w:val="1"/>
          <w:iCs w:val="1"/>
          <w:color w:val="auto"/>
        </w:rPr>
        <w:t>Reporting of Amounts Reclassified out of Accumulated Other Comprehensive Income</w:t>
      </w:r>
      <w:r>
        <w:rPr>
          <w:rFonts w:ascii="Arial" w:cs="Arial" w:eastAsia="Arial" w:hAnsi="Arial"/>
          <w:sz w:val="17"/>
          <w:szCs w:val="17"/>
          <w:color w:val="auto"/>
        </w:rPr>
        <w:t xml:space="preserve"> (ASU No. 2013-02), which seek to improve the reporting of reclassifications out of accumulated other comprehensive income by requiring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The amendments in ASU No. 2013-02 supersede the presentation requirements for reclassifications out of accumulated other comprehensive income in ASU No. 2011-05,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xml:space="preserve">, and ASU No. 2011-12, </w:t>
      </w:r>
      <w:r>
        <w:rPr>
          <w:rFonts w:ascii="Arial" w:cs="Arial" w:eastAsia="Arial" w:hAnsi="Arial"/>
          <w:sz w:val="17"/>
          <w:szCs w:val="17"/>
          <w:i w:val="1"/>
          <w:iCs w:val="1"/>
          <w:color w:val="auto"/>
        </w:rPr>
        <w:t>Deferral of the Effective Date for</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Amendments to the Presentation of Reclassifications of Items Out of Accumulated Other Comprehensive Income in Accounting Standards Update No. 2011-05</w:t>
      </w:r>
      <w:r>
        <w:rPr>
          <w:rFonts w:ascii="Arial" w:cs="Arial" w:eastAsia="Arial" w:hAnsi="Arial"/>
          <w:sz w:val="17"/>
          <w:szCs w:val="17"/>
          <w:color w:val="auto"/>
        </w:rPr>
        <w:t>. The adoption of ASU No. 2013-02 in the first quarter of fiscal 2014 required additional disclosures related to comprehensive income but did not impact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financial condition or results of operations.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Balance Sheet</w:t>
      </w:r>
    </w:p>
    <w:p>
      <w:pPr>
        <w:spacing w:after="0" w:line="90"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 xml:space="preserve">In December 2011, the FASB issued ASU No. 2011-11,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xml:space="preserve"> (ASU No. 2011-11). ASU No. 2011-11 amended ASC 210, </w:t>
      </w:r>
      <w:r>
        <w:rPr>
          <w:rFonts w:ascii="Arial" w:cs="Arial" w:eastAsia="Arial" w:hAnsi="Arial"/>
          <w:sz w:val="16"/>
          <w:szCs w:val="16"/>
          <w:i w:val="1"/>
          <w:iCs w:val="1"/>
          <w:color w:val="auto"/>
        </w:rPr>
        <w:t>Balance Sheet,</w:t>
      </w:r>
      <w:r>
        <w:rPr>
          <w:rFonts w:ascii="Arial" w:cs="Arial" w:eastAsia="Arial" w:hAnsi="Arial"/>
          <w:sz w:val="16"/>
          <w:szCs w:val="16"/>
          <w:color w:val="auto"/>
        </w:rPr>
        <w:t xml:space="preserve"> to converge the presentation of offsetting assets and liabilities between U.S. GAAP and IFRS. ASU No. 2011-11 requires that entities disclose both gross information and net information about both instruments and transactions eligible for offset in the statement of financial position and instruments and transactions subject to an agreement similar to a master netting arrangement. The Company adopted ASU No. 2011-11 in the first quarter of fiscal year 2014. Subsequently, in January 2013, the FASB issued ASU No. 2013-01, </w:t>
      </w:r>
      <w:r>
        <w:rPr>
          <w:rFonts w:ascii="Arial" w:cs="Arial" w:eastAsia="Arial" w:hAnsi="Arial"/>
          <w:sz w:val="16"/>
          <w:szCs w:val="16"/>
          <w:i w:val="1"/>
          <w:iCs w:val="1"/>
          <w:color w:val="auto"/>
        </w:rPr>
        <w:t>Clarifying the Scope of Disclosures about offsetting</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Liabilities</w:t>
      </w:r>
      <w:r>
        <w:rPr>
          <w:rFonts w:ascii="Arial" w:cs="Arial" w:eastAsia="Arial" w:hAnsi="Arial"/>
          <w:sz w:val="16"/>
          <w:szCs w:val="16"/>
          <w:color w:val="auto"/>
        </w:rPr>
        <w:t>, which clarifies that the scope of ASU No. 2011-11 applies to derivatives accounted for in accordance with Topic 815, Derivatives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including 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 The adoption of ASU No. 2011-11 and ASU No. 2013-01 in the first quarter of fiscal 2014 required additional disclosures related to offsetting assets and liabilities but did not impact the Company's financial condition or results of operations.</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Standards to be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Compensation</w:t>
      </w:r>
    </w:p>
    <w:p>
      <w:pPr>
        <w:spacing w:after="0" w:line="88" w:lineRule="exact"/>
        <w:rPr>
          <w:sz w:val="20"/>
          <w:szCs w:val="20"/>
          <w:color w:val="auto"/>
        </w:rPr>
      </w:pPr>
    </w:p>
    <w:p>
      <w:pPr>
        <w:ind w:right="120" w:firstLine="432"/>
        <w:spacing w:after="0" w:line="301" w:lineRule="auto"/>
        <w:rPr>
          <w:sz w:val="20"/>
          <w:szCs w:val="20"/>
          <w:color w:val="auto"/>
        </w:rPr>
      </w:pPr>
      <w:r>
        <w:rPr>
          <w:rFonts w:ascii="Arial" w:cs="Arial" w:eastAsia="Arial" w:hAnsi="Arial"/>
          <w:sz w:val="18"/>
          <w:szCs w:val="18"/>
          <w:color w:val="auto"/>
        </w:rPr>
        <w:t>I</w:t>
      </w:r>
      <w:r>
        <w:rPr>
          <w:rFonts w:ascii="Arial" w:cs="Arial" w:eastAsia="Arial" w:hAnsi="Arial"/>
          <w:sz w:val="16"/>
          <w:szCs w:val="16"/>
          <w:color w:val="auto"/>
        </w:rPr>
        <w:t>n June 2014, the FASB issued ASU No. 2014-12 (ASU 2014-12),</w:t>
      </w:r>
      <w:r>
        <w:rPr>
          <w:rFonts w:ascii="Arial" w:cs="Arial" w:eastAsia="Arial" w:hAnsi="Arial"/>
          <w:sz w:val="18"/>
          <w:szCs w:val="18"/>
          <w:color w:val="auto"/>
        </w:rPr>
        <w:t xml:space="preserve"> </w:t>
      </w:r>
      <w:r>
        <w:rPr>
          <w:rFonts w:ascii="Arial" w:cs="Arial" w:eastAsia="Arial" w:hAnsi="Arial"/>
          <w:sz w:val="16"/>
          <w:szCs w:val="16"/>
          <w:i w:val="1"/>
          <w:iCs w:val="1"/>
          <w:color w:val="auto"/>
        </w:rPr>
        <w:t>Accounting for Share-Based Payments When the Terms of an Award Provide That a</w:t>
      </w:r>
      <w:r>
        <w:rPr>
          <w:rFonts w:ascii="Arial" w:cs="Arial" w:eastAsia="Arial" w:hAnsi="Arial"/>
          <w:sz w:val="18"/>
          <w:szCs w:val="18"/>
          <w:color w:val="auto"/>
        </w:rPr>
        <w:t xml:space="preserve"> </w:t>
      </w:r>
      <w:r>
        <w:rPr>
          <w:rFonts w:ascii="Arial" w:cs="Arial" w:eastAsia="Arial" w:hAnsi="Arial"/>
          <w:sz w:val="16"/>
          <w:szCs w:val="16"/>
          <w:i w:val="1"/>
          <w:iCs w:val="1"/>
          <w:color w:val="auto"/>
        </w:rPr>
        <w:t>Performance Target Could Be Achieved after the Requisite Service Period</w:t>
      </w:r>
      <w:r>
        <w:rPr>
          <w:rFonts w:ascii="Arial" w:cs="Arial" w:eastAsia="Arial" w:hAnsi="Arial"/>
          <w:sz w:val="17"/>
          <w:szCs w:val="17"/>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requires that a performance target that affects vesting and that could be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achieved after the requisite service period be treated as a performance condition. ASU 2014-12 is effective for annual periods and interim periods within those annual periods beginning after December 15, 2015, which is the Company’s first quarter of fiscal year 2017. Early adoption is permitted. The adoption of ASU 2014-12 in the first quarter of fiscal 2017 is not expected to have a material impact on the Company's financial condition or results of operations.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 xml:space="preserve">In May 2014, the FASB issued ASU No. 2014-09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supersedes nearly all existing revenue recognition guidance under U.S. GAAP. The core principle of ASU 2014-09 is that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65" w:right="239" w:bottom="1440" w:gutter="0" w:footer="0" w:header="0"/>
        </w:sectPr>
      </w:pPr>
    </w:p>
    <w:bookmarkStart w:id="30" w:name="page31"/>
    <w:bookmarkEnd w:id="30"/>
    <w:p>
      <w:pPr>
        <w:spacing w:after="0" w:line="272" w:lineRule="auto"/>
        <w:rPr>
          <w:sz w:val="20"/>
          <w:szCs w:val="20"/>
          <w:color w:val="auto"/>
        </w:rPr>
      </w:pPr>
      <w:r>
        <w:rPr>
          <w:rFonts w:ascii="Arial" w:cs="Arial" w:eastAsia="Arial" w:hAnsi="Arial"/>
          <w:sz w:val="17"/>
          <w:szCs w:val="17"/>
          <w:color w:val="auto"/>
        </w:rPr>
        <w:t>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ASU 2014-09 is effective for annual reporting periods beginning after December 15, 2016, including interim periods within that reporting period, which is the Company’s first quarter of fiscal year 2018. Early application is not permitted. The guidance allows for the amendment to be applied either retrospectively to each prior reporting period presented or retrospectively as a cumulative-effect adjustment as of the date of adoption. The Company is in the process of evaluating the impact of adoption on its consolidated financial statements.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 xml:space="preserve">In April 2014, the FASB issued ASU No. 2014-08 (ASU 2014-08), </w:t>
      </w:r>
      <w:r>
        <w:rPr>
          <w:rFonts w:ascii="Arial" w:cs="Arial" w:eastAsia="Arial" w:hAnsi="Arial"/>
          <w:sz w:val="17"/>
          <w:szCs w:val="17"/>
          <w:i w:val="1"/>
          <w:iCs w:val="1"/>
          <w:color w:val="auto"/>
        </w:rPr>
        <w:t>Presentation of Financial Statements (Topic 205) and Property, Plant, and</w:t>
      </w:r>
      <w:r>
        <w:rPr>
          <w:rFonts w:ascii="Arial" w:cs="Arial" w:eastAsia="Arial" w:hAnsi="Arial"/>
          <w:sz w:val="17"/>
          <w:szCs w:val="17"/>
          <w:color w:val="auto"/>
        </w:rPr>
        <w:t xml:space="preserve"> </w:t>
      </w:r>
      <w:r>
        <w:rPr>
          <w:rFonts w:ascii="Arial" w:cs="Arial" w:eastAsia="Arial" w:hAnsi="Arial"/>
          <w:sz w:val="17"/>
          <w:szCs w:val="17"/>
          <w:i w:val="1"/>
          <w:iCs w:val="1"/>
          <w:color w:val="auto"/>
        </w:rPr>
        <w:t>Equipment (Topic 360): Reporting Discontinued Operations and Disclosures of Disposals of Components of an Entity</w:t>
      </w:r>
      <w:r>
        <w:rPr>
          <w:rFonts w:ascii="Arial" w:cs="Arial" w:eastAsia="Arial" w:hAnsi="Arial"/>
          <w:sz w:val="17"/>
          <w:szCs w:val="17"/>
          <w:color w:val="auto"/>
        </w:rPr>
        <w:t>, which raises the threshold for</w:t>
      </w:r>
      <w:r>
        <w:rPr>
          <w:rFonts w:ascii="Arial" w:cs="Arial" w:eastAsia="Arial" w:hAnsi="Arial"/>
          <w:sz w:val="17"/>
          <w:szCs w:val="17"/>
          <w:i w:val="1"/>
          <w:iCs w:val="1"/>
          <w:color w:val="auto"/>
        </w:rPr>
        <w:t xml:space="preserve"> </w:t>
      </w:r>
      <w:r>
        <w:rPr>
          <w:rFonts w:ascii="Arial" w:cs="Arial" w:eastAsia="Arial" w:hAnsi="Arial"/>
          <w:sz w:val="17"/>
          <w:szCs w:val="17"/>
          <w:color w:val="auto"/>
        </w:rPr>
        <w:t>disposals to qualify as discontinued operations. Under the new guidance, a disposal representing a strategic shift that has (or will have) a major effect on an entity’s financial results or a business activity classified as held for sale, should be reported as discontinued operations. ASU 2014-08 also expands the disclosure requirements for discontinued operations and adds new disclosures for individually significant dispositions that do not qualify as discontinued operations. ASU 2014-08 is effective prospectively for fiscal years, and interim reporting periods within those years, beginning after December 15, 2014, which is the Company's first quarter of fiscal year 2016. Early adoption is permitted, but only for disposals (or classifications as held for sale) that have not been reported in the financial statements previously issued or available for issuance. As of August 2, 2014, there have been no disposals or classifications as held for sale that would be subject to ASU 2014-08. As such, the Company will consider the adoption of this standard upon the earlier of a disposal or classification as held for sale.</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 xml:space="preserve">In July 2013, the FASB issued ASU No. 2013-11, </w:t>
      </w:r>
      <w:r>
        <w:rPr>
          <w:rFonts w:ascii="Arial" w:cs="Arial" w:eastAsia="Arial" w:hAnsi="Arial"/>
          <w:sz w:val="16"/>
          <w:szCs w:val="16"/>
          <w:i w:val="1"/>
          <w:iCs w:val="1"/>
          <w:color w:val="auto"/>
        </w:rPr>
        <w:t>Presentation of an Unrecognized Tax Benefit When a Net Operating Loss Carryforward, a Similar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 Loss, or a Tax Credit Carryforward Exists </w:t>
      </w:r>
      <w:r>
        <w:rPr>
          <w:rFonts w:ascii="Arial" w:cs="Arial" w:eastAsia="Arial" w:hAnsi="Arial"/>
          <w:sz w:val="16"/>
          <w:szCs w:val="16"/>
          <w:color w:val="auto"/>
        </w:rPr>
        <w:t>(ASU No. 2013-11). ASU No. 2013-11 requires that an unrecognized tax benefit, or a portion of an</w:t>
      </w:r>
      <w:r>
        <w:rPr>
          <w:rFonts w:ascii="Arial" w:cs="Arial" w:eastAsia="Arial" w:hAnsi="Arial"/>
          <w:sz w:val="16"/>
          <w:szCs w:val="16"/>
          <w:i w:val="1"/>
          <w:iCs w:val="1"/>
          <w:color w:val="auto"/>
        </w:rPr>
        <w:t xml:space="preserve"> </w:t>
      </w:r>
      <w:r>
        <w:rPr>
          <w:rFonts w:ascii="Arial" w:cs="Arial" w:eastAsia="Arial" w:hAnsi="Arial"/>
          <w:sz w:val="16"/>
          <w:szCs w:val="16"/>
          <w:color w:val="auto"/>
        </w:rPr>
        <w:t>unrecognized tax benefit, should be presented as a reduction to a deferred tax asset for a net operating loss carryforward, a similar tax loss or a tax credit carryforward, with certain exceptions. ASU No. 2013-11 is effective for fiscal years, and interim periods within those years, beginning after December 15, 2013, which is the Company's first quarter of fiscal year 2015. Early adoption is permitted. The adoption of ASU No. 2013-11 in the first quarter of fiscal 2015 will affect the presentation of the Company's unrecognized tax benefits but will not impact the Company's financial condition or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On August 25, 2014, the Board of Directors of the Company declared a cash dividend of $0.37 per outstanding share of common stock. The dividend will be paid on September 17, 2014 to all shareholders of record at the close of business on September 5,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692" w:right="259" w:bottom="1440" w:gutter="0" w:footer="0" w:header="0"/>
        </w:sectPr>
      </w:pPr>
    </w:p>
    <w:bookmarkStart w:id="31" w:name="page32"/>
    <w:bookmarkEnd w:id="31"/>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2, 2013.</w:t>
      </w:r>
    </w:p>
    <w:p>
      <w:pPr>
        <w:spacing w:after="0" w:line="11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inherently subject to risks, uncertainties, and assumptions that are difficult to predict, including those identified in Part II, Item 1A. “Risk Factors” and elsewhere herein.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tcBorders>
              <w:bottom w:val="single" w:sz="8" w:color="auto"/>
            </w:tcBorders>
          </w:tcPr>
          <w:p>
            <w:pPr>
              <w:spacing w:after="0"/>
              <w:rPr>
                <w:sz w:val="16"/>
                <w:szCs w:val="16"/>
                <w:color w:val="auto"/>
              </w:rPr>
            </w:pPr>
          </w:p>
        </w:tc>
      </w:tr>
      <w:tr>
        <w:trPr>
          <w:trHeight w:val="264"/>
        </w:trPr>
        <w:tc>
          <w:tcPr>
            <w:tcW w:w="4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 2014</w:t>
            </w:r>
          </w:p>
        </w:tc>
        <w:tc>
          <w:tcPr>
            <w:tcW w:w="22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 2013</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727,752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674,172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180,606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176,239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453"/>
        </w:trPr>
        <w:tc>
          <w:tcPr>
            <w:tcW w:w="4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1560" w:type="dxa"/>
            <w:vAlign w:val="bottom"/>
            <w:tcBorders>
              <w:bottom w:val="single" w:sz="8" w:color="auto"/>
            </w:tcBorders>
          </w:tcPr>
          <w:p>
            <w:pPr>
              <w:spacing w:after="0"/>
              <w:rPr>
                <w:sz w:val="24"/>
                <w:szCs w:val="24"/>
                <w:color w:val="auto"/>
              </w:rPr>
            </w:pPr>
          </w:p>
        </w:tc>
      </w:tr>
      <w:tr>
        <w:trPr>
          <w:trHeight w:val="263"/>
        </w:trPr>
        <w:tc>
          <w:tcPr>
            <w:tcW w:w="4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 2014</w:t>
            </w:r>
          </w:p>
        </w:tc>
        <w:tc>
          <w:tcPr>
            <w:tcW w:w="22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 2013</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2,050,526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rPr>
              <w:t>1,955,556</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94,970</w:t>
            </w:r>
          </w:p>
        </w:tc>
        <w:tc>
          <w:tcPr>
            <w:tcW w:w="100" w:type="dxa"/>
            <w:vAlign w:val="bottom"/>
          </w:tcPr>
          <w:p>
            <w:pPr>
              <w:spacing w:after="0"/>
              <w:rPr>
                <w:sz w:val="21"/>
                <w:szCs w:val="21"/>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520,625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5"/>
              <w:spacing w:after="0"/>
              <w:rPr>
                <w:sz w:val="20"/>
                <w:szCs w:val="20"/>
                <w:color w:val="auto"/>
              </w:rPr>
            </w:pPr>
            <w:r>
              <w:rPr>
                <w:rFonts w:ascii="Arial" w:cs="Arial" w:eastAsia="Arial" w:hAnsi="Arial"/>
                <w:sz w:val="18"/>
                <w:szCs w:val="18"/>
                <w:color w:val="auto"/>
              </w:rPr>
              <w:t>471,933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48,692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as a %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5"/>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94"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 xml:space="preserve">On July 22, 2014, we completed the acquisition of Hittite Microwave Corporation (Hittite), a company that designs and develops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The acquisition of Hittite is referred to as the Acquisition. The Acquisition is expected to expand our technology position in high performance signal processing solutions and drive growth in key markets. The results of operations of Hittite from July 22, 2014 (the Acquisition Date) are included in the condensed consolidated statements of income for the three and nine months ended August 2, 2014. Given the proximity of the Acquisition Date to August 2, 2014, the amount of revenue and earnings attributable to Hittite included in the unaudited condensed consolidated statements of income was immaterial. See Note 16,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of the Notes to 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2"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Condensed Consolidated Financial Statements contained in Item 1 of this Quarterly Report on From 10-Q for further discussion related to the Acquisition.</w:t>
      </w:r>
    </w:p>
    <w:p>
      <w:pPr>
        <w:spacing w:after="0" w:line="24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type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August 2, 2014</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4"/>
                <w:szCs w:val="14"/>
                <w:b w:val="1"/>
                <w:bCs w:val="1"/>
                <w:color w:val="auto"/>
              </w:rPr>
              <w:t>August 3, 2013</w:t>
            </w:r>
          </w:p>
        </w:tc>
        <w:tc>
          <w:tcPr>
            <w:tcW w:w="0" w:type="dxa"/>
            <w:vAlign w:val="bottom"/>
          </w:tcPr>
          <w:p>
            <w:pPr>
              <w:spacing w:after="0"/>
              <w:rPr>
                <w:sz w:val="1"/>
                <w:szCs w:val="1"/>
                <w:color w:val="auto"/>
              </w:rPr>
            </w:pPr>
          </w:p>
        </w:tc>
      </w:tr>
      <w:tr>
        <w:trPr>
          <w:trHeight w:val="152"/>
        </w:trPr>
        <w:tc>
          <w:tcPr>
            <w:tcW w:w="4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350,578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312,970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130,052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120,925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80,870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100,254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166,252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140,023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44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727,752</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8 %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674,172</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August 2, 2014</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4"/>
                <w:szCs w:val="14"/>
                <w:b w:val="1"/>
                <w:bCs w:val="1"/>
                <w:color w:val="auto"/>
              </w:rPr>
              <w:t>August 3, 2013</w:t>
            </w:r>
          </w:p>
        </w:tc>
        <w:tc>
          <w:tcPr>
            <w:tcW w:w="0" w:type="dxa"/>
            <w:vAlign w:val="bottom"/>
          </w:tcPr>
          <w:p>
            <w:pPr>
              <w:spacing w:after="0"/>
              <w:rPr>
                <w:sz w:val="1"/>
                <w:szCs w:val="1"/>
                <w:color w:val="auto"/>
              </w:rPr>
            </w:pPr>
          </w:p>
        </w:tc>
      </w:tr>
      <w:tr>
        <w:trPr>
          <w:trHeight w:val="152"/>
        </w:trPr>
        <w:tc>
          <w:tcPr>
            <w:tcW w:w="4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965,422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904,385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390,485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351,939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233,130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308,762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461,489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390,470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2,050,526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1,955,556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Communications end market revenue increased in the three- and nine-month periods ended August 2, 2014 as compared to the same periods of the prior fiscal year primarily as a result of increased wireless base station deployment activity. Automotive end market revenue increased in both the three- and nine-month periods ended August 2, 2014 as compared to the same periods of the prior fiscal year primarily as a result of increasing electronic content in vehicles and higher demand for new vehicles. Industrial end market revenue increased in the three- and nine-month periods ended August 2, 2014 as compared to the same periods of the prior fiscal year primarily as a result of an increase in demand in this end market, which was most significant for products sold into the automation and instrumentation sectors. The decrease in revenue in the consumer end market in both the three- and nine-month periods ended August 2, 2014 as compared to the same periods of the prior fiscal year was primarily the result of the sale of our microphone product line in the fourth quarter of fiscal 2013.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6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9"/>
              </w:rPr>
              <w:t>August 2, 2014</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August 3, 2013</w:t>
            </w: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00" w:type="dxa"/>
            <w:vAlign w:val="bottom"/>
            <w:gridSpan w:val="2"/>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1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327,538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300,484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Amplifiers / Radio frequency</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194,017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177,451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95,964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92,278</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617,519</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top w:val="single" w:sz="8" w:color="auto"/>
            </w:tcBorders>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570,213</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45,913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45,611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663,432</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91%</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615,824</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64,320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58,348</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727,752</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100%</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674,172</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38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gridSpan w:val="7"/>
          </w:tcPr>
          <w:p>
            <w:pPr>
              <w:spacing w:after="0"/>
              <w:rPr>
                <w:sz w:val="20"/>
                <w:szCs w:val="20"/>
                <w:color w:val="auto"/>
              </w:rPr>
            </w:pPr>
            <w:r>
              <w:rPr>
                <w:rFonts w:ascii="Arial" w:cs="Arial" w:eastAsia="Arial" w:hAnsi="Arial"/>
                <w:sz w:val="18"/>
                <w:szCs w:val="18"/>
                <w:color w:val="auto"/>
                <w:w w:val="88"/>
              </w:rPr>
              <w:t>* The sum of the individual percentages does not equal the total due to rounding.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6"/>
        </w:trPr>
        <w:tc>
          <w:tcPr>
            <w:tcW w:w="43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August 2, 2014</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August 3, 2013</w:t>
            </w: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Revenue</w:t>
            </w:r>
          </w:p>
        </w:tc>
        <w:tc>
          <w:tcPr>
            <w:tcW w:w="100" w:type="dxa"/>
            <w:vAlign w:val="bottom"/>
            <w:gridSpan w:val="2"/>
            <w:vMerge w:val="restart"/>
          </w:tcPr>
          <w:p>
            <w:pPr>
              <w:spacing w:after="0"/>
              <w:rPr>
                <w:sz w:val="13"/>
                <w:szCs w:val="13"/>
                <w:color w:val="auto"/>
              </w:rPr>
            </w:pPr>
          </w:p>
        </w:tc>
        <w:tc>
          <w:tcPr>
            <w:tcW w:w="220" w:type="dxa"/>
            <w:vAlign w:val="bottom"/>
            <w:gridSpan w:val="2"/>
            <w:vMerge w:val="restart"/>
          </w:tcPr>
          <w:p>
            <w:pPr>
              <w:spacing w:after="0"/>
              <w:rPr>
                <w:sz w:val="13"/>
                <w:szCs w:val="13"/>
                <w:color w:val="auto"/>
              </w:rPr>
            </w:pPr>
          </w:p>
        </w:tc>
        <w:tc>
          <w:tcPr>
            <w:tcW w:w="1160" w:type="dxa"/>
            <w:vAlign w:val="bottom"/>
            <w:gridSpan w:val="2"/>
          </w:tcPr>
          <w:p>
            <w:pPr>
              <w:jc w:val="right"/>
              <w:ind w:right="560"/>
              <w:spacing w:after="0" w:line="15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2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Converters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936,004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873,884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Amplifiers / Radio frequency</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545,018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506,222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Other analog</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263,486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279,876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 analog signal processing</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1,744,508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1,659,982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Power management &amp; reference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127,761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128,694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1,872,269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1,788,676</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Digital signal processing</w:t>
            </w: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178,257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166,880</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2,050,526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1,955,556</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increase in total revenue in both the three- and nine-month periods ended August 2, 2014 as compared to the same periods of the prior fiscal year was the result of improving demand across most product type categories, which was partially offset by declines in the other analog product category for the nine months ended August 2, 2014, primarily as a result of the sale of our microphone product line in the fourth quarter of fiscal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Revenue by geographic region, based upon the primary location of our customers’ design activity for our products for the three- and nine-month periods ended August 2, 2014 and August 3, 2013 were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29"/>
        </w:trPr>
        <w:tc>
          <w:tcPr>
            <w:tcW w:w="5240" w:type="dxa"/>
            <w:vAlign w:val="bottom"/>
            <w:gridSpan w:val="3"/>
          </w:tcPr>
          <w:p>
            <w:pPr>
              <w:ind w:left="2400"/>
              <w:spacing w:after="0"/>
              <w:rPr>
                <w:sz w:val="20"/>
                <w:szCs w:val="20"/>
                <w:color w:val="auto"/>
              </w:rPr>
            </w:pPr>
            <w:r>
              <w:rPr>
                <w:rFonts w:ascii="Arial" w:cs="Arial" w:eastAsia="Arial" w:hAnsi="Arial"/>
                <w:sz w:val="14"/>
                <w:szCs w:val="14"/>
                <w:b w:val="1"/>
                <w:bCs w:val="1"/>
                <w:color w:val="auto"/>
              </w:rPr>
              <w:t>Region</w:t>
            </w:r>
          </w:p>
        </w:tc>
        <w:tc>
          <w:tcPr>
            <w:tcW w:w="1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 2014</w:t>
            </w:r>
          </w:p>
        </w:tc>
        <w:tc>
          <w:tcPr>
            <w:tcW w:w="1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3, 2013</w:t>
            </w:r>
          </w:p>
        </w:tc>
        <w:tc>
          <w:tcPr>
            <w:tcW w:w="260" w:type="dxa"/>
            <w:vAlign w:val="bottom"/>
          </w:tcPr>
          <w:p>
            <w:pPr>
              <w:spacing w:after="0"/>
              <w:rPr>
                <w:sz w:val="19"/>
                <w:szCs w:val="19"/>
                <w:color w:val="auto"/>
              </w:rPr>
            </w:pPr>
          </w:p>
        </w:tc>
        <w:tc>
          <w:tcPr>
            <w:tcW w:w="1160" w:type="dxa"/>
            <w:vAlign w:val="bottom"/>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9"/>
                <w:szCs w:val="19"/>
                <w:color w:val="auto"/>
              </w:rPr>
            </w:pPr>
          </w:p>
        </w:tc>
        <w:tc>
          <w:tcPr>
            <w:tcW w:w="1560" w:type="dxa"/>
            <w:vAlign w:val="bottom"/>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1"/>
        </w:trPr>
        <w:tc>
          <w:tcPr>
            <w:tcW w:w="24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200,590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202,687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25,959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25,063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896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2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217,608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26,540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79,063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77,790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1,273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2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93,305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20,628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1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64,059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57,719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6,340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2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727,752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674,172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53,580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r>
      <w:tr>
        <w:trPr>
          <w:trHeight w:val="20"/>
        </w:trPr>
        <w:tc>
          <w:tcPr>
            <w:tcW w:w="2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46"/>
        </w:trPr>
        <w:tc>
          <w:tcPr>
            <w:tcW w:w="2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20" w:type="dxa"/>
            <w:vAlign w:val="bottom"/>
            <w:gridSpan w:val="3"/>
          </w:tcPr>
          <w:p>
            <w:pPr>
              <w:ind w:left="2400"/>
              <w:spacing w:after="0"/>
              <w:rPr>
                <w:sz w:val="20"/>
                <w:szCs w:val="20"/>
                <w:color w:val="auto"/>
              </w:rPr>
            </w:pPr>
            <w:r>
              <w:rPr>
                <w:rFonts w:ascii="Arial" w:cs="Arial" w:eastAsia="Arial" w:hAnsi="Arial"/>
                <w:sz w:val="14"/>
                <w:szCs w:val="14"/>
                <w:b w:val="1"/>
                <w:bCs w:val="1"/>
                <w:color w:val="auto"/>
              </w:rPr>
              <w:t>Region</w:t>
            </w:r>
          </w:p>
        </w:tc>
        <w:tc>
          <w:tcPr>
            <w:tcW w:w="20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 2014</w:t>
            </w:r>
          </w:p>
        </w:tc>
        <w:tc>
          <w:tcPr>
            <w:tcW w:w="20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 2013</w:t>
            </w:r>
          </w:p>
        </w:tc>
        <w:tc>
          <w:tcPr>
            <w:tcW w:w="260" w:type="dxa"/>
            <w:vAlign w:val="bottom"/>
          </w:tcPr>
          <w:p>
            <w:pPr>
              <w:spacing w:after="0"/>
              <w:rPr>
                <w:sz w:val="19"/>
                <w:szCs w:val="19"/>
                <w:color w:val="auto"/>
              </w:rPr>
            </w:pPr>
          </w:p>
        </w:tc>
        <w:tc>
          <w:tcPr>
            <w:tcW w:w="1160" w:type="dxa"/>
            <w:vAlign w:val="bottom"/>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9"/>
                <w:szCs w:val="19"/>
                <w:color w:val="auto"/>
              </w:rPr>
            </w:pPr>
          </w:p>
        </w:tc>
        <w:tc>
          <w:tcPr>
            <w:tcW w:w="1560" w:type="dxa"/>
            <w:vAlign w:val="bottom"/>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United States</w:t>
            </w:r>
          </w:p>
        </w:tc>
        <w:tc>
          <w:tcPr>
            <w:tcW w:w="440" w:type="dxa"/>
            <w:vAlign w:val="bottom"/>
            <w:tcBorders>
              <w:top w:val="single" w:sz="8" w:color="auto"/>
              <w:bottom w:val="single" w:sz="8" w:color="auto"/>
            </w:tcBorders>
            <w:vMerge w:val="restart"/>
          </w:tcPr>
          <w:p>
            <w:pPr>
              <w:spacing w:after="0" w:line="20" w:lineRule="exact"/>
              <w:rPr>
                <w:sz w:val="1"/>
                <w:szCs w:val="1"/>
                <w:color w:val="auto"/>
              </w:rPr>
            </w:pPr>
          </w:p>
        </w:tc>
        <w:tc>
          <w:tcPr>
            <w:tcW w:w="23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576,496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613,139</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(36,643)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 of North and South America</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220" w:type="dxa"/>
            <w:vAlign w:val="bottom"/>
            <w:gridSpan w:val="3"/>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677,134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622,977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54,157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5220" w:type="dxa"/>
            <w:vAlign w:val="bottom"/>
            <w:gridSpan w:val="3"/>
          </w:tcPr>
          <w:p>
            <w:pPr>
              <w:ind w:left="40"/>
              <w:spacing w:after="0"/>
              <w:rPr>
                <w:sz w:val="20"/>
                <w:szCs w:val="20"/>
                <w:color w:val="auto"/>
              </w:rPr>
            </w:pPr>
            <w:r>
              <w:rPr>
                <w:rFonts w:ascii="Arial" w:cs="Arial" w:eastAsia="Arial" w:hAnsi="Arial"/>
                <w:sz w:val="18"/>
                <w:szCs w:val="18"/>
                <w:color w:val="auto"/>
              </w:rPr>
              <w:t>China</w:t>
            </w: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324,000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262,044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61,956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 of Asia</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177,325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166,275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7"/>
        </w:trPr>
        <w:tc>
          <w:tcPr>
            <w:tcW w:w="522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2,050,526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1,955,556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94,970</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the three- and nine-month periods ended August 2, 2014 and August 3, 2013, the predominant country comprising “Rest of North and South America” is Canada; the predominant countries comprising “Europe” are Germany, Sweden, France and the United Kingdom; and the predominant countries comprising “Rest of Asia” are South Korea and Taiwan.</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a regional basis, the sales decline in the three- and nine-month periods ended August 2, 2014 as compared to the same periods of the prior fiscal year in the Americas was primarily the result of the sale of our microphone product line in the fourth quarter of fiscal 2013. The sales increases in the three- and nine-month periods ended August 2, 2014 as compared to the same periods of the prior fiscal year in all other regions were the result of an increase in demand in the automotive, communications, and industrial end markets, partially offset by a lower demand for products used in consumer applications.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16"/>
                <w:szCs w:val="16"/>
                <w:color w:val="auto"/>
              </w:rPr>
            </w:pPr>
          </w:p>
        </w:tc>
      </w:tr>
      <w:tr>
        <w:trPr>
          <w:trHeight w:val="264"/>
        </w:trPr>
        <w:tc>
          <w:tcPr>
            <w:tcW w:w="1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2, 2014</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3, 2013</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2, 2014</w:t>
            </w: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3, 2013</w:t>
            </w:r>
          </w:p>
        </w:tc>
        <w:tc>
          <w:tcPr>
            <w:tcW w:w="18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476,290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435,062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   41,228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8"/>
              </w:rPr>
              <w:t>$   1,344,151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8"/>
              </w:rPr>
              <w:t>$   1,247,541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168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5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Gross margin percentage increased by 90 and 180 basis points in the three and nine months ended August 2, 2014, respectively, as compared to the three and nine months ended August 3, 2013, respectively, primarily as a result of improved utilization levels in our manufacturing facilities and, to a lesser extent, a mix shift in favor of higher margin products being sold.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16"/>
                <w:szCs w:val="16"/>
                <w:color w:val="auto"/>
              </w:rPr>
            </w:pPr>
          </w:p>
        </w:tc>
      </w:tr>
      <w:tr>
        <w:trPr>
          <w:trHeight w:val="264"/>
        </w:trPr>
        <w:tc>
          <w:tcPr>
            <w:tcW w:w="17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3"/>
              </w:rPr>
              <w:t>August 2, 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1"/>
              </w:rPr>
              <w:t>August 3, 2013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3"/>
              </w:rPr>
              <w:t>August 2, 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August 3, 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140,095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128,892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   11,203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  $</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404,889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382,056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22,833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w w:val="92"/>
              </w:rPr>
              <w:t>R&amp;D expenses as a %</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720" w:type="dxa"/>
            <w:vAlign w:val="bottom"/>
          </w:tcPr>
          <w:p>
            <w:pPr>
              <w:ind w:left="40"/>
              <w:spacing w:after="0"/>
              <w:rPr>
                <w:sz w:val="20"/>
                <w:szCs w:val="20"/>
                <w:color w:val="auto"/>
              </w:rPr>
            </w:pPr>
            <w:r>
              <w:rPr>
                <w:rFonts w:ascii="Arial" w:cs="Arial" w:eastAsia="Arial" w:hAnsi="Arial"/>
                <w:sz w:val="18"/>
                <w:szCs w:val="18"/>
                <w:color w:val="auto"/>
              </w:rPr>
              <w:t>of revenue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R&amp;D expenses increased in the three- and nine-month periods ended August 2, 2014, as compared to the same periods of fiscal 2013, primarily as a result of increases in variable compensation expense linked to our overall profitability and revenue growth, increases in operational spending for engineering supplies and wafers and, to a lesser extent, the annual merit increases for R&amp;D employees and related benefit expenses.</w:t>
      </w:r>
    </w:p>
    <w:p>
      <w:pPr>
        <w:spacing w:after="0" w:line="11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we expect to continue to make significant R&amp;D investments in the future.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6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Borders>
              <w:bottom w:val="single" w:sz="8" w:color="auto"/>
            </w:tcBorders>
          </w:tcPr>
          <w:p>
            <w:pPr>
              <w:spacing w:after="0"/>
              <w:rPr>
                <w:sz w:val="16"/>
                <w:szCs w:val="16"/>
                <w:color w:val="auto"/>
              </w:rPr>
            </w:pPr>
          </w:p>
        </w:tc>
      </w:tr>
      <w:tr>
        <w:trPr>
          <w:trHeight w:val="264"/>
        </w:trPr>
        <w:tc>
          <w:tcPr>
            <w:tcW w:w="176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 2014</w:t>
            </w: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August 3, 2013</w:t>
            </w:r>
          </w:p>
        </w:tc>
        <w:tc>
          <w:tcPr>
            <w:tcW w:w="180" w:type="dxa"/>
            <w:vAlign w:val="bottom"/>
          </w:tcPr>
          <w:p>
            <w:pPr>
              <w:spacing w:after="0"/>
              <w:rPr>
                <w:sz w:val="22"/>
                <w:szCs w:val="22"/>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 2014</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 2013</w:t>
            </w:r>
          </w:p>
        </w:tc>
        <w:tc>
          <w:tcPr>
            <w:tcW w:w="18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SMG&amp;A expenses</w:t>
            </w:r>
          </w:p>
        </w:tc>
        <w:tc>
          <w:tcPr>
            <w:tcW w:w="11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   132,989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97,773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   333,252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   298,036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1760" w:type="dxa"/>
            <w:vAlign w:val="bottom"/>
          </w:tcPr>
          <w:p>
            <w:pPr>
              <w:ind w:left="40"/>
              <w:spacing w:after="0"/>
              <w:rPr>
                <w:sz w:val="20"/>
                <w:szCs w:val="20"/>
                <w:color w:val="auto"/>
              </w:rPr>
            </w:pPr>
            <w:r>
              <w:rPr>
                <w:rFonts w:ascii="Arial" w:cs="Arial" w:eastAsia="Arial" w:hAnsi="Arial"/>
                <w:sz w:val="18"/>
                <w:szCs w:val="18"/>
                <w:color w:val="auto"/>
                <w:w w:val="91"/>
              </w:rPr>
              <w:t>SMG&amp;A expenses as 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76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7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SMG&amp;A expenses increased in the three- and nine-month periods ended August 2, 2014, as compared to the same periods of fiscal 2013 primarily due to approximately $27.1 million of Acquisition-related transaction costs and other activity as a result of the Acquisition in the third quarter of fiscal 2014. Of the remaining increase in each of the three- and nine-month periods ended August 2, 2014, nearly half was the result of higher variable compensation expense linked to our overall profitability and revenue growth. The remainder of the increases were primarily a result of higher SMG&amp;A employee and related benefit expenses due to annual merit increases and to a lesser extent increases in operational spending. The increases in SMG&amp;A employee and related benefit expenses in the nine-month period ended August 2, 2014 were more than offset by a lower stock-based compensation expense as the same period of fiscal 2013 included $6.3 million related to the accelerated vesting of restricted stock units following the death of the Company's then-CEO in the second quarter of fiscal 2013.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 – Reduction of Operating Costs</w:t>
      </w:r>
    </w:p>
    <w:p>
      <w:pPr>
        <w:spacing w:after="0" w:line="17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 These reductions relating to ongoing actions are described below.</w:t>
      </w:r>
    </w:p>
    <w:p>
      <w:pPr>
        <w:spacing w:after="0" w:line="127"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During fiscal 2012, we recorded special charges of approximately $8.4 million. These special charges included: $8.0 million for severance and fringe benefit costs in accordance with our ongoing benefit plan or statutory requirements at foreign locations for 95 manufacturing, engineering and SMG&amp;A employees; $0.2 million for lease obligation costs for facilities that we ceased using during the third quarter of fiscal 2012; $0.1 million for contract termination costs; and $0.2 million for the write-off of property, plant and equipment. These actions resulted in annual cost savings of approximately $12.0 million. We have terminated the employment of all employees associated with these actions.</w:t>
      </w:r>
    </w:p>
    <w:p>
      <w:pPr>
        <w:spacing w:after="0" w:line="119"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During fiscal 2013, we recorded special charges of approximately $29.8 million for severance and fringe benefit costs in accordance with our ongoing benefit plan or statutory requirements at foreign locations for 235 engineering and SMG&amp;A employees. As of August 2, 2014, we employed 11 of the 235 employees included in these cost reduction actions. These employees must continue to be employed by us until their employment is involuntarily terminated in order to receive the severance benefit. We estimate these actions will result in annual cost savings of approximately $32.6 million, once fully implemented. We expect that these annual cost savings will be used to make additional investments in products that we expect will drive revenue growth in the future.</w:t>
      </w:r>
    </w:p>
    <w:p>
      <w:pPr>
        <w:spacing w:after="0" w:line="23"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During the first quarter of fiscal 2014, we recorded a special charge of approximately $2.7 million for severance and fringe benefit costs in accordance with our ongoing benefit plan or statutory requirements at foreign locations for 30 engineering and SMG&amp;A employees. We have terminated the employment of all employees associated with this cost-reduction action. We estimate this action will result in annual cost savings of approximately $4.5 million, once fully implemented.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Borders>
              <w:bottom w:val="single" w:sz="8" w:color="auto"/>
            </w:tcBorders>
          </w:tcPr>
          <w:p>
            <w:pPr>
              <w:spacing w:after="0"/>
              <w:rPr>
                <w:sz w:val="16"/>
                <w:szCs w:val="16"/>
                <w:color w:val="auto"/>
              </w:rPr>
            </w:pPr>
          </w:p>
        </w:tc>
      </w:tr>
      <w:tr>
        <w:trPr>
          <w:trHeight w:val="264"/>
        </w:trPr>
        <w:tc>
          <w:tcPr>
            <w:tcW w:w="1760" w:type="dxa"/>
            <w:vAlign w:val="bottom"/>
          </w:tcPr>
          <w:p>
            <w:pPr>
              <w:spacing w:after="0"/>
              <w:rPr>
                <w:sz w:val="22"/>
                <w:szCs w:val="22"/>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 2014</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 2013</w:t>
            </w:r>
          </w:p>
        </w:tc>
        <w:tc>
          <w:tcPr>
            <w:tcW w:w="18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 2014</w:t>
            </w: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 2013</w:t>
            </w:r>
          </w:p>
        </w:tc>
        <w:tc>
          <w:tcPr>
            <w:tcW w:w="18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   202,546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   208,342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   602,555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   553,213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1760" w:type="dxa"/>
            <w:vAlign w:val="bottom"/>
          </w:tcPr>
          <w:p>
            <w:pPr>
              <w:ind w:left="40"/>
              <w:spacing w:after="0"/>
              <w:rPr>
                <w:sz w:val="20"/>
                <w:szCs w:val="20"/>
                <w:color w:val="auto"/>
              </w:rPr>
            </w:pPr>
            <w:r>
              <w:rPr>
                <w:rFonts w:ascii="Arial" w:cs="Arial" w:eastAsia="Arial" w:hAnsi="Arial"/>
                <w:sz w:val="18"/>
                <w:szCs w:val="18"/>
                <w:color w:val="auto"/>
                <w:w w:val="93"/>
              </w:rPr>
              <w:t>Operating income as 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76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1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75"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 xml:space="preserve">The year-over-year decrease in operating income in the three-month period ended August 2, 2014 was primarily the result of an increase in revenue of $53.6 million and a 90 basis point increase in gross margin percentage offset by a $35.2 million increase in SMG&amp;A expenses and $11.2 million increase in R&amp;D expenses as more fully described above under the headings </w:t>
      </w:r>
      <w:r>
        <w:rPr>
          <w:rFonts w:ascii="Arial" w:cs="Arial" w:eastAsia="Arial" w:hAnsi="Arial"/>
          <w:sz w:val="18"/>
          <w:szCs w:val="18"/>
          <w:i w:val="1"/>
          <w:iCs w:val="1"/>
          <w:color w:val="auto"/>
        </w:rPr>
        <w:t>Selling, Marketing, General and Administrative (SMG&amp;A) and Research and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(R&amp;D).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6" w:name="page37"/>
    <w:bookmarkEnd w:id="36"/>
    <w:p>
      <w:pPr>
        <w:ind w:right="220" w:firstLine="432"/>
        <w:spacing w:after="0" w:line="259" w:lineRule="auto"/>
        <w:rPr>
          <w:sz w:val="20"/>
          <w:szCs w:val="20"/>
          <w:color w:val="auto"/>
        </w:rPr>
      </w:pPr>
      <w:r>
        <w:rPr>
          <w:rFonts w:ascii="Arial" w:cs="Arial" w:eastAsia="Arial" w:hAnsi="Arial"/>
          <w:sz w:val="18"/>
          <w:szCs w:val="18"/>
          <w:color w:val="auto"/>
        </w:rPr>
        <w:t xml:space="preserve">The year-over-year increase in operating income in the nine-month period ended August 2, 2014 was primarily the result of an increase in revenue of $95.0 million and a 180 basis point increase in gross margin percentage, partially offset by a $35.2 million increase in SMG&amp;A expenses, $22.8 million increase in R&amp;D expenses and a decrease in special charges of $11.4 million as more fully described above under the headings </w:t>
      </w:r>
      <w:r>
        <w:rPr>
          <w:rFonts w:ascii="Arial" w:cs="Arial" w:eastAsia="Arial" w:hAnsi="Arial"/>
          <w:sz w:val="18"/>
          <w:szCs w:val="18"/>
          <w:i w:val="1"/>
          <w:iCs w:val="1"/>
          <w:color w:val="auto"/>
        </w:rPr>
        <w:t>Selling, Marketing,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and Administrative (SMG&amp;A) and Research and Development (R&amp;D) and Special Charges.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2, 2014</w:t>
            </w:r>
          </w:p>
        </w:tc>
        <w:tc>
          <w:tcPr>
            <w:tcW w:w="16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 2013</w:t>
            </w:r>
          </w:p>
        </w:tc>
        <w:tc>
          <w:tcPr>
            <w:tcW w:w="22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2, 2014</w:t>
            </w: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 2013</w:t>
            </w:r>
          </w:p>
        </w:tc>
        <w:tc>
          <w:tcPr>
            <w:tcW w:w="220" w:type="dxa"/>
            <w:vAlign w:val="bottom"/>
          </w:tcPr>
          <w:p>
            <w:pPr>
              <w:spacing w:after="0"/>
              <w:rPr>
                <w:sz w:val="22"/>
                <w:szCs w:val="22"/>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20,443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1,180</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(3,442)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(10,127)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(9,402)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8,754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9,361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(8,949)</w:t>
            </w:r>
          </w:p>
        </w:tc>
      </w:tr>
      <w:tr>
        <w:trPr>
          <w:trHeight w:val="237"/>
        </w:trPr>
        <w:tc>
          <w:tcPr>
            <w:tcW w:w="316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5,158</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13,301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11,908</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20,402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(8,494)</w:t>
            </w: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Nonoperating income as a % of revenue</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7"/>
        </w:trPr>
        <w:tc>
          <w:tcPr>
            <w:tcW w:w="3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 xml:space="preserve">The year-over year decrease in nonoperating expense in the three and nine months ended August 2, 2014 was primarily the result of recognizing a net loss on the extinguishment of debt in the third quarter of fiscal 2013 of approximately $10.2 million in conjunction with the redemption of our $375.0 Million Aggregate Principal Amount of 5.0% Senior Unsecured Notes as more fully described below under the heading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0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August 2, 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August 3, 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August 2, 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August 3, 2013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16,782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70,022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60,878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9,144</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7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tax rate for all periods presented was below the U.S. federal statutory tax rate of 35%, primarily due to lower statutory tax rates applicable to our operations in the foreign jurisdictions in which we earn income. Income from non-US jurisdictions accounted for approximately 79% of our total revenues for the nine months ended August 2, 2014, resulting in a material portion of our pretax income being earned and taxed outside the U.S., primarily in Bermuda and Ireland, at rates ranging from 0% to 35%. The impact on our provision for income taxes of income earned in foreign jurisdictions being taxed at rates different than the U.S. statutory rate was a benefit of approximately $49.7 million and a foreign effective tax rate of approximately 4.5% in our third quarter of fiscal 2014, compared to a benefit of approximately $41.5 million and a foreign effective tax rate of approximately 4.3% in our third quarter of fiscal 2013. The impact on our provision for income taxes of income earned in foreign jurisdictions being taxed at rates different than the U.S. statutory rate was a benefit of approximately $131.9 million and a foreign effective tax rate of approximately 4.5% in the first nine months of fiscal 2014 compared to a benefit of approximately $111.3 million and a foreign effective tax rate of approximately 6.1% for the first nine months of fiscal 2013. A reduction in the ratio of domestic taxable income to worldwide taxable income effectively lowers the overall tax rate, due to the fact that the tax rates in the majority of foreign jurisdictions where we earn income are significantly lower than the U.S. statutory rate. In addition, our effective income tax rate can be impacted each year by discrete factors or events. Our effective tax rate for the first nine months of fiscal 2014 included a tax benefit of $5.1 million recorded as a result of transaction costs related to the Acquisition. Our effective tax rate for the first nine months of fiscal 2013 included a tax benefit of $6.6 million recorded as a result of the reversal of certain prior period tax liabilities and a tax benefit of $6.3 million from the reinstatement of the U.S. federal research and development tax credit in January 2013 retroactive to January 1, 2012.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Net Income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16"/>
                <w:szCs w:val="16"/>
                <w:color w:val="auto"/>
              </w:rPr>
            </w:pPr>
          </w:p>
        </w:tc>
      </w:tr>
      <w:tr>
        <w:trPr>
          <w:trHeight w:val="264"/>
        </w:trPr>
        <w:tc>
          <w:tcPr>
            <w:tcW w:w="1760" w:type="dxa"/>
            <w:vAlign w:val="bottom"/>
          </w:tcPr>
          <w:p>
            <w:pPr>
              <w:spacing w:after="0"/>
              <w:rPr>
                <w:sz w:val="22"/>
                <w:szCs w:val="22"/>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 2014</w:t>
            </w: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 2013</w:t>
            </w:r>
          </w:p>
        </w:tc>
        <w:tc>
          <w:tcPr>
            <w:tcW w:w="18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2"/>
                <w:szCs w:val="22"/>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August 2, 2014</w:t>
            </w:r>
          </w:p>
        </w:tc>
        <w:tc>
          <w:tcPr>
            <w:tcW w:w="140" w:type="dxa"/>
            <w:vAlign w:val="bottom"/>
          </w:tcPr>
          <w:p>
            <w:pPr>
              <w:spacing w:after="0"/>
              <w:rPr>
                <w:sz w:val="22"/>
                <w:szCs w:val="22"/>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August 3, 2013</w:t>
            </w:r>
          </w:p>
        </w:tc>
        <w:tc>
          <w:tcPr>
            <w:tcW w:w="200" w:type="dxa"/>
            <w:vAlign w:val="bottom"/>
          </w:tcPr>
          <w:p>
            <w:pPr>
              <w:spacing w:after="0"/>
              <w:rPr>
                <w:sz w:val="22"/>
                <w:szCs w:val="22"/>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   180,606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   176,239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520,625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471,933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1760" w:type="dxa"/>
            <w:vAlign w:val="bottom"/>
          </w:tcPr>
          <w:p>
            <w:pPr>
              <w:ind w:left="40"/>
              <w:spacing w:after="0"/>
              <w:rPr>
                <w:sz w:val="20"/>
                <w:szCs w:val="20"/>
                <w:color w:val="auto"/>
              </w:rPr>
            </w:pPr>
            <w:r>
              <w:rPr>
                <w:rFonts w:ascii="Arial" w:cs="Arial" w:eastAsia="Arial" w:hAnsi="Arial"/>
                <w:sz w:val="18"/>
                <w:szCs w:val="18"/>
                <w:color w:val="auto"/>
                <w:w w:val="98"/>
              </w:rPr>
              <w:t>Net Income as a % of</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760" w:type="dxa"/>
            <w:vAlign w:val="bottom"/>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1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11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7"/>
        </w:trPr>
        <w:tc>
          <w:tcPr>
            <w:tcW w:w="17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Net income increased 2% in the three months ended August 2, 2014 as compared to the same period of fiscal 2013 as the $5.8 million decrease in operating income was offset by an $8.1 million decrease in nonoperating expense and a lower provision for income taxes in the third quarter of fiscal 2014.</w:t>
      </w:r>
    </w:p>
    <w:p>
      <w:pPr>
        <w:spacing w:after="0" w:line="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Net income increased 10% in the nine months ended August 2, 2014 as compared to the same period of fiscal 2013 as the $49.3 million increase in operating income and the $8.5 million decrease in nonoperating expense was partially offset by a higher provision for income taxes in the first nine months of fiscal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 July 22, 2014, we completed our acquisition of Hittite (the Acquisition), a company that designs and develops high performance integrated circuits, modules, subsystems and instrumentation for radio frequency, microwave and millimeterwave applications. The total consideration paid to acquire Hittite was approximately $2.4 billion, financed through a combination of existing cash on hand and a 90-day term loan facility of $2.0 billion. We allocated the purchase price to the tangible and intangible assets acquired and liabilities assumed based on their estimated fair values at the date of acquisition, resulting in the recognition of $1.3 billion of goodwill and $669.0 million of intangible assets, including $0.9 million of in-process research and development. We recognized $21.1 million transaction-related costs, including legal, accounting and other related fees that were expensed in the nine-month period ended August 2, 2014. These costs are included in the condensed consolidated statements of income in operating expenses within SMG&amp;A expenses.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unaudited pro forma consolidated financial information combines our unaudited results for the three and nine months ended August 2,</w:t>
      </w:r>
    </w:p>
    <w:p>
      <w:pPr>
        <w:spacing w:after="0" w:line="4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2014 and the unaudited results of Hittite for the three and nine months ended June 30, 2014 and assumes that the Acquisition, which closed on July 22, 2014, was completed on November 4, 2012 (the first day of the Company’s 2013 fiscal year). The pro forma consolidated financial information has been calculated after applying our accounting policies and includes adjustments for amortization expense of acquired intangible assets, transaction-related costs, a step-up in the value of acquired inventory and property, plant and equipment, and interest expense for the debt incurred to fund the Acquisition, together with the consequential tax effects. These pro forma results have been prepared for comparative purposes only and do not purport to be indicative of our operating results that would have been achieved had the Acquisition actually taken place on November 4, 2012.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(thousands, except per share data)</w:t>
            </w:r>
          </w:p>
        </w:tc>
        <w:tc>
          <w:tcPr>
            <w:tcW w:w="30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3820" w:type="dxa"/>
            <w:vAlign w:val="bottom"/>
            <w:tcBorders>
              <w:bottom w:val="single" w:sz="8" w:color="auto"/>
            </w:tcBorders>
            <w:gridSpan w:val="3"/>
            <w:shd w:val="clear" w:color="auto" w:fill="CCEEFF"/>
          </w:tcPr>
          <w:p>
            <w:pPr>
              <w:jc w:val="right"/>
              <w:ind w:right="994"/>
              <w:spacing w:after="0"/>
              <w:rPr>
                <w:sz w:val="20"/>
                <w:szCs w:val="20"/>
                <w:color w:val="auto"/>
              </w:rPr>
            </w:pPr>
            <w:r>
              <w:rPr>
                <w:rFonts w:ascii="Arial" w:cs="Arial" w:eastAsia="Arial" w:hAnsi="Arial"/>
                <w:sz w:val="14"/>
                <w:szCs w:val="14"/>
                <w:b w:val="1"/>
                <w:bCs w:val="1"/>
                <w:color w:val="auto"/>
              </w:rPr>
              <w:t>Pro Forma Three Months Ended</w:t>
            </w:r>
          </w:p>
        </w:tc>
      </w:tr>
      <w:tr>
        <w:trPr>
          <w:trHeight w:val="264"/>
        </w:trPr>
        <w:tc>
          <w:tcPr>
            <w:tcW w:w="4200" w:type="dxa"/>
            <w:vAlign w:val="bottom"/>
            <w:tcBorders>
              <w:bottom w:val="single" w:sz="8" w:color="CCEEFF"/>
            </w:tcBorders>
          </w:tcPr>
          <w:p>
            <w:pPr>
              <w:spacing w:after="0"/>
              <w:rPr>
                <w:sz w:val="22"/>
                <w:szCs w:val="22"/>
                <w:color w:val="auto"/>
              </w:rPr>
            </w:pPr>
          </w:p>
        </w:tc>
        <w:tc>
          <w:tcPr>
            <w:tcW w:w="30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August 2, 2014</w:t>
            </w:r>
          </w:p>
        </w:tc>
        <w:tc>
          <w:tcPr>
            <w:tcW w:w="4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August 3, 2013</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799,064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742,779</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56"/>
              <w:spacing w:after="0"/>
              <w:rPr>
                <w:sz w:val="20"/>
                <w:szCs w:val="20"/>
                <w:color w:val="auto"/>
              </w:rPr>
            </w:pPr>
            <w:r>
              <w:rPr>
                <w:rFonts w:ascii="Arial" w:cs="Arial" w:eastAsia="Arial" w:hAnsi="Arial"/>
                <w:sz w:val="18"/>
                <w:szCs w:val="18"/>
                <w:color w:val="auto"/>
              </w:rPr>
              <w:t>205,992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183,281</w:t>
            </w:r>
          </w:p>
        </w:tc>
      </w:tr>
      <w:tr>
        <w:trPr>
          <w:trHeight w:val="27"/>
        </w:trPr>
        <w:tc>
          <w:tcPr>
            <w:tcW w:w="42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3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0.66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0.59</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3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56"/>
              <w:spacing w:after="0"/>
              <w:rPr>
                <w:sz w:val="20"/>
                <w:szCs w:val="20"/>
                <w:color w:val="auto"/>
              </w:rPr>
            </w:pPr>
            <w:r>
              <w:rPr>
                <w:rFonts w:ascii="Arial" w:cs="Arial" w:eastAsia="Arial" w:hAnsi="Arial"/>
                <w:sz w:val="18"/>
                <w:szCs w:val="18"/>
                <w:color w:val="auto"/>
              </w:rPr>
              <w:t>0.64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0.58</w:t>
            </w:r>
          </w:p>
        </w:tc>
      </w:tr>
      <w:tr>
        <w:trPr>
          <w:trHeight w:val="797"/>
        </w:trPr>
        <w:tc>
          <w:tcPr>
            <w:tcW w:w="4200" w:type="dxa"/>
            <w:vAlign w:val="bottom"/>
          </w:tcPr>
          <w:p>
            <w:pPr>
              <w:spacing w:after="0"/>
              <w:rPr>
                <w:sz w:val="24"/>
                <w:szCs w:val="24"/>
                <w:color w:val="auto"/>
              </w:rPr>
            </w:pPr>
          </w:p>
        </w:tc>
        <w:tc>
          <w:tcPr>
            <w:tcW w:w="3020" w:type="dxa"/>
            <w:vAlign w:val="bottom"/>
          </w:tcPr>
          <w:p>
            <w:pPr>
              <w:jc w:val="right"/>
              <w:ind w:right="133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(thousands, except per share data)</w:t>
            </w:r>
          </w:p>
        </w:tc>
        <w:tc>
          <w:tcPr>
            <w:tcW w:w="380" w:type="dxa"/>
            <w:vAlign w:val="bottom"/>
            <w:tcBorders>
              <w:bottom w:val="single" w:sz="8" w:color="auto"/>
            </w:tcBorders>
            <w:shd w:val="clear" w:color="auto" w:fill="CCEEFF"/>
          </w:tcPr>
          <w:p>
            <w:pPr>
              <w:spacing w:after="0"/>
              <w:rPr>
                <w:sz w:val="22"/>
                <w:szCs w:val="22"/>
                <w:color w:val="auto"/>
              </w:rPr>
            </w:pPr>
          </w:p>
        </w:tc>
        <w:tc>
          <w:tcPr>
            <w:tcW w:w="3820" w:type="dxa"/>
            <w:vAlign w:val="bottom"/>
            <w:tcBorders>
              <w:bottom w:val="single" w:sz="8" w:color="auto"/>
            </w:tcBorders>
            <w:gridSpan w:val="3"/>
            <w:shd w:val="clear" w:color="auto" w:fill="CCEEFF"/>
          </w:tcPr>
          <w:p>
            <w:pPr>
              <w:jc w:val="right"/>
              <w:ind w:right="1034"/>
              <w:spacing w:after="0"/>
              <w:rPr>
                <w:sz w:val="20"/>
                <w:szCs w:val="20"/>
                <w:color w:val="auto"/>
              </w:rPr>
            </w:pPr>
            <w:r>
              <w:rPr>
                <w:rFonts w:ascii="Arial" w:cs="Arial" w:eastAsia="Arial" w:hAnsi="Arial"/>
                <w:sz w:val="14"/>
                <w:szCs w:val="14"/>
                <w:b w:val="1"/>
                <w:bCs w:val="1"/>
                <w:color w:val="auto"/>
              </w:rPr>
              <w:t>Pro Forma Nine Months Ended</w:t>
            </w:r>
          </w:p>
        </w:tc>
      </w:tr>
      <w:tr>
        <w:trPr>
          <w:trHeight w:val="264"/>
        </w:trPr>
        <w:tc>
          <w:tcPr>
            <w:tcW w:w="7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August 2, 2014</w:t>
            </w:r>
          </w:p>
        </w:tc>
        <w:tc>
          <w:tcPr>
            <w:tcW w:w="4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August 3, 2013</w:t>
            </w: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2,261,221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2,160,374</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56"/>
              <w:spacing w:after="0"/>
              <w:rPr>
                <w:sz w:val="20"/>
                <w:szCs w:val="20"/>
                <w:color w:val="auto"/>
              </w:rPr>
            </w:pPr>
            <w:r>
              <w:rPr>
                <w:rFonts w:ascii="Arial" w:cs="Arial" w:eastAsia="Arial" w:hAnsi="Arial"/>
                <w:sz w:val="18"/>
                <w:szCs w:val="18"/>
                <w:color w:val="auto"/>
              </w:rPr>
              <w:t>555,016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448,407</w:t>
            </w:r>
          </w:p>
        </w:tc>
      </w:tr>
      <w:tr>
        <w:trPr>
          <w:trHeight w:val="27"/>
        </w:trPr>
        <w:tc>
          <w:tcPr>
            <w:tcW w:w="7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56"/>
              <w:spacing w:after="0"/>
              <w:rPr>
                <w:sz w:val="20"/>
                <w:szCs w:val="20"/>
                <w:color w:val="auto"/>
              </w:rPr>
            </w:pPr>
            <w:r>
              <w:rPr>
                <w:rFonts w:ascii="Arial" w:cs="Arial" w:eastAsia="Arial" w:hAnsi="Arial"/>
                <w:sz w:val="18"/>
                <w:szCs w:val="18"/>
                <w:color w:val="auto"/>
              </w:rPr>
              <w:t>1.74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1.43</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following statements are based on current expectations and as indicated, are presented on a non-GAAP basis. These statements are forward-looking and our actual results may differ materially as a result of, among other things, the important factors contained in Part II, Item 1A. "Risk Factors" in this Quarterly Report on Form 10-Q.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 and we disclaim any obligation to update these forward-looking statements.</w:t>
      </w:r>
    </w:p>
    <w:p>
      <w:pPr>
        <w:spacing w:after="0" w:line="11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are planning for revenue in the fourth quarter of fiscal 2014 to be in the range of $790 million to $820 million. Our plan is for non-GAAP gross margin for the fourth quarter of fiscal 2014 to be approximately 66.2%, for non-GAAP operating expenses to be between $268 million to $271 million and for non-GAAP interest and other expense to be approximately $6 million. We expect our non-GAAP effective tax rate to be approximately 15.5% to 16%. As a result, we are planning for non-GAAP diluted earnings per share to be in the range of $0.66 to $0.70 in the fourth quarter of fiscal 2014.</w:t>
      </w:r>
    </w:p>
    <w:p>
      <w:pPr>
        <w:spacing w:after="0" w:line="17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With respect to the forward-looking information presented on a non-GAAP basis, the Company is unable to provide a quantitative reconciliation to GAAP because the items that would be included or excluded, other than those described below, are difficult to predict and estimate and are primarily dependent on future events. Known reconciling items are:</w:t>
      </w:r>
    </w:p>
    <w:p>
      <w:pPr>
        <w:spacing w:after="0" w:line="181" w:lineRule="exact"/>
        <w:rPr>
          <w:sz w:val="20"/>
          <w:szCs w:val="20"/>
          <w:color w:val="auto"/>
        </w:rPr>
      </w:pPr>
    </w:p>
    <w:p>
      <w:pPr>
        <w:ind w:left="660" w:right="3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Non-GAAP gross margin excludes $8 million of amortization of intangible assets and $48 million of inventory and fixed asset step-up charges to record Hittite inventory and fixed assets at fair value, as part of the purchase accounting for the Hittite acquisition;</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Non-GAAP operating expenses exclude $5 million of amortization of intangible assets and $15 million of acquisition-related costs, primarily for bank and other advisory fees related to the Hittite acquisition;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Non-GAAP interest and other expense excludes $5 million of debt financing costs; and</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Non-GAAP tax rate excludes $18-$19 million provision for income taxes which represents the tax effects of the reconciling items noted in the three bullets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At August 2, 2014, our principal source of liquidity was $4.9 billion of cash and cash equivalents and short-term investments, of which approximately $1.1 billion was held in the United States. The balance of our cash and cash equivalents and short-term investments was held outside the United States in various foreign subsidiaries. As we intend to reinvest our foreign earnings indefinitely, this cash held outside the United States is not available to meet our cash requirements in the United States, including cash dividends and common stock repurchases. Our cash and cash equivalents consist of highly liquid investments with maturities of three months or less at the time of acquisition and our short-term investments consist primarily of corporate obligations, such as commercial paper and floating rate notes, bonds and bank time deposits. We maintain these balances with high credit quality counterparties, continually monitor the amount of credit exposure to any one issuer and diversify our investments in order to minimize our credit risk.</w:t>
      </w:r>
    </w:p>
    <w:p>
      <w:pPr>
        <w:spacing w:after="0" w:line="113"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 During the fourth quarter of fiscal 2014, we intend to use approximately $2.0 billion of our available cash to repay the remaining outstanding balance on the 90-day term loan facility entered into in connection with the Acquisition, which is due no later than October 20, 2014.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3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 2014</w:t>
            </w:r>
          </w:p>
        </w:tc>
        <w:tc>
          <w:tcPr>
            <w:tcW w:w="180" w:type="dxa"/>
            <w:vAlign w:val="bottom"/>
          </w:tcPr>
          <w:p>
            <w:pPr>
              <w:spacing w:after="0"/>
              <w:rPr>
                <w:sz w:val="22"/>
                <w:szCs w:val="22"/>
                <w:color w:val="auto"/>
              </w:rPr>
            </w:pPr>
          </w:p>
        </w:tc>
        <w:tc>
          <w:tcPr>
            <w:tcW w:w="118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August 3, 2013</w:t>
            </w:r>
          </w:p>
        </w:tc>
      </w:tr>
      <w:tr>
        <w:trPr>
          <w:trHeight w:val="250"/>
        </w:trPr>
        <w:tc>
          <w:tcPr>
            <w:tcW w:w="8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$609,339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$630,180</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Net cash provided by operations as a % of revenue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7"/>
        </w:trPr>
        <w:tc>
          <w:tcPr>
            <w:tcW w:w="8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(699,524)</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1,701,234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(90)</w:t>
            </w:r>
          </w:p>
        </w:tc>
      </w:tr>
    </w:tbl>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At August 2, 2014, cash and cash equivalents totaled $2.6 billion. The following changes contributed to the net increase in cash and cash equivalents of $2.2 billion in the first nine months of fiscal 2014 as compared to the same period in fiscal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During the first nine months of fiscal 2014, we generated cash from operating activities of $609.3 million, a decrease compared to the first nine months of fiscal 2013, primarily as a result of net cash outflows from working capital changes, partially offset by higher net income adjusted for non-cash items.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During the first nine months of fiscal 2014, cash used for investing activities included $1.9 billion of cash payments, net of cash acquired, in connection with the Acquisition, $134.5 million of cash payments for property, plant and equipment additions and $2.0 billion in cash received for the net sales of available-for-sale short term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first nine months of fiscal 2014, cash provided by financing activities included proceeds of $2.0 billion from the 90-day term loan facility entered into to finance the Acquisition and $178.6 million from the exercise of employee stock options. We distributed $337.9 million to our shareholders in dividend payments and repurchased 3.4 million shares of our common stock for $169.0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Arial" w:cs="Arial" w:eastAsia="Arial" w:hAnsi="Arial"/>
                <w:sz w:val="14"/>
                <w:szCs w:val="14"/>
                <w:b w:val="1"/>
                <w:bCs w:val="1"/>
                <w:color w:val="auto"/>
              </w:rPr>
              <w:t>August 2, 2014</w:t>
            </w: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November 2, 2013</w:t>
            </w:r>
          </w:p>
        </w:tc>
        <w:tc>
          <w:tcPr>
            <w:tcW w:w="2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80" w:type="dxa"/>
            <w:vAlign w:val="bottom"/>
          </w:tcPr>
          <w:p>
            <w:pPr>
              <w:jc w:val="right"/>
              <w:ind w:right="2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$415,098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131,761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175"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increase in accounts receivable in dollars and in days was primarily the result of accounts receivable acquired as part of the Acquisition and higher product shipments in the final month of the third quarter of fiscal 2014 as compared to the final month of the fourth quarter of fiscal 2013.</w:t>
      </w:r>
    </w:p>
    <w:p>
      <w:pPr>
        <w:spacing w:after="0" w:line="93" w:lineRule="exact"/>
        <w:rPr>
          <w:sz w:val="20"/>
          <w:szCs w:val="20"/>
          <w:color w:val="auto"/>
        </w:rPr>
      </w:pPr>
    </w:p>
    <w:p>
      <w:pPr>
        <w:jc w:val="both"/>
        <w:ind w:right="60" w:firstLine="432"/>
        <w:spacing w:after="0" w:line="297" w:lineRule="auto"/>
        <w:rPr>
          <w:sz w:val="20"/>
          <w:szCs w:val="20"/>
          <w:color w:val="auto"/>
        </w:rPr>
      </w:pPr>
      <w:r>
        <w:rPr>
          <w:rFonts w:ascii="Arial" w:cs="Arial" w:eastAsia="Arial" w:hAnsi="Arial"/>
          <w:sz w:val="16"/>
          <w:szCs w:val="16"/>
          <w:color w:val="auto"/>
        </w:rPr>
        <w:t>Inventory increased as compared to the end of the fourth quarter of fiscal 2013, primarily as a result of inventory acquired as part of the Acquisition. In addition, inventory increased as a result of increased manufacturing production to support anticipated higher sales demand. Our inventory levels are impacted by our need to support forecasted sales demand and variations between those forecasts and actual demand. Days cost of sales in inventory increased from 111 days at the end of the fourth quarter of fiscal 2013 to 151 days at the end of the third quarter of fiscal 2014, primarily due to the increased inventory levels as a result of the Acquisition without a corresponding increase in cost of sales given the proximity of the Acquisition to the third quarter of fiscal 2014.</w:t>
      </w:r>
    </w:p>
    <w:p>
      <w:pPr>
        <w:spacing w:after="0" w:line="104"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Current liabilities increased to $2.6 billion at August 2, 2014 from $570.5 million at the end of fiscal 2013. This increase was primarily the result of the $2.0 billion 90-day term loan facility entered into to finance the Acquisition.</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of August 2, 2014 and November 2, 2013, we had gross deferred revenue of $356.1 million and $309.2 million, respectively, and gross deferred cost of sales of $70.3 million and $61.8 million, respectively. Deferred income on shipments to distributors increased in the first nine months of fiscal 2014, primarily as a result of an increase in product shipments into the channel during fiscal 2014 in order to support anticipated sales demand and, to a lesser extent, deferred income acquired as part of the Acquisition. Sales to distributors are made under agreements that allow distributors to receive price-adjustment credits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38" w:right="239" w:bottom="1440" w:gutter="0" w:footer="0" w:header="0"/>
        </w:sectPr>
      </w:pPr>
    </w:p>
    <w:bookmarkStart w:id="40" w:name="page41"/>
    <w:bookmarkEnd w:id="40"/>
    <w:p>
      <w:pPr>
        <w:ind w:right="80"/>
        <w:spacing w:after="0" w:line="293" w:lineRule="auto"/>
        <w:rPr>
          <w:sz w:val="20"/>
          <w:szCs w:val="20"/>
          <w:color w:val="auto"/>
        </w:rPr>
      </w:pPr>
      <w:r>
        <w:rPr>
          <w:rFonts w:ascii="Arial" w:cs="Arial" w:eastAsia="Arial" w:hAnsi="Arial"/>
          <w:sz w:val="16"/>
          <w:szCs w:val="16"/>
          <w:color w:val="auto"/>
        </w:rPr>
        <w:t>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August 2, 2014, we had $2.0 billion in current debt outstanding and $872.7 million in long-term debt outstanding. Our debt obligations consist of the following: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 Billion Term Loan Facility</w:t>
      </w:r>
    </w:p>
    <w:p>
      <w:pPr>
        <w:spacing w:after="0" w:line="117"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On July 22, 2014, the Company entered into a 90-day term loan facility in an aggregate principal amount of $2 billion with Credit Suisse AG, as Administrative Agent, and each lender from time to time party thereto (the Term Loan Agreement) to finance the Acquisition. Loans under the Term Loan Agreement bear interest at the Eurodollar Rate (as defined in the Term Loan Agreement) plus 1.00% (1.16% as of August 2, 2014). Payments of the principal amounts of revolving loans under the Term Loan Agreement are due no later than October 20, 2014 and will not require interim amortization. The Company may prepay loans under the Term Loan Agreement in whole or in part at any time, without premium or penalty, subject to reimbursement of certain costs in the case of borrowings that bear interest at the Eurodollar Rate. Expenses incurred related to the debt are being amortized over the 90-day term. The Term Loan Agreement contains customary representations and warranties and affirmative and negative covenants, including, among others, limitations on liens, indebtedness of subsidiaries, mergers and other fundamental changes, sales and other dispositions of property or assets and transactions with affiliates. The Term Loan Agreement contains a consolidated leverage ratio covenant of total consolidated funded debt to consolidated EBITDA (earnings before interest, taxes, depreciation, and amortization) of not greater than 3.0 to 1.0. As of August 2, 2014, the Company was compliant with these covenants.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$375.0 Million Aggregate Principal Amount of 3.0% Senior Unsecured Notes (2016 Notes)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April 4, 2011, we issued $375.0 million aggregate principal amount of 3.0% senior unsecured notes due April 15, 2016 (the 2016 Notes) with semi-annual fixed interest payments due on April 15 and October 15 of each year, commencing October 15, 2011.</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$500.0 Million Aggregate Principal Amount of 2.875% Senior Unsecured Notes (2023 Notes)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June 3, 2013, we issued $500.0 million aggregate principal amount of 2.875% senior unsecured notes due June 1, 2023 (the 2023 Notes) with semi-annual fixed interest payments due on June 1 and December 1 of each year, commencing December 1, 2013.</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The indentures governing the 2016 Notes and the 2023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August 2, 2014, we were compliant with these covenants. See Note 14,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our Condensed Consolidated Financial Statements contained in Item 1 of this Quarterly Report on Form 10-Q for further information on our outstanding debt.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On December 19, 2012, we entered into a five-year, $500.0 million senior unsecured revolving credit facility with certain institutional lenders. In June 2014, the Company amended this credit facility to temporarily increase the amount of allowed subsidiary indebtedness related to the financing of the Acquisition. To date, we have not borrowed under this credit facility but we may borrow in the future and use the proceeds for repayment of existing indebtedness, stock repurchases, acquisitions, capital expenditures, working capital and other lawful corporate purposes. The terms of the facility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August 2, 2014, we were compliant with these covenants.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$375.0 Million Aggregate Principal Amount of 5.0% Senior Unsecured Notes (2014 Notes)</w:t>
      </w:r>
    </w:p>
    <w:p>
      <w:pPr>
        <w:spacing w:after="0" w:line="17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During the third quarter of fiscal 2013, we redeemed our outstanding 2014 Notes which were due on July 1, 2014. The redemption price was 104.744% of the principal amount of the notes. We recognized a net loss on debt extinguishment of approximately $10.2 million recorded in other, net expense within nonoperating (income) expense. The loss was comprised of the make-whole premium of $17.8 million paid to bondholders on the 2014 Notes in accordance with the terms of the notes, the recognition of the remaining $8.6 million of unamortized proceeds received from the termination of the interest rate swap associated with the debt, and the write off of approximately $1.0 million of debt issuance and discount costs that remained to be amortized. The write off of the remaining unamortized portion of debt issuance costs, discount and swap proceeds are reflected in our condensed consolidated statements of cash flows within operating activities, and the make-whole premium is reflected within financing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7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common stock repurchase program has been in place since August 2004. As of August 2, 2014, in the aggregate, our Board of Directors has authorized us to repurchase $5.6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August 2, 2014, we had repurchased a total of approximately 133.2 million shares of our common stock for approximately $4.6 billion under this program. As of August 2, 2014, an additional $934.2 million remains available for repurchase of shares under the current authorized program. The repurchased shares are held as authorized but unissued shares of common stock. We also from time to time repurchase shares in settlement of employee tax withholding obligations due upon the vesting of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Net additions to property, plant and equipment were $134.5 million in the first nine months of fiscal 2014 and were funded with a combination of cash on hand and cash generated from operations. We expect capital expenditures for fiscal 2014 to consist of $124.0 million for ongoing capital spending and approximately $56.0 million for new buildings we are constructing. These capital expenditures will be funded with a combination of cash on hand and cash generated from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7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On August 25, 2014, our Board of Directors declared a cash dividend of $0.37 per outstanding share of common stock. The dividend will be paid on September 17, 2014 to all shareholders of record at the close of business on September 5, 2014 and is expected to total approximately $116.3 million. We currently expect quarterly dividends to continue at $0.37 per share, although they remain subject to determination and declaration by our Board of Directors. The payment of future dividends, if any, will be based on several factors, including our financial performance, outlook and liquidity.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July 22, 2014, the Company entered into a 90-day term loan facility in an aggregate principal amount of $2.0 billion with Credit Suisse AG, as Administrative Agent, and each lender from time to time party thereto (the Term Loan Agreement) to finance the Acquisition. Payments of the principal amounts of revolving loans under the Term Loan Agreement are due no later than October 20, 2014 and will not require interim amortization. Loans under the Term Loan Agreement bear interest at the Eurodollar Rate (as defined in the Term Loan Agreement) plus 1.00% (1.16% as of August 2, 2014). As a result of the Term Loan Agreement, the amounts reflected as “Debt obligations” and "Interest payments associated with long-term debt obligations" in the contractual obligations table contained in the section entitled “Management’s Discussion and Analysis of Financial Condition and Results of Operations” of our Annual Report on Form 10-K for the fiscal year ended November 2, 2013 are higher by $2.0 billion and $5.8 million, respectively.</w:t>
      </w:r>
    </w:p>
    <w:p>
      <w:pPr>
        <w:spacing w:after="0" w:line="169"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There have not been any other material changes during the first nine months of fiscal 2014 to the amounts presented in the table summarizing our contractual obligations included in our Annual Report on Form 10-K for the fiscal year ended November 2, 2013.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 xml:space="preserve">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18,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of the Notes to our Condensed Consolidated Financial Statements contained in Item 1 of this Quarterly Report on Form 10-Q for a description of recently issued and adopted accounting pronouncements, including the dates of adoption and impact on our historical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a result of the Acquisition on July 22, 2014 we have updated our critical accounting policies relating to revenue recognition as provided below.</w:t>
      </w:r>
    </w:p>
    <w:p>
      <w:pPr>
        <w:spacing w:after="0" w:line="102" w:lineRule="exact"/>
        <w:rPr>
          <w:sz w:val="20"/>
          <w:szCs w:val="20"/>
          <w:color w:val="auto"/>
        </w:rPr>
      </w:pPr>
    </w:p>
    <w:p>
      <w:pPr>
        <w:ind w:right="280" w:firstLine="432"/>
        <w:spacing w:after="0" w:line="258"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w:t>
      </w:r>
    </w:p>
    <w:p>
      <w:pPr>
        <w:spacing w:after="0" w:line="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multiple element arrangements, we allocate arrangement consideration among the elements based on the relative fair values of those elements as determined using vendor-specific objective evidence or third-party evidence. We uses our best estimate of selling price to allocate arrangement consideration between the deliverables in cases where neither vendor-specific objective evidence nor third-party evidence is available. A reserve for sales returns and allowances for customers is recorded based on historical experience or specific identification of an event necessitating a reserve.</w:t>
      </w:r>
    </w:p>
    <w:p>
      <w:pPr>
        <w:spacing w:after="0" w:line="96"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Revenue from contracts with the United States Government, government prime contractors and some commercial customers is generally recorded on a percentage of completion basis using either units delivered or costs incurred as the measurement basis for progress toward completion. The output measure is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179"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There were no other material changes in the first nine months of fiscal 2014 to the information provided under the heading “Critical Accounting Policies and Estimates” included in our Annual Report on Form 10-K for the fiscal year ended November 3, 2013.</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22, 2014, the Company entered into a 90-day term loan facility in an aggregate principal amount of $2.0 billion with Credit Suisse AG, as Administrative Agent, and each lender from time to time party thereto (the Term Loan Agreement) to finance the Acquisition. Payments of the principal amounts of revolving loans under the Term Loan Agreement are due no later than October 20, 2014 and will not require interim amortization. Loans under the Term Loan Agreement bear interest at the Eurodollar Rate (as defined in the Term Loan Agreement) plus 1.00% (1.16% as of August 2, 2014). If LIBOR changes by 100 basis points, our annual interest expense would increase by approximately $20 million from the amount set forth in the information provided under Item 7A. “Quantitative and Qualitative Disclosures about Market Risk” set forth in our Annual Report on Form 10-K for the fiscal year ended November 2, 2013.</w:t>
      </w:r>
    </w:p>
    <w:p>
      <w:pPr>
        <w:spacing w:after="0" w:line="18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There were no other material changes in the first nine months of fiscal 2014 to the information provided under Item 7A. “Quantitative and Qualitative Disclosures about Market Risk” set forth in our Annual Report on Form 10-K for the fiscal year ended November 2, 2013.</w:t>
      </w:r>
    </w:p>
    <w:p>
      <w:pPr>
        <w:spacing w:after="0" w:line="30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200" w:firstLine="8"/>
        <w:spacing w:after="0" w:line="297" w:lineRule="auto"/>
        <w:tabs>
          <w:tab w:leader="none" w:pos="24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Our management, with the participation of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effectiveness of our disclosure controls and procedures as of August 2, 2014.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(SEC)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3" w:name="page44"/>
    <w:bookmarkEnd w:id="43"/>
    <w:p>
      <w:pPr>
        <w:ind w:right="120"/>
        <w:spacing w:after="0" w:line="272" w:lineRule="auto"/>
        <w:rPr>
          <w:sz w:val="20"/>
          <w:szCs w:val="20"/>
          <w:color w:val="auto"/>
        </w:rPr>
      </w:pPr>
      <w:r>
        <w:rPr>
          <w:rFonts w:ascii="Arial" w:cs="Arial" w:eastAsia="Arial" w:hAnsi="Arial"/>
          <w:sz w:val="17"/>
          <w:szCs w:val="17"/>
          <w:color w:val="auto"/>
        </w:rPr>
        <w:t>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August 2, 2014, our Chief Executive Officer and Chief Financial Officer concluded that, as of such date, our disclosure controls and procedures were effective at the reasonable assurance level.</w:t>
      </w:r>
    </w:p>
    <w:p>
      <w:pPr>
        <w:spacing w:after="0" w:line="43" w:lineRule="exact"/>
        <w:rPr>
          <w:sz w:val="20"/>
          <w:szCs w:val="20"/>
          <w:color w:val="auto"/>
        </w:rPr>
      </w:pPr>
    </w:p>
    <w:p>
      <w:pPr>
        <w:ind w:right="180" w:firstLine="8"/>
        <w:spacing w:after="0" w:line="279"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On July 22, 2014 we completed the Acquisition. We are in the process of integrating Hittite into</w:t>
      </w:r>
      <w:r>
        <w:rPr>
          <w:rFonts w:ascii="Arial" w:cs="Arial" w:eastAsia="Arial" w:hAnsi="Arial"/>
          <w:sz w:val="17"/>
          <w:szCs w:val="17"/>
          <w:i w:val="1"/>
          <w:iCs w:val="1"/>
          <w:color w:val="auto"/>
        </w:rPr>
        <w:t xml:space="preserve"> </w:t>
      </w:r>
      <w:r>
        <w:rPr>
          <w:rFonts w:ascii="Arial" w:cs="Arial" w:eastAsia="Arial" w:hAnsi="Arial"/>
          <w:sz w:val="17"/>
          <w:szCs w:val="17"/>
          <w:color w:val="auto"/>
        </w:rPr>
        <w:t>our systems and control environment as of August 2, 2014. Subject to the foregoing, there have not been any other changes in our internal control over financial reporting (as defined in Rules 13a-15(f) and 15d-15(f) under the Exchange Act) occurred during the quarter ended August 2, 2014 that has materially affected, or is reasonably likely to materially affect, our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certain risks and uncertainties that could cause our actual results to differ materially from the results contemplated by the forward-looking statements contained in this report. Additional risks and uncertainties not presently known to us or that we presently deem less significant may also adversely affect our business. The description below includes any material changes to and supersedes the description of the risk factors affecting our business previously discussed in "Part I, Item 1A Risk Factors” of our Annual Report on Form 10-K for the fiscal year ended November 2,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There is significant continuing uncertainty regarding the stability of global credit and financial markets. These economic uncertainties may lead consumers and businesses to postpone spending, which may cause our customers to cancel, decrease or delay their existing and future orders for our products and make it difficult for us to accurately forecast and plan our future business activities. Significant disruption to global credit and financial markets may also adversely affect our ability to access external financing sources on acceptable terms. Financial difficulties experienced by our customers could result in nonpayment or payment delays for previously purchased products, thereby increasing our credit risk exposure. Uncertainty regarding the future stability of the global credit and financial markets could cause the value of the currency in the affected markets to deteriorate, thus reducing the purchasing power of those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but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Our future revenue, gross margins, operating results and net income are difficult to predict and may be materially affected by a number of factors, including:</w:t>
      </w:r>
    </w:p>
    <w:p>
      <w:pPr>
        <w:spacing w:after="0" w:line="8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 demand for our products and for end products that incorporate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new product announcements or introductions by us, our customers or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15" w:lineRule="exact"/>
        <w:rPr>
          <w:rFonts w:ascii="Arial" w:cs="Arial" w:eastAsia="Arial" w:hAnsi="Arial"/>
          <w:sz w:val="17"/>
          <w:szCs w:val="17"/>
          <w:color w:val="auto"/>
        </w:rPr>
      </w:pPr>
    </w:p>
    <w:p>
      <w:pPr>
        <w:ind w:left="660" w:right="300" w:hanging="328"/>
        <w:spacing w:after="0" w:line="38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665" w:right="299" w:bottom="1440" w:gutter="0" w:footer="0" w:header="0"/>
        </w:sectPr>
      </w:pPr>
    </w:p>
    <w:bookmarkStart w:id="44" w:name="page45"/>
    <w:bookmarkEnd w:id="44"/>
    <w:p>
      <w:pPr>
        <w:ind w:left="660" w:right="120" w:hanging="328"/>
        <w:spacing w:after="0" w:line="3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recruit, hire, retain and motivate adequate numbers of engineers and other qualified employees to meet the demands of our customers;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including health insurance, pension plan contributions and retirement benefits;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potential significant litigation-related costs or product warranty and/or indemnity claims, including those not covered by our suppliers or insurers;</w:t>
      </w:r>
    </w:p>
    <w:p>
      <w:pPr>
        <w:spacing w:after="0" w:line="126" w:lineRule="exact"/>
        <w:rPr>
          <w:rFonts w:ascii="Arial" w:cs="Arial" w:eastAsia="Arial" w:hAnsi="Arial"/>
          <w:sz w:val="16"/>
          <w:szCs w:val="16"/>
          <w:color w:val="auto"/>
        </w:rPr>
      </w:pPr>
    </w:p>
    <w:p>
      <w:pPr>
        <w:ind w:left="660" w:right="200" w:hanging="328"/>
        <w:spacing w:after="0" w:line="3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effective tax rates in the United States, Ireland or worldwide; and</w:t>
      </w:r>
    </w:p>
    <w:p>
      <w:pPr>
        <w:spacing w:after="0" w:line="103" w:lineRule="exact"/>
        <w:rPr>
          <w:rFonts w:ascii="Arial" w:cs="Arial" w:eastAsia="Arial" w:hAnsi="Arial"/>
          <w:sz w:val="18"/>
          <w:szCs w:val="18"/>
          <w:color w:val="auto"/>
        </w:rPr>
      </w:pPr>
    </w:p>
    <w:p>
      <w:pPr>
        <w:ind w:left="660" w:right="60" w:hanging="328"/>
        <w:spacing w:after="0" w:line="38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1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addition, the semiconductor market has historically been cyclical and subject to significant economic upturns and downturns. Our business is also subject to rapid technological changes and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there can be no assurance that we will not experience material fluctuations in future revenue, gross margins, operating results and net income on a quarterly or annual basis. Our historical financial performance and results of operations should not be relied upon as indicators of future performance or results. In addition, if our revenue, gross margins, operating results and net income do not meet the expectations of securities analysts or investors, the market price of our common stock may decline.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 number of factors may increase our future effective tax rate, including: changes in applicable tax laws or the interpretation of such tax laws; increases in tax rates in various jurisdictions; variation in the jurisdictions in which profits are earned and taxed; repatriation of non-U.S. earnings;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Any significant increase in our future effective tax rates could adversely impact our net income during future periods.</w:t>
      </w:r>
    </w:p>
    <w:p>
      <w:pPr>
        <w:spacing w:after="0" w:line="2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Long-term contracts are not typical for us, some contracts may be terminated for convenience of the customer, and incorrect forecasts or reductions, cancellations or delays in orders for our products could adversely affect our operating results.</w:t>
      </w:r>
    </w:p>
    <w:p>
      <w:pPr>
        <w:spacing w:after="0" w:line="3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Our U.S. Government contracts and subcontracts may be funded in increments over a number of government budget periods and typically can be terminated by the government for its convenience. As a result, we may incur inventory and manufacturing costs in advance 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38" w:right="259" w:bottom="1440" w:gutter="0" w:footer="0" w:header="0"/>
        </w:sectPr>
      </w:pPr>
    </w:p>
    <w:bookmarkStart w:id="45" w:name="page46"/>
    <w:bookmarkEnd w:id="45"/>
    <w:p>
      <w:pPr>
        <w:ind w:right="20"/>
        <w:spacing w:after="0" w:line="297" w:lineRule="auto"/>
        <w:rPr>
          <w:sz w:val="20"/>
          <w:szCs w:val="20"/>
          <w:color w:val="auto"/>
        </w:rPr>
      </w:pPr>
      <w:r>
        <w:rPr>
          <w:rFonts w:ascii="Arial" w:cs="Arial" w:eastAsia="Arial" w:hAnsi="Arial"/>
          <w:sz w:val="16"/>
          <w:szCs w:val="16"/>
          <w:color w:val="auto"/>
        </w:rPr>
        <w:t>anticipated sales, and we are subject to the risk of lower than expected orders or cancellations of orders, leading to a sharp reduction of sales and backlog. Further, orders or forecasts for products that meet the customer’s unique requirements and that are canceled or unrealized orders would, in addition, result in an inventory of unsaleable products, causing potential inventory write-offs, and we may be unable to recover all of our costs incurred or committed.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existing products, design, develop, produce and market new products, and identify and enter new markets.</w:t>
      </w:r>
    </w:p>
    <w:p>
      <w:pPr>
        <w:spacing w:after="0" w:line="3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future success significantly depends on our continued ability to improve our existing products and design, develop, produce and market innovative new products.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including from companies located outside the United States.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assembly and test services, and transportation, and we generally cannot control their availability or conditions of supply.</w:t>
      </w:r>
    </w:p>
    <w:p>
      <w:pPr>
        <w:spacing w:after="0" w:line="3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rely, and plan to continue to rely, on suppliers, assembly and test subcontractors, freight carriers,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We currently source approximately 50% of our wafer requirements annually from third-party wafer fabrication foundries, primarily Taiwan Semiconductor Manufacturing Company, or TSMC</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Additionally, our recently acquired Hittite business utilizes foundries that can provide the advanced gallium arsenide, or GaAs, processes that currently account for most of its wafer purchases. The number of foundries that can provide the GaAs process is limited, and Hittite is currently in the process of transitioning away from one of its principal GaAs foundries.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65" w:right="239" w:bottom="1440" w:gutter="0" w:footer="0" w:header="0"/>
        </w:sectPr>
      </w:pPr>
    </w:p>
    <w:bookmarkStart w:id="46" w:name="page47"/>
    <w:bookmarkEnd w:id="46"/>
    <w:p>
      <w:pPr>
        <w:ind w:right="340"/>
        <w:spacing w:after="0" w:line="277" w:lineRule="auto"/>
        <w:rPr>
          <w:sz w:val="20"/>
          <w:szCs w:val="20"/>
          <w:color w:val="auto"/>
        </w:rPr>
      </w:pPr>
      <w:r>
        <w:rPr>
          <w:rFonts w:ascii="Arial" w:cs="Arial" w:eastAsia="Arial" w:hAnsi="Arial"/>
          <w:sz w:val="18"/>
          <w:szCs w:val="18"/>
          <w:color w:val="auto"/>
        </w:rPr>
        <w:t>customers. If additional or replacement suppliers or manufacturing processes are not available, we may also experience delays in product development or shipment which could, in turn, result in the temporary or permanent loss of customers.</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35"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1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35"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also adversely affect our operating results.</w:t>
      </w:r>
    </w:p>
    <w:p>
      <w:pPr>
        <w:spacing w:after="0" w:line="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are involved in frequent litigation, including claims regarding intellectual property rights, which could be costly to bring or defend and could require us to redesign products or pay significant royalties.</w:t>
      </w:r>
    </w:p>
    <w:p>
      <w:pPr>
        <w:spacing w:after="0" w:line="35"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indemnity,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665" w:right="259" w:bottom="1440" w:gutter="0" w:footer="0" w:header="0"/>
        </w:sectPr>
      </w:pPr>
    </w:p>
    <w:bookmarkStart w:id="47" w:name="page48"/>
    <w:bookmarkEnd w:id="47"/>
    <w:p>
      <w:pPr>
        <w:ind w:right="280"/>
        <w:spacing w:after="0" w:line="277" w:lineRule="auto"/>
        <w:rPr>
          <w:sz w:val="20"/>
          <w:szCs w:val="20"/>
          <w:color w:val="auto"/>
        </w:rPr>
      </w:pPr>
      <w:r>
        <w:rPr>
          <w:rFonts w:ascii="Arial" w:cs="Arial" w:eastAsia="Arial" w:hAnsi="Arial"/>
          <w:sz w:val="18"/>
          <w:szCs w:val="18"/>
          <w:color w:val="auto"/>
        </w:rPr>
        <w:t>in litigation or arbitration could have a material adverse effect on our financial position or on our operating results or cash flows in the period in which the dispute is resolved.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1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139"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significant disruption in, or breach in security of, our information technology systems could materially and adversely affect our business or reputation.</w:t>
      </w:r>
    </w:p>
    <w:p>
      <w:pPr>
        <w:spacing w:after="0" w:line="129" w:lineRule="exact"/>
        <w:rPr>
          <w:sz w:val="20"/>
          <w:szCs w:val="20"/>
          <w:color w:val="auto"/>
        </w:rPr>
      </w:pPr>
    </w:p>
    <w:p>
      <w:pPr>
        <w:ind w:right="60" w:firstLine="297"/>
        <w:spacing w:after="0" w:line="320" w:lineRule="auto"/>
        <w:rPr>
          <w:sz w:val="20"/>
          <w:szCs w:val="20"/>
          <w:color w:val="auto"/>
        </w:rPr>
      </w:pPr>
      <w:r>
        <w:rPr>
          <w:rFonts w:ascii="Arial" w:cs="Arial" w:eastAsia="Arial" w:hAnsi="Arial"/>
          <w:sz w:val="17"/>
          <w:szCs w:val="17"/>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user errors, catastrophes or other unforeseen events.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caused by computer viruses, illegal break-ins or hacking, sabotage, or acts of vandalism by third parties. Our security measures or those of our third party service providers may not detect or prevent security breaches. In addition, we provide our confidential and proprietary information to our third-party business partners in certain cases where doing so is necessary to conduct our business. While we employ confidentiality agreements to protect such information, nonetheless those third parties may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or suppliers, which could result in our suffering significant financial or reputational damage.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9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and retain qualified personnel. We do not maintain any key person life insurance policy on any of our officers or employees.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65" w:right="259" w:bottom="1440" w:gutter="0" w:footer="0" w:header="0"/>
        </w:sectPr>
      </w:pPr>
    </w:p>
    <w:bookmarkStart w:id="48" w:name="page49"/>
    <w:bookmarkEnd w:id="48"/>
    <w:p>
      <w:pPr>
        <w:ind w:firstLine="432"/>
        <w:spacing w:after="0" w:line="289" w:lineRule="auto"/>
        <w:rPr>
          <w:sz w:val="20"/>
          <w:szCs w:val="20"/>
          <w:color w:val="auto"/>
        </w:rPr>
      </w:pPr>
      <w:r>
        <w:rPr>
          <w:rFonts w:ascii="Arial" w:cs="Arial" w:eastAsia="Arial" w:hAnsi="Arial"/>
          <w:sz w:val="16"/>
          <w:szCs w:val="16"/>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also involve a number of risks, including:</w:t>
      </w:r>
    </w:p>
    <w:p>
      <w:pPr>
        <w:spacing w:after="0" w:line="6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or delay integrating acquired technologies, operations and personnel with our existing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transaction and integrating the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realizing synergies and growth prospects of an acquisition in a timely manner or at all;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risk of costly and time-consuming litigation.</w:t>
      </w:r>
    </w:p>
    <w:p>
      <w:pPr>
        <w:spacing w:after="0" w:line="21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02" w:lineRule="exact"/>
        <w:rPr>
          <w:sz w:val="20"/>
          <w:szCs w:val="20"/>
          <w:color w:val="auto"/>
        </w:rPr>
      </w:pPr>
    </w:p>
    <w:p>
      <w:pPr>
        <w:ind w:right="320" w:firstLine="432"/>
        <w:spacing w:after="0" w:line="291" w:lineRule="auto"/>
        <w:rPr>
          <w:sz w:val="20"/>
          <w:szCs w:val="20"/>
          <w:color w:val="auto"/>
        </w:rPr>
      </w:pPr>
      <w:r>
        <w:rPr>
          <w:rFonts w:ascii="Arial" w:cs="Arial" w:eastAsia="Arial" w:hAnsi="Arial"/>
          <w:sz w:val="16"/>
          <w:szCs w:val="16"/>
          <w:color w:val="auto"/>
        </w:rPr>
        <w:t>We, like many companies in the semiconductor industry, rely on supplies, services, internal manufacturing capacity, wafer fabrication foundries and other subcontractors in geologically unstable locations around the world. The impact of earthquakes, tsunamis, flooding or other natural disasters would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and the Philippines. The majority of our revenue is derived from customers in international markets, and we expect that international sales will continue to account for a significant portion of our revenue in the future.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August 2, 2014, our principal source of liquidity was $4.9 billion of cash and cash equivalents and short-term investments, of which approximately $1.1 billion was held in the United States and the remaining balance was held outside the United States in various foreign subsidiaries. As we intend to reinvest our foreign earnings indefinitely, this cash held outside the United States is not readily available to meet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through future debt or equity offerings or from other sources of cash obtained at an acceptable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65" w:right="239" w:bottom="1440" w:gutter="0" w:footer="0" w:header="0"/>
        </w:sectPr>
      </w:pPr>
    </w:p>
    <w:bookmarkStart w:id="49" w:name="page50"/>
    <w:bookmarkEnd w:id="49"/>
    <w:p>
      <w:pPr>
        <w:ind w:right="340"/>
        <w:spacing w:after="0" w:line="277" w:lineRule="auto"/>
        <w:rPr>
          <w:sz w:val="20"/>
          <w:szCs w:val="20"/>
          <w:color w:val="auto"/>
        </w:rPr>
      </w:pPr>
      <w:r>
        <w:rPr>
          <w:rFonts w:ascii="Arial" w:cs="Arial" w:eastAsia="Arial" w:hAnsi="Arial"/>
          <w:sz w:val="18"/>
          <w:szCs w:val="18"/>
          <w:color w:val="auto"/>
        </w:rPr>
        <w:t>cost, it may be necessary for us to consider repatriation of earnings that are permanently reinvested, and we may be required to pay additional taxes under current tax laws, which could have a material effect on our results of operations and financial condition.</w:t>
      </w:r>
    </w:p>
    <w:p>
      <w:pPr>
        <w:spacing w:after="0" w:line="116"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Furthermore, in addition to being exposed to the ongoing economic cycles in the semiconductor industry, we are also subject to different business, economic and political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and tariffs, increases in labor and transportation costs, trade and travel restrictions, pandemics, import and export license requirements and customs restrictions, and accounts receivable collections.</w:t>
      </w:r>
    </w:p>
    <w:p>
      <w:pPr>
        <w:spacing w:after="0" w:line="135"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Additionally, as an international company, we are exposed to complex and varying government regulations and legal standards, particularly with respect to price protection, competition practices, export control regulations, customs and tax requirements, anti-boycott regulations, data privacy, intellectual property, anti-corruption and environmental compliance. Among other laws and regulations, we are subject to U.S. Customs and Export Regulations, including U.S. International Traffic and Arms Regulations and similar laws, which collectively control import, export and sale of products and technologies, and the Foreign Corrupt Practices Act and similar anti-bribery laws, which prohibit companies from making improper payments to government officials for the purposes of obtaining or retaining business. Compliance with these laws and regulations imposes costs on us that can reduce our profitability, and any failure to successfully comply could subject us to monetary liabilities and other sanctions that could further harm our business and financial condition.</w:t>
      </w:r>
    </w:p>
    <w:p>
      <w:pPr>
        <w:spacing w:after="0" w:line="11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also incur significant costs associated with our foreign defined benefit pension plans. There can be no assurance that the value of the plan assets will be sufficient in the future and it is possible that we may be required to make higher cash contributions to the plans in future years, which would reduce the cash available for other business purposes.</w:t>
      </w:r>
    </w:p>
    <w:p>
      <w:pPr>
        <w:spacing w:after="0" w:line="127"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indigenous innovation,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whether at our initiative or the distributor’s initiative or through consolidation in the distribution industry, could disrupt our current business, and if we are unable to find suitable replacements, our operating results could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increasingly strict environmental, health and safety (EHS) regulations, which could increase our expenses and affect our operating results.</w:t>
      </w:r>
    </w:p>
    <w:p>
      <w:pPr>
        <w:spacing w:after="0" w:line="11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industry is subject to increasingly strict EHS requirements, particularly those environmental requirements that control and restrict the sourcing, use, transportation, emission, discharge, storage and disposal of certain chemicals, minerals, elements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65" w:right="239" w:bottom="1440" w:gutter="0" w:footer="0" w:header="0"/>
        </w:sectPr>
      </w:pPr>
    </w:p>
    <w:bookmarkStart w:id="50" w:name="page51"/>
    <w:bookmarkEnd w:id="50"/>
    <w:p>
      <w:pPr>
        <w:ind w:firstLine="432"/>
        <w:spacing w:after="0" w:line="287" w:lineRule="auto"/>
        <w:rPr>
          <w:sz w:val="20"/>
          <w:szCs w:val="20"/>
          <w:color w:val="auto"/>
        </w:rPr>
      </w:pPr>
      <w:r>
        <w:rPr>
          <w:rFonts w:ascii="Arial" w:cs="Arial" w:eastAsia="Arial" w:hAnsi="Arial"/>
          <w:sz w:val="16"/>
          <w:szCs w:val="16"/>
          <w:color w:val="auto"/>
        </w:rPr>
        <w:t>The new “conflict minerals” rules recently promulgated by the Securities and Exchange Commission could adversely affect the sourcing, supply and pricing of materials used in our products. 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 U.S. Environmental Protection Agency (EPA) has issued greenhouse gas reporting regulations that may apply to certain of our operations. The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However,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90"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178" w:lineRule="exact"/>
        <w:rPr>
          <w:sz w:val="20"/>
          <w:szCs w:val="20"/>
          <w:color w:val="auto"/>
        </w:rPr>
      </w:pPr>
    </w:p>
    <w:p>
      <w:pPr>
        <w:ind w:right="220" w:firstLine="446"/>
        <w:spacing w:after="0" w:line="276" w:lineRule="auto"/>
        <w:rPr>
          <w:sz w:val="20"/>
          <w:szCs w:val="20"/>
          <w:color w:val="auto"/>
        </w:rPr>
      </w:pPr>
      <w:r>
        <w:rPr>
          <w:rFonts w:ascii="Arial" w:cs="Arial" w:eastAsia="Arial" w:hAnsi="Arial"/>
          <w:sz w:val="17"/>
          <w:szCs w:val="17"/>
          <w:color w:val="auto"/>
        </w:rPr>
        <w:t>In connection with our United States government business, we are also subject to government audits and to review and approval of our policies, procedures, and internal controls for compliance with procurement regulations and applicable laws. In 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173"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to lose their security clearances, we might be unable to perform these contracts or compete for other projects of this nature, which could adversely affect our revenue.</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senior unsecured notes.</w:t>
      </w:r>
    </w:p>
    <w:p>
      <w:pPr>
        <w:spacing w:after="0" w:line="3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April 2011, we issued in a public offering $375.0 million aggregate principal amount of 3.0% senior unsecured notes due April 15, 2016 (the 2016 Notes). In June 2013, we issued in a public offering $500.0 million aggregate principal amount of 2.875% senior unsecured notes due June 1, 2023 (the 2023 Notes and together with the 2016 Notes, the Notes).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31"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 including the Notes;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 under our existing revolving credit facility;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746" w:right="259" w:bottom="1440" w:gutter="0" w:footer="0" w:header="0"/>
        </w:sectPr>
      </w:pPr>
    </w:p>
    <w:bookmarkStart w:id="51" w:name="page52"/>
    <w:bookmarkEnd w:id="51"/>
    <w:p>
      <w:pPr>
        <w:ind w:right="400" w:firstLine="432"/>
        <w:spacing w:after="0" w:line="277" w:lineRule="auto"/>
        <w:rPr>
          <w:sz w:val="20"/>
          <w:szCs w:val="20"/>
          <w:color w:val="auto"/>
        </w:rPr>
      </w:pPr>
      <w:r>
        <w:rPr>
          <w:rFonts w:ascii="Arial" w:cs="Arial" w:eastAsia="Arial" w:hAnsi="Arial"/>
          <w:sz w:val="18"/>
          <w:szCs w:val="18"/>
          <w:color w:val="auto"/>
        </w:rPr>
        <w:t>Such measures might not be sufficient to enable us to service our debt, including the Notes, which could negatively impact our financial results. In addition, any such financing, refinancing or sale of assets might not be possible on economically favorable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our outstanding $2 billion term loan and outstanding debt instruments may limit our activities.</w:t>
      </w:r>
    </w:p>
    <w:p>
      <w:pPr>
        <w:spacing w:after="0" w:line="9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current revolving credit facility, outstanding $2 billion term loan and our outstanding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revolving credit facility and our $2 billion term loan require us to maintain compliance with specified financial ratios. If we breach any of the covenants under these facilities or the indenture governing our outstanding notes and do not obtain appropriate waivers, then, subject to applicable cure periods, our outstanding indebtedness thereunder could be declared immediately due and payable or we may be restricted from further borrowing under our revolving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8"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right="500" w:hanging="247"/>
        <w:spacing w:after="0" w:line="3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products, technical innovations, material transactions, acquisitions or dispositions, litigation or capital commitments;</w:t>
      </w: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46" w:right="2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4680" w:type="dxa"/>
            <w:vAlign w:val="bottom"/>
            <w:gridSpan w:val="3"/>
          </w:tcPr>
          <w:p>
            <w:pPr>
              <w:ind w:left="80"/>
              <w:spacing w:after="0"/>
              <w:rPr>
                <w:sz w:val="20"/>
                <w:szCs w:val="20"/>
                <w:color w:val="auto"/>
              </w:rPr>
            </w:pPr>
            <w:r>
              <w:rPr>
                <w:rFonts w:ascii="Arial" w:cs="Arial" w:eastAsia="Arial" w:hAnsi="Arial"/>
                <w:sz w:val="18"/>
                <w:szCs w:val="18"/>
                <w:b w:val="1"/>
                <w:bCs w:val="1"/>
                <w:color w:val="auto"/>
                <w:w w:val="88"/>
              </w:rPr>
              <w:t>Unregistered Sales of Equity Securities and Use of Proceeds</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8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Period</w:t>
            </w: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Paid Per Share (b)</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15"/>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4, 2014 through</w:t>
            </w:r>
          </w:p>
        </w:tc>
        <w:tc>
          <w:tcPr>
            <w:tcW w:w="176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549,022</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51.35</w:t>
            </w:r>
          </w:p>
        </w:tc>
        <w:tc>
          <w:tcPr>
            <w:tcW w:w="100" w:type="dxa"/>
            <w:vAlign w:val="bottom"/>
            <w:shd w:val="clear" w:color="auto" w:fill="CCEEFF"/>
          </w:tcPr>
          <w:p>
            <w:pPr>
              <w:spacing w:after="0"/>
              <w:rPr>
                <w:sz w:val="18"/>
                <w:szCs w:val="18"/>
                <w:color w:val="auto"/>
              </w:rPr>
            </w:pPr>
          </w:p>
        </w:tc>
        <w:tc>
          <w:tcPr>
            <w:tcW w:w="176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544,800</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963,063,909</w:t>
            </w:r>
          </w:p>
        </w:tc>
        <w:tc>
          <w:tcPr>
            <w:tcW w:w="0" w:type="dxa"/>
            <w:vAlign w:val="bottom"/>
          </w:tcPr>
          <w:p>
            <w:pPr>
              <w:spacing w:after="0"/>
              <w:rPr>
                <w:sz w:val="1"/>
                <w:szCs w:val="1"/>
                <w:color w:val="auto"/>
              </w:rPr>
            </w:pPr>
          </w:p>
        </w:tc>
      </w:tr>
      <w:tr>
        <w:trPr>
          <w:trHeight w:val="122"/>
        </w:trPr>
        <w:tc>
          <w:tcPr>
            <w:tcW w:w="12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May 31, 2014</w:t>
            </w:r>
          </w:p>
        </w:tc>
        <w:tc>
          <w:tcPr>
            <w:tcW w:w="2800" w:type="dxa"/>
            <w:vAlign w:val="bottom"/>
            <w:shd w:val="clear" w:color="auto" w:fill="CCEEFF"/>
          </w:tcPr>
          <w:p>
            <w:pPr>
              <w:spacing w:after="0"/>
              <w:rPr>
                <w:sz w:val="10"/>
                <w:szCs w:val="10"/>
                <w:color w:val="auto"/>
              </w:rPr>
            </w:pPr>
          </w:p>
        </w:tc>
        <w:tc>
          <w:tcPr>
            <w:tcW w:w="17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15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6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CCEEFF"/>
            </w:tcBorders>
            <w:vMerge w:val="continue"/>
            <w:shd w:val="clear" w:color="auto" w:fill="CCEEFF"/>
          </w:tcPr>
          <w:p>
            <w:pPr>
              <w:spacing w:after="0"/>
              <w:rPr>
                <w:sz w:val="10"/>
                <w:szCs w:val="10"/>
                <w:color w:val="auto"/>
              </w:rPr>
            </w:pPr>
          </w:p>
        </w:tc>
        <w:tc>
          <w:tcPr>
            <w:tcW w:w="2800" w:type="dxa"/>
            <w:vAlign w:val="bottom"/>
            <w:tcBorders>
              <w:bottom w:val="single" w:sz="8" w:color="CCEEFF"/>
            </w:tcBorders>
            <w:shd w:val="clear" w:color="auto" w:fill="CCEEFF"/>
          </w:tcPr>
          <w:p>
            <w:pPr>
              <w:spacing w:after="0"/>
              <w:rPr>
                <w:sz w:val="10"/>
                <w:szCs w:val="10"/>
                <w:color w:val="auto"/>
              </w:rPr>
            </w:pPr>
          </w:p>
        </w:tc>
        <w:tc>
          <w:tcPr>
            <w:tcW w:w="17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7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5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June 1, 2014 through</w:t>
            </w:r>
          </w:p>
        </w:tc>
        <w:tc>
          <w:tcPr>
            <w:tcW w:w="1760" w:type="dxa"/>
            <w:vAlign w:val="bottom"/>
            <w:vMerge w:val="restart"/>
          </w:tcPr>
          <w:p>
            <w:pPr>
              <w:jc w:val="right"/>
              <w:ind w:right="18"/>
              <w:spacing w:after="0"/>
              <w:rPr>
                <w:sz w:val="20"/>
                <w:szCs w:val="20"/>
                <w:color w:val="auto"/>
              </w:rPr>
            </w:pPr>
            <w:r>
              <w:rPr>
                <w:rFonts w:ascii="Arial" w:cs="Arial" w:eastAsia="Arial" w:hAnsi="Arial"/>
                <w:sz w:val="18"/>
                <w:szCs w:val="18"/>
                <w:color w:val="auto"/>
              </w:rPr>
              <w:t>56,928</w:t>
            </w:r>
          </w:p>
        </w:tc>
        <w:tc>
          <w:tcPr>
            <w:tcW w:w="12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vMerge w:val="restart"/>
          </w:tcPr>
          <w:p>
            <w:pPr>
              <w:jc w:val="right"/>
              <w:ind w:right="36"/>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19"/>
                <w:szCs w:val="19"/>
                <w:color w:val="auto"/>
              </w:rPr>
            </w:pPr>
          </w:p>
        </w:tc>
        <w:tc>
          <w:tcPr>
            <w:tcW w:w="1760" w:type="dxa"/>
            <w:vAlign w:val="bottom"/>
            <w:vMerge w:val="restart"/>
          </w:tcPr>
          <w:p>
            <w:pPr>
              <w:jc w:val="right"/>
              <w:ind w:right="20"/>
              <w:spacing w:after="0"/>
              <w:rPr>
                <w:sz w:val="20"/>
                <w:szCs w:val="20"/>
                <w:color w:val="auto"/>
              </w:rPr>
            </w:pPr>
            <w:r>
              <w:rPr>
                <w:rFonts w:ascii="Arial" w:cs="Arial" w:eastAsia="Arial" w:hAnsi="Arial"/>
                <w:sz w:val="18"/>
                <w:szCs w:val="18"/>
                <w:color w:val="auto"/>
              </w:rPr>
              <w:t>55,911</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vMerge w:val="restart"/>
          </w:tcPr>
          <w:p>
            <w:pPr>
              <w:jc w:val="right"/>
              <w:ind w:right="21"/>
              <w:spacing w:after="0"/>
              <w:rPr>
                <w:sz w:val="20"/>
                <w:szCs w:val="20"/>
                <w:color w:val="auto"/>
              </w:rPr>
            </w:pPr>
            <w:r>
              <w:rPr>
                <w:rFonts w:ascii="Arial" w:cs="Arial" w:eastAsia="Arial" w:hAnsi="Arial"/>
                <w:sz w:val="18"/>
                <w:szCs w:val="18"/>
                <w:color w:val="auto"/>
              </w:rPr>
              <w:t>960,142,306</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40"/>
              <w:spacing w:after="0"/>
              <w:rPr>
                <w:sz w:val="20"/>
                <w:szCs w:val="20"/>
                <w:color w:val="auto"/>
              </w:rPr>
            </w:pPr>
            <w:r>
              <w:rPr>
                <w:rFonts w:ascii="Arial" w:cs="Arial" w:eastAsia="Arial" w:hAnsi="Arial"/>
                <w:sz w:val="18"/>
                <w:szCs w:val="18"/>
                <w:color w:val="auto"/>
              </w:rPr>
              <w:t>June 28, 2014</w:t>
            </w:r>
          </w:p>
        </w:tc>
        <w:tc>
          <w:tcPr>
            <w:tcW w:w="280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28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June 29, 2014 through</w:t>
            </w:r>
          </w:p>
        </w:tc>
        <w:tc>
          <w:tcPr>
            <w:tcW w:w="176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514,465</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50.97</w:t>
            </w:r>
          </w:p>
        </w:tc>
        <w:tc>
          <w:tcPr>
            <w:tcW w:w="100" w:type="dxa"/>
            <w:vAlign w:val="bottom"/>
            <w:shd w:val="clear" w:color="auto" w:fill="CCEEFF"/>
          </w:tcPr>
          <w:p>
            <w:pPr>
              <w:spacing w:after="0"/>
              <w:rPr>
                <w:sz w:val="19"/>
                <w:szCs w:val="19"/>
                <w:color w:val="auto"/>
              </w:rPr>
            </w:pPr>
          </w:p>
        </w:tc>
        <w:tc>
          <w:tcPr>
            <w:tcW w:w="176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510,066</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934,154,812</w:t>
            </w:r>
          </w:p>
        </w:tc>
        <w:tc>
          <w:tcPr>
            <w:tcW w:w="0" w:type="dxa"/>
            <w:vAlign w:val="bottom"/>
          </w:tcPr>
          <w:p>
            <w:pPr>
              <w:spacing w:after="0"/>
              <w:rPr>
                <w:sz w:val="1"/>
                <w:szCs w:val="1"/>
                <w:color w:val="auto"/>
              </w:rPr>
            </w:pPr>
          </w:p>
        </w:tc>
      </w:tr>
      <w:tr>
        <w:trPr>
          <w:trHeight w:val="122"/>
        </w:trPr>
        <w:tc>
          <w:tcPr>
            <w:tcW w:w="12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5"/>
              </w:rPr>
              <w:t>August 2, 2014</w:t>
            </w:r>
          </w:p>
        </w:tc>
        <w:tc>
          <w:tcPr>
            <w:tcW w:w="2800" w:type="dxa"/>
            <w:vAlign w:val="bottom"/>
            <w:shd w:val="clear" w:color="auto" w:fill="CCEEFF"/>
          </w:tcPr>
          <w:p>
            <w:pPr>
              <w:spacing w:after="0"/>
              <w:rPr>
                <w:sz w:val="10"/>
                <w:szCs w:val="10"/>
                <w:color w:val="auto"/>
              </w:rPr>
            </w:pPr>
          </w:p>
        </w:tc>
        <w:tc>
          <w:tcPr>
            <w:tcW w:w="17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15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6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CCEEFF"/>
            </w:tcBorders>
            <w:vMerge w:val="continue"/>
            <w:shd w:val="clear" w:color="auto" w:fill="CCEEFF"/>
          </w:tcPr>
          <w:p>
            <w:pPr>
              <w:spacing w:after="0"/>
              <w:rPr>
                <w:sz w:val="11"/>
                <w:szCs w:val="11"/>
                <w:color w:val="auto"/>
              </w:rPr>
            </w:pPr>
          </w:p>
        </w:tc>
        <w:tc>
          <w:tcPr>
            <w:tcW w:w="2800" w:type="dxa"/>
            <w:vAlign w:val="bottom"/>
            <w:tcBorders>
              <w:bottom w:val="single" w:sz="8" w:color="CCEEFF"/>
            </w:tcBorders>
            <w:shd w:val="clear" w:color="auto" w:fill="CCEEFF"/>
          </w:tcPr>
          <w:p>
            <w:pPr>
              <w:spacing w:after="0"/>
              <w:rPr>
                <w:sz w:val="11"/>
                <w:szCs w:val="11"/>
                <w:color w:val="auto"/>
              </w:rPr>
            </w:pPr>
          </w:p>
        </w:tc>
        <w:tc>
          <w:tcPr>
            <w:tcW w:w="17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7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5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800" w:type="dxa"/>
            <w:vAlign w:val="bottom"/>
          </w:tcPr>
          <w:p>
            <w:pPr>
              <w:ind w:left="62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1,120,415</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20"/>
                <w:szCs w:val="20"/>
                <w:color w:val="auto"/>
              </w:rPr>
            </w:pPr>
          </w:p>
        </w:tc>
        <w:tc>
          <w:tcPr>
            <w:tcW w:w="176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1,110,777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
              <w:spacing w:after="0"/>
              <w:rPr>
                <w:sz w:val="20"/>
                <w:szCs w:val="20"/>
                <w:color w:val="auto"/>
              </w:rPr>
            </w:pPr>
            <w:r>
              <w:rPr>
                <w:rFonts w:ascii="Arial" w:cs="Arial" w:eastAsia="Arial" w:hAnsi="Arial"/>
                <w:sz w:val="18"/>
                <w:szCs w:val="18"/>
                <w:color w:val="auto"/>
              </w:rPr>
              <w:t>934,154,812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58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9,638 shares withheld by us from employees to satisfy employee tax obligations upon vesting of restricted stock units granted to our employees under our equity compensation plans.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average price paid per share of stock repurchased under the stock repurchase program includes the commissions paid to the brokers. The average price paid for shares in connection with vesting of restricted stock are averages of the closing stock price at the vesting date which is used to calculate the number of shares to be withheld.</w:t>
      </w:r>
    </w:p>
    <w:p>
      <w:pPr>
        <w:spacing w:after="0" w:line="1"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On February 17, 2014, our Board of Directors authorized the repurchase by us of an additional $570.0 million of our common stock, increasing the total amount of our common stock that we are authorized to repurchase under the program to $5.6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32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2" w:right="239" w:bottom="1440" w:gutter="0" w:footer="0" w:header="0"/>
        </w:sectPr>
      </w:pPr>
    </w:p>
    <w:bookmarkStart w:id="53" w:name="page54"/>
    <w:bookmarkEnd w:id="53"/>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7840" w:type="dxa"/>
            <w:vAlign w:val="bottom"/>
            <w:gridSpan w:val="2"/>
          </w:tcPr>
          <w:p>
            <w:pPr>
              <w:ind w:left="1580"/>
              <w:spacing w:after="0"/>
              <w:rPr>
                <w:sz w:val="20"/>
                <w:szCs w:val="20"/>
                <w:color w:val="auto"/>
              </w:rPr>
            </w:pPr>
            <w:r>
              <w:rPr>
                <w:rFonts w:ascii="Arial" w:cs="Arial" w:eastAsia="Arial" w:hAnsi="Arial"/>
                <w:sz w:val="18"/>
                <w:szCs w:val="18"/>
                <w:color w:val="auto"/>
              </w:rPr>
              <w:t>ANALOG DEVICES, INC.</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Date: August 26, 2014</w:t>
            </w:r>
          </w:p>
        </w:tc>
        <w:tc>
          <w:tcPr>
            <w:tcW w:w="2100" w:type="dxa"/>
            <w:vAlign w:val="bottom"/>
          </w:tcPr>
          <w:p>
            <w:pPr>
              <w:ind w:left="1580"/>
              <w:spacing w:after="0"/>
              <w:rPr>
                <w:sz w:val="20"/>
                <w:szCs w:val="20"/>
                <w:color w:val="auto"/>
              </w:rPr>
            </w:pPr>
            <w:r>
              <w:rPr>
                <w:rFonts w:ascii="Arial" w:cs="Arial" w:eastAsia="Arial" w:hAnsi="Arial"/>
                <w:sz w:val="18"/>
                <w:szCs w:val="18"/>
                <w:color w:val="auto"/>
              </w:rPr>
              <w:t>By:</w:t>
            </w:r>
          </w:p>
        </w:tc>
        <w:tc>
          <w:tcPr>
            <w:tcW w:w="57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INCENT</w:t>
            </w:r>
            <w:r>
              <w:rPr>
                <w:rFonts w:ascii="Arial" w:cs="Arial" w:eastAsia="Arial" w:hAnsi="Arial"/>
                <w:sz w:val="18"/>
                <w:szCs w:val="18"/>
                <w:color w:val="auto"/>
              </w:rPr>
              <w:t xml:space="preserve"> T. R</w:t>
            </w:r>
            <w:r>
              <w:rPr>
                <w:rFonts w:ascii="Arial" w:cs="Arial" w:eastAsia="Arial" w:hAnsi="Arial"/>
                <w:sz w:val="14"/>
                <w:szCs w:val="14"/>
                <w:color w:val="auto"/>
              </w:rPr>
              <w:t>OCHE</w:t>
            </w:r>
          </w:p>
        </w:tc>
      </w:tr>
      <w:tr>
        <w:trPr>
          <w:trHeight w:val="27"/>
        </w:trPr>
        <w:tc>
          <w:tcPr>
            <w:tcW w:w="3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Vincent T. Roche</w:t>
            </w:r>
          </w:p>
        </w:tc>
      </w:tr>
      <w:tr>
        <w:trPr>
          <w:trHeight w:val="270"/>
        </w:trPr>
        <w:tc>
          <w:tcPr>
            <w:tcW w:w="32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2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3200" w:type="dxa"/>
            <w:vAlign w:val="bottom"/>
          </w:tcPr>
          <w:p>
            <w:pPr>
              <w:spacing w:after="0"/>
              <w:rPr>
                <w:sz w:val="20"/>
                <w:szCs w:val="20"/>
                <w:color w:val="auto"/>
              </w:rPr>
            </w:pPr>
            <w:r>
              <w:rPr>
                <w:rFonts w:ascii="Arial" w:cs="Arial" w:eastAsia="Arial" w:hAnsi="Arial"/>
                <w:sz w:val="18"/>
                <w:szCs w:val="18"/>
                <w:color w:val="auto"/>
              </w:rPr>
              <w:t>Date: August 26, 2014</w:t>
            </w:r>
          </w:p>
        </w:tc>
        <w:tc>
          <w:tcPr>
            <w:tcW w:w="2100" w:type="dxa"/>
            <w:vAlign w:val="bottom"/>
          </w:tcPr>
          <w:p>
            <w:pPr>
              <w:ind w:left="1580"/>
              <w:spacing w:after="0"/>
              <w:rPr>
                <w:sz w:val="20"/>
                <w:szCs w:val="20"/>
                <w:color w:val="auto"/>
              </w:rPr>
            </w:pPr>
            <w:r>
              <w:rPr>
                <w:rFonts w:ascii="Arial" w:cs="Arial" w:eastAsia="Arial" w:hAnsi="Arial"/>
                <w:sz w:val="18"/>
                <w:szCs w:val="18"/>
                <w:color w:val="auto"/>
              </w:rPr>
              <w:t>By:</w:t>
            </w:r>
          </w:p>
        </w:tc>
        <w:tc>
          <w:tcPr>
            <w:tcW w:w="57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A. Z</w:t>
            </w:r>
            <w:r>
              <w:rPr>
                <w:rFonts w:ascii="Arial" w:cs="Arial" w:eastAsia="Arial" w:hAnsi="Arial"/>
                <w:sz w:val="14"/>
                <w:szCs w:val="14"/>
                <w:color w:val="auto"/>
              </w:rPr>
              <w:t>INSNER</w:t>
            </w:r>
          </w:p>
        </w:tc>
      </w:tr>
      <w:tr>
        <w:trPr>
          <w:trHeight w:val="27"/>
        </w:trPr>
        <w:tc>
          <w:tcPr>
            <w:tcW w:w="3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David A. Zinsner</w:t>
            </w:r>
          </w:p>
        </w:tc>
      </w:tr>
    </w:tbl>
    <w:p>
      <w:pPr>
        <w:spacing w:after="0" w:line="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Vice President, Finance</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240" w:top="580" w:right="579" w:bottom="1440" w:gutter="0" w:footer="0" w:header="0"/>
        </w:sectPr>
      </w:pPr>
    </w:p>
    <w:bookmarkStart w:id="54" w:name="page55"/>
    <w:bookmarkEnd w:id="54"/>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40" w:type="dxa"/>
            <w:vAlign w:val="bottom"/>
          </w:tcPr>
          <w:p>
            <w:pPr>
              <w:ind w:left="34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140" w:type="dxa"/>
            <w:vAlign w:val="bottom"/>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49"/>
        </w:trPr>
        <w:tc>
          <w:tcPr>
            <w:tcW w:w="700" w:type="dxa"/>
            <w:vAlign w:val="bottom"/>
            <w:tcBorders>
              <w:top w:val="single" w:sz="8" w:color="auto"/>
            </w:tcBorders>
          </w:tcPr>
          <w:p>
            <w:pPr>
              <w:jc w:val="center"/>
              <w:ind w:left="271"/>
              <w:spacing w:after="0"/>
              <w:rPr>
                <w:sz w:val="20"/>
                <w:szCs w:val="20"/>
                <w:color w:val="auto"/>
              </w:rPr>
            </w:pPr>
            <w:r>
              <w:rPr>
                <w:rFonts w:ascii="Arial" w:cs="Arial" w:eastAsia="Arial" w:hAnsi="Arial"/>
                <w:sz w:val="18"/>
                <w:szCs w:val="18"/>
                <w:color w:val="auto"/>
                <w:w w:val="87"/>
              </w:rPr>
              <w:t>2.1</w:t>
            </w:r>
          </w:p>
        </w:tc>
        <w:tc>
          <w:tcPr>
            <w:tcW w:w="520" w:type="dxa"/>
            <w:vAlign w:val="bottom"/>
          </w:tcPr>
          <w:p>
            <w:pPr>
              <w:spacing w:after="0"/>
              <w:rPr>
                <w:sz w:val="21"/>
                <w:szCs w:val="21"/>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w w:val="95"/>
              </w:rPr>
              <w:t>Agreement and Plan of Merger, dated as of June 9, 2014, among the Company, BBAC Corp. and Hittite Microwave</w:t>
            </w:r>
          </w:p>
        </w:tc>
      </w:tr>
      <w:tr>
        <w:trPr>
          <w:trHeight w:val="216"/>
        </w:trPr>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w w:val="98"/>
              </w:rPr>
              <w:t>Corporation, filed as exhibit 2.1 to the Company's Current Report on Form 8-K (File No. 1-7819) as filed with the</w:t>
            </w:r>
          </w:p>
        </w:tc>
      </w:tr>
      <w:tr>
        <w:trPr>
          <w:trHeight w:val="230"/>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Commission on June 9, 2014 and incorporated herein by reference.</w:t>
            </w:r>
          </w:p>
        </w:tc>
      </w:tr>
      <w:tr>
        <w:trPr>
          <w:trHeight w:val="256"/>
        </w:trPr>
        <w:tc>
          <w:tcPr>
            <w:tcW w:w="700" w:type="dxa"/>
            <w:vAlign w:val="bottom"/>
          </w:tcPr>
          <w:p>
            <w:pPr>
              <w:jc w:val="center"/>
              <w:ind w:left="271"/>
              <w:spacing w:after="0"/>
              <w:rPr>
                <w:sz w:val="20"/>
                <w:szCs w:val="20"/>
                <w:color w:val="auto"/>
              </w:rPr>
            </w:pPr>
            <w:r>
              <w:rPr>
                <w:rFonts w:ascii="Arial" w:cs="Arial" w:eastAsia="Arial" w:hAnsi="Arial"/>
                <w:sz w:val="18"/>
                <w:szCs w:val="18"/>
                <w:color w:val="auto"/>
                <w:w w:val="85"/>
              </w:rPr>
              <w:t>10.1</w:t>
            </w:r>
          </w:p>
        </w:tc>
        <w:tc>
          <w:tcPr>
            <w:tcW w:w="520" w:type="dxa"/>
            <w:vAlign w:val="bottom"/>
          </w:tcPr>
          <w:p>
            <w:pPr>
              <w:spacing w:after="0"/>
              <w:rPr>
                <w:sz w:val="22"/>
                <w:szCs w:val="22"/>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w w:val="90"/>
              </w:rPr>
              <w:t>Commitment Letter, dated as of June 9, 2014, among the Company, Credit Suisse AG and Credit Suisse Securities (USA)</w:t>
            </w:r>
          </w:p>
        </w:tc>
      </w:tr>
      <w:tr>
        <w:trPr>
          <w:trHeight w:val="216"/>
        </w:trPr>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w w:val="92"/>
              </w:rPr>
              <w:t>LLC, filed as exhibit 10.1 to the Company’s Current Report on Form 8-K (File No. 1-7819) as filed with the Commission</w:t>
            </w:r>
          </w:p>
        </w:tc>
      </w:tr>
      <w:tr>
        <w:trPr>
          <w:trHeight w:val="230"/>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on June 9, 2014 and incorporated herein by reference.</w:t>
            </w:r>
          </w:p>
        </w:tc>
      </w:tr>
      <w:tr>
        <w:trPr>
          <w:trHeight w:val="472"/>
        </w:trPr>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10.2†</w:t>
            </w:r>
          </w:p>
        </w:tc>
        <w:tc>
          <w:tcPr>
            <w:tcW w:w="9140" w:type="dxa"/>
            <w:vAlign w:val="bottom"/>
          </w:tcPr>
          <w:p>
            <w:pPr>
              <w:ind w:left="340"/>
              <w:spacing w:after="0"/>
              <w:rPr>
                <w:sz w:val="20"/>
                <w:szCs w:val="20"/>
                <w:color w:val="auto"/>
              </w:rPr>
            </w:pPr>
            <w:r>
              <w:rPr>
                <w:rFonts w:ascii="Arial" w:cs="Arial" w:eastAsia="Arial" w:hAnsi="Arial"/>
                <w:sz w:val="18"/>
                <w:szCs w:val="18"/>
                <w:color w:val="auto"/>
                <w:w w:val="89"/>
              </w:rPr>
              <w:t>First Amendment to Credit Agreement, dated as of June 17, 2014 among the Company, the lenders party thereto and Bank</w:t>
            </w:r>
          </w:p>
        </w:tc>
      </w:tr>
      <w:tr>
        <w:trPr>
          <w:trHeight w:val="230"/>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of America, N.A., as Administrative Agent, Swing Line Lender and L/C Issuer.</w:t>
            </w:r>
          </w:p>
        </w:tc>
      </w:tr>
      <w:tr>
        <w:trPr>
          <w:trHeight w:val="472"/>
        </w:trPr>
        <w:tc>
          <w:tcPr>
            <w:tcW w:w="700" w:type="dxa"/>
            <w:vAlign w:val="bottom"/>
          </w:tcPr>
          <w:p>
            <w:pPr>
              <w:jc w:val="center"/>
              <w:ind w:left="271"/>
              <w:spacing w:after="0"/>
              <w:rPr>
                <w:sz w:val="20"/>
                <w:szCs w:val="20"/>
                <w:color w:val="auto"/>
              </w:rPr>
            </w:pPr>
            <w:r>
              <w:rPr>
                <w:rFonts w:ascii="Arial" w:cs="Arial" w:eastAsia="Arial" w:hAnsi="Arial"/>
                <w:sz w:val="18"/>
                <w:szCs w:val="18"/>
                <w:color w:val="auto"/>
                <w:w w:val="85"/>
              </w:rPr>
              <w:t>10.3</w:t>
            </w:r>
          </w:p>
        </w:tc>
        <w:tc>
          <w:tcPr>
            <w:tcW w:w="520" w:type="dxa"/>
            <w:vAlign w:val="bottom"/>
          </w:tcPr>
          <w:p>
            <w:pPr>
              <w:spacing w:after="0"/>
              <w:rPr>
                <w:sz w:val="24"/>
                <w:szCs w:val="24"/>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w w:val="93"/>
              </w:rPr>
              <w:t>Credit Agreement, dated as of July 22, 2014, among the Company, Credit Suisse AG, as Administrative Agent and the</w:t>
            </w:r>
          </w:p>
        </w:tc>
      </w:tr>
      <w:tr>
        <w:trPr>
          <w:trHeight w:val="216"/>
        </w:trPr>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w w:val="93"/>
              </w:rPr>
              <w:t>lenders party thereto, filed as exhibit 10.1 to the Company’s Current Report on Form 8-K (File No. 1-7819) as filed with</w:t>
            </w:r>
          </w:p>
        </w:tc>
      </w:tr>
      <w:tr>
        <w:trPr>
          <w:trHeight w:val="230"/>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the Commission on July 22, 2014 and incorporated herein by reference.</w:t>
            </w:r>
          </w:p>
        </w:tc>
      </w:tr>
      <w:tr>
        <w:trPr>
          <w:trHeight w:val="472"/>
        </w:trPr>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31.1†</w:t>
            </w:r>
          </w:p>
        </w:tc>
        <w:tc>
          <w:tcPr>
            <w:tcW w:w="9140" w:type="dxa"/>
            <w:vAlign w:val="bottom"/>
          </w:tcPr>
          <w:p>
            <w:pPr>
              <w:ind w:left="340"/>
              <w:spacing w:after="0"/>
              <w:rPr>
                <w:sz w:val="20"/>
                <w:szCs w:val="20"/>
                <w:color w:val="auto"/>
              </w:rPr>
            </w:pPr>
            <w:r>
              <w:rPr>
                <w:rFonts w:ascii="Arial" w:cs="Arial" w:eastAsia="Arial" w:hAnsi="Arial"/>
                <w:sz w:val="18"/>
                <w:szCs w:val="18"/>
                <w:color w:val="auto"/>
                <w:w w:val="99"/>
              </w:rPr>
              <w:t>Certification Pursuant to Rule 13a-14(a) and 15d-14(a) of the Securities Exchange Act, as Adopted Pursuant to</w:t>
            </w:r>
          </w:p>
        </w:tc>
      </w:tr>
      <w:tr>
        <w:trPr>
          <w:trHeight w:val="230"/>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Section 302 of the Sarbanes-Oxley Act of 2002 (Chief Executive Officer).</w:t>
            </w:r>
          </w:p>
        </w:tc>
      </w:tr>
      <w:tr>
        <w:trPr>
          <w:trHeight w:val="256"/>
        </w:trPr>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31.2†</w:t>
            </w:r>
          </w:p>
        </w:tc>
        <w:tc>
          <w:tcPr>
            <w:tcW w:w="9140" w:type="dxa"/>
            <w:vAlign w:val="bottom"/>
          </w:tcPr>
          <w:p>
            <w:pPr>
              <w:ind w:left="340"/>
              <w:spacing w:after="0"/>
              <w:rPr>
                <w:sz w:val="20"/>
                <w:szCs w:val="20"/>
                <w:color w:val="auto"/>
              </w:rPr>
            </w:pPr>
            <w:r>
              <w:rPr>
                <w:rFonts w:ascii="Arial" w:cs="Arial" w:eastAsia="Arial" w:hAnsi="Arial"/>
                <w:sz w:val="18"/>
                <w:szCs w:val="18"/>
                <w:color w:val="auto"/>
                <w:w w:val="99"/>
              </w:rPr>
              <w:t>Certification Pursuant to Rule 13a-14(a) and 15d-14(a) of the Securities Exchange Act, as Adopted Pursuant to</w:t>
            </w:r>
          </w:p>
        </w:tc>
      </w:tr>
      <w:tr>
        <w:trPr>
          <w:trHeight w:val="230"/>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Section 302 of the Sarbanes-Oxley Act of 2002 (Chief Financial Officer).</w:t>
            </w:r>
          </w:p>
        </w:tc>
      </w:tr>
      <w:tr>
        <w:trPr>
          <w:trHeight w:val="270"/>
        </w:trPr>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32.1†</w:t>
            </w:r>
          </w:p>
        </w:tc>
        <w:tc>
          <w:tcPr>
            <w:tcW w:w="9140" w:type="dxa"/>
            <w:vAlign w:val="bottom"/>
          </w:tcPr>
          <w:p>
            <w:pPr>
              <w:ind w:left="340"/>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270"/>
        </w:trPr>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32.2†</w:t>
            </w:r>
          </w:p>
        </w:tc>
        <w:tc>
          <w:tcPr>
            <w:tcW w:w="9140" w:type="dxa"/>
            <w:vAlign w:val="bottom"/>
          </w:tcPr>
          <w:p>
            <w:pPr>
              <w:ind w:left="340"/>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270"/>
        </w:trPr>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101.INS</w:t>
            </w:r>
          </w:p>
        </w:tc>
        <w:tc>
          <w:tcPr>
            <w:tcW w:w="914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270"/>
        </w:trPr>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101.SCH</w:t>
            </w:r>
          </w:p>
        </w:tc>
        <w:tc>
          <w:tcPr>
            <w:tcW w:w="9140" w:type="dxa"/>
            <w:vAlign w:val="bottom"/>
          </w:tcPr>
          <w:p>
            <w:pPr>
              <w:ind w:left="340"/>
              <w:spacing w:after="0"/>
              <w:rPr>
                <w:sz w:val="20"/>
                <w:szCs w:val="20"/>
                <w:color w:val="auto"/>
              </w:rPr>
            </w:pPr>
            <w:r>
              <w:rPr>
                <w:rFonts w:ascii="Arial" w:cs="Arial" w:eastAsia="Arial" w:hAnsi="Arial"/>
                <w:sz w:val="18"/>
                <w:szCs w:val="18"/>
                <w:color w:val="auto"/>
              </w:rPr>
              <w:t>XBRL Schema Document.**</w:t>
            </w:r>
          </w:p>
        </w:tc>
      </w:tr>
      <w:tr>
        <w:trPr>
          <w:trHeight w:val="270"/>
        </w:trPr>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101.CAL</w:t>
            </w:r>
          </w:p>
        </w:tc>
        <w:tc>
          <w:tcPr>
            <w:tcW w:w="9140" w:type="dxa"/>
            <w:vAlign w:val="bottom"/>
          </w:tcPr>
          <w:p>
            <w:pPr>
              <w:ind w:left="340"/>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101.LAB</w:t>
            </w:r>
          </w:p>
        </w:tc>
        <w:tc>
          <w:tcPr>
            <w:tcW w:w="9140" w:type="dxa"/>
            <w:vAlign w:val="bottom"/>
          </w:tcPr>
          <w:p>
            <w:pPr>
              <w:ind w:left="340"/>
              <w:spacing w:after="0"/>
              <w:rPr>
                <w:sz w:val="20"/>
                <w:szCs w:val="20"/>
                <w:color w:val="auto"/>
              </w:rPr>
            </w:pPr>
            <w:r>
              <w:rPr>
                <w:rFonts w:ascii="Arial" w:cs="Arial" w:eastAsia="Arial" w:hAnsi="Arial"/>
                <w:sz w:val="18"/>
                <w:szCs w:val="18"/>
                <w:color w:val="auto"/>
              </w:rPr>
              <w:t>XBRL Labels Linkbase Document.**</w:t>
            </w:r>
          </w:p>
        </w:tc>
      </w:tr>
      <w:tr>
        <w:trPr>
          <w:trHeight w:val="270"/>
        </w:trPr>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101.PRE</w:t>
            </w:r>
          </w:p>
        </w:tc>
        <w:tc>
          <w:tcPr>
            <w:tcW w:w="9140" w:type="dxa"/>
            <w:vAlign w:val="bottom"/>
          </w:tcPr>
          <w:p>
            <w:pPr>
              <w:ind w:left="340"/>
              <w:spacing w:after="0"/>
              <w:rPr>
                <w:sz w:val="20"/>
                <w:szCs w:val="20"/>
                <w:color w:val="auto"/>
              </w:rPr>
            </w:pPr>
            <w:r>
              <w:rPr>
                <w:rFonts w:ascii="Arial" w:cs="Arial" w:eastAsia="Arial" w:hAnsi="Arial"/>
                <w:sz w:val="18"/>
                <w:szCs w:val="18"/>
                <w:color w:val="auto"/>
              </w:rPr>
              <w:t>XBRL Presentation Linkbase Document.**</w:t>
            </w:r>
          </w:p>
        </w:tc>
      </w:tr>
      <w:tr>
        <w:trPr>
          <w:trHeight w:val="270"/>
        </w:trPr>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101.DEF</w:t>
            </w:r>
          </w:p>
        </w:tc>
        <w:tc>
          <w:tcPr>
            <w:tcW w:w="9140" w:type="dxa"/>
            <w:vAlign w:val="bottom"/>
          </w:tcPr>
          <w:p>
            <w:pPr>
              <w:ind w:left="340"/>
              <w:spacing w:after="0"/>
              <w:rPr>
                <w:sz w:val="20"/>
                <w:szCs w:val="20"/>
                <w:color w:val="auto"/>
              </w:rPr>
            </w:pPr>
            <w:r>
              <w:rPr>
                <w:rFonts w:ascii="Arial" w:cs="Arial" w:eastAsia="Arial" w:hAnsi="Arial"/>
                <w:sz w:val="18"/>
                <w:szCs w:val="18"/>
                <w:color w:val="auto"/>
              </w:rPr>
              <w:t>XBRL Definition Linkbase Document.**</w:t>
            </w:r>
          </w:p>
        </w:tc>
      </w:tr>
    </w:tbl>
    <w:p>
      <w:pPr>
        <w:spacing w:after="0" w:line="40" w:lineRule="exact"/>
        <w:rPr>
          <w:sz w:val="20"/>
          <w:szCs w:val="20"/>
          <w:color w:val="auto"/>
        </w:rPr>
      </w:pPr>
    </w:p>
    <w:p>
      <w:pPr>
        <w:ind w:left="1600" w:hanging="1076"/>
        <w:spacing w:after="0"/>
        <w:tabs>
          <w:tab w:leader="none" w:pos="1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left="1600" w:hanging="1122"/>
        <w:spacing w:after="0"/>
        <w:tabs>
          <w:tab w:leader="none" w:pos="1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Attached as Exhibit 101 to this report are the following formatted in XBRL (Extensible Business Reporting Language): (i) Condensed Consolidated Statements of Income for the three and nine months ended August 2, 2014 and August 3, 2013, (ii) Condensed Consolidated Statements of Comprehensive Income for the three and nine months ended August 2, 2014 and August 3, 2013, (iii) Condensed Consolidated Balance Sheets at August 2, 2014 and November 2, 2013, (iv) Condensed Consolidated Statements of Cash Flows for the nine months ended August 2, 2014 and August 3, 2013 and (v) Notes to Condensed Consolidated Financial Statements for the three and nine months ended August 2, 2014.</w:t>
      </w:r>
    </w:p>
    <w:p>
      <w:pPr>
        <w:spacing w:after="0" w:line="2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769" w:right="45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AMENDMENT TO CREDIT AGREEMENT</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This FIRST AMENDMENT TO CREDIT AGREEMENT dated as of June 17, 2014 (this “</w:t>
      </w:r>
      <w:r>
        <w:rPr>
          <w:rFonts w:ascii="Arial" w:cs="Arial" w:eastAsia="Arial" w:hAnsi="Arial"/>
          <w:sz w:val="19"/>
          <w:szCs w:val="19"/>
          <w:i w:val="1"/>
          <w:iCs w:val="1"/>
          <w:color w:val="auto"/>
        </w:rPr>
        <w:t>Amendment</w:t>
      </w:r>
      <w:r>
        <w:rPr>
          <w:rFonts w:ascii="Arial" w:cs="Arial" w:eastAsia="Arial" w:hAnsi="Arial"/>
          <w:sz w:val="19"/>
          <w:szCs w:val="19"/>
          <w:color w:val="auto"/>
        </w:rPr>
        <w:t>”), to the CREDIT AGREEMENT (as defined below) is among ANALOG DEVICES, INC. (the “</w:t>
      </w:r>
      <w:r>
        <w:rPr>
          <w:rFonts w:ascii="Arial" w:cs="Arial" w:eastAsia="Arial" w:hAnsi="Arial"/>
          <w:sz w:val="19"/>
          <w:szCs w:val="19"/>
          <w:i w:val="1"/>
          <w:iCs w:val="1"/>
          <w:color w:val="auto"/>
        </w:rPr>
        <w:t>Borrower</w:t>
      </w:r>
      <w:r>
        <w:rPr>
          <w:rFonts w:ascii="Arial" w:cs="Arial" w:eastAsia="Arial" w:hAnsi="Arial"/>
          <w:sz w:val="19"/>
          <w:szCs w:val="19"/>
          <w:color w:val="auto"/>
        </w:rPr>
        <w:t>”), the Lenders (as defined below) party hereto and BANK OF AMERICA, N.A., as Administrative Agent, Swing Line Lender and L/C Issuer (as defined below).</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both"/>
        <w:ind w:firstLine="1305"/>
        <w:spacing w:after="0" w:line="248" w:lineRule="auto"/>
        <w:tabs>
          <w:tab w:leader="none" w:pos="2209" w:val="left"/>
        </w:tabs>
        <w:numPr>
          <w:ilvl w:val="0"/>
          <w:numId w:val="22"/>
        </w:numPr>
        <w:rPr>
          <w:rFonts w:ascii="Arial" w:cs="Arial" w:eastAsia="Arial" w:hAnsi="Arial"/>
          <w:sz w:val="22"/>
          <w:szCs w:val="22"/>
          <w:color w:val="auto"/>
        </w:rPr>
      </w:pPr>
      <w:r>
        <w:rPr>
          <w:rFonts w:ascii="Arial" w:cs="Arial" w:eastAsia="Arial" w:hAnsi="Arial"/>
          <w:sz w:val="22"/>
          <w:szCs w:val="22"/>
          <w:color w:val="auto"/>
        </w:rPr>
        <w:t>Pursuant to that certain Credit Agreement dated as of December 19, 2012 (as amended, supplemented or otherwise modified through the date hereof, the “</w:t>
      </w:r>
      <w:r>
        <w:rPr>
          <w:rFonts w:ascii="Arial" w:cs="Arial" w:eastAsia="Arial" w:hAnsi="Arial"/>
          <w:sz w:val="22"/>
          <w:szCs w:val="22"/>
          <w:i w:val="1"/>
          <w:iCs w:val="1"/>
          <w:color w:val="auto"/>
        </w:rPr>
        <w:t>Credit Agreement</w:t>
      </w:r>
      <w:r>
        <w:rPr>
          <w:rFonts w:ascii="Arial" w:cs="Arial" w:eastAsia="Arial" w:hAnsi="Arial"/>
          <w:sz w:val="22"/>
          <w:szCs w:val="22"/>
          <w:color w:val="auto"/>
        </w:rPr>
        <w:t>”), among ANALOG DEVICES, INC. (the “</w:t>
      </w:r>
      <w:r>
        <w:rPr>
          <w:rFonts w:ascii="Arial" w:cs="Arial" w:eastAsia="Arial" w:hAnsi="Arial"/>
          <w:sz w:val="22"/>
          <w:szCs w:val="22"/>
          <w:i w:val="1"/>
          <w:iCs w:val="1"/>
          <w:color w:val="auto"/>
        </w:rPr>
        <w:t>Borrower</w:t>
      </w:r>
      <w:r>
        <w:rPr>
          <w:rFonts w:ascii="Arial" w:cs="Arial" w:eastAsia="Arial" w:hAnsi="Arial"/>
          <w:sz w:val="22"/>
          <w:szCs w:val="22"/>
          <w:color w:val="auto"/>
        </w:rPr>
        <w:t>”), the Lenders (as defined in Article I of the Credit Agreement) and BANK OF AMERICA, N.A., as Administrative Agent, Swing Line Lender and L/C Issuer (as each such term is defined in Article I of the Credit Agreement), the Lenders and the L/C Issuer have extended, and have agreed to extend, credit to the Borrower.</w:t>
      </w:r>
    </w:p>
    <w:p>
      <w:pPr>
        <w:spacing w:after="0" w:line="192" w:lineRule="exact"/>
        <w:rPr>
          <w:rFonts w:ascii="Arial" w:cs="Arial" w:eastAsia="Arial" w:hAnsi="Arial"/>
          <w:sz w:val="22"/>
          <w:szCs w:val="22"/>
          <w:color w:val="auto"/>
        </w:rPr>
      </w:pPr>
    </w:p>
    <w:p>
      <w:pPr>
        <w:jc w:val="both"/>
        <w:ind w:firstLine="1305"/>
        <w:spacing w:after="0" w:line="260" w:lineRule="auto"/>
        <w:tabs>
          <w:tab w:leader="none" w:pos="1741" w:val="left"/>
        </w:tabs>
        <w:numPr>
          <w:ilvl w:val="0"/>
          <w:numId w:val="23"/>
        </w:numPr>
        <w:rPr>
          <w:rFonts w:ascii="Arial" w:cs="Arial" w:eastAsia="Arial" w:hAnsi="Arial"/>
          <w:sz w:val="22"/>
          <w:szCs w:val="22"/>
          <w:color w:val="auto"/>
        </w:rPr>
      </w:pPr>
      <w:r>
        <w:rPr>
          <w:rFonts w:ascii="Arial" w:cs="Arial" w:eastAsia="Arial" w:hAnsi="Arial"/>
          <w:sz w:val="22"/>
          <w:szCs w:val="22"/>
          <w:color w:val="auto"/>
        </w:rPr>
        <w:t>Pursuant to the Agreement and Plan of Merger dated as of June 9, 2014, by and among the Borrower, BBAC Corp., a Delaware corporation and Hittite Microwave Corporation (“</w:t>
      </w:r>
      <w:r>
        <w:rPr>
          <w:rFonts w:ascii="Arial" w:cs="Arial" w:eastAsia="Arial" w:hAnsi="Arial"/>
          <w:sz w:val="22"/>
          <w:szCs w:val="22"/>
          <w:i w:val="1"/>
          <w:iCs w:val="1"/>
          <w:color w:val="auto"/>
        </w:rPr>
        <w:t>Hittite</w:t>
      </w:r>
      <w:r>
        <w:rPr>
          <w:rFonts w:ascii="Arial" w:cs="Arial" w:eastAsia="Arial" w:hAnsi="Arial"/>
          <w:sz w:val="22"/>
          <w:szCs w:val="22"/>
          <w:color w:val="auto"/>
        </w:rPr>
        <w:t>”), the Borrower intends to indirectly acquire (the “</w:t>
      </w:r>
      <w:r>
        <w:rPr>
          <w:rFonts w:ascii="Arial" w:cs="Arial" w:eastAsia="Arial" w:hAnsi="Arial"/>
          <w:sz w:val="22"/>
          <w:szCs w:val="22"/>
          <w:i w:val="1"/>
          <w:iCs w:val="1"/>
          <w:color w:val="auto"/>
        </w:rPr>
        <w:t>Hittite Acquisition</w:t>
      </w:r>
      <w:r>
        <w:rPr>
          <w:rFonts w:ascii="Arial" w:cs="Arial" w:eastAsia="Arial" w:hAnsi="Arial"/>
          <w:sz w:val="22"/>
          <w:szCs w:val="22"/>
          <w:color w:val="auto"/>
        </w:rPr>
        <w:t>”) all the issued and outstanding equity interests of Hittite.</w:t>
      </w:r>
    </w:p>
    <w:p>
      <w:pPr>
        <w:spacing w:after="0" w:line="177" w:lineRule="exact"/>
        <w:rPr>
          <w:sz w:val="20"/>
          <w:szCs w:val="20"/>
          <w:color w:val="auto"/>
        </w:rPr>
      </w:pPr>
    </w:p>
    <w:p>
      <w:pPr>
        <w:jc w:val="both"/>
        <w:ind w:firstLine="1305"/>
        <w:spacing w:after="0" w:line="260" w:lineRule="auto"/>
        <w:tabs>
          <w:tab w:leader="none" w:pos="1702" w:val="left"/>
        </w:tabs>
        <w:numPr>
          <w:ilvl w:val="0"/>
          <w:numId w:val="24"/>
        </w:numPr>
        <w:rPr>
          <w:rFonts w:ascii="Arial" w:cs="Arial" w:eastAsia="Arial" w:hAnsi="Arial"/>
          <w:sz w:val="22"/>
          <w:szCs w:val="22"/>
          <w:color w:val="auto"/>
        </w:rPr>
      </w:pPr>
      <w:r>
        <w:rPr>
          <w:rFonts w:ascii="Arial" w:cs="Arial" w:eastAsia="Arial" w:hAnsi="Arial"/>
          <w:sz w:val="22"/>
          <w:szCs w:val="22"/>
          <w:color w:val="auto"/>
        </w:rPr>
        <w:t>In connection with the Hittite Acquisition and in order to provide financing for a portion thereof, the Borrower intends to borrow from one or more third parties up to $2,000,000,000 aggregate principal amount of senior unsecured loans (the “</w:t>
      </w:r>
      <w:r>
        <w:rPr>
          <w:rFonts w:ascii="Arial" w:cs="Arial" w:eastAsia="Arial" w:hAnsi="Arial"/>
          <w:sz w:val="22"/>
          <w:szCs w:val="22"/>
          <w:i w:val="1"/>
          <w:iCs w:val="1"/>
          <w:color w:val="auto"/>
        </w:rPr>
        <w:t>Hittite Acquisition Debt</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56" w:val="left"/>
        </w:tabs>
        <w:numPr>
          <w:ilvl w:val="0"/>
          <w:numId w:val="24"/>
        </w:numPr>
        <w:rPr>
          <w:rFonts w:ascii="Arial" w:cs="Arial" w:eastAsia="Arial" w:hAnsi="Arial"/>
          <w:sz w:val="22"/>
          <w:szCs w:val="22"/>
          <w:color w:val="auto"/>
        </w:rPr>
      </w:pPr>
      <w:r>
        <w:rPr>
          <w:rFonts w:ascii="Arial" w:cs="Arial" w:eastAsia="Arial" w:hAnsi="Arial"/>
          <w:sz w:val="22"/>
          <w:szCs w:val="22"/>
          <w:color w:val="auto"/>
        </w:rPr>
        <w:t>Following the consummation of the Hittite Acquisition, it is expected that a Subsidiary of the Borrower will assume the Hittite Acquisition Debt, with the Borrower being released as the primary obligor thereunder but providing a Guarantee thereof (the “</w:t>
      </w:r>
      <w:r>
        <w:rPr>
          <w:rFonts w:ascii="Arial" w:cs="Arial" w:eastAsia="Arial" w:hAnsi="Arial"/>
          <w:sz w:val="22"/>
          <w:szCs w:val="22"/>
          <w:i w:val="1"/>
          <w:iCs w:val="1"/>
          <w:color w:val="auto"/>
        </w:rPr>
        <w:t>Hittite Debt Assumption</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81" w:val="left"/>
        </w:tabs>
        <w:numPr>
          <w:ilvl w:val="0"/>
          <w:numId w:val="24"/>
        </w:numPr>
        <w:rPr>
          <w:rFonts w:ascii="Arial" w:cs="Arial" w:eastAsia="Arial" w:hAnsi="Arial"/>
          <w:sz w:val="22"/>
          <w:szCs w:val="22"/>
          <w:color w:val="auto"/>
        </w:rPr>
      </w:pPr>
      <w:r>
        <w:rPr>
          <w:rFonts w:ascii="Arial" w:cs="Arial" w:eastAsia="Arial" w:hAnsi="Arial"/>
          <w:sz w:val="22"/>
          <w:szCs w:val="22"/>
          <w:color w:val="auto"/>
        </w:rPr>
        <w:t>In connection with the foregoing, the Borrower has requested that the Required Lenders (i) agree to amend Section 7.02 (Indebtedness) of the Credit Agreement to permit the Hittite Debt Assumption and (ii) agree to amend the Credit Agreement as further set forth herein.</w:t>
      </w:r>
    </w:p>
    <w:p>
      <w:pPr>
        <w:spacing w:after="0" w:line="177" w:lineRule="exact"/>
        <w:rPr>
          <w:rFonts w:ascii="Arial" w:cs="Arial" w:eastAsia="Arial" w:hAnsi="Arial"/>
          <w:sz w:val="22"/>
          <w:szCs w:val="22"/>
          <w:color w:val="auto"/>
        </w:rPr>
      </w:pPr>
    </w:p>
    <w:p>
      <w:pPr>
        <w:ind w:left="1720" w:hanging="415"/>
        <w:spacing w:after="0"/>
        <w:tabs>
          <w:tab w:leader="none" w:pos="1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Required Lenders are willing to agree to such amendments on the terms and subject to the conditions set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forth herein.</w:t>
      </w:r>
    </w:p>
    <w:p>
      <w:pPr>
        <w:spacing w:after="0" w:line="215" w:lineRule="exact"/>
        <w:rPr>
          <w:rFonts w:ascii="Arial" w:cs="Arial" w:eastAsia="Arial" w:hAnsi="Arial"/>
          <w:sz w:val="19"/>
          <w:szCs w:val="19"/>
          <w:color w:val="auto"/>
        </w:rPr>
      </w:pPr>
    </w:p>
    <w:p>
      <w:pPr>
        <w:ind w:left="1640" w:hanging="335"/>
        <w:spacing w:after="0"/>
        <w:tabs>
          <w:tab w:leader="none" w:pos="16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Capitalized terms used but not defined herein shall have the meanings assigned to them in the Credit Agreement.</w:t>
      </w:r>
    </w:p>
    <w:p>
      <w:pPr>
        <w:sectPr>
          <w:pgSz w:w="11900" w:h="16838" w:orient="portrait"/>
          <w:cols w:equalWidth="0" w:num="1">
            <w:col w:w="11420"/>
          </w:cols>
          <w:pgMar w:left="240" w:top="604" w:right="239" w:bottom="1440" w:gutter="0" w:footer="0" w:header="0"/>
        </w:sectPr>
      </w:pPr>
    </w:p>
    <w:bookmarkStart w:id="56" w:name="page57"/>
    <w:bookmarkEnd w:id="56"/>
    <w:p>
      <w:pPr>
        <w:jc w:val="both"/>
        <w:ind w:firstLine="1297"/>
        <w:spacing w:after="0" w:line="263" w:lineRule="auto"/>
        <w:rPr>
          <w:sz w:val="20"/>
          <w:szCs w:val="20"/>
          <w:color w:val="auto"/>
        </w:rPr>
      </w:pPr>
      <w:r>
        <w:rPr>
          <w:rFonts w:ascii="Arial" w:cs="Arial" w:eastAsia="Arial" w:hAnsi="Arial"/>
          <w:sz w:val="22"/>
          <w:szCs w:val="22"/>
          <w:color w:val="auto"/>
        </w:rPr>
        <w:t>Accordingly, in consideration of the mutual agreements herein contained and other good and valuable consideration, the sufficiency and receipt of which are hereby acknowledged, the parties hereto agree as follows:</w:t>
      </w:r>
    </w:p>
    <w:p>
      <w:pPr>
        <w:spacing w:after="0" w:line="17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i w:val="1"/>
          <w:iCs w:val="1"/>
          <w:color w:val="auto"/>
        </w:rPr>
        <w:t>Amendment to Section 1.01 of the Credit Agreement</w:t>
      </w:r>
      <w:r>
        <w:rPr>
          <w:rFonts w:ascii="Arial" w:cs="Arial" w:eastAsia="Arial" w:hAnsi="Arial"/>
          <w:sz w:val="22"/>
          <w:szCs w:val="22"/>
          <w:color w:val="auto"/>
        </w:rPr>
        <w:t>. Section 1.01 of the Credit Agreement is amended by adding the following defined terms in the appropriate alphabetical order therein: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Hittite</w:t>
      </w:r>
      <w:r>
        <w:rPr>
          <w:rFonts w:ascii="Arial" w:cs="Arial" w:eastAsia="Arial" w:hAnsi="Arial"/>
          <w:sz w:val="22"/>
          <w:szCs w:val="22"/>
          <w:color w:val="auto"/>
        </w:rPr>
        <w:t>” means Hittite Microwave Corporation, a Delaware corporation.</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Hittite Acquisition</w:t>
      </w:r>
      <w:r>
        <w:rPr>
          <w:rFonts w:ascii="Arial" w:cs="Arial" w:eastAsia="Arial" w:hAnsi="Arial"/>
          <w:sz w:val="22"/>
          <w:szCs w:val="22"/>
          <w:color w:val="auto"/>
        </w:rPr>
        <w:t>” means the acquisition pursuant to the Agreement and Plan of Merger, dated as of June 9, 2014, by and among the Borrower, a Wholly Owned Subsidiary of the Borrower and Hittite of all the issued and outstanding equity interests of Hittite.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Hittite Acquisition Closing Date</w:t>
      </w:r>
      <w:r>
        <w:rPr>
          <w:rFonts w:ascii="Arial" w:cs="Arial" w:eastAsia="Arial" w:hAnsi="Arial"/>
          <w:sz w:val="22"/>
          <w:szCs w:val="22"/>
          <w:color w:val="auto"/>
        </w:rPr>
        <w:t>” means the date on which the Hittite Acquisition Debt is borrowed.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Hittite Acquisition Debt</w:t>
      </w:r>
      <w:r>
        <w:rPr>
          <w:rFonts w:ascii="Arial" w:cs="Arial" w:eastAsia="Arial" w:hAnsi="Arial"/>
          <w:sz w:val="22"/>
          <w:szCs w:val="22"/>
          <w:color w:val="auto"/>
        </w:rPr>
        <w:t>” means the borrowing by the Borrower from one or more third parties of up to $2,000,000,000 aggregate principal amount of senior unsecured loans to finance in part the Hittite Acquisition.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Hittite Debt Assumption</w:t>
      </w:r>
      <w:r>
        <w:rPr>
          <w:rFonts w:ascii="Arial" w:cs="Arial" w:eastAsia="Arial" w:hAnsi="Arial"/>
          <w:sz w:val="22"/>
          <w:szCs w:val="22"/>
          <w:color w:val="auto"/>
        </w:rPr>
        <w:t>” means the assumption of the Hittite Acquisition Debt by a Subsidiary of the Borrower, with the Borrower being released as the primary obligor but providing a Guarantee thereof.</w:t>
      </w:r>
    </w:p>
    <w:p>
      <w:pPr>
        <w:spacing w:after="0" w:line="17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i w:val="1"/>
          <w:iCs w:val="1"/>
          <w:color w:val="auto"/>
        </w:rPr>
        <w:t>Amendment to Section 7.02 of the Credit Agreement.</w:t>
      </w:r>
      <w:r>
        <w:rPr>
          <w:rFonts w:ascii="Arial" w:cs="Arial" w:eastAsia="Arial" w:hAnsi="Arial"/>
          <w:sz w:val="22"/>
          <w:szCs w:val="22"/>
          <w:color w:val="auto"/>
        </w:rPr>
        <w:t xml:space="preserve"> Section 7.02 (Indebtedness) of the Credit Agreement is hereby amended by (i) deleting the word “and” at the end of clause (f) thereof, (ii) replacing the period at the end of clause (g) thereof with “; and” and (iii) inserting the following new clause (h) at the end thereof:</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“(h) for the period commencing with the Hittite Acquisition Closing Date and through and including the earliest of (a) the 90th day following the Hittite Acquisition Closing Date, (b) the date occurring after the Hittite Acquisition Closing Date on which the Acquisition Debt is paid in full and (c) March 6, 2015, Indebtedness comprised of the Hittite Acquisition Debt after giving effect to the Hittite Debt Assumption.</w:t>
      </w:r>
    </w:p>
    <w:p>
      <w:pPr>
        <w:spacing w:after="0" w:line="188"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i w:val="1"/>
          <w:iCs w:val="1"/>
          <w:color w:val="auto"/>
        </w:rPr>
        <w:t>Amendment to Section 7.09 of the Credit Agreement</w:t>
      </w:r>
      <w:r>
        <w:rPr>
          <w:rFonts w:ascii="Arial" w:cs="Arial" w:eastAsia="Arial" w:hAnsi="Arial"/>
          <w:sz w:val="22"/>
          <w:szCs w:val="22"/>
          <w:color w:val="auto"/>
        </w:rPr>
        <w:t>. Section 7.09 (Organization Documents; Fiscal Year; Legal Name, State of Formation and Form of Entity) of the Credit Agreement is hereby amended by deleting therefrom the words “, nor shall it permit any Subsidiary to,”.</w:t>
      </w:r>
    </w:p>
    <w:p>
      <w:pPr>
        <w:spacing w:after="0" w:line="17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To induce the other parties hereto to enter into this Amendment,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Borrower represents and warrants to the Administrative Agent, the L/C Issuer and each of the Lenders that:</w:t>
      </w:r>
    </w:p>
    <w:p>
      <w:pPr>
        <w:spacing w:after="0" w:line="215" w:lineRule="exact"/>
        <w:rPr>
          <w:sz w:val="20"/>
          <w:szCs w:val="20"/>
          <w:color w:val="auto"/>
        </w:rPr>
      </w:pPr>
    </w:p>
    <w:p>
      <w:pPr>
        <w:ind w:firstLine="1305"/>
        <w:spacing w:after="0" w:line="276" w:lineRule="auto"/>
        <w:tabs>
          <w:tab w:leader="none" w:pos="1797"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This Amendment has been duly authorized, executed and delivered by it and constitutes its legal, valid and binding obligation, enforceable against it in</w:t>
      </w:r>
    </w:p>
    <w:p>
      <w:pPr>
        <w:sectPr>
          <w:pgSz w:w="11900" w:h="16838" w:orient="portrait"/>
          <w:cols w:equalWidth="0" w:num="1">
            <w:col w:w="11420"/>
          </w:cols>
          <w:pgMar w:left="240" w:top="375" w:right="239" w:bottom="1440" w:gutter="0" w:footer="0" w:header="0"/>
        </w:sectPr>
      </w:pPr>
    </w:p>
    <w:bookmarkStart w:id="57" w:name="page58"/>
    <w:bookmarkEnd w:id="57"/>
    <w:p>
      <w:pPr>
        <w:jc w:val="both"/>
        <w:spacing w:after="0" w:line="253" w:lineRule="auto"/>
        <w:rPr>
          <w:sz w:val="20"/>
          <w:szCs w:val="20"/>
          <w:color w:val="auto"/>
        </w:rPr>
      </w:pPr>
      <w:r>
        <w:rPr>
          <w:rFonts w:ascii="Arial" w:cs="Arial" w:eastAsia="Arial" w:hAnsi="Arial"/>
          <w:sz w:val="22"/>
          <w:szCs w:val="22"/>
          <w:color w:val="auto"/>
        </w:rPr>
        <w:t>accordance with its terms, except as such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6" w:lineRule="exact"/>
        <w:rPr>
          <w:sz w:val="20"/>
          <w:szCs w:val="20"/>
          <w:color w:val="auto"/>
        </w:rPr>
      </w:pPr>
    </w:p>
    <w:p>
      <w:pPr>
        <w:jc w:val="both"/>
        <w:ind w:firstLine="1305"/>
        <w:spacing w:after="0" w:line="254" w:lineRule="auto"/>
        <w:tabs>
          <w:tab w:leader="none" w:pos="1783" w:val="left"/>
        </w:tabs>
        <w:numPr>
          <w:ilvl w:val="0"/>
          <w:numId w:val="26"/>
        </w:numPr>
        <w:rPr>
          <w:rFonts w:ascii="Arial" w:cs="Arial" w:eastAsia="Arial" w:hAnsi="Arial"/>
          <w:sz w:val="22"/>
          <w:szCs w:val="22"/>
          <w:color w:val="auto"/>
        </w:rPr>
      </w:pPr>
      <w:r>
        <w:rPr>
          <w:rFonts w:ascii="Arial" w:cs="Arial" w:eastAsia="Arial" w:hAnsi="Arial"/>
          <w:sz w:val="22"/>
          <w:szCs w:val="22"/>
          <w:color w:val="auto"/>
        </w:rPr>
        <w:t>After giving effect to this Amendment, the representations and warranties set forth in Article V of the Credit Agreement are true and correct on and as of the date hereof with the same effect as though made on and as of the date hereof, except to the extent such representations and warranties expressly relate to an earlier date, in which case they shall be true and correct as of such earlier date.</w:t>
      </w:r>
    </w:p>
    <w:p>
      <w:pPr>
        <w:spacing w:after="0" w:line="185" w:lineRule="exact"/>
        <w:rPr>
          <w:rFonts w:ascii="Arial" w:cs="Arial" w:eastAsia="Arial" w:hAnsi="Arial"/>
          <w:sz w:val="22"/>
          <w:szCs w:val="22"/>
          <w:color w:val="auto"/>
        </w:rPr>
      </w:pPr>
    </w:p>
    <w:p>
      <w:pPr>
        <w:ind w:left="1720" w:hanging="415"/>
        <w:spacing w:after="0"/>
        <w:tabs>
          <w:tab w:leader="none" w:pos="172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After giving effect to this Amendment, no Default or Event of Default has occurred and is continuing.</w:t>
      </w:r>
    </w:p>
    <w:p>
      <w:pPr>
        <w:spacing w:after="0" w:line="24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i w:val="1"/>
          <w:iCs w:val="1"/>
          <w:color w:val="auto"/>
        </w:rPr>
        <w:t>Effectiveness</w:t>
      </w:r>
      <w:r>
        <w:rPr>
          <w:rFonts w:ascii="Arial" w:cs="Arial" w:eastAsia="Arial" w:hAnsi="Arial"/>
          <w:sz w:val="22"/>
          <w:szCs w:val="22"/>
          <w:color w:val="auto"/>
        </w:rPr>
        <w:t>. This Amendment shall become effective upon receipt by the Administrative Agent of counterparts of this Amendment duly executed by (i) the Borrower and (ii) the Required Lenders, and acknowledged by the Administrative Agent.</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i w:val="1"/>
          <w:iCs w:val="1"/>
          <w:color w:val="auto"/>
        </w:rPr>
        <w:t>Effect of Amendment</w:t>
      </w:r>
      <w:r>
        <w:rPr>
          <w:rFonts w:ascii="Arial" w:cs="Arial" w:eastAsia="Arial" w:hAnsi="Arial"/>
          <w:sz w:val="21"/>
          <w:szCs w:val="21"/>
          <w:color w:val="auto"/>
        </w:rPr>
        <w:t>. Except as expressly set forth herein, this Amendment shall not by implication or otherwise limit, impair, constitute a waiver of, or otherwise affect the rights and remedies of the Lenders, the L/C Issuer or the Administrative Agent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the Borrower to a consent to, or a waiver, amendment, modification or other change of, any of the terms, conditions, obligations, covenants or agreements contained in the Credit Agreement or any other Loan Document in similar or different circumstances. After the date hereof, any reference to the Credit Agreement shall mean the Credit Agreement as modified hereby. This Amendment shall constitute a “Loan Document” for all purposes of the Credit Agreement and the other Loan Documents.</w:t>
      </w:r>
    </w:p>
    <w:p>
      <w:pPr>
        <w:spacing w:after="0" w:line="174" w:lineRule="exact"/>
        <w:rPr>
          <w:sz w:val="20"/>
          <w:szCs w:val="20"/>
          <w:color w:val="auto"/>
        </w:rPr>
      </w:pPr>
    </w:p>
    <w:p>
      <w:pPr>
        <w:ind w:firstLine="1297"/>
        <w:spacing w:after="0" w:line="282"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b w:val="1"/>
          <w:bCs w:val="1"/>
          <w:i w:val="1"/>
          <w:iCs w:val="1"/>
          <w:color w:val="auto"/>
        </w:rPr>
        <w:t>Applicable Law</w:t>
      </w:r>
      <w:r>
        <w:rPr>
          <w:rFonts w:ascii="Arial" w:cs="Arial" w:eastAsia="Arial" w:hAnsi="Arial"/>
          <w:sz w:val="22"/>
          <w:szCs w:val="22"/>
          <w:b w:val="1"/>
          <w:bCs w:val="1"/>
          <w:color w:val="auto"/>
        </w:rPr>
        <w:t>. THIS AMENDMENT SHALL BE GOVERNED BY, AND CONSTRUED IN</w:t>
      </w:r>
      <w:r>
        <w:rPr>
          <w:rFonts w:ascii="Arial" w:cs="Arial" w:eastAsia="Arial" w:hAnsi="Arial"/>
          <w:sz w:val="22"/>
          <w:szCs w:val="22"/>
          <w:color w:val="auto"/>
        </w:rPr>
        <w:t xml:space="preserve"> </w:t>
      </w:r>
      <w:r>
        <w:rPr>
          <w:rFonts w:ascii="Arial" w:cs="Arial" w:eastAsia="Arial" w:hAnsi="Arial"/>
          <w:sz w:val="22"/>
          <w:szCs w:val="22"/>
          <w:b w:val="1"/>
          <w:bCs w:val="1"/>
          <w:color w:val="auto"/>
        </w:rPr>
        <w:t>ACCORDANCE WITH, THE LAWS OF THE STATE OF NEW YORK.</w:t>
      </w:r>
    </w:p>
    <w:p>
      <w:pPr>
        <w:spacing w:after="0" w:line="154"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i w:val="1"/>
          <w:iCs w:val="1"/>
          <w:color w:val="auto"/>
        </w:rPr>
        <w:t>Counterparts</w:t>
      </w:r>
      <w:r>
        <w:rPr>
          <w:rFonts w:ascii="Arial" w:cs="Arial" w:eastAsia="Arial" w:hAnsi="Arial"/>
          <w:sz w:val="22"/>
          <w:szCs w:val="22"/>
          <w:color w:val="auto"/>
        </w:rPr>
        <w:t>. This Amendment may be executed in counterparts (and by different parties hereto on different counterparts), each of which shall constitute an original but all of which when taken together shall constitute a single contract. Delivery of an executed signature page to this Amendment by facsimile or other electronic transmission shall be effective as delivery of a manually signed counterpart of this Amendment.</w:t>
      </w:r>
    </w:p>
    <w:p>
      <w:pPr>
        <w:sectPr>
          <w:pgSz w:w="11900" w:h="16838" w:orient="portrait"/>
          <w:cols w:equalWidth="0" w:num="1">
            <w:col w:w="11420"/>
          </w:cols>
          <w:pgMar w:left="240" w:top="375" w:right="239" w:bottom="1440" w:gutter="0" w:footer="0" w:header="0"/>
        </w:sectPr>
      </w:pPr>
    </w:p>
    <w:bookmarkStart w:id="58" w:name="page59"/>
    <w:bookmarkEnd w:id="58"/>
    <w:p>
      <w:pPr>
        <w:ind w:firstLine="1297"/>
        <w:spacing w:after="0" w:line="276"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i w:val="1"/>
          <w:iCs w:val="1"/>
          <w:color w:val="auto"/>
        </w:rPr>
        <w:t>Headings</w:t>
      </w:r>
      <w:r>
        <w:rPr>
          <w:rFonts w:ascii="Arial" w:cs="Arial" w:eastAsia="Arial" w:hAnsi="Arial"/>
          <w:sz w:val="22"/>
          <w:szCs w:val="22"/>
          <w:color w:val="auto"/>
        </w:rPr>
        <w:t>. The headings of this Amendment are for purposes of reference only and shall not limit or otherwise affect the meaning hereof.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400"/>
          </w:cols>
          <w:pgMar w:left="240" w:top="375" w:right="259" w:bottom="1440" w:gutter="0" w:footer="0" w:header="0"/>
        </w:sectPr>
      </w:pPr>
    </w:p>
    <w:bookmarkStart w:id="59" w:name="page60"/>
    <w:bookmarkEnd w:id="59"/>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BORROWER:</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ANALOG DEVICES, INC.,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William A.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550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4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William A. Martin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V.P. of M&amp;A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FIRST AMENDMENT TO CREDIT AGREEMENT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ANALOG DEVICES, INC.</w:t>
      </w:r>
    </w:p>
    <w:p>
      <w:pPr>
        <w:sectPr>
          <w:pgSz w:w="11900" w:h="16838" w:orient="portrait"/>
          <w:cols w:equalWidth="0" w:num="1">
            <w:col w:w="11420"/>
          </w:cols>
          <w:pgMar w:left="240" w:top="132"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LENDERS: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BANK OF AMERICA, N.A., as a Lender,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Swing Line Lender and L/C Issuer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Patrick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972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4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Patrick Martin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FIRST AMENDMENT TO CREDIT AGREEMENT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ANALOG DEVICES, INC.</w:t>
      </w:r>
    </w:p>
    <w:p>
      <w:pPr>
        <w:sectPr>
          <w:pgSz w:w="11900" w:h="16838" w:orient="portrait"/>
          <w:cols w:equalWidth="0" w:num="1">
            <w:col w:w="11420"/>
          </w:cols>
          <w:pgMar w:left="240" w:top="132"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9"/>
          <w:szCs w:val="19"/>
          <w:color w:val="auto"/>
        </w:rPr>
        <w:t>CREDIT SUISSE, Cayman Islands Branch, as a Lender</w:t>
      </w:r>
    </w:p>
    <w:p>
      <w:pPr>
        <w:spacing w:after="0" w:line="200" w:lineRule="exact"/>
        <w:rPr>
          <w:sz w:val="20"/>
          <w:szCs w:val="20"/>
          <w:color w:val="auto"/>
        </w:rPr>
      </w:pPr>
    </w:p>
    <w:p>
      <w:pPr>
        <w:spacing w:after="0" w:line="31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Christopher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45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24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Christopher Day</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Tyler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484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48410" cy="8890"/>
                    </a:xfrm>
                    <a:prstGeom prst="rect">
                      <a:avLst/>
                    </a:prstGeom>
                    <a:noFill/>
                  </pic:spPr>
                </pic:pic>
              </a:graphicData>
            </a:graphic>
          </wp:anchor>
        </w:drawing>
      </w:r>
    </w:p>
    <w:p>
      <w:pPr>
        <w:spacing w:after="0" w:line="24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Tyler R. Smith</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FIRST AMENDMENT TO CREDIT AGREEMENT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ANALOG DEVICES, INC.</w:t>
      </w:r>
    </w:p>
    <w:p>
      <w:pPr>
        <w:sectPr>
          <w:pgSz w:w="11900" w:h="16838" w:orient="portrait"/>
          <w:cols w:equalWidth="0" w:num="1">
            <w:col w:w="10220"/>
          </w:cols>
          <w:pgMar w:left="1440" w:top="132" w:right="239" w:bottom="1440" w:gutter="0" w:footer="0" w:header="0"/>
        </w:sectPr>
      </w:pPr>
    </w:p>
    <w:bookmarkStart w:id="62" w:name="page63"/>
    <w:bookmarkEnd w:id="62"/>
    <w:p>
      <w:pPr>
        <w:ind w:left="2700"/>
        <w:spacing w:after="0"/>
        <w:rPr>
          <w:sz w:val="20"/>
          <w:szCs w:val="20"/>
          <w:color w:val="auto"/>
        </w:rPr>
      </w:pPr>
      <w:r>
        <w:rPr>
          <w:rFonts w:ascii="Arial" w:cs="Arial" w:eastAsia="Arial" w:hAnsi="Arial"/>
          <w:sz w:val="22"/>
          <w:szCs w:val="22"/>
          <w:color w:val="auto"/>
        </w:rPr>
        <w:t>JPMorgan Chase Bank, N.A., as a Lender</w:t>
      </w:r>
    </w:p>
    <w:p>
      <w:pPr>
        <w:spacing w:after="0" w:line="200" w:lineRule="exact"/>
        <w:rPr>
          <w:sz w:val="20"/>
          <w:szCs w:val="20"/>
          <w:color w:val="auto"/>
        </w:rPr>
      </w:pPr>
    </w:p>
    <w:p>
      <w:pPr>
        <w:spacing w:after="0" w:line="27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Justin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560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spacing w:after="0" w:line="24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Justin Kelley</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FIRST AMENDMENT TO CREDIT AGREEMENT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ANALOG DEVICES, INC.</w:t>
      </w:r>
    </w:p>
    <w:p>
      <w:pPr>
        <w:sectPr>
          <w:pgSz w:w="11900" w:h="16838" w:orient="portrait"/>
          <w:cols w:equalWidth="0" w:num="1">
            <w:col w:w="10220"/>
          </w:cols>
          <w:pgMar w:left="1440" w:top="132" w:right="239" w:bottom="1440" w:gutter="0" w:footer="0" w:header="0"/>
        </w:sectPr>
      </w:pPr>
    </w:p>
    <w:bookmarkStart w:id="63" w:name="page64"/>
    <w:bookmarkEnd w:id="63"/>
    <w:p>
      <w:pPr>
        <w:ind w:left="2700"/>
        <w:spacing w:after="0"/>
        <w:rPr>
          <w:sz w:val="20"/>
          <w:szCs w:val="20"/>
          <w:color w:val="auto"/>
        </w:rPr>
      </w:pPr>
      <w:r>
        <w:rPr>
          <w:rFonts w:ascii="Arial" w:cs="Arial" w:eastAsia="Arial" w:hAnsi="Arial"/>
          <w:sz w:val="22"/>
          <w:szCs w:val="22"/>
          <w:color w:val="auto"/>
        </w:rPr>
        <w:t>HSBC BANK USA NATIONAL ASSOCIATION, as a Lender</w:t>
      </w:r>
    </w:p>
    <w:p>
      <w:pPr>
        <w:spacing w:after="0" w:line="200" w:lineRule="exact"/>
        <w:rPr>
          <w:sz w:val="20"/>
          <w:szCs w:val="20"/>
          <w:color w:val="auto"/>
        </w:rPr>
      </w:pPr>
    </w:p>
    <w:p>
      <w:pPr>
        <w:spacing w:after="0" w:line="27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Manuel Burgueño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27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778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Manuel Burgueño</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FIRST AMENDMENT TO CREDIT AGREEMENT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ANALOG DEVICES, INC.</w:t>
      </w:r>
    </w:p>
    <w:p>
      <w:pPr>
        <w:sectPr>
          <w:pgSz w:w="11900" w:h="16838" w:orient="portrait"/>
          <w:cols w:equalWidth="0" w:num="1">
            <w:col w:w="10220"/>
          </w:cols>
          <w:pgMar w:left="1440" w:top="132" w:right="239" w:bottom="1440" w:gutter="0" w:footer="0" w:header="0"/>
        </w:sectPr>
      </w:pPr>
    </w:p>
    <w:bookmarkStart w:id="64" w:name="page65"/>
    <w:bookmarkEnd w:id="64"/>
    <w:p>
      <w:pPr>
        <w:jc w:val="center"/>
        <w:ind w:right="140"/>
        <w:spacing w:after="0"/>
        <w:rPr>
          <w:sz w:val="20"/>
          <w:szCs w:val="20"/>
          <w:color w:val="auto"/>
        </w:rPr>
      </w:pPr>
      <w:r>
        <w:rPr>
          <w:rFonts w:ascii="Arial" w:cs="Arial" w:eastAsia="Arial" w:hAnsi="Arial"/>
          <w:sz w:val="19"/>
          <w:szCs w:val="19"/>
          <w:color w:val="auto"/>
        </w:rPr>
        <w:t>THE BANK OF NEW YORK MELLON, as a Lender</w:t>
      </w:r>
    </w:p>
    <w:p>
      <w:pPr>
        <w:spacing w:after="0" w:line="200" w:lineRule="exact"/>
        <w:rPr>
          <w:sz w:val="20"/>
          <w:szCs w:val="20"/>
          <w:color w:val="auto"/>
        </w:rPr>
      </w:pPr>
    </w:p>
    <w:p>
      <w:pPr>
        <w:spacing w:after="0" w:line="31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Donald G. Cassidy,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561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146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Donald G. Cassidy, Jr.</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FIRST AMENDMENT TO CREDIT AGREEMENT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ANALOG DEVICES, INC.</w:t>
      </w:r>
    </w:p>
    <w:p>
      <w:pPr>
        <w:sectPr>
          <w:pgSz w:w="11900" w:h="16838" w:orient="portrait"/>
          <w:cols w:equalWidth="0" w:num="1">
            <w:col w:w="10220"/>
          </w:cols>
          <w:pgMar w:left="1440" w:top="132" w:right="239" w:bottom="1440" w:gutter="0" w:footer="0" w:header="0"/>
        </w:sectPr>
      </w:pPr>
    </w:p>
    <w:bookmarkStart w:id="65" w:name="page66"/>
    <w:bookmarkEnd w:id="65"/>
    <w:p>
      <w:pPr>
        <w:jc w:val="center"/>
        <w:ind w:right="160"/>
        <w:spacing w:after="0"/>
        <w:rPr>
          <w:sz w:val="20"/>
          <w:szCs w:val="20"/>
          <w:color w:val="auto"/>
        </w:rPr>
      </w:pPr>
      <w:r>
        <w:rPr>
          <w:rFonts w:ascii="Arial" w:cs="Arial" w:eastAsia="Arial" w:hAnsi="Arial"/>
          <w:sz w:val="19"/>
          <w:szCs w:val="19"/>
          <w:color w:val="auto"/>
        </w:rPr>
        <w:t>The Bank of Tokyo-Mitsubishi UFJ, Ltd., as a Lender</w:t>
      </w:r>
    </w:p>
    <w:p>
      <w:pPr>
        <w:spacing w:after="0" w:line="200" w:lineRule="exact"/>
        <w:rPr>
          <w:sz w:val="20"/>
          <w:szCs w:val="20"/>
          <w:color w:val="auto"/>
        </w:rPr>
      </w:pPr>
    </w:p>
    <w:p>
      <w:pPr>
        <w:spacing w:after="0" w:line="31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Matthew Antioco</w:t>
      </w:r>
    </w:p>
    <w:p>
      <w:pPr>
        <w:spacing w:after="0" w:line="200" w:lineRule="exact"/>
        <w:rPr>
          <w:sz w:val="20"/>
          <w:szCs w:val="20"/>
          <w:color w:val="auto"/>
        </w:rPr>
      </w:pPr>
    </w:p>
    <w:p>
      <w:pPr>
        <w:spacing w:after="0" w:line="27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Matthew Antioco</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FIRST AMENDMENT TO CREDIT AGREEMENT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ANALOG DEVICES, INC.</w:t>
      </w:r>
    </w:p>
    <w:p>
      <w:pPr>
        <w:sectPr>
          <w:pgSz w:w="11900" w:h="16838" w:orient="portrait"/>
          <w:cols w:equalWidth="0" w:num="1">
            <w:col w:w="10220"/>
          </w:cols>
          <w:pgMar w:left="1440" w:top="132" w:right="239" w:bottom="1440" w:gutter="0" w:footer="0" w:header="0"/>
        </w:sectPr>
      </w:pPr>
    </w:p>
    <w:bookmarkStart w:id="66" w:name="page67"/>
    <w:bookmarkEnd w:id="66"/>
    <w:p>
      <w:pPr>
        <w:ind w:left="2700"/>
        <w:spacing w:after="0"/>
        <w:rPr>
          <w:sz w:val="20"/>
          <w:szCs w:val="20"/>
          <w:color w:val="auto"/>
        </w:rPr>
      </w:pPr>
      <w:r>
        <w:rPr>
          <w:rFonts w:ascii="Arial" w:cs="Arial" w:eastAsia="Arial" w:hAnsi="Arial"/>
          <w:sz w:val="22"/>
          <w:szCs w:val="22"/>
          <w:color w:val="auto"/>
        </w:rPr>
        <w:t>WELLS FARGO BANK, N.A., as a Lender</w:t>
      </w:r>
    </w:p>
    <w:p>
      <w:pPr>
        <w:spacing w:after="0" w:line="200" w:lineRule="exact"/>
        <w:rPr>
          <w:sz w:val="20"/>
          <w:szCs w:val="20"/>
          <w:color w:val="auto"/>
        </w:rPr>
      </w:pPr>
    </w:p>
    <w:p>
      <w:pPr>
        <w:spacing w:after="0" w:line="27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Dhiren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629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Dhiren Desai</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FIRST AMENDMENT TO CREDIT AGREEMENT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ANALOG DEVICES, INC.</w:t>
      </w:r>
    </w:p>
    <w:p>
      <w:pPr>
        <w:sectPr>
          <w:pgSz w:w="11900" w:h="16838" w:orient="portrait"/>
          <w:cols w:equalWidth="0" w:num="1">
            <w:col w:w="10220"/>
          </w:cols>
          <w:pgMar w:left="1440" w:top="132" w:right="239" w:bottom="1440" w:gutter="0" w:footer="0" w:header="0"/>
        </w:sectPr>
      </w:pPr>
    </w:p>
    <w:bookmarkStart w:id="67" w:name="page68"/>
    <w:bookmarkEnd w:id="67"/>
    <w:p>
      <w:pPr>
        <w:ind w:left="2700"/>
        <w:spacing w:after="0"/>
        <w:rPr>
          <w:sz w:val="20"/>
          <w:szCs w:val="20"/>
          <w:color w:val="auto"/>
        </w:rPr>
      </w:pPr>
      <w:r>
        <w:rPr>
          <w:rFonts w:ascii="Arial" w:cs="Arial" w:eastAsia="Arial" w:hAnsi="Arial"/>
          <w:sz w:val="22"/>
          <w:szCs w:val="22"/>
          <w:color w:val="auto"/>
        </w:rPr>
        <w:t>Morgan Stanley Bank, N.A., as a Lender</w:t>
      </w:r>
    </w:p>
    <w:p>
      <w:pPr>
        <w:spacing w:after="0" w:line="200" w:lineRule="exact"/>
        <w:rPr>
          <w:sz w:val="20"/>
          <w:szCs w:val="20"/>
          <w:color w:val="auto"/>
        </w:rPr>
      </w:pPr>
    </w:p>
    <w:p>
      <w:pPr>
        <w:spacing w:after="0" w:line="27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Christopher Winthrop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5379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3797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Christopher Winthrop</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FIRST AMENDMENT TO CREDIT AGREEMENT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ANALOG DEVICES, INC.</w:t>
      </w:r>
    </w:p>
    <w:p>
      <w:pPr>
        <w:sectPr>
          <w:pgSz w:w="11900" w:h="16838" w:orient="portrait"/>
          <w:cols w:equalWidth="0" w:num="1">
            <w:col w:w="10220"/>
          </w:cols>
          <w:pgMar w:left="1440" w:top="132" w:right="2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ACKNOWLEDGED AND AGREED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of the date first written above: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BANK OF AMERICA,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By: /s/ Brenda Schriner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3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Name: Brenda Schriner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FIRST AMENDMENT TO CREDIT AGREEMENT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ANALOG DEVICES, INC.</w:t>
      </w:r>
    </w:p>
    <w:p>
      <w:pPr>
        <w:sectPr>
          <w:pgSz w:w="11900" w:h="16838" w:orient="portrait"/>
          <w:cols w:equalWidth="0" w:num="1">
            <w:col w:w="11420"/>
          </w:cols>
          <w:pgMar w:left="240" w:top="132"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Vincent T. Roche, certify that:</w:t>
      </w:r>
    </w:p>
    <w:p>
      <w:pPr>
        <w:spacing w:after="0" w:line="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8"/>
          <w:szCs w:val="18"/>
          <w:color w:val="auto"/>
        </w:rPr>
        <w:t>Dated: August 26, 2014</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V</w:t>
      </w:r>
      <w:r>
        <w:rPr>
          <w:rFonts w:ascii="Arial" w:cs="Arial" w:eastAsia="Arial" w:hAnsi="Arial"/>
          <w:sz w:val="13"/>
          <w:szCs w:val="13"/>
          <w:color w:val="auto"/>
        </w:rPr>
        <w:t>INCENT</w:t>
      </w:r>
      <w:r>
        <w:rPr>
          <w:rFonts w:ascii="Arial" w:cs="Arial" w:eastAsia="Arial" w:hAnsi="Arial"/>
          <w:sz w:val="17"/>
          <w:szCs w:val="17"/>
          <w:color w:val="auto"/>
        </w:rPr>
        <w:t xml:space="preserve"> T. R</w:t>
      </w:r>
      <w:r>
        <w:rPr>
          <w:rFonts w:ascii="Arial" w:cs="Arial" w:eastAsia="Arial" w:hAnsi="Arial"/>
          <w:sz w:val="13"/>
          <w:szCs w:val="13"/>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Vincent T. Roche</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6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8"/>
          <w:szCs w:val="18"/>
          <w:color w:val="auto"/>
        </w:rPr>
        <w:t>Dated: August 26, 2014</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Vice President, Finance</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2, 2014 as filed with the Securities and Exchange Commission on the date hereof (the “Report”), the undersigned, Vincent T. Roche, Chief Executive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8"/>
          <w:szCs w:val="18"/>
          <w:color w:val="auto"/>
        </w:rPr>
        <w:t>Dated: August 26, 2014</w:t>
      </w:r>
      <w:r>
        <w:rPr>
          <w:sz w:val="20"/>
          <w:szCs w:val="20"/>
          <w:color w:val="auto"/>
        </w:rPr>
        <w:tab/>
      </w:r>
      <w:r>
        <w:rPr>
          <w:rFonts w:ascii="Arial" w:cs="Arial" w:eastAsia="Arial" w:hAnsi="Arial"/>
          <w:sz w:val="17"/>
          <w:szCs w:val="17"/>
          <w:color w:val="auto"/>
        </w:rPr>
        <w:t>/S/ V</w:t>
      </w:r>
      <w:r>
        <w:rPr>
          <w:rFonts w:ascii="Arial" w:cs="Arial" w:eastAsia="Arial" w:hAnsi="Arial"/>
          <w:sz w:val="13"/>
          <w:szCs w:val="13"/>
          <w:color w:val="auto"/>
        </w:rPr>
        <w:t>INCENT</w:t>
      </w:r>
      <w:r>
        <w:rPr>
          <w:rFonts w:ascii="Arial" w:cs="Arial" w:eastAsia="Arial" w:hAnsi="Arial"/>
          <w:sz w:val="17"/>
          <w:szCs w:val="17"/>
          <w:color w:val="auto"/>
        </w:rPr>
        <w:t xml:space="preserve"> T. R</w:t>
      </w:r>
      <w:r>
        <w:rPr>
          <w:rFonts w:ascii="Arial" w:cs="Arial" w:eastAsia="Arial" w:hAnsi="Arial"/>
          <w:sz w:val="13"/>
          <w:szCs w:val="13"/>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Vincent T. Roche</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2, 2014 as filed with the Securities and Exchange Commission on the date hereof (the “Report”), the undersigned, David A. Zinsner, Chief Financial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8"/>
          <w:szCs w:val="18"/>
          <w:color w:val="auto"/>
        </w:rPr>
        <w:t>Dated: August 26, 2014</w:t>
      </w:r>
      <w:r>
        <w:rPr>
          <w:sz w:val="20"/>
          <w:szCs w:val="20"/>
          <w:color w:val="auto"/>
        </w:rPr>
        <w:tab/>
      </w:r>
      <w:r>
        <w:rPr>
          <w:rFonts w:ascii="Arial" w:cs="Arial" w:eastAsia="Arial" w:hAnsi="Arial"/>
          <w:sz w:val="17"/>
          <w:szCs w:val="17"/>
          <w:color w:val="auto"/>
        </w:rPr>
        <w:t>/S/ D</w:t>
      </w:r>
      <w:r>
        <w:rPr>
          <w:rFonts w:ascii="Arial" w:cs="Arial" w:eastAsia="Arial" w:hAnsi="Arial"/>
          <w:sz w:val="13"/>
          <w:szCs w:val="13"/>
          <w:color w:val="auto"/>
        </w:rPr>
        <w:t>AVID</w:t>
      </w:r>
      <w:r>
        <w:rPr>
          <w:rFonts w:ascii="Arial" w:cs="Arial" w:eastAsia="Arial" w:hAnsi="Arial"/>
          <w:sz w:val="17"/>
          <w:szCs w:val="17"/>
          <w:color w:val="auto"/>
        </w:rPr>
        <w:t xml:space="preserve"> A. Z</w:t>
      </w:r>
      <w:r>
        <w:rPr>
          <w:rFonts w:ascii="Arial" w:cs="Arial" w:eastAsia="Arial" w:hAnsi="Arial"/>
          <w:sz w:val="13"/>
          <w:szCs w:val="13"/>
          <w:color w:val="auto"/>
        </w:rPr>
        <w:t>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2"/>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upperLetter"/>
      <w:start w:val="1"/>
    </w:lvl>
  </w:abstractNum>
  <w:abstractNum w:abstractNumId="22">
    <w:nsid w:val="189A769B"/>
    <w:multiLevelType w:val="hybridMultilevel"/>
    <w:lvl w:ilvl="0">
      <w:lvlJc w:val="left"/>
      <w:lvlText w:val="%1."/>
      <w:numFmt w:val="upperLetter"/>
      <w:start w:val="1"/>
    </w:lvl>
  </w:abstractNum>
  <w:abstractNum w:abstractNumId="23">
    <w:nsid w:val="54E49EB4"/>
    <w:multiLevelType w:val="hybridMultilevel"/>
    <w:lvl w:ilvl="0">
      <w:lvlJc w:val="left"/>
      <w:lvlText w:val="%1."/>
      <w:numFmt w:val="upperLetter"/>
      <w:start w:val="2"/>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2"/>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2019-12-05T03:02:32Z</dcterms:created>
  <dcterms:modified xsi:type="dcterms:W3CDTF">2019-12-05T03:02:32Z</dcterms:modified>
</cp:coreProperties>
</file>