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August 17, 2016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August 17, 2016, Analog Devices, Inc. (the “Registrant”) announced its financial results for its fiscal third quarter ended July 30, 2016.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August 17, 2016</w:t>
            </w:r>
          </w:p>
        </w:tc>
      </w:tr>
      <w:tr>
        <w:trPr>
          <w:trHeight w:val="230"/>
        </w:trPr>
        <w:tc>
          <w:tcPr>
            <w:tcW w:w="8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96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17, 2016</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Finance 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18" w:right="8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6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7"/>
              </w:rPr>
              <w:t>Press release dated August 17, 2016</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Third Quarter 2016 Results</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b w:val="1"/>
          <w:bCs w:val="1"/>
          <w:i w:val="1"/>
          <w:iCs w:val="1"/>
          <w:color w:val="auto"/>
        </w:rPr>
        <w:t>Revenue increases to $870 million, Free Cash Flow margin in the quarter increases over 600 basis points compared to the prior year</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NORWOOD, Mass.--(BUSINESS WIRE)--August 17, 2016--Analog Devices, Inc. (NASDAQ: ADI), today announced financial results for its third quarter of fiscal year 2016, which ended July 30, 2016.</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“We executed well in the third quarter and delivered revenue and diluted earnings per share results that exceeded our revised guidance,” said Vincent Roche, President and CEO. “During the quarter, we also announced the proposed acquisition of Linear Technology Corporation, a combination that will create a trusted analog industry leader, capable of delivering tremendous benefits to our customers, our employees, and our shareholders.”</w:t>
      </w:r>
    </w:p>
    <w:p>
      <w:pPr>
        <w:spacing w:after="0" w:line="18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“Looking ahead to the October quarter, we are planning for revenue to increase sequentially, and be in the range of $910 million to $970 million. By end market, we expect the industrial, automotive, and communications infrastructure markets, in the aggregate, to remain largely stable to their third quarter levels, and to increase in the low-to-mid-single digits compared to the prior year. In the consumer market, strong customer demand in the portables sector leads us to plan for continued sequential revenue growth in this market.”</w:t>
      </w:r>
    </w:p>
    <w:p>
      <w:pPr>
        <w:spacing w:after="0" w:line="188"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ADI also announced that the Board of Directors has declared a cash dividend of $0.42 per outstanding share of common stock. The dividend will be paid on September 7, 2016 to all shareholders of record at the close of business on August 26, 2016.</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for the Third Quarter of Fiscal Year 2016</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totaled $870 million, up 12% sequentially, and up 1%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80"/>
        <w:spacing w:after="0" w:line="251" w:lineRule="auto"/>
        <w:rPr>
          <w:sz w:val="20"/>
          <w:szCs w:val="20"/>
          <w:color w:val="auto"/>
        </w:rPr>
      </w:pPr>
      <w:r>
        <w:rPr>
          <w:rFonts w:ascii="Arial" w:cs="Arial" w:eastAsia="Arial" w:hAnsi="Arial"/>
          <w:sz w:val="22"/>
          <w:szCs w:val="22"/>
          <w:color w:val="auto"/>
        </w:rPr>
        <w:t>Revenue in ADI’s B2B markets of industrial, automotive, and communications infrastructure totaled $683 million, down 2% sequentially, and up 4%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gross margin of 65.8% of revenue; Non-GAAP gross margin of 66.0%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2440"/>
        <w:spacing w:after="0" w:line="379" w:lineRule="auto"/>
        <w:rPr>
          <w:sz w:val="20"/>
          <w:szCs w:val="20"/>
          <w:color w:val="auto"/>
        </w:rPr>
      </w:pPr>
      <w:r>
        <w:rPr>
          <w:rFonts w:ascii="Arial" w:cs="Arial" w:eastAsia="Arial" w:hAnsi="Arial"/>
          <w:sz w:val="22"/>
          <w:szCs w:val="22"/>
          <w:color w:val="auto"/>
        </w:rPr>
        <w:t>GAAP operating margin of 30.9% of revenue; Non-GAAP operating margin of 34.1% of revenue GAAP diluted EPS of $0.74; Non-GAAP diluted EPS of $0.82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-445770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-205740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Please refer to the schedules provided for a summary of revenue and earnings, selected balance sheet information, and the cash flow statement for the third quarter of fiscal year 2016, as well as the immediately prior and year-ago quarters. Additional information on revenue by end market is provided on Schedule 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Outlook for the Fourth Quarter of Fiscal Year 2016</w:t>
      </w:r>
    </w:p>
    <w:p>
      <w:pPr>
        <w:spacing w:after="0" w:line="14" w:lineRule="exact"/>
        <w:rPr>
          <w:sz w:val="20"/>
          <w:szCs w:val="20"/>
          <w:color w:val="auto"/>
        </w:rPr>
      </w:pPr>
    </w:p>
    <w:p>
      <w:pPr>
        <w:spacing w:after="0" w:line="280" w:lineRule="auto"/>
        <w:rPr>
          <w:sz w:val="20"/>
          <w:szCs w:val="20"/>
          <w:color w:val="auto"/>
        </w:rPr>
      </w:pPr>
      <w:r>
        <w:rPr>
          <w:rFonts w:ascii="Arial" w:cs="Arial" w:eastAsia="Arial" w:hAnsi="Arial"/>
          <w:sz w:val="19"/>
          <w:szCs w:val="19"/>
          <w:i w:val="1"/>
          <w:iCs w:val="1"/>
          <w:color w:val="auto"/>
        </w:rPr>
        <w:t>The following statements are based on current expectations, and as indicated, are presented on a GAAP and non-GAAP basis. These statements are forward-looking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4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GAAP</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9"/>
              </w:rPr>
              <w:t>Non-GAAP</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9"/>
              </w:rPr>
              <w:t>Non-GAAP</w:t>
            </w:r>
          </w:p>
        </w:tc>
      </w:tr>
      <w:tr>
        <w:trPr>
          <w:trHeight w:val="185"/>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760" w:type="dxa"/>
            <w:vAlign w:val="bottom"/>
            <w:tcBorders>
              <w:bottom w:val="single" w:sz="8" w:color="auto"/>
            </w:tcBorders>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2780" w:type="dxa"/>
            <w:vAlign w:val="bottom"/>
          </w:tcPr>
          <w:p>
            <w:pPr>
              <w:spacing w:after="0" w:line="133" w:lineRule="exact"/>
              <w:rPr>
                <w:sz w:val="20"/>
                <w:szCs w:val="20"/>
                <w:color w:val="auto"/>
              </w:rPr>
            </w:pPr>
            <w:r>
              <w:rPr>
                <w:rFonts w:ascii="Arial" w:cs="Arial" w:eastAsia="Arial" w:hAnsi="Arial"/>
                <w:sz w:val="14"/>
                <w:szCs w:val="14"/>
                <w:b w:val="1"/>
                <w:bCs w:val="1"/>
                <w:color w:val="auto"/>
              </w:rPr>
              <w:t>Revenue</w:t>
            </w:r>
          </w:p>
        </w:tc>
        <w:tc>
          <w:tcPr>
            <w:tcW w:w="3340" w:type="dxa"/>
            <w:vAlign w:val="bottom"/>
          </w:tcPr>
          <w:p>
            <w:pPr>
              <w:jc w:val="center"/>
              <w:ind w:left="508"/>
              <w:spacing w:after="0" w:line="133" w:lineRule="exact"/>
              <w:rPr>
                <w:sz w:val="20"/>
                <w:szCs w:val="20"/>
                <w:color w:val="auto"/>
              </w:rPr>
            </w:pPr>
            <w:r>
              <w:rPr>
                <w:rFonts w:ascii="Arial" w:cs="Arial" w:eastAsia="Arial" w:hAnsi="Arial"/>
                <w:sz w:val="14"/>
                <w:szCs w:val="14"/>
                <w:b w:val="1"/>
                <w:bCs w:val="1"/>
                <w:color w:val="auto"/>
                <w:w w:val="93"/>
              </w:rPr>
              <w:t>$910 million to $970</w:t>
            </w:r>
          </w:p>
        </w:tc>
        <w:tc>
          <w:tcPr>
            <w:tcW w:w="2520" w:type="dxa"/>
            <w:vAlign w:val="bottom"/>
          </w:tcPr>
          <w:p>
            <w:pPr>
              <w:spacing w:after="0"/>
              <w:rPr>
                <w:sz w:val="11"/>
                <w:szCs w:val="11"/>
                <w:color w:val="auto"/>
              </w:rPr>
            </w:pPr>
          </w:p>
        </w:tc>
        <w:tc>
          <w:tcPr>
            <w:tcW w:w="2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$910 million to $970</w:t>
            </w:r>
          </w:p>
        </w:tc>
      </w:tr>
      <w:tr>
        <w:trPr>
          <w:trHeight w:val="185"/>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7"/>
              </w:rPr>
              <w:t>million</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million</w:t>
            </w:r>
          </w:p>
        </w:tc>
      </w:tr>
      <w:tr>
        <w:trPr>
          <w:trHeight w:val="210"/>
        </w:trPr>
        <w:tc>
          <w:tcPr>
            <w:tcW w:w="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Gross Margin</w:t>
            </w:r>
          </w:p>
        </w:tc>
        <w:tc>
          <w:tcPr>
            <w:tcW w:w="334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2"/>
              </w:rPr>
              <w:t>approx. 65.2%</w:t>
            </w:r>
          </w:p>
        </w:tc>
        <w:tc>
          <w:tcPr>
            <w:tcW w:w="25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color w:val="auto"/>
                <w:w w:val="94"/>
              </w:rPr>
              <w:t xml:space="preserve">$2.5 million </w:t>
            </w:r>
            <w:r>
              <w:rPr>
                <w:rFonts w:ascii="Arial" w:cs="Arial" w:eastAsia="Arial" w:hAnsi="Arial"/>
                <w:sz w:val="23"/>
                <w:szCs w:val="23"/>
                <w:color w:val="auto"/>
                <w:w w:val="94"/>
                <w:vertAlign w:val="superscript"/>
              </w:rPr>
              <w:t>(1)</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approx. 65.5%</w:t>
            </w:r>
          </w:p>
        </w:tc>
      </w:tr>
      <w:tr>
        <w:trPr>
          <w:trHeight w:val="169"/>
        </w:trPr>
        <w:tc>
          <w:tcPr>
            <w:tcW w:w="28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340" w:type="dxa"/>
            <w:vAlign w:val="bottom"/>
          </w:tcPr>
          <w:p>
            <w:pPr>
              <w:jc w:val="center"/>
              <w:ind w:left="508"/>
              <w:spacing w:after="0"/>
              <w:rPr>
                <w:sz w:val="20"/>
                <w:szCs w:val="20"/>
                <w:color w:val="auto"/>
              </w:rPr>
            </w:pPr>
            <w:r>
              <w:rPr>
                <w:rFonts w:ascii="Arial" w:cs="Arial" w:eastAsia="Arial" w:hAnsi="Arial"/>
                <w:sz w:val="14"/>
                <w:szCs w:val="14"/>
                <w:color w:val="auto"/>
                <w:w w:val="99"/>
              </w:rPr>
              <w:t>Slightly up</w:t>
            </w:r>
          </w:p>
        </w:tc>
        <w:tc>
          <w:tcPr>
            <w:tcW w:w="2520" w:type="dxa"/>
            <w:vAlign w:val="bottom"/>
          </w:tcPr>
          <w:p>
            <w:pPr>
              <w:jc w:val="center"/>
              <w:spacing w:after="0" w:line="169" w:lineRule="exact"/>
              <w:rPr>
                <w:sz w:val="20"/>
                <w:szCs w:val="20"/>
                <w:color w:val="auto"/>
              </w:rPr>
            </w:pPr>
            <w:r>
              <w:rPr>
                <w:rFonts w:ascii="Arial" w:cs="Arial" w:eastAsia="Arial" w:hAnsi="Arial"/>
                <w:sz w:val="12"/>
                <w:szCs w:val="12"/>
                <w:color w:val="auto"/>
              </w:rPr>
              <w:t xml:space="preserve">$17.5 million </w:t>
            </w:r>
            <w:r>
              <w:rPr>
                <w:rFonts w:ascii="Arial" w:cs="Arial" w:eastAsia="Arial" w:hAnsi="Arial"/>
                <w:sz w:val="19"/>
                <w:szCs w:val="19"/>
                <w:color w:val="auto"/>
                <w:vertAlign w:val="superscript"/>
              </w:rPr>
              <w:t>(1)</w:t>
            </w:r>
          </w:p>
        </w:tc>
        <w:tc>
          <w:tcPr>
            <w:tcW w:w="2760" w:type="dxa"/>
            <w:vAlign w:val="bottom"/>
          </w:tcPr>
          <w:p>
            <w:pPr>
              <w:jc w:val="center"/>
              <w:spacing w:after="0"/>
              <w:rPr>
                <w:sz w:val="20"/>
                <w:szCs w:val="20"/>
                <w:color w:val="auto"/>
              </w:rPr>
            </w:pPr>
            <w:r>
              <w:rPr>
                <w:rFonts w:ascii="Arial" w:cs="Arial" w:eastAsia="Arial" w:hAnsi="Arial"/>
                <w:sz w:val="14"/>
                <w:szCs w:val="14"/>
                <w:color w:val="auto"/>
                <w:w w:val="99"/>
              </w:rPr>
              <w:t>Slightly up</w:t>
            </w:r>
          </w:p>
        </w:tc>
      </w:tr>
      <w:tr>
        <w:trPr>
          <w:trHeight w:val="149"/>
        </w:trPr>
        <w:tc>
          <w:tcPr>
            <w:tcW w:w="20" w:type="dxa"/>
            <w:vAlign w:val="bottom"/>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jc w:val="center"/>
              <w:ind w:left="488"/>
              <w:spacing w:after="0" w:line="149" w:lineRule="exact"/>
              <w:rPr>
                <w:sz w:val="20"/>
                <w:szCs w:val="20"/>
                <w:color w:val="auto"/>
              </w:rPr>
            </w:pPr>
            <w:r>
              <w:rPr>
                <w:rFonts w:ascii="Arial" w:cs="Arial" w:eastAsia="Arial" w:hAnsi="Arial"/>
                <w:sz w:val="14"/>
                <w:szCs w:val="14"/>
                <w:color w:val="auto"/>
                <w:w w:val="94"/>
              </w:rPr>
              <w:t>sequentially</w:t>
            </w:r>
          </w:p>
        </w:tc>
        <w:tc>
          <w:tcPr>
            <w:tcW w:w="25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sequentially</w:t>
            </w:r>
          </w:p>
        </w:tc>
      </w:tr>
      <w:tr>
        <w:trPr>
          <w:trHeight w:val="169"/>
        </w:trPr>
        <w:tc>
          <w:tcPr>
            <w:tcW w:w="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Interest &amp; Other Expense</w:t>
            </w:r>
          </w:p>
        </w:tc>
        <w:tc>
          <w:tcPr>
            <w:tcW w:w="33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w w:val="99"/>
              </w:rPr>
              <w:t>$20.0 million</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$20.0 million</w:t>
            </w:r>
          </w:p>
        </w:tc>
      </w:tr>
      <w:tr>
        <w:trPr>
          <w:trHeight w:val="169"/>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Rate</w:t>
            </w:r>
          </w:p>
        </w:tc>
        <w:tc>
          <w:tcPr>
            <w:tcW w:w="334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2"/>
              </w:rPr>
              <w:t>approx. 12.5%</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approx. 12.0%</w:t>
            </w:r>
          </w:p>
        </w:tc>
      </w:tr>
      <w:tr>
        <w:trPr>
          <w:trHeight w:val="210"/>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 per Share</w:t>
            </w:r>
          </w:p>
        </w:tc>
        <w:tc>
          <w:tcPr>
            <w:tcW w:w="334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2"/>
              </w:rPr>
              <w:t>$0.78 to $0.88</w:t>
            </w:r>
          </w:p>
        </w:tc>
        <w:tc>
          <w:tcPr>
            <w:tcW w:w="25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color w:val="auto"/>
                <w:w w:val="86"/>
              </w:rPr>
              <w:t xml:space="preserve">$0.06 </w:t>
            </w:r>
            <w:r>
              <w:rPr>
                <w:rFonts w:ascii="Arial" w:cs="Arial" w:eastAsia="Arial" w:hAnsi="Arial"/>
                <w:sz w:val="23"/>
                <w:szCs w:val="23"/>
                <w:color w:val="auto"/>
                <w:w w:val="86"/>
                <w:vertAlign w:val="superscript"/>
              </w:rPr>
              <w:t>(2)</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$0.84 to $0.94</w:t>
            </w:r>
          </w:p>
        </w:tc>
      </w:tr>
      <w:tr>
        <w:trPr>
          <w:trHeight w:val="304"/>
        </w:trPr>
        <w:tc>
          <w:tcPr>
            <w:tcW w:w="20" w:type="dxa"/>
            <w:vAlign w:val="bottom"/>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6" w:name="page7"/>
    <w:bookmarkEnd w:id="6"/>
    <w:p>
      <w:pPr>
        <w:ind w:right="320" w:firstLine="8"/>
        <w:spacing w:after="0" w:line="251" w:lineRule="auto"/>
        <w:tabs>
          <w:tab w:leader="none" w:pos="216" w:val="left"/>
        </w:tabs>
        <w:numPr>
          <w:ilvl w:val="0"/>
          <w:numId w:val="1"/>
        </w:numPr>
        <w:rPr>
          <w:rFonts w:ascii="Arial" w:cs="Arial" w:eastAsia="Arial" w:hAnsi="Arial"/>
          <w:sz w:val="22"/>
          <w:szCs w:val="22"/>
          <w:color w:val="auto"/>
        </w:rPr>
      </w:pPr>
      <w:r>
        <w:rPr>
          <w:rFonts w:ascii="Arial" w:cs="Arial" w:eastAsia="Arial" w:hAnsi="Arial"/>
          <w:sz w:val="22"/>
          <w:szCs w:val="22"/>
          <w:color w:val="auto"/>
        </w:rPr>
        <w:t>Reflects estimated adjustments for amortization of purchased intangible assets and depreciation of step up value on purchased fixed assets.</w:t>
      </w:r>
    </w:p>
    <w:p>
      <w:pPr>
        <w:spacing w:after="0" w:line="17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estimated impact of expenses associated with non-GAAP adjustments on a per share basis.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Scheduled for Today, Wednesday, August 17, 2016 at 10:00 am ET</w:t>
      </w:r>
    </w:p>
    <w:p>
      <w:pPr>
        <w:spacing w:after="0" w:line="14"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ADI will host a conference call to discuss third quarter fiscal 2016 results and short-term outlook today, beginning at 10:00 am ET. Investors may join via webcast, accessible at investor.analog.com, or by telephone (call 706-634-7193 ten minutes before the call begins and provide the password "ADI").</w:t>
      </w:r>
    </w:p>
    <w:p>
      <w:pPr>
        <w:spacing w:after="0" w:line="187"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 xml:space="preserve">A replay will be available two hours after the completion of the call. The replay may be accessed for up to two weeks by dialing 855-859-2056 (replay only) and providing the conference ID: </w:t>
      </w:r>
      <w:r>
        <w:rPr>
          <w:rFonts w:ascii="Arial" w:cs="Arial" w:eastAsia="Arial" w:hAnsi="Arial"/>
          <w:sz w:val="21"/>
          <w:szCs w:val="21"/>
          <w:b w:val="1"/>
          <w:bCs w:val="1"/>
          <w:color w:val="auto"/>
        </w:rPr>
        <w:t>18291939</w:t>
      </w:r>
      <w:r>
        <w:rPr>
          <w:rFonts w:ascii="Arial" w:cs="Arial" w:eastAsia="Arial" w:hAnsi="Arial"/>
          <w:sz w:val="21"/>
          <w:szCs w:val="21"/>
          <w:color w:val="auto"/>
        </w:rPr>
        <w:t>, or by visiting investor.analog.com.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14" w:lineRule="exact"/>
        <w:rPr>
          <w:sz w:val="20"/>
          <w:szCs w:val="20"/>
          <w:color w:val="auto"/>
        </w:rPr>
      </w:pPr>
    </w:p>
    <w:p>
      <w:pPr>
        <w:jc w:val="both"/>
        <w:ind w:right="500"/>
        <w:spacing w:after="0" w:line="249"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i w:val="1"/>
          <w:iCs w:val="1"/>
          <w:color w:val="auto"/>
        </w:rPr>
        <w:t>Schedule E of this press release provides the reconciliation of the Company’s historical non-GAAP revenue and earnings measures to its GAAP measures.</w:t>
      </w:r>
    </w:p>
    <w:p>
      <w:pPr>
        <w:spacing w:after="0" w:line="17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Management uses non-GAAP measures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believes that the presentation of these non-GAAP items is useful to investors because it provides investors with the operating results that management uses to manage the Company and enables investors and analysts to evaluate the Company’s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22"/>
          <w:szCs w:val="22"/>
          <w:b w:val="1"/>
          <w:bCs w:val="1"/>
          <w:color w:val="auto"/>
        </w:rPr>
        <w:t>The following items are excluded from our non-GAAP gross margin, non-GAAP operating expenses, non-GAAP operating income, non-GAAP operating margin, and non-GAAP diluted earnings per share:</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i w:val="1"/>
          <w:iCs w:val="1"/>
          <w:color w:val="auto"/>
        </w:rPr>
        <w:t>Acquisition-Related Expenses</w:t>
      </w:r>
      <w:r>
        <w:rPr>
          <w:rFonts w:ascii="Arial" w:cs="Arial" w:eastAsia="Arial" w:hAnsi="Arial"/>
          <w:sz w:val="19"/>
          <w:szCs w:val="19"/>
          <w:color w:val="auto"/>
        </w:rPr>
        <w:t>: Expenses incurred as a result of prior period acquisitions primarily include expense associated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 adjustments to property, plant and equipment and amortization of acquisition related intangibles, which include acquired intangibles such as purchased technology and customer relationships. We excluded these costs from our non-GAAP measures because they relate to a specific transaction and are not reflective of our ongoing financial performance.</w:t>
      </w:r>
    </w:p>
    <w:p>
      <w:pPr>
        <w:spacing w:after="0" w:line="137" w:lineRule="exact"/>
        <w:rPr>
          <w:sz w:val="20"/>
          <w:szCs w:val="20"/>
          <w:color w:val="auto"/>
        </w:rPr>
      </w:pPr>
    </w:p>
    <w:p>
      <w:pPr>
        <w:ind w:right="560"/>
        <w:spacing w:after="0" w:line="256" w:lineRule="auto"/>
        <w:rPr>
          <w:sz w:val="20"/>
          <w:szCs w:val="20"/>
          <w:color w:val="auto"/>
        </w:rPr>
      </w:pPr>
      <w:r>
        <w:rPr>
          <w:rFonts w:ascii="Arial" w:cs="Arial" w:eastAsia="Arial" w:hAnsi="Arial"/>
          <w:sz w:val="22"/>
          <w:szCs w:val="22"/>
          <w:b w:val="1"/>
          <w:bCs w:val="1"/>
          <w:color w:val="auto"/>
        </w:rPr>
        <w:t>The following items are excluded from our non-GAAP operating expenses, non-GAAP operating income, non-GAAP operating margin, and non-GAAP diluted earnings per share:</w:t>
      </w:r>
    </w:p>
    <w:p>
      <w:pPr>
        <w:spacing w:after="0" w:line="16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i w:val="1"/>
          <w:iCs w:val="1"/>
          <w:color w:val="auto"/>
        </w:rPr>
        <w:t xml:space="preserve">Acquisition-Related Transaction Costs: </w:t>
      </w:r>
      <w:r>
        <w:rPr>
          <w:rFonts w:ascii="Arial" w:cs="Arial" w:eastAsia="Arial" w:hAnsi="Arial"/>
          <w:sz w:val="22"/>
          <w:szCs w:val="22"/>
          <w:color w:val="auto"/>
        </w:rPr>
        <w:t>Costs incurred as a result of the Hittite acquisition and the proposed Linear Technology</w:t>
      </w:r>
      <w:r>
        <w:rPr>
          <w:rFonts w:ascii="Arial" w:cs="Arial" w:eastAsia="Arial" w:hAnsi="Arial"/>
          <w:sz w:val="22"/>
          <w:szCs w:val="22"/>
          <w:i w:val="1"/>
          <w:iCs w:val="1"/>
          <w:color w:val="auto"/>
        </w:rPr>
        <w:t xml:space="preserve"> </w:t>
      </w:r>
      <w:r>
        <w:rPr>
          <w:rFonts w:ascii="Arial" w:cs="Arial" w:eastAsia="Arial" w:hAnsi="Arial"/>
          <w:sz w:val="22"/>
          <w:szCs w:val="22"/>
          <w:color w:val="auto"/>
        </w:rPr>
        <w:t>acquisition, including legal, accounting and other professional fees directly related to these acquisitions. We excluded these costs from our non-GAAP measures because they relate to specific transactions and are not reflective of our ongoing financial performance.</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 xml:space="preserve">Restructuring-Related Expenses: </w:t>
      </w:r>
      <w:r>
        <w:rPr>
          <w:rFonts w:ascii="Arial" w:cs="Arial" w:eastAsia="Arial" w:hAnsi="Arial"/>
          <w:sz w:val="22"/>
          <w:szCs w:val="22"/>
          <w:color w:val="auto"/>
        </w:rPr>
        <w:t>These expenses are incurred in connection with facility closures, consolidation of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facilities, severance, and other cost reduction efforts. We excluded these expenses from our non-GAAP measures because apart from ongoing expense savings as a result of such items, these expenses and the related tax effects have no direct correlation to the operation of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The following items are excluded from our non-GAAP diluted earnings per share:</w:t>
      </w:r>
    </w:p>
    <w:p>
      <w:pPr>
        <w:spacing w:after="0" w:line="213"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i w:val="1"/>
          <w:iCs w:val="1"/>
          <w:color w:val="auto"/>
        </w:rPr>
        <w:t xml:space="preserve">Tax-Related Items: </w:t>
      </w:r>
      <w:r>
        <w:rPr>
          <w:rFonts w:ascii="Arial" w:cs="Arial" w:eastAsia="Arial" w:hAnsi="Arial"/>
          <w:sz w:val="19"/>
          <w:szCs w:val="19"/>
          <w:color w:val="auto"/>
        </w:rPr>
        <w:t>Tax adjustments associated with the non-GAAP items discussed above. We excluded these tax-related items</w:t>
      </w:r>
      <w:r>
        <w:rPr>
          <w:rFonts w:ascii="Arial" w:cs="Arial" w:eastAsia="Arial" w:hAnsi="Arial"/>
          <w:sz w:val="19"/>
          <w:szCs w:val="19"/>
          <w:i w:val="1"/>
          <w:iCs w:val="1"/>
          <w:color w:val="auto"/>
        </w:rPr>
        <w:t xml:space="preserve"> </w:t>
      </w:r>
      <w:r>
        <w:rPr>
          <w:rFonts w:ascii="Arial" w:cs="Arial" w:eastAsia="Arial" w:hAnsi="Arial"/>
          <w:sz w:val="19"/>
          <w:szCs w:val="19"/>
          <w:color w:val="auto"/>
        </w:rPr>
        <w:t>from our non-GAAP measures because they are not associated with the tax expense on our current operating results.</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Analog Devices believes that these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Investors should consider our non-GAAP financial measures in conjunction with the corresponding GAAP measures.</w:t>
      </w:r>
    </w:p>
    <w:p>
      <w:pPr>
        <w:spacing w:after="0" w:line="20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i w:val="1"/>
          <w:iCs w:val="1"/>
          <w:color w:val="auto"/>
        </w:rPr>
        <w:t>Free cash flow is defined as cash provided by (used in) operating activities less capital expenditures. Schedule F of this press release provides a calculation of supplemental free cash flow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Analog Devices</w:t>
      </w:r>
    </w:p>
    <w:p>
      <w:pPr>
        <w:spacing w:after="0" w:line="15"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 xml:space="preserve">Analog Devices designs and manufactures semiconductor products and solutions. We enable our customers to interpret the world around us by intelligently bridging the physical and digital with unmatched technologies that sense, measure and connect. Visit </w:t>
      </w:r>
      <w:r>
        <w:rPr>
          <w:rFonts w:ascii="Arial" w:cs="Arial" w:eastAsia="Arial" w:hAnsi="Arial"/>
          <w:sz w:val="22"/>
          <w:szCs w:val="22"/>
          <w:u w:val="single" w:color="auto"/>
          <w:color w:val="auto"/>
        </w:rPr>
        <w:t>http://www.analog.com</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earnings per share, gross margin, operating expenses, interest and other expense, tax rate, and other financial results, expected operating leverage, production and inventory levels, expected market trends, and expected customer demand and order rates for our products, the proposed acquisition of Linear Technology Corporation (“Linear Technology”), the expected benefits and synergies of the transaction, expected growth rates of the combined companies,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the ability to satisfy the conditions to closing of the proposed transaction with Linear Technology,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with Linear Technology;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Important Additional Information Will Be Filed With The SEC</w:t>
      </w:r>
    </w:p>
    <w:p>
      <w:pPr>
        <w:spacing w:after="0" w:line="15"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 xml:space="preserve">In connection with the proposed transaction, Analog Devices and Linear Technology intend to file relevant information with the SEC, including a registration statement of Analog Devices on Form S-4 (the “registration statement”) that will include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t>
      </w:r>
      <w:r>
        <w:rPr>
          <w:rFonts w:ascii="Arial" w:cs="Arial" w:eastAsia="Arial" w:hAnsi="Arial"/>
          <w:sz w:val="19"/>
          <w:szCs w:val="19"/>
          <w:u w:val="single" w:color="auto"/>
          <w:color w:val="auto"/>
        </w:rPr>
        <w:t>www.analog.com</w:t>
      </w:r>
      <w:r>
        <w:rPr>
          <w:rFonts w:ascii="Arial" w:cs="Arial" w:eastAsia="Arial" w:hAnsi="Arial"/>
          <w:sz w:val="19"/>
          <w:szCs w:val="19"/>
          <w:color w:val="auto"/>
        </w:rPr>
        <w:t xml:space="preserve"> or at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t>
      </w:r>
      <w:r>
        <w:rPr>
          <w:rFonts w:ascii="Arial" w:cs="Arial" w:eastAsia="Arial" w:hAnsi="Arial"/>
          <w:sz w:val="19"/>
          <w:szCs w:val="19"/>
          <w:u w:val="single" w:color="auto"/>
          <w:color w:val="auto"/>
        </w:rPr>
        <w:t>www.linear.com</w:t>
      </w:r>
      <w:r>
        <w:rPr>
          <w:rFonts w:ascii="Arial" w:cs="Arial" w:eastAsia="Arial" w:hAnsi="Arial"/>
          <w:sz w:val="19"/>
          <w:szCs w:val="19"/>
          <w:color w:val="auto"/>
        </w:rPr>
        <w:t xml:space="preserve"> or at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These documents may also be obtained free of charge from Linear Technology by requesting them by mail at Linear Technology Corporation, 1630 McCarthy Blvd., Milpitas, CA, 95035-7417, Attention: Investor Relations, or by telephone at (408) 432-2407.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4"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 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Non-Solicitation</w:t>
      </w:r>
    </w:p>
    <w:p>
      <w:pPr>
        <w:spacing w:after="0" w:line="14"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Analog Devices, Third Quarter, Fiscal 2016</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A</w:t>
            </w:r>
          </w:p>
        </w:tc>
        <w:tc>
          <w:tcPr>
            <w:tcW w:w="124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4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Revenue and Earnings Summary (Unaudited)</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1"/>
              </w:rPr>
              <w:t>(In thousands, except per-share amounts)</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3Q 16</w:t>
            </w:r>
          </w:p>
        </w:tc>
        <w:tc>
          <w:tcPr>
            <w:tcW w:w="400" w:type="dxa"/>
            <w:vAlign w:val="bottom"/>
          </w:tcPr>
          <w:p>
            <w:pPr>
              <w:spacing w:after="0"/>
              <w:rPr>
                <w:sz w:val="13"/>
                <w:szCs w:val="13"/>
                <w:color w:val="auto"/>
              </w:rPr>
            </w:pPr>
          </w:p>
        </w:tc>
        <w:tc>
          <w:tcPr>
            <w:tcW w:w="1240" w:type="dxa"/>
            <w:vAlign w:val="bottom"/>
          </w:tcPr>
          <w:p>
            <w:pPr>
              <w:jc w:val="center"/>
              <w:ind w:right="328"/>
              <w:spacing w:after="0" w:line="160" w:lineRule="exact"/>
              <w:rPr>
                <w:sz w:val="20"/>
                <w:szCs w:val="20"/>
                <w:color w:val="auto"/>
              </w:rPr>
            </w:pPr>
            <w:r>
              <w:rPr>
                <w:rFonts w:ascii="Arial" w:cs="Arial" w:eastAsia="Arial" w:hAnsi="Arial"/>
                <w:sz w:val="14"/>
                <w:szCs w:val="14"/>
                <w:b w:val="1"/>
                <w:bCs w:val="1"/>
                <w:color w:val="auto"/>
                <w:w w:val="94"/>
              </w:rPr>
              <w:t>2Q 16</w:t>
            </w:r>
          </w:p>
        </w:tc>
        <w:tc>
          <w:tcPr>
            <w:tcW w:w="360" w:type="dxa"/>
            <w:vAlign w:val="bottom"/>
          </w:tcPr>
          <w:p>
            <w:pPr>
              <w:spacing w:after="0"/>
              <w:rPr>
                <w:sz w:val="13"/>
                <w:szCs w:val="13"/>
                <w:color w:val="auto"/>
              </w:rPr>
            </w:pPr>
          </w:p>
        </w:tc>
        <w:tc>
          <w:tcPr>
            <w:tcW w:w="104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3Q 15</w:t>
            </w: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July 30,</w:t>
            </w:r>
          </w:p>
        </w:tc>
        <w:tc>
          <w:tcPr>
            <w:tcW w:w="400" w:type="dxa"/>
            <w:vAlign w:val="bottom"/>
          </w:tcPr>
          <w:p>
            <w:pPr>
              <w:spacing w:after="0"/>
              <w:rPr>
                <w:sz w:val="12"/>
                <w:szCs w:val="12"/>
                <w:color w:val="auto"/>
              </w:rPr>
            </w:pPr>
          </w:p>
        </w:tc>
        <w:tc>
          <w:tcPr>
            <w:tcW w:w="124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April 30,</w:t>
            </w:r>
          </w:p>
        </w:tc>
        <w:tc>
          <w:tcPr>
            <w:tcW w:w="360" w:type="dxa"/>
            <w:vAlign w:val="bottom"/>
          </w:tcPr>
          <w:p>
            <w:pPr>
              <w:spacing w:after="0"/>
              <w:rPr>
                <w:sz w:val="12"/>
                <w:szCs w:val="12"/>
                <w:color w:val="auto"/>
              </w:rPr>
            </w:pPr>
          </w:p>
        </w:tc>
        <w:tc>
          <w:tcPr>
            <w:tcW w:w="104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Aug 1,</w:t>
            </w:r>
          </w:p>
        </w:tc>
      </w:tr>
      <w:tr>
        <w:trPr>
          <w:trHeight w:val="185"/>
        </w:trPr>
        <w:tc>
          <w:tcPr>
            <w:tcW w:w="20" w:type="dxa"/>
            <w:vAlign w:val="bottom"/>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Revenue</w:t>
            </w:r>
          </w:p>
        </w:tc>
        <w:tc>
          <w:tcPr>
            <w:tcW w:w="34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869,591</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778,766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863,365</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400" w:type="dxa"/>
            <w:vAlign w:val="bottom"/>
          </w:tcPr>
          <w:p>
            <w:pPr>
              <w:spacing w:after="0"/>
              <w:rPr>
                <w:sz w:val="15"/>
                <w:szCs w:val="15"/>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w:t>
            </w: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297,301</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267,863</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294,328</w:t>
            </w: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572,290</w:t>
            </w:r>
          </w:p>
        </w:tc>
        <w:tc>
          <w:tcPr>
            <w:tcW w:w="40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510,903</w:t>
            </w:r>
          </w:p>
        </w:tc>
        <w:tc>
          <w:tcPr>
            <w:tcW w:w="36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569,037</w:t>
            </w: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Gross margin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65.8%</w:t>
            </w:r>
          </w:p>
        </w:tc>
        <w:tc>
          <w:tcPr>
            <w:tcW w:w="400" w:type="dxa"/>
            <w:vAlign w:val="bottom"/>
          </w:tcPr>
          <w:p>
            <w:pPr>
              <w:spacing w:after="0"/>
              <w:rPr>
                <w:sz w:val="15"/>
                <w:szCs w:val="15"/>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65.6%</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65.9%</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(80)</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50</w:t>
            </w: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360</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w:t>
            </w: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Operating expenses: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R&amp;D (1)</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163,227</w:t>
            </w:r>
          </w:p>
        </w:tc>
        <w:tc>
          <w:tcPr>
            <w:tcW w:w="400" w:type="dxa"/>
            <w:vAlign w:val="bottom"/>
          </w:tcPr>
          <w:p>
            <w:pPr>
              <w:spacing w:after="0"/>
              <w:rPr>
                <w:sz w:val="15"/>
                <w:szCs w:val="15"/>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160,235</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160,784</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122,909</w:t>
            </w:r>
          </w:p>
        </w:tc>
        <w:tc>
          <w:tcPr>
            <w:tcW w:w="400" w:type="dxa"/>
            <w:vAlign w:val="bottom"/>
          </w:tcPr>
          <w:p>
            <w:pPr>
              <w:spacing w:after="0"/>
              <w:rPr>
                <w:sz w:val="15"/>
                <w:szCs w:val="15"/>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112,186</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120,030</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Amortization of intangibles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17,447</w:t>
            </w:r>
          </w:p>
        </w:tc>
        <w:tc>
          <w:tcPr>
            <w:tcW w:w="400" w:type="dxa"/>
            <w:vAlign w:val="bottom"/>
          </w:tcPr>
          <w:p>
            <w:pPr>
              <w:spacing w:after="0"/>
              <w:rPr>
                <w:sz w:val="15"/>
                <w:szCs w:val="15"/>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17,419</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22,954</w:t>
            </w: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13,684</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303,583</w:t>
            </w:r>
          </w:p>
        </w:tc>
        <w:tc>
          <w:tcPr>
            <w:tcW w:w="40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303,524</w:t>
            </w:r>
          </w:p>
        </w:tc>
        <w:tc>
          <w:tcPr>
            <w:tcW w:w="36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303,768</w:t>
            </w: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Total operating expenses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34.9%</w:t>
            </w:r>
          </w:p>
        </w:tc>
        <w:tc>
          <w:tcPr>
            <w:tcW w:w="400" w:type="dxa"/>
            <w:vAlign w:val="bottom"/>
          </w:tcPr>
          <w:p>
            <w:pPr>
              <w:spacing w:after="0"/>
              <w:rPr>
                <w:sz w:val="15"/>
                <w:szCs w:val="15"/>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39.0%</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35.2%</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(30)</w:t>
            </w:r>
          </w:p>
        </w:tc>
        <w:tc>
          <w:tcPr>
            <w:tcW w:w="400" w:type="dxa"/>
            <w:vAlign w:val="bottom"/>
          </w:tcPr>
          <w:p>
            <w:pPr>
              <w:spacing w:after="0"/>
              <w:rPr>
                <w:sz w:val="15"/>
                <w:szCs w:val="15"/>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300</w:t>
            </w:r>
          </w:p>
        </w:tc>
        <w:tc>
          <w:tcPr>
            <w:tcW w:w="36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(240)</w:t>
            </w: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230</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Operating income</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268,707</w:t>
            </w:r>
          </w:p>
        </w:tc>
        <w:tc>
          <w:tcPr>
            <w:tcW w:w="40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207,379</w:t>
            </w:r>
          </w:p>
        </w:tc>
        <w:tc>
          <w:tcPr>
            <w:tcW w:w="36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265,269</w:t>
            </w: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Operating income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30.9%</w:t>
            </w:r>
          </w:p>
        </w:tc>
        <w:tc>
          <w:tcPr>
            <w:tcW w:w="400" w:type="dxa"/>
            <w:vAlign w:val="bottom"/>
          </w:tcPr>
          <w:p>
            <w:pPr>
              <w:spacing w:after="0"/>
              <w:rPr>
                <w:sz w:val="15"/>
                <w:szCs w:val="15"/>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26.6%</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30.7%</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(370)</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290</w:t>
            </w: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430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130</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w:t>
            </w:r>
          </w:p>
        </w:tc>
      </w:tr>
      <w:tr>
        <w:trPr>
          <w:trHeight w:val="169"/>
        </w:trPr>
        <w:tc>
          <w:tcPr>
            <w:tcW w:w="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expense</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12,307</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12,469</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5,791</w:t>
            </w: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Income before income tax</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256,400</w:t>
            </w:r>
          </w:p>
        </w:tc>
        <w:tc>
          <w:tcPr>
            <w:tcW w:w="40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194,910</w:t>
            </w:r>
          </w:p>
        </w:tc>
        <w:tc>
          <w:tcPr>
            <w:tcW w:w="36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259,478</w:t>
            </w: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25,970</w:t>
            </w:r>
          </w:p>
        </w:tc>
        <w:tc>
          <w:tcPr>
            <w:tcW w:w="400" w:type="dxa"/>
            <w:vAlign w:val="bottom"/>
          </w:tcPr>
          <w:p>
            <w:pPr>
              <w:spacing w:after="0"/>
              <w:rPr>
                <w:sz w:val="15"/>
                <w:szCs w:val="15"/>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24,337</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43,000</w:t>
            </w: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rate percentage</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12.5%</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w:t>
            </w:r>
          </w:p>
        </w:tc>
      </w:tr>
      <w:tr>
        <w:trPr>
          <w:trHeight w:val="169"/>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230,430</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170,573</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216,478</w:t>
            </w: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307,135</w:t>
            </w:r>
          </w:p>
        </w:tc>
        <w:tc>
          <w:tcPr>
            <w:tcW w:w="400" w:type="dxa"/>
            <w:vAlign w:val="bottom"/>
          </w:tcPr>
          <w:p>
            <w:pPr>
              <w:spacing w:after="0"/>
              <w:rPr>
                <w:sz w:val="24"/>
                <w:szCs w:val="2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308,790</w:t>
            </w:r>
          </w:p>
        </w:tc>
        <w:tc>
          <w:tcPr>
            <w:tcW w:w="360" w:type="dxa"/>
            <w:vAlign w:val="bottom"/>
          </w:tcPr>
          <w:p>
            <w:pPr>
              <w:spacing w:after="0"/>
              <w:rPr>
                <w:sz w:val="24"/>
                <w:szCs w:val="2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313,877</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310,558</w:t>
            </w:r>
          </w:p>
        </w:tc>
        <w:tc>
          <w:tcPr>
            <w:tcW w:w="400" w:type="dxa"/>
            <w:vAlign w:val="bottom"/>
          </w:tcPr>
          <w:p>
            <w:pPr>
              <w:spacing w:after="0"/>
              <w:rPr>
                <w:sz w:val="15"/>
                <w:szCs w:val="15"/>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312,250</w:t>
            </w:r>
          </w:p>
        </w:tc>
        <w:tc>
          <w:tcPr>
            <w:tcW w:w="360" w:type="dxa"/>
            <w:vAlign w:val="bottom"/>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318,187</w:t>
            </w:r>
          </w:p>
        </w:tc>
      </w:tr>
      <w:tr>
        <w:trPr>
          <w:trHeight w:val="344"/>
        </w:trPr>
        <w:tc>
          <w:tcPr>
            <w:tcW w:w="386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4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0.75</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0.55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0.69</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4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0.74</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0.55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0.68</w:t>
            </w:r>
          </w:p>
        </w:tc>
      </w:tr>
      <w:tr>
        <w:trPr>
          <w:trHeight w:val="350"/>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0.42</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0.42</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0.40</w:t>
            </w: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4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1,844</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1,986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2,196</w:t>
            </w: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R&amp;D</w:t>
            </w:r>
          </w:p>
        </w:tc>
        <w:tc>
          <w:tcPr>
            <w:tcW w:w="34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6,682</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6,646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6,839</w:t>
            </w:r>
          </w:p>
        </w:tc>
      </w:tr>
      <w:tr>
        <w:trPr>
          <w:trHeight w:val="182"/>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4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8,093</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68"/>
              <w:spacing w:after="0"/>
              <w:rPr>
                <w:sz w:val="20"/>
                <w:szCs w:val="20"/>
                <w:color w:val="auto"/>
              </w:rPr>
            </w:pPr>
            <w:r>
              <w:rPr>
                <w:rFonts w:ascii="Arial" w:cs="Arial" w:eastAsia="Arial" w:hAnsi="Arial"/>
                <w:sz w:val="14"/>
                <w:szCs w:val="14"/>
                <w:color w:val="auto"/>
              </w:rPr>
              <w:t>7,327</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7,329</w:t>
            </w:r>
          </w:p>
        </w:tc>
      </w:tr>
      <w:tr>
        <w:trPr>
          <w:trHeight w:val="309"/>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3"/>
              </w:rPr>
              <w:t>Analog Devices, Third Quarter, Fiscal 2016</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Schedule B</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58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3"/>
              </w:rPr>
              <w:t>Selected Balance Sheet Information (Unaudited)</w:t>
            </w: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3"/>
              </w:rPr>
              <w:t>(In thousands)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ind w:right="528"/>
              <w:spacing w:after="0"/>
              <w:rPr>
                <w:sz w:val="20"/>
                <w:szCs w:val="20"/>
                <w:color w:val="auto"/>
              </w:rPr>
            </w:pPr>
            <w:r>
              <w:rPr>
                <w:rFonts w:ascii="Arial" w:cs="Arial" w:eastAsia="Arial" w:hAnsi="Arial"/>
                <w:sz w:val="14"/>
                <w:szCs w:val="14"/>
                <w:b w:val="1"/>
                <w:bCs w:val="1"/>
                <w:color w:val="auto"/>
                <w:w w:val="94"/>
              </w:rPr>
              <w:t>3Q 16</w:t>
            </w:r>
          </w:p>
        </w:tc>
        <w:tc>
          <w:tcPr>
            <w:tcW w:w="440" w:type="dxa"/>
            <w:vAlign w:val="bottom"/>
          </w:tcPr>
          <w:p>
            <w:pPr>
              <w:spacing w:after="0"/>
              <w:rPr>
                <w:sz w:val="24"/>
                <w:szCs w:val="24"/>
                <w:color w:val="auto"/>
              </w:rPr>
            </w:pPr>
          </w:p>
        </w:tc>
        <w:tc>
          <w:tcPr>
            <w:tcW w:w="1300" w:type="dxa"/>
            <w:vAlign w:val="bottom"/>
          </w:tcPr>
          <w:p>
            <w:pPr>
              <w:jc w:val="center"/>
              <w:ind w:right="348"/>
              <w:spacing w:after="0"/>
              <w:rPr>
                <w:sz w:val="20"/>
                <w:szCs w:val="20"/>
                <w:color w:val="auto"/>
              </w:rPr>
            </w:pPr>
            <w:r>
              <w:rPr>
                <w:rFonts w:ascii="Arial" w:cs="Arial" w:eastAsia="Arial" w:hAnsi="Arial"/>
                <w:sz w:val="14"/>
                <w:szCs w:val="14"/>
                <w:b w:val="1"/>
                <w:bCs w:val="1"/>
                <w:color w:val="auto"/>
                <w:w w:val="94"/>
              </w:rPr>
              <w:t>2Q 16</w:t>
            </w:r>
          </w:p>
        </w:tc>
        <w:tc>
          <w:tcPr>
            <w:tcW w:w="44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3Q 15</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w w:val="89"/>
              </w:rPr>
              <w:t>July 30,</w:t>
            </w:r>
          </w:p>
        </w:tc>
        <w:tc>
          <w:tcPr>
            <w:tcW w:w="440" w:type="dxa"/>
            <w:vAlign w:val="bottom"/>
          </w:tcPr>
          <w:p>
            <w:pPr>
              <w:spacing w:after="0"/>
              <w:rPr>
                <w:sz w:val="12"/>
                <w:szCs w:val="12"/>
                <w:color w:val="auto"/>
              </w:rPr>
            </w:pPr>
          </w:p>
        </w:tc>
        <w:tc>
          <w:tcPr>
            <w:tcW w:w="13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April 30,</w:t>
            </w:r>
          </w:p>
        </w:tc>
        <w:tc>
          <w:tcPr>
            <w:tcW w:w="44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Aug 1,</w:t>
            </w:r>
          </w:p>
        </w:tc>
      </w:tr>
      <w:tr>
        <w:trPr>
          <w:trHeight w:val="185"/>
        </w:trPr>
        <w:tc>
          <w:tcPr>
            <w:tcW w:w="20" w:type="dxa"/>
            <w:vAlign w:val="bottom"/>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5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3,803,434</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3,754,081</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3,099,961</w:t>
            </w:r>
          </w:p>
        </w:tc>
        <w:tc>
          <w:tcPr>
            <w:tcW w:w="20" w:type="dxa"/>
            <w:vAlign w:val="bottom"/>
          </w:tcPr>
          <w:p>
            <w:pPr>
              <w:spacing w:after="0"/>
              <w:rPr>
                <w:sz w:val="14"/>
                <w:szCs w:val="14"/>
                <w:color w:val="auto"/>
              </w:rPr>
            </w:pP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452,944</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398,979</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451,511</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392,303</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399,459</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424,475</w:t>
            </w:r>
          </w:p>
        </w:tc>
      </w:tr>
      <w:tr>
        <w:trPr>
          <w:trHeight w:val="181"/>
        </w:trPr>
        <w:tc>
          <w:tcPr>
            <w:tcW w:w="35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79,207</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75,355</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173,945</w:t>
            </w:r>
          </w:p>
        </w:tc>
      </w:tr>
      <w:tr>
        <w:trPr>
          <w:trHeight w:val="164"/>
        </w:trPr>
        <w:tc>
          <w:tcPr>
            <w:tcW w:w="20" w:type="dxa"/>
            <w:vAlign w:val="bottom"/>
          </w:tcPr>
          <w:p>
            <w:pPr>
              <w:spacing w:after="0"/>
              <w:rPr>
                <w:sz w:val="14"/>
                <w:szCs w:val="14"/>
                <w:color w:val="auto"/>
              </w:rPr>
            </w:pPr>
          </w:p>
        </w:tc>
        <w:tc>
          <w:tcPr>
            <w:tcW w:w="35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8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4,727,888</w:t>
            </w:r>
          </w:p>
        </w:tc>
        <w:tc>
          <w:tcPr>
            <w:tcW w:w="4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4,627,874</w:t>
            </w:r>
          </w:p>
        </w:tc>
        <w:tc>
          <w:tcPr>
            <w:tcW w:w="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4,149,892</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629,094</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626,162</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631,269</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54,077</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50,680</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40,324</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1,639,033</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1,639,165</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1,640,381</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529,035</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548,374</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601,882</w:t>
            </w: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105,926</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78,037</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67,313</w:t>
            </w:r>
          </w:p>
        </w:tc>
      </w:tr>
      <w:tr>
        <w:trPr>
          <w:trHeight w:val="169"/>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7,685,053</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7,570,292</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7,131,061</w:t>
            </w:r>
          </w:p>
        </w:tc>
      </w:tr>
      <w:tr>
        <w:trPr>
          <w:trHeight w:val="339"/>
        </w:trPr>
        <w:tc>
          <w:tcPr>
            <w:tcW w:w="354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5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327,444</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317,290</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307,265</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351,249</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367,310</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375,753</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Debt, current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374,371</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1,731,758</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1,731,336</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495,189</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291,269</w:t>
            </w:r>
          </w:p>
        </w:tc>
        <w:tc>
          <w:tcPr>
            <w:tcW w:w="44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280,655</w:t>
            </w:r>
          </w:p>
        </w:tc>
        <w:tc>
          <w:tcPr>
            <w:tcW w:w="4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513,322</w:t>
            </w: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Shareholders' equity</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4,983,333</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4,873,701</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5,065,161</w:t>
            </w:r>
          </w:p>
        </w:tc>
      </w:tr>
      <w:tr>
        <w:trPr>
          <w:trHeight w:val="169"/>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7,685,053</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7,570,292</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7,131,061</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(1) Includes $2,554, $2,719, and $2,935 related to stock-based compensation in 3Q16, 2Q16, and 3Q15,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3"/>
              </w:rPr>
              <w:t>Analog Devices, Third Quarter, Fiscal 2016</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C</w:t>
            </w:r>
          </w:p>
        </w:tc>
        <w:tc>
          <w:tcPr>
            <w:tcW w:w="10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4"/>
              </w:rPr>
              <w:t>Cash Flow Statement (Unaudited)</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w w:val="94"/>
              </w:rPr>
              <w:t>3Q 16</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2Q 16</w:t>
            </w:r>
          </w:p>
        </w:tc>
        <w:tc>
          <w:tcPr>
            <w:tcW w:w="62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3Q 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April 30,</w:t>
            </w:r>
          </w:p>
        </w:tc>
        <w:tc>
          <w:tcPr>
            <w:tcW w:w="620" w:type="dxa"/>
            <w:vAlign w:val="bottom"/>
          </w:tcPr>
          <w:p>
            <w:pPr>
              <w:spacing w:after="0"/>
              <w:rPr>
                <w:sz w:val="12"/>
                <w:szCs w:val="12"/>
                <w:color w:val="auto"/>
              </w:rPr>
            </w:pPr>
          </w:p>
        </w:tc>
        <w:tc>
          <w:tcPr>
            <w:tcW w:w="9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Aug 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4"/>
        </w:trPr>
        <w:tc>
          <w:tcPr>
            <w:tcW w:w="384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28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230,430</w:t>
            </w:r>
          </w:p>
        </w:tc>
        <w:tc>
          <w:tcPr>
            <w:tcW w:w="28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170,573</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216,478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33,732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33,483</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33,650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18,916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18,440</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23,898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16,619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15,959</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16,364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3,827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(2,982)</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(3,212)</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(6,373)</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12,250</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539</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(17,168)</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(56,089)</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83,921</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(73,537)</w:t>
            </w: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23,573</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149,630</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(19,339)</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254,003</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320,203</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197,139</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revenue</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339"/>
        </w:trPr>
        <w:tc>
          <w:tcPr>
            <w:tcW w:w="384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(2,284,166)</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(1,939,750)</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(1,403,600)</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2,078,716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1,522,688</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1,083,474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Sales of short-term available-for-sale investments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139,805</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102,316</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215,998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(37,528)</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(25,517)</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(35,164)</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Payments for acquisitions, net of cash acquired</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(2,203)</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(6,947)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 in other assets</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(8,591)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(1,180)</w:t>
            </w:r>
          </w:p>
        </w:tc>
        <w:tc>
          <w:tcPr>
            <w:tcW w:w="20" w:type="dxa"/>
            <w:vAlign w:val="bottom"/>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investing activities</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(111,764)</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(345,212)</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(147,419)</w:t>
            </w:r>
          </w:p>
        </w:tc>
        <w:tc>
          <w:tcPr>
            <w:tcW w:w="20" w:type="dxa"/>
            <w:vAlign w:val="bottom"/>
          </w:tcPr>
          <w:p>
            <w:pPr>
              <w:spacing w:after="0"/>
              <w:rPr>
                <w:sz w:val="14"/>
                <w:szCs w:val="14"/>
                <w:color w:val="auto"/>
              </w:rPr>
            </w:pPr>
          </w:p>
        </w:tc>
      </w:tr>
      <w:tr>
        <w:trPr>
          <w:trHeight w:val="339"/>
        </w:trPr>
        <w:tc>
          <w:tcPr>
            <w:tcW w:w="384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60"/>
              <w:spacing w:after="0"/>
              <w:rPr>
                <w:sz w:val="20"/>
                <w:szCs w:val="20"/>
                <w:color w:val="auto"/>
              </w:rPr>
            </w:pPr>
            <w:r>
              <w:rPr>
                <w:rFonts w:ascii="Arial" w:cs="Arial" w:eastAsia="Arial" w:hAnsi="Arial"/>
                <w:sz w:val="14"/>
                <w:szCs w:val="14"/>
                <w:color w:val="auto"/>
              </w:rPr>
              <w:t>Payments for deferred financing fees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(22,208)</w:t>
            </w: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(128,954)</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(129,925)</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(125,511)</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(23,022)</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(213,650)</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(31,340)</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Proceeds from employee stock plans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16,633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16,480</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19,988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Excess tax benefit - stock options</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3,212</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6,373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Contingent consideration payment</w:t>
            </w:r>
          </w:p>
        </w:tc>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(1,767)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 in other financing activities</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(2,093)</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(2,786)</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4,327</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financing activities</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(156,662)</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(326,669)</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(127,930)</w:t>
            </w:r>
          </w:p>
        </w:tc>
        <w:tc>
          <w:tcPr>
            <w:tcW w:w="20" w:type="dxa"/>
            <w:vAlign w:val="bottom"/>
          </w:tcPr>
          <w:p>
            <w:pPr>
              <w:spacing w:after="0"/>
              <w:rPr>
                <w:sz w:val="14"/>
                <w:szCs w:val="14"/>
                <w:color w:val="auto"/>
              </w:rPr>
            </w:pPr>
          </w:p>
        </w:tc>
      </w:tr>
      <w:tr>
        <w:trPr>
          <w:trHeight w:val="16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(1,569)</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(509)</w:t>
            </w:r>
          </w:p>
        </w:tc>
        <w:tc>
          <w:tcPr>
            <w:tcW w:w="20" w:type="dxa"/>
            <w:vAlign w:val="bottom"/>
          </w:tcPr>
          <w:p>
            <w:pPr>
              <w:spacing w:after="0"/>
              <w:rPr>
                <w:sz w:val="14"/>
                <w:szCs w:val="14"/>
                <w:color w:val="auto"/>
              </w:rPr>
            </w:pPr>
          </w:p>
        </w:tc>
      </w:tr>
      <w:tr>
        <w:trPr>
          <w:trHeight w:val="339"/>
        </w:trPr>
        <w:tc>
          <w:tcPr>
            <w:tcW w:w="3840" w:type="dxa"/>
            <w:vAlign w:val="bottom"/>
            <w:gridSpan w:val="2"/>
          </w:tcPr>
          <w:p>
            <w:pPr>
              <w:spacing w:after="0"/>
              <w:rPr>
                <w:sz w:val="20"/>
                <w:szCs w:val="20"/>
                <w:color w:val="auto"/>
              </w:rPr>
            </w:pPr>
            <w:r>
              <w:rPr>
                <w:rFonts w:ascii="Arial" w:cs="Arial" w:eastAsia="Arial" w:hAnsi="Arial"/>
                <w:sz w:val="14"/>
                <w:szCs w:val="14"/>
                <w:color w:val="auto"/>
              </w:rPr>
              <w:t>Net decrease in cash and cash equivalents</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(15,992)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(350,780)</w:t>
            </w:r>
          </w:p>
        </w:tc>
        <w:tc>
          <w:tcPr>
            <w:tcW w:w="620" w:type="dxa"/>
            <w:vAlign w:val="bottom"/>
          </w:tcPr>
          <w:p>
            <w:pPr>
              <w:spacing w:after="0"/>
              <w:rPr>
                <w:sz w:val="24"/>
                <w:szCs w:val="24"/>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4"/>
                <w:szCs w:val="14"/>
                <w:color w:val="auto"/>
              </w:rPr>
              <w:t>(78,719)</w:t>
            </w:r>
          </w:p>
        </w:tc>
        <w:tc>
          <w:tcPr>
            <w:tcW w:w="20" w:type="dxa"/>
            <w:vAlign w:val="bottom"/>
          </w:tcPr>
          <w:p>
            <w:pPr>
              <w:spacing w:after="0"/>
              <w:rPr>
                <w:sz w:val="24"/>
                <w:szCs w:val="24"/>
                <w:color w:val="auto"/>
              </w:rPr>
            </w:pPr>
          </w:p>
        </w:tc>
      </w:tr>
      <w:tr>
        <w:trPr>
          <w:trHeight w:val="181"/>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1,119,662</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1,470,442</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636,216</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32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1,103,670</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1,119,662</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557,497</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20" w:type="dxa"/>
            <w:vAlign w:val="bottom"/>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Analog Devices, Third Quarter, Fiscal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Revenue Trends by End Market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 thousands)</w:t>
      </w:r>
    </w:p>
    <w:p>
      <w:pPr>
        <w:spacing w:after="0" w:line="212"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6"/>
              </w:rPr>
              <w:t>Three Months Ended</w:t>
            </w:r>
          </w:p>
        </w:tc>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2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gridSpan w:val="3"/>
          </w:tcPr>
          <w:p>
            <w:pPr>
              <w:jc w:val="right"/>
              <w:ind w:right="728"/>
              <w:spacing w:after="0" w:line="133" w:lineRule="exact"/>
              <w:rPr>
                <w:sz w:val="20"/>
                <w:szCs w:val="20"/>
                <w:color w:val="auto"/>
              </w:rPr>
            </w:pPr>
            <w:r>
              <w:rPr>
                <w:rFonts w:ascii="Arial" w:cs="Arial" w:eastAsia="Arial" w:hAnsi="Arial"/>
                <w:sz w:val="14"/>
                <w:szCs w:val="14"/>
                <w:b w:val="1"/>
                <w:bCs w:val="1"/>
                <w:color w:val="auto"/>
                <w:w w:val="89"/>
              </w:rPr>
              <w:t>July 30,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right="268"/>
              <w:spacing w:after="0" w:line="133"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ind w:right="248"/>
              <w:spacing w:after="0" w:line="133" w:lineRule="exact"/>
              <w:rPr>
                <w:sz w:val="20"/>
                <w:szCs w:val="20"/>
                <w:color w:val="auto"/>
              </w:rPr>
            </w:pPr>
            <w:r>
              <w:rPr>
                <w:rFonts w:ascii="Arial" w:cs="Arial" w:eastAsia="Arial" w:hAnsi="Arial"/>
                <w:sz w:val="14"/>
                <w:szCs w:val="14"/>
                <w:b w:val="1"/>
                <w:bCs w:val="1"/>
                <w:color w:val="auto"/>
                <w:w w:val="93"/>
              </w:rPr>
              <w:t>Aug 1,</w:t>
            </w:r>
          </w:p>
        </w:tc>
        <w:tc>
          <w:tcPr>
            <w:tcW w:w="20" w:type="dxa"/>
            <w:vAlign w:val="bottom"/>
          </w:tcPr>
          <w:p>
            <w:pPr>
              <w:spacing w:after="0"/>
              <w:rPr>
                <w:sz w:val="11"/>
                <w:szCs w:val="11"/>
                <w:color w:val="auto"/>
              </w:rPr>
            </w:pPr>
          </w:p>
        </w:tc>
      </w:tr>
      <w:tr>
        <w:trPr>
          <w:trHeight w:val="185"/>
        </w:trPr>
        <w:tc>
          <w:tcPr>
            <w:tcW w:w="2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6"/>
                <w:szCs w:val="16"/>
                <w:color w:val="auto"/>
              </w:rPr>
            </w:pPr>
          </w:p>
        </w:tc>
      </w:tr>
      <w:tr>
        <w:trPr>
          <w:trHeight w:val="169"/>
        </w:trPr>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Q/Q %</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Y/Y %</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2620" w:type="dxa"/>
            <w:vAlign w:val="bottom"/>
          </w:tcPr>
          <w:p>
            <w:pPr>
              <w:spacing w:after="0"/>
              <w:rPr>
                <w:sz w:val="20"/>
                <w:szCs w:val="20"/>
                <w:color w:val="auto"/>
              </w:rPr>
            </w:pPr>
            <w:r>
              <w:rPr>
                <w:rFonts w:ascii="Arial" w:cs="Arial" w:eastAsia="Arial" w:hAnsi="Arial"/>
                <w:sz w:val="14"/>
                <w:szCs w:val="14"/>
                <w:color w:val="auto"/>
              </w:rPr>
              <w:t>Industrial</w:t>
            </w:r>
          </w:p>
        </w:tc>
        <w:tc>
          <w:tcPr>
            <w:tcW w:w="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374,735</w:t>
            </w:r>
          </w:p>
        </w:tc>
        <w:tc>
          <w:tcPr>
            <w:tcW w:w="14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4"/>
                <w:szCs w:val="14"/>
                <w:color w:val="auto"/>
              </w:rPr>
            </w:pPr>
          </w:p>
        </w:tc>
        <w:tc>
          <w:tcPr>
            <w:tcW w:w="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384,973</w:t>
            </w:r>
          </w:p>
        </w:tc>
        <w:tc>
          <w:tcPr>
            <w:tcW w:w="160" w:type="dxa"/>
            <w:vAlign w:val="bottom"/>
          </w:tcPr>
          <w:p>
            <w:pPr>
              <w:spacing w:after="0"/>
              <w:rPr>
                <w:sz w:val="14"/>
                <w:szCs w:val="14"/>
                <w:color w:val="auto"/>
              </w:rPr>
            </w:pPr>
          </w:p>
        </w:tc>
        <w:tc>
          <w:tcPr>
            <w:tcW w:w="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384,473</w:t>
            </w:r>
          </w:p>
        </w:tc>
        <w:tc>
          <w:tcPr>
            <w:tcW w:w="20" w:type="dxa"/>
            <w:vAlign w:val="bottom"/>
          </w:tcPr>
          <w:p>
            <w:pPr>
              <w:spacing w:after="0"/>
              <w:rPr>
                <w:sz w:val="14"/>
                <w:szCs w:val="14"/>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4"/>
                <w:szCs w:val="14"/>
                <w:color w:val="auto"/>
              </w:rPr>
              <w:t>Automotive</w:t>
            </w:r>
          </w:p>
        </w:tc>
        <w:tc>
          <w:tcPr>
            <w:tcW w:w="32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134,617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620" w:type="dxa"/>
            <w:vAlign w:val="bottom"/>
            <w:gridSpan w:val="3"/>
          </w:tcPr>
          <w:p>
            <w:pPr>
              <w:jc w:val="right"/>
              <w:ind w:right="308"/>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138,056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130,228</w:t>
            </w:r>
          </w:p>
        </w:tc>
      </w:tr>
      <w:tr>
        <w:trPr>
          <w:trHeight w:val="176"/>
        </w:trPr>
        <w:tc>
          <w:tcPr>
            <w:tcW w:w="2620" w:type="dxa"/>
            <w:vAlign w:val="bottom"/>
          </w:tcPr>
          <w:p>
            <w:pPr>
              <w:spacing w:after="0"/>
              <w:rPr>
                <w:sz w:val="20"/>
                <w:szCs w:val="20"/>
                <w:color w:val="auto"/>
              </w:rPr>
            </w:pPr>
            <w:r>
              <w:rPr>
                <w:rFonts w:ascii="Arial" w:cs="Arial" w:eastAsia="Arial" w:hAnsi="Arial"/>
                <w:sz w:val="14"/>
                <w:szCs w:val="14"/>
                <w:color w:val="auto"/>
              </w:rPr>
              <w:t>Consumer</w:t>
            </w:r>
          </w:p>
        </w:tc>
        <w:tc>
          <w:tcPr>
            <w:tcW w:w="32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186,101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280" w:type="dxa"/>
            <w:vAlign w:val="bottom"/>
            <w:gridSpan w:val="3"/>
          </w:tcPr>
          <w:p>
            <w:pPr>
              <w:jc w:val="right"/>
              <w:ind w:right="28"/>
              <w:spacing w:after="0"/>
              <w:rPr>
                <w:sz w:val="20"/>
                <w:szCs w:val="20"/>
                <w:color w:val="auto"/>
              </w:rPr>
            </w:pPr>
            <w:r>
              <w:rPr>
                <w:rFonts w:ascii="Arial" w:cs="Arial" w:eastAsia="Arial" w:hAnsi="Arial"/>
                <w:sz w:val="14"/>
                <w:szCs w:val="14"/>
                <w:color w:val="auto"/>
              </w:rPr>
              <w:t>131%</w:t>
            </w:r>
          </w:p>
        </w:tc>
        <w:tc>
          <w:tcPr>
            <w:tcW w:w="1620" w:type="dxa"/>
            <w:vAlign w:val="bottom"/>
            <w:gridSpan w:val="3"/>
          </w:tcPr>
          <w:p>
            <w:pPr>
              <w:jc w:val="right"/>
              <w:ind w:right="268"/>
              <w:spacing w:after="0"/>
              <w:rPr>
                <w:sz w:val="20"/>
                <w:szCs w:val="20"/>
                <w:color w:val="auto"/>
              </w:rPr>
            </w:pPr>
            <w:r>
              <w:rPr>
                <w:rFonts w:ascii="Arial" w:cs="Arial" w:eastAsia="Arial" w:hAnsi="Arial"/>
                <w:sz w:val="14"/>
                <w:szCs w:val="14"/>
                <w:color w:val="auto"/>
              </w:rPr>
              <w:t>(10)%</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80,592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206,656</w:t>
            </w:r>
          </w:p>
        </w:tc>
      </w:tr>
      <w:tr>
        <w:trPr>
          <w:trHeight w:val="181"/>
        </w:trPr>
        <w:tc>
          <w:tcPr>
            <w:tcW w:w="2620" w:type="dxa"/>
            <w:vAlign w:val="bottom"/>
          </w:tcPr>
          <w:p>
            <w:pPr>
              <w:spacing w:after="0"/>
              <w:rPr>
                <w:sz w:val="20"/>
                <w:szCs w:val="20"/>
                <w:color w:val="auto"/>
              </w:rPr>
            </w:pPr>
            <w:r>
              <w:rPr>
                <w:rFonts w:ascii="Arial" w:cs="Arial" w:eastAsia="Arial" w:hAnsi="Arial"/>
                <w:sz w:val="14"/>
                <w:szCs w:val="14"/>
                <w:color w:val="auto"/>
              </w:rPr>
              <w:t>Communications</w:t>
            </w:r>
          </w:p>
        </w:tc>
        <w:tc>
          <w:tcPr>
            <w:tcW w:w="32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174,138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620" w:type="dxa"/>
            <w:vAlign w:val="bottom"/>
            <w:gridSpan w:val="3"/>
          </w:tcPr>
          <w:p>
            <w:pPr>
              <w:jc w:val="right"/>
              <w:ind w:right="308"/>
              <w:spacing w:after="0"/>
              <w:rPr>
                <w:sz w:val="20"/>
                <w:szCs w:val="20"/>
                <w:color w:val="auto"/>
              </w:rPr>
            </w:pPr>
            <w:r>
              <w:rPr>
                <w:rFonts w:ascii="Arial" w:cs="Arial" w:eastAsia="Arial" w:hAnsi="Arial"/>
                <w:sz w:val="14"/>
                <w:szCs w:val="14"/>
                <w:color w:val="auto"/>
              </w:rPr>
              <w:t>23%</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175,145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142,008</w:t>
            </w:r>
          </w:p>
        </w:tc>
      </w:tr>
      <w:tr>
        <w:trPr>
          <w:trHeight w:val="169"/>
        </w:trPr>
        <w:tc>
          <w:tcPr>
            <w:tcW w:w="262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869,591</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12%</w:t>
            </w:r>
          </w:p>
        </w:tc>
        <w:tc>
          <w:tcPr>
            <w:tcW w:w="16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778,766</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863,365</w:t>
            </w:r>
          </w:p>
        </w:tc>
        <w:tc>
          <w:tcPr>
            <w:tcW w:w="20" w:type="dxa"/>
            <w:vAlign w:val="bottom"/>
          </w:tcPr>
          <w:p>
            <w:pPr>
              <w:spacing w:after="0"/>
              <w:rPr>
                <w:sz w:val="14"/>
                <w:szCs w:val="14"/>
                <w:color w:val="auto"/>
              </w:rPr>
            </w:pP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Analog Devices, Third Quarter, Fiscal 2016</w:t>
      </w:r>
    </w:p>
    <w:p>
      <w:pPr>
        <w:spacing w:after="0" w:line="190" w:lineRule="exact"/>
        <w:rPr>
          <w:sz w:val="20"/>
          <w:szCs w:val="20"/>
          <w:color w:val="auto"/>
        </w:rPr>
      </w:pPr>
    </w:p>
    <w:p>
      <w:pPr>
        <w:ind w:left="5360"/>
        <w:spacing w:after="0"/>
        <w:rPr>
          <w:sz w:val="20"/>
          <w:szCs w:val="20"/>
          <w:color w:val="auto"/>
        </w:rPr>
      </w:pPr>
      <w:r>
        <w:rPr>
          <w:rFonts w:ascii="Arial" w:cs="Arial" w:eastAsia="Arial" w:hAnsi="Arial"/>
          <w:sz w:val="14"/>
          <w:szCs w:val="14"/>
          <w:b w:val="1"/>
          <w:bCs w:val="1"/>
          <w:u w:val="single" w:color="auto"/>
          <w:color w:val="auto"/>
        </w:rPr>
        <w:t>Schedule E</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Reconciliation from GAAP to Non-GAAP Revenue and Earnings Measures (In thousands, except per-share amounts)</w:t>
      </w:r>
    </w:p>
    <w:p>
      <w:pPr>
        <w:ind w:left="5340"/>
        <w:spacing w:after="0"/>
        <w:rPr>
          <w:sz w:val="20"/>
          <w:szCs w:val="20"/>
          <w:color w:val="auto"/>
        </w:rPr>
      </w:pPr>
      <w:r>
        <w:rPr>
          <w:rFonts w:ascii="Arial" w:cs="Arial" w:eastAsia="Arial" w:hAnsi="Arial"/>
          <w:sz w:val="14"/>
          <w:szCs w:val="14"/>
          <w:b w:val="1"/>
          <w:bCs w:val="1"/>
          <w:color w:val="auto"/>
        </w:rPr>
        <w:t>(Unaudited)</w:t>
      </w:r>
    </w:p>
    <w:p>
      <w:pPr>
        <w:spacing w:after="0" w:line="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w:t>
      </w:r>
    </w:p>
    <w:p>
      <w:pPr>
        <w:jc w:val="center"/>
        <w:spacing w:after="0"/>
        <w:rPr>
          <w:sz w:val="20"/>
          <w:szCs w:val="20"/>
          <w:color w:val="auto"/>
        </w:rPr>
      </w:pPr>
      <w:r>
        <w:rPr>
          <w:rFonts w:ascii="Arial" w:cs="Arial" w:eastAsia="Arial" w:hAnsi="Arial"/>
          <w:sz w:val="14"/>
          <w:szCs w:val="14"/>
          <w:b w:val="1"/>
          <w:bCs w:val="1"/>
          <w:color w:val="auto"/>
        </w:rPr>
        <w:t>measures.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3Q 16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2Q 16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w w:val="94"/>
              </w:rPr>
              <w:t>3Q 15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Aug 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6320" w:type="dxa"/>
            <w:vAlign w:val="bottom"/>
          </w:tcPr>
          <w:p>
            <w:pPr>
              <w:spacing w:after="0"/>
              <w:rPr>
                <w:sz w:val="20"/>
                <w:szCs w:val="20"/>
                <w:color w:val="auto"/>
              </w:rPr>
            </w:pPr>
            <w:r>
              <w:rPr>
                <w:rFonts w:ascii="Arial" w:cs="Arial" w:eastAsia="Arial" w:hAnsi="Arial"/>
                <w:sz w:val="14"/>
                <w:szCs w:val="14"/>
                <w:b w:val="1"/>
                <w:bCs w:val="1"/>
                <w:color w:val="auto"/>
              </w:rPr>
              <w:t>GAAP Gross Margin</w:t>
            </w:r>
          </w:p>
        </w:tc>
        <w:tc>
          <w:tcPr>
            <w:tcW w:w="34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572,290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510,903</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569,037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Gross Margin Percentage</w:t>
            </w:r>
          </w:p>
        </w:tc>
        <w:tc>
          <w:tcPr>
            <w:tcW w:w="3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65.8%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65.6</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65.9</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1,888</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1,307</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20"/>
                <w:szCs w:val="20"/>
                <w:color w:val="auto"/>
              </w:rPr>
            </w:pPr>
            <w:r>
              <w:rPr>
                <w:rFonts w:ascii="Arial" w:cs="Arial" w:eastAsia="Arial" w:hAnsi="Arial"/>
                <w:sz w:val="14"/>
                <w:szCs w:val="14"/>
                <w:b w:val="1"/>
                <w:bCs w:val="1"/>
                <w:color w:val="auto"/>
              </w:rPr>
              <w:t>Non-GAAP Gross Margin</w:t>
            </w:r>
          </w:p>
        </w:tc>
        <w:tc>
          <w:tcPr>
            <w:tcW w:w="3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574,178</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512,379</w:t>
            </w: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570,344</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Gross Margin Percentage</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i w:val="1"/>
                <w:iCs w:val="1"/>
                <w:color w:val="auto"/>
              </w:rPr>
              <w:t>66.0%</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65.8</w:t>
            </w:r>
          </w:p>
        </w:tc>
        <w:tc>
          <w:tcPr>
            <w:tcW w:w="3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w:t>
            </w: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66.1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632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34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303,583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303,524</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303,768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34.9%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39.0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w:t>
            </w: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35.2</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76"/>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Pr>
          <w:p>
            <w:pPr>
              <w:spacing w:after="0"/>
              <w:rPr>
                <w:sz w:val="15"/>
                <w:szCs w:val="15"/>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(17,582)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(23,490)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40" w:type="dxa"/>
            <w:vAlign w:val="bottom"/>
          </w:tcPr>
          <w:p>
            <w:pPr>
              <w:spacing w:after="0"/>
              <w:rPr>
                <w:sz w:val="15"/>
                <w:szCs w:val="15"/>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(8,310)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(5,139)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2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(13,684)</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3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277,691</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272,323</w:t>
            </w: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275,139</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i w:val="1"/>
                <w:iCs w:val="1"/>
                <w:color w:val="auto"/>
              </w:rPr>
              <w:t>31.9%</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35.0</w:t>
            </w:r>
          </w:p>
        </w:tc>
        <w:tc>
          <w:tcPr>
            <w:tcW w:w="3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w:t>
            </w: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31.9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6320" w:type="dxa"/>
            <w:vAlign w:val="bottom"/>
          </w:tcPr>
          <w:p>
            <w:pPr>
              <w:spacing w:after="0"/>
              <w:rPr>
                <w:sz w:val="20"/>
                <w:szCs w:val="20"/>
                <w:color w:val="auto"/>
              </w:rPr>
            </w:pPr>
            <w:r>
              <w:rPr>
                <w:rFonts w:ascii="Arial" w:cs="Arial" w:eastAsia="Arial" w:hAnsi="Arial"/>
                <w:sz w:val="14"/>
                <w:szCs w:val="14"/>
                <w:b w:val="1"/>
                <w:bCs w:val="1"/>
                <w:color w:val="auto"/>
              </w:rPr>
              <w:t>GAAP Operating Income/Margin</w:t>
            </w:r>
          </w:p>
        </w:tc>
        <w:tc>
          <w:tcPr>
            <w:tcW w:w="34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268,707</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207,379</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265,269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30.9%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26.6</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w:t>
            </w: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30.7</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76"/>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19,470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18,993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24,797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4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8,310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5,139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2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13,684</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20"/>
                <w:szCs w:val="20"/>
                <w:color w:val="auto"/>
              </w:rPr>
            </w:pPr>
            <w:r>
              <w:rPr>
                <w:rFonts w:ascii="Arial" w:cs="Arial" w:eastAsia="Arial" w:hAnsi="Arial"/>
                <w:sz w:val="14"/>
                <w:szCs w:val="14"/>
                <w:b w:val="1"/>
                <w:bCs w:val="1"/>
                <w:color w:val="auto"/>
              </w:rPr>
              <w:t>Non-GAAP Operating Income/Margin</w:t>
            </w:r>
          </w:p>
        </w:tc>
        <w:tc>
          <w:tcPr>
            <w:tcW w:w="3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296,487</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240,056</w:t>
            </w: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295,205</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i w:val="1"/>
                <w:iCs w:val="1"/>
                <w:color w:val="auto"/>
              </w:rPr>
              <w:t>34.1%</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30.8</w:t>
            </w:r>
          </w:p>
        </w:tc>
        <w:tc>
          <w:tcPr>
            <w:tcW w:w="3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w:t>
            </w: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34.2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6320" w:type="dxa"/>
            <w:vAlign w:val="bottom"/>
          </w:tcPr>
          <w:p>
            <w:pPr>
              <w:spacing w:after="0"/>
              <w:rPr>
                <w:sz w:val="20"/>
                <w:szCs w:val="20"/>
                <w:color w:val="auto"/>
              </w:rPr>
            </w:pPr>
            <w:r>
              <w:rPr>
                <w:rFonts w:ascii="Arial" w:cs="Arial" w:eastAsia="Arial" w:hAnsi="Arial"/>
                <w:sz w:val="14"/>
                <w:szCs w:val="14"/>
                <w:b w:val="1"/>
                <w:bCs w:val="1"/>
                <w:color w:val="auto"/>
              </w:rPr>
              <w:t>GAAP Diluted EPS</w:t>
            </w:r>
          </w:p>
        </w:tc>
        <w:tc>
          <w:tcPr>
            <w:tcW w:w="340" w:type="dxa"/>
            <w:vAlign w:val="bottom"/>
          </w:tcPr>
          <w:p>
            <w:pPr>
              <w:jc w:val="right"/>
              <w:ind w:right="213"/>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0.74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0.55</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34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34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2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20"/>
                <w:szCs w:val="20"/>
                <w:color w:val="auto"/>
              </w:rPr>
            </w:pPr>
            <w:r>
              <w:rPr>
                <w:rFonts w:ascii="Arial" w:cs="Arial" w:eastAsia="Arial" w:hAnsi="Arial"/>
                <w:sz w:val="14"/>
                <w:szCs w:val="14"/>
                <w:b w:val="1"/>
                <w:bCs w:val="1"/>
                <w:color w:val="auto"/>
              </w:rPr>
              <w:t>Non-GAAP Diluted EPS (1)</w:t>
            </w:r>
          </w:p>
        </w:tc>
        <w:tc>
          <w:tcPr>
            <w:tcW w:w="34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0.82</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0.64</w:t>
            </w: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0.77</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(1) The sum of the individual per share amounts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jc w:val="center"/>
        <w:spacing w:after="0" w:line="226" w:lineRule="auto"/>
        <w:rPr>
          <w:sz w:val="20"/>
          <w:szCs w:val="20"/>
          <w:color w:val="auto"/>
        </w:rPr>
      </w:pPr>
      <w:r>
        <w:rPr>
          <w:rFonts w:ascii="Arial" w:cs="Arial" w:eastAsia="Arial" w:hAnsi="Arial"/>
          <w:sz w:val="14"/>
          <w:szCs w:val="14"/>
          <w:b w:val="1"/>
          <w:bCs w:val="1"/>
          <w:color w:val="auto"/>
        </w:rPr>
        <w:t>SUPPLEMENTAL CASH FLOW MEASURES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r>
      <w:tr>
        <w:trPr>
          <w:trHeight w:val="160"/>
        </w:trPr>
        <w:tc>
          <w:tcPr>
            <w:tcW w:w="5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3Q 16</w:t>
            </w: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9"/>
              </w:rPr>
              <w:t>2Q 16</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w w:val="94"/>
              </w:rPr>
              <w:t>3Q 15</w:t>
            </w:r>
          </w:p>
        </w:tc>
        <w:tc>
          <w:tcPr>
            <w:tcW w:w="200" w:type="dxa"/>
            <w:vAlign w:val="bottom"/>
          </w:tcPr>
          <w:p>
            <w:pPr>
              <w:spacing w:after="0"/>
              <w:rPr>
                <w:sz w:val="13"/>
                <w:szCs w:val="13"/>
                <w:color w:val="auto"/>
              </w:rPr>
            </w:pPr>
          </w:p>
        </w:tc>
      </w:tr>
      <w:tr>
        <w:trPr>
          <w:trHeight w:val="149"/>
        </w:trPr>
        <w:tc>
          <w:tcPr>
            <w:tcW w:w="5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July 30,</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April 30,</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Aug 1,</w:t>
            </w:r>
          </w:p>
        </w:tc>
        <w:tc>
          <w:tcPr>
            <w:tcW w:w="200" w:type="dxa"/>
            <w:vAlign w:val="bottom"/>
          </w:tcPr>
          <w:p>
            <w:pPr>
              <w:spacing w:after="0"/>
              <w:rPr>
                <w:sz w:val="12"/>
                <w:szCs w:val="12"/>
                <w:color w:val="auto"/>
              </w:rPr>
            </w:pPr>
          </w:p>
        </w:tc>
      </w:tr>
      <w:tr>
        <w:trPr>
          <w:trHeight w:val="185"/>
        </w:trPr>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6"/>
                <w:szCs w:val="16"/>
                <w:color w:val="auto"/>
              </w:rPr>
            </w:pPr>
          </w:p>
        </w:tc>
      </w:tr>
      <w:tr>
        <w:trPr>
          <w:trHeight w:val="164"/>
        </w:trPr>
        <w:tc>
          <w:tcPr>
            <w:tcW w:w="59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254,003</w:t>
            </w:r>
          </w:p>
        </w:tc>
        <w:tc>
          <w:tcPr>
            <w:tcW w:w="440" w:type="dxa"/>
            <w:vAlign w:val="bottom"/>
          </w:tcPr>
          <w:p>
            <w:pPr>
              <w:spacing w:after="0"/>
              <w:rPr>
                <w:sz w:val="14"/>
                <w:szCs w:val="14"/>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320,203</w:t>
            </w:r>
          </w:p>
        </w:tc>
        <w:tc>
          <w:tcPr>
            <w:tcW w:w="4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197,139</w:t>
            </w:r>
          </w:p>
        </w:tc>
        <w:tc>
          <w:tcPr>
            <w:tcW w:w="200" w:type="dxa"/>
            <w:vAlign w:val="bottom"/>
          </w:tcPr>
          <w:p>
            <w:pPr>
              <w:spacing w:after="0"/>
              <w:rPr>
                <w:sz w:val="14"/>
                <w:szCs w:val="14"/>
                <w:color w:val="auto"/>
              </w:rPr>
            </w:pPr>
          </w:p>
        </w:tc>
      </w:tr>
      <w:tr>
        <w:trPr>
          <w:trHeight w:val="181"/>
        </w:trPr>
        <w:tc>
          <w:tcPr>
            <w:tcW w:w="5940" w:type="dxa"/>
            <w:vAlign w:val="bottom"/>
          </w:tcPr>
          <w:p>
            <w:pPr>
              <w:spacing w:after="0"/>
              <w:rPr>
                <w:sz w:val="20"/>
                <w:szCs w:val="20"/>
                <w:color w:val="auto"/>
              </w:rPr>
            </w:pPr>
            <w:r>
              <w:rPr>
                <w:rFonts w:ascii="Arial" w:cs="Arial" w:eastAsia="Arial" w:hAnsi="Arial"/>
                <w:sz w:val="14"/>
                <w:szCs w:val="14"/>
                <w:color w:val="auto"/>
              </w:rPr>
              <w:t>Capital expenditures</w:t>
            </w: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(37,528)</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(25,517)</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(35,164)</w:t>
            </w:r>
          </w:p>
        </w:tc>
      </w:tr>
      <w:tr>
        <w:trPr>
          <w:trHeight w:val="169"/>
        </w:trPr>
        <w:tc>
          <w:tcPr>
            <w:tcW w:w="5940" w:type="dxa"/>
            <w:vAlign w:val="bottom"/>
          </w:tcPr>
          <w:p>
            <w:pPr>
              <w:spacing w:after="0"/>
              <w:rPr>
                <w:sz w:val="20"/>
                <w:szCs w:val="20"/>
                <w:color w:val="auto"/>
              </w:rPr>
            </w:pPr>
            <w:r>
              <w:rPr>
                <w:rFonts w:ascii="Arial" w:cs="Arial" w:eastAsia="Arial" w:hAnsi="Arial"/>
                <w:sz w:val="14"/>
                <w:szCs w:val="14"/>
                <w:color w:val="auto"/>
              </w:rPr>
              <w:t>Free cash flow</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216,475</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294,686</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161,975</w:t>
            </w:r>
          </w:p>
        </w:tc>
        <w:tc>
          <w:tcPr>
            <w:tcW w:w="200" w:type="dxa"/>
            <w:vAlign w:val="bottom"/>
            <w:tcBorders>
              <w:bottom w:val="single" w:sz="8" w:color="auto"/>
            </w:tcBorders>
          </w:tcPr>
          <w:p>
            <w:pPr>
              <w:spacing w:after="0"/>
              <w:rPr>
                <w:sz w:val="14"/>
                <w:szCs w:val="14"/>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333"/>
        </w:trPr>
        <w:tc>
          <w:tcPr>
            <w:tcW w:w="5940" w:type="dxa"/>
            <w:vAlign w:val="bottom"/>
          </w:tcPr>
          <w:p>
            <w:pPr>
              <w:spacing w:after="0"/>
              <w:rPr>
                <w:sz w:val="20"/>
                <w:szCs w:val="20"/>
                <w:color w:val="auto"/>
              </w:rPr>
            </w:pPr>
            <w:r>
              <w:rPr>
                <w:rFonts w:ascii="Arial" w:cs="Arial" w:eastAsia="Arial" w:hAnsi="Arial"/>
                <w:sz w:val="14"/>
                <w:szCs w:val="14"/>
                <w:color w:val="auto"/>
              </w:rPr>
              <w:t>% of revenue</w:t>
            </w:r>
          </w:p>
        </w:tc>
        <w:tc>
          <w:tcPr>
            <w:tcW w:w="3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Mr. Ali Husain, 781-461-3282</w:t>
      </w:r>
    </w:p>
    <w:p>
      <w:pPr>
        <w:spacing w:after="0" w:line="231" w:lineRule="auto"/>
        <w:rPr>
          <w:sz w:val="20"/>
          <w:szCs w:val="20"/>
          <w:color w:val="auto"/>
        </w:rPr>
      </w:pPr>
      <w:r>
        <w:rPr>
          <w:rFonts w:ascii="Arial" w:cs="Arial" w:eastAsia="Arial" w:hAnsi="Arial"/>
          <w:sz w:val="22"/>
          <w:szCs w:val="22"/>
          <w:color w:val="auto"/>
        </w:rPr>
        <w:t>781-461-3491 (fax)</w:t>
      </w:r>
    </w:p>
    <w:p>
      <w:pPr>
        <w:spacing w:after="0" w:line="231" w:lineRule="auto"/>
        <w:rPr>
          <w:sz w:val="20"/>
          <w:szCs w:val="20"/>
          <w:color w:val="auto"/>
        </w:rPr>
      </w:pPr>
      <w:r>
        <w:rPr>
          <w:rFonts w:ascii="Arial" w:cs="Arial" w:eastAsia="Arial" w:hAnsi="Arial"/>
          <w:sz w:val="22"/>
          <w:szCs w:val="22"/>
          <w:color w:val="auto"/>
        </w:rPr>
        <w:t>Treasurer and Director of Investor Relations</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2019-12-05T01:57:15Z</dcterms:created>
  <dcterms:modified xsi:type="dcterms:W3CDTF">2019-12-05T01:57:15Z</dcterms:modified>
</cp:coreProperties>
</file>