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5"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195"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(MARK ONE)</w:t>
      </w:r>
    </w:p>
    <w:p>
      <w:pPr>
        <w:spacing w:after="0" w:line="37" w:lineRule="exact"/>
        <w:rPr>
          <w:sz w:val="24"/>
          <w:szCs w:val="24"/>
          <w:color w:val="auto"/>
        </w:rPr>
      </w:pPr>
    </w:p>
    <w:p>
      <w:pPr>
        <w:ind w:left="1280" w:hanging="889"/>
        <w:spacing w:after="0"/>
        <w:tabs>
          <w:tab w:leader="none" w:pos="12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w:t>
      </w:r>
    </w:p>
    <w:p>
      <w:pPr>
        <w:spacing w:after="0" w:line="6" w:lineRule="exact"/>
        <w:rPr>
          <w:rFonts w:ascii="Courier New" w:cs="Courier New" w:eastAsia="Courier New" w:hAnsi="Courier New"/>
          <w:sz w:val="16"/>
          <w:szCs w:val="16"/>
          <w:color w:val="auto"/>
        </w:rPr>
      </w:pPr>
    </w:p>
    <w:p>
      <w:pPr>
        <w:ind w:left="24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EXCHANGE ACT OF 1934</w:t>
      </w:r>
    </w:p>
    <w:p>
      <w:pPr>
        <w:spacing w:after="0" w:line="16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FOR THE QUARTERLY PERIOD ENDED MAY 5, 2001</w:t>
      </w:r>
    </w:p>
    <w:p>
      <w:pPr>
        <w:spacing w:after="0" w:line="3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OR</w:t>
      </w:r>
    </w:p>
    <w:p>
      <w:pPr>
        <w:spacing w:after="0" w:line="7" w:lineRule="exact"/>
        <w:rPr>
          <w:sz w:val="24"/>
          <w:szCs w:val="24"/>
          <w:color w:val="auto"/>
        </w:rPr>
      </w:pPr>
    </w:p>
    <w:p>
      <w:pPr>
        <w:ind w:left="1080" w:right="3679" w:hanging="689"/>
        <w:spacing w:after="0" w:line="334" w:lineRule="auto"/>
        <w:tabs>
          <w:tab w:leader="none" w:pos="-77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REPORT PURSUANT TO SECTION 13 OR 15(d) OF THE SECURITIES EXCHANGE ACT OF 1934</w:t>
      </w:r>
    </w:p>
    <w:p>
      <w:pPr>
        <w:spacing w:after="0" w:line="29"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FOR THE TRANSITION PERIOD FROM_______________ TO ________________</w:t>
      </w:r>
    </w:p>
    <w:p>
      <w:pPr>
        <w:spacing w:after="0" w:line="195"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COMMISSION FILE NO. 1-7819</w:t>
      </w:r>
    </w:p>
    <w:p>
      <w:pPr>
        <w:spacing w:after="0" w:line="38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ANALOG DEVICES, INC.</w:t>
      </w:r>
    </w:p>
    <w:p>
      <w:pPr>
        <w:spacing w:after="0" w:line="3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353" w:lineRule="exact"/>
        <w:rPr>
          <w:sz w:val="24"/>
          <w:szCs w:val="24"/>
          <w:color w:val="auto"/>
        </w:rPr>
      </w:pPr>
    </w:p>
    <w:tbl>
      <w:tblPr>
        <w:tblLayout w:type="fixed"/>
        <w:tblInd w:w="200" w:type="dxa"/>
        <w:tblCellMar>
          <w:top w:w="0" w:type="dxa"/>
          <w:left w:w="0" w:type="dxa"/>
          <w:bottom w:w="0" w:type="dxa"/>
          <w:right w:w="0" w:type="dxa"/>
        </w:tblCellMar>
      </w:tblPr>
      <w:tr>
        <w:trPr>
          <w:trHeight w:val="188"/>
        </w:trPr>
        <w:tc>
          <w:tcPr>
            <w:tcW w:w="5180" w:type="dxa"/>
            <w:vAlign w:val="bottom"/>
          </w:tcPr>
          <w:p>
            <w:pPr>
              <w:ind w:left="980"/>
              <w:spacing w:after="0"/>
              <w:rPr>
                <w:sz w:val="20"/>
                <w:szCs w:val="20"/>
                <w:color w:val="auto"/>
              </w:rPr>
            </w:pPr>
            <w:r>
              <w:rPr>
                <w:rFonts w:ascii="Courier New" w:cs="Courier New" w:eastAsia="Courier New" w:hAnsi="Courier New"/>
                <w:sz w:val="16"/>
                <w:szCs w:val="16"/>
                <w:color w:val="auto"/>
              </w:rPr>
              <w:t>MASSACHUSETTS</w:t>
            </w:r>
          </w:p>
        </w:tc>
        <w:tc>
          <w:tcPr>
            <w:tcW w:w="2240" w:type="dxa"/>
            <w:vAlign w:val="bottom"/>
          </w:tcPr>
          <w:p>
            <w:pPr>
              <w:jc w:val="center"/>
              <w:ind w:left="219"/>
              <w:spacing w:after="0"/>
              <w:rPr>
                <w:sz w:val="20"/>
                <w:szCs w:val="20"/>
                <w:color w:val="auto"/>
              </w:rPr>
            </w:pPr>
            <w:r>
              <w:rPr>
                <w:rFonts w:ascii="Courier New" w:cs="Courier New" w:eastAsia="Courier New" w:hAnsi="Courier New"/>
                <w:sz w:val="16"/>
                <w:szCs w:val="16"/>
                <w:color w:val="auto"/>
              </w:rPr>
              <w:t>04-2348234</w:t>
            </w:r>
          </w:p>
        </w:tc>
      </w:tr>
      <w:tr>
        <w:trPr>
          <w:trHeight w:val="188"/>
        </w:trPr>
        <w:tc>
          <w:tcPr>
            <w:tcW w:w="5180" w:type="dxa"/>
            <w:vAlign w:val="bottom"/>
          </w:tcPr>
          <w:p>
            <w:pPr>
              <w:ind w:left="380"/>
              <w:spacing w:after="0"/>
              <w:rPr>
                <w:sz w:val="20"/>
                <w:szCs w:val="20"/>
                <w:color w:val="auto"/>
              </w:rPr>
            </w:pPr>
            <w:r>
              <w:rPr>
                <w:rFonts w:ascii="Courier New" w:cs="Courier New" w:eastAsia="Courier New" w:hAnsi="Courier New"/>
                <w:sz w:val="16"/>
                <w:szCs w:val="16"/>
                <w:color w:val="auto"/>
              </w:rPr>
              <w:t>(State or other jurisdiction of</w:t>
            </w:r>
          </w:p>
        </w:tc>
        <w:tc>
          <w:tcPr>
            <w:tcW w:w="2240" w:type="dxa"/>
            <w:vAlign w:val="bottom"/>
          </w:tcPr>
          <w:p>
            <w:pPr>
              <w:jc w:val="center"/>
              <w:ind w:left="199"/>
              <w:spacing w:after="0"/>
              <w:rPr>
                <w:sz w:val="20"/>
                <w:szCs w:val="20"/>
                <w:color w:val="auto"/>
              </w:rPr>
            </w:pPr>
            <w:r>
              <w:rPr>
                <w:rFonts w:ascii="Courier New" w:cs="Courier New" w:eastAsia="Courier New" w:hAnsi="Courier New"/>
                <w:sz w:val="16"/>
                <w:szCs w:val="16"/>
                <w:color w:val="auto"/>
              </w:rPr>
              <w:t>(I.R.S. Employer</w:t>
            </w:r>
          </w:p>
        </w:tc>
      </w:tr>
      <w:tr>
        <w:trPr>
          <w:trHeight w:val="276"/>
        </w:trPr>
        <w:tc>
          <w:tcPr>
            <w:tcW w:w="5180" w:type="dxa"/>
            <w:vAlign w:val="bottom"/>
          </w:tcPr>
          <w:p>
            <w:pPr>
              <w:ind w:left="380"/>
              <w:spacing w:after="0"/>
              <w:rPr>
                <w:sz w:val="20"/>
                <w:szCs w:val="20"/>
                <w:color w:val="auto"/>
              </w:rPr>
            </w:pPr>
            <w:r>
              <w:rPr>
                <w:rFonts w:ascii="Courier New" w:cs="Courier New" w:eastAsia="Courier New" w:hAnsi="Courier New"/>
                <w:sz w:val="16"/>
                <w:szCs w:val="16"/>
                <w:color w:val="auto"/>
              </w:rPr>
              <w:t>incorporation or organization)</w:t>
            </w:r>
          </w:p>
        </w:tc>
        <w:tc>
          <w:tcPr>
            <w:tcW w:w="2240" w:type="dxa"/>
            <w:vAlign w:val="bottom"/>
          </w:tcPr>
          <w:p>
            <w:pPr>
              <w:ind w:left="380"/>
              <w:spacing w:after="0"/>
              <w:rPr>
                <w:sz w:val="20"/>
                <w:szCs w:val="20"/>
                <w:color w:val="auto"/>
              </w:rPr>
            </w:pPr>
            <w:r>
              <w:rPr>
                <w:rFonts w:ascii="Courier New" w:cs="Courier New" w:eastAsia="Courier New" w:hAnsi="Courier New"/>
                <w:sz w:val="16"/>
                <w:szCs w:val="16"/>
                <w:color w:val="auto"/>
              </w:rPr>
              <w:t>Identification No.)</w:t>
            </w:r>
          </w:p>
        </w:tc>
      </w:tr>
      <w:tr>
        <w:trPr>
          <w:trHeight w:val="476"/>
        </w:trPr>
        <w:tc>
          <w:tcPr>
            <w:tcW w:w="5180" w:type="dxa"/>
            <w:vAlign w:val="bottom"/>
          </w:tcPr>
          <w:p>
            <w:pPr>
              <w:spacing w:after="0"/>
              <w:rPr>
                <w:sz w:val="20"/>
                <w:szCs w:val="20"/>
                <w:color w:val="auto"/>
              </w:rPr>
            </w:pPr>
            <w:r>
              <w:rPr>
                <w:rFonts w:ascii="Courier New" w:cs="Courier New" w:eastAsia="Courier New" w:hAnsi="Courier New"/>
                <w:sz w:val="16"/>
                <w:szCs w:val="16"/>
                <w:color w:val="auto"/>
              </w:rPr>
              <w:t>ONE TECHNOLOGY WAY, NORWOOD, MA</w:t>
            </w:r>
          </w:p>
        </w:tc>
        <w:tc>
          <w:tcPr>
            <w:tcW w:w="2240" w:type="dxa"/>
            <w:vAlign w:val="bottom"/>
          </w:tcPr>
          <w:p>
            <w:pPr>
              <w:jc w:val="center"/>
              <w:ind w:left="219"/>
              <w:spacing w:after="0"/>
              <w:rPr>
                <w:sz w:val="20"/>
                <w:szCs w:val="20"/>
                <w:color w:val="auto"/>
              </w:rPr>
            </w:pPr>
            <w:r>
              <w:rPr>
                <w:rFonts w:ascii="Courier New" w:cs="Courier New" w:eastAsia="Courier New" w:hAnsi="Courier New"/>
                <w:sz w:val="16"/>
                <w:szCs w:val="16"/>
                <w:color w:val="auto"/>
              </w:rPr>
              <w:t>02062-9106</w:t>
            </w:r>
          </w:p>
        </w:tc>
      </w:tr>
      <w:tr>
        <w:trPr>
          <w:trHeight w:val="27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(Address of principal executive offices)</w:t>
            </w:r>
          </w:p>
        </w:tc>
        <w:tc>
          <w:tcPr>
            <w:tcW w:w="2240" w:type="dxa"/>
            <w:vAlign w:val="bottom"/>
          </w:tcPr>
          <w:p>
            <w:pPr>
              <w:jc w:val="center"/>
              <w:ind w:left="219"/>
              <w:spacing w:after="0"/>
              <w:rPr>
                <w:sz w:val="20"/>
                <w:szCs w:val="20"/>
                <w:color w:val="auto"/>
              </w:rPr>
            </w:pPr>
            <w:r>
              <w:rPr>
                <w:rFonts w:ascii="Courier New" w:cs="Courier New" w:eastAsia="Courier New" w:hAnsi="Courier New"/>
                <w:sz w:val="16"/>
                <w:szCs w:val="16"/>
                <w:color w:val="auto"/>
              </w:rPr>
              <w:t>(Zip Code)</w:t>
            </w:r>
          </w:p>
        </w:tc>
      </w:tr>
      <w:tr>
        <w:trPr>
          <w:trHeight w:val="476"/>
        </w:trPr>
        <w:tc>
          <w:tcPr>
            <w:tcW w:w="51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(781) 329-4700</w:t>
            </w:r>
          </w:p>
        </w:tc>
        <w:tc>
          <w:tcPr>
            <w:tcW w:w="2240" w:type="dxa"/>
            <w:vAlign w:val="bottom"/>
          </w:tcPr>
          <w:p>
            <w:pPr>
              <w:spacing w:after="0"/>
              <w:rPr>
                <w:sz w:val="24"/>
                <w:szCs w:val="24"/>
                <w:color w:val="auto"/>
              </w:rPr>
            </w:pPr>
          </w:p>
        </w:tc>
      </w:tr>
      <w:tr>
        <w:trPr>
          <w:trHeight w:val="276"/>
        </w:trPr>
        <w:tc>
          <w:tcPr>
            <w:tcW w:w="7420" w:type="dxa"/>
            <w:vAlign w:val="bottom"/>
            <w:gridSpan w:val="2"/>
          </w:tcPr>
          <w:p>
            <w:pPr>
              <w:ind w:left="1160"/>
              <w:spacing w:after="0"/>
              <w:rPr>
                <w:sz w:val="20"/>
                <w:szCs w:val="20"/>
                <w:color w:val="auto"/>
              </w:rPr>
            </w:pPr>
            <w:r>
              <w:rPr>
                <w:rFonts w:ascii="Courier New" w:cs="Courier New" w:eastAsia="Courier New" w:hAnsi="Courier New"/>
                <w:sz w:val="16"/>
                <w:szCs w:val="16"/>
                <w:color w:val="auto"/>
              </w:rPr>
              <w:t>(Registrant's telephone number, including area code)</w:t>
            </w:r>
          </w:p>
        </w:tc>
      </w:tr>
      <w:tr>
        <w:trPr>
          <w:trHeight w:val="376"/>
        </w:trPr>
        <w:tc>
          <w:tcPr>
            <w:tcW w:w="5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spacing w:after="0"/>
              <w:rPr>
                <w:sz w:val="24"/>
                <w:szCs w:val="24"/>
                <w:color w:val="auto"/>
              </w:rPr>
            </w:pPr>
          </w:p>
        </w:tc>
      </w:tr>
      <w:tr>
        <w:trPr>
          <w:trHeight w:val="694"/>
        </w:trPr>
        <w:tc>
          <w:tcPr>
            <w:tcW w:w="74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Indicate by check mark whether the registrant (1) has filed all reports</w:t>
            </w: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8"/>
        </w:trPr>
        <w:tc>
          <w:tcPr>
            <w:tcW w:w="1180" w:type="dxa"/>
            <w:vAlign w:val="bottom"/>
          </w:tcPr>
          <w:p>
            <w:pPr>
              <w:spacing w:after="0" w:line="158" w:lineRule="exact"/>
              <w:rPr>
                <w:sz w:val="20"/>
                <w:szCs w:val="20"/>
                <w:color w:val="auto"/>
              </w:rPr>
            </w:pPr>
            <w:r>
              <w:rPr>
                <w:rFonts w:ascii="Courier New" w:cs="Courier New" w:eastAsia="Courier New" w:hAnsi="Courier New"/>
                <w:sz w:val="16"/>
                <w:szCs w:val="16"/>
                <w:color w:val="auto"/>
              </w:rPr>
              <w:t>required to</w:t>
            </w:r>
          </w:p>
        </w:tc>
        <w:tc>
          <w:tcPr>
            <w:tcW w:w="2240" w:type="dxa"/>
            <w:vAlign w:val="bottom"/>
            <w:gridSpan w:val="4"/>
          </w:tcPr>
          <w:p>
            <w:pPr>
              <w:jc w:val="right"/>
              <w:ind w:right="19"/>
              <w:spacing w:after="0" w:line="158" w:lineRule="exact"/>
              <w:rPr>
                <w:sz w:val="20"/>
                <w:szCs w:val="20"/>
                <w:color w:val="auto"/>
              </w:rPr>
            </w:pPr>
            <w:r>
              <w:rPr>
                <w:rFonts w:ascii="Courier New" w:cs="Courier New" w:eastAsia="Courier New" w:hAnsi="Courier New"/>
                <w:sz w:val="16"/>
                <w:szCs w:val="16"/>
                <w:color w:val="auto"/>
              </w:rPr>
              <w:t>be filed by Section 13</w:t>
            </w:r>
          </w:p>
        </w:tc>
        <w:tc>
          <w:tcPr>
            <w:tcW w:w="840" w:type="dxa"/>
            <w:vAlign w:val="bottom"/>
            <w:gridSpan w:val="2"/>
          </w:tcPr>
          <w:p>
            <w:pPr>
              <w:jc w:val="right"/>
              <w:spacing w:after="0" w:line="158" w:lineRule="exact"/>
              <w:rPr>
                <w:sz w:val="20"/>
                <w:szCs w:val="20"/>
                <w:color w:val="auto"/>
              </w:rPr>
            </w:pPr>
            <w:r>
              <w:rPr>
                <w:rFonts w:ascii="Courier New" w:cs="Courier New" w:eastAsia="Courier New" w:hAnsi="Courier New"/>
                <w:sz w:val="16"/>
                <w:szCs w:val="16"/>
                <w:color w:val="auto"/>
                <w:w w:val="98"/>
              </w:rPr>
              <w:t>or 15(d)</w:t>
            </w:r>
          </w:p>
        </w:tc>
        <w:tc>
          <w:tcPr>
            <w:tcW w:w="680" w:type="dxa"/>
            <w:vAlign w:val="bottom"/>
          </w:tcPr>
          <w:p>
            <w:pPr>
              <w:jc w:val="right"/>
              <w:spacing w:after="0" w:line="158" w:lineRule="exact"/>
              <w:rPr>
                <w:sz w:val="20"/>
                <w:szCs w:val="20"/>
                <w:color w:val="auto"/>
              </w:rPr>
            </w:pPr>
            <w:r>
              <w:rPr>
                <w:rFonts w:ascii="Courier New" w:cs="Courier New" w:eastAsia="Courier New" w:hAnsi="Courier New"/>
                <w:sz w:val="16"/>
                <w:szCs w:val="16"/>
                <w:color w:val="auto"/>
              </w:rPr>
              <w:t>of the</w:t>
            </w:r>
          </w:p>
        </w:tc>
        <w:tc>
          <w:tcPr>
            <w:tcW w:w="2780" w:type="dxa"/>
            <w:vAlign w:val="bottom"/>
            <w:gridSpan w:val="3"/>
          </w:tcPr>
          <w:p>
            <w:pPr>
              <w:ind w:left="40"/>
              <w:spacing w:after="0" w:line="158" w:lineRule="exact"/>
              <w:rPr>
                <w:sz w:val="20"/>
                <w:szCs w:val="20"/>
                <w:color w:val="auto"/>
              </w:rPr>
            </w:pPr>
            <w:r>
              <w:rPr>
                <w:rFonts w:ascii="Courier New" w:cs="Courier New" w:eastAsia="Courier New" w:hAnsi="Courier New"/>
                <w:sz w:val="16"/>
                <w:szCs w:val="16"/>
                <w:color w:val="auto"/>
              </w:rPr>
              <w:t>Securities Exchange Act of</w:t>
            </w: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1934 during</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the</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preceding</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12</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months</w:t>
            </w:r>
          </w:p>
        </w:tc>
        <w:tc>
          <w:tcPr>
            <w:tcW w:w="172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(or such shorter</w:t>
            </w:r>
          </w:p>
        </w:tc>
        <w:tc>
          <w:tcPr>
            <w:tcW w:w="1560" w:type="dxa"/>
            <w:vAlign w:val="bottom"/>
          </w:tcPr>
          <w:p>
            <w:pPr>
              <w:ind w:left="40"/>
              <w:spacing w:after="0"/>
              <w:rPr>
                <w:sz w:val="20"/>
                <w:szCs w:val="20"/>
                <w:color w:val="auto"/>
              </w:rPr>
            </w:pPr>
            <w:r>
              <w:rPr>
                <w:rFonts w:ascii="Courier New" w:cs="Courier New" w:eastAsia="Courier New" w:hAnsi="Courier New"/>
                <w:sz w:val="16"/>
                <w:szCs w:val="16"/>
                <w:color w:val="auto"/>
              </w:rPr>
              <w:t>period that the</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w w:val="99"/>
              </w:rPr>
              <w:t>registrant</w:t>
            </w: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was required</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to</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file such</w:t>
            </w:r>
          </w:p>
        </w:tc>
        <w:tc>
          <w:tcPr>
            <w:tcW w:w="9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reports),</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and</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has been</w:t>
            </w:r>
          </w:p>
        </w:tc>
        <w:tc>
          <w:tcPr>
            <w:tcW w:w="1560" w:type="dxa"/>
            <w:vAlign w:val="bottom"/>
          </w:tcPr>
          <w:p>
            <w:pPr>
              <w:ind w:left="40"/>
              <w:spacing w:after="0"/>
              <w:rPr>
                <w:sz w:val="20"/>
                <w:szCs w:val="20"/>
                <w:color w:val="auto"/>
              </w:rPr>
            </w:pPr>
            <w:r>
              <w:rPr>
                <w:rFonts w:ascii="Courier New" w:cs="Courier New" w:eastAsia="Courier New" w:hAnsi="Courier New"/>
                <w:sz w:val="16"/>
                <w:szCs w:val="16"/>
                <w:color w:val="auto"/>
              </w:rPr>
              <w:t>subject to such</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filing</w:t>
            </w:r>
          </w:p>
        </w:tc>
      </w:tr>
      <w:tr>
        <w:trPr>
          <w:trHeight w:val="276"/>
        </w:trPr>
        <w:tc>
          <w:tcPr>
            <w:tcW w:w="1180" w:type="dxa"/>
            <w:vAlign w:val="bottom"/>
          </w:tcPr>
          <w:p>
            <w:pPr>
              <w:spacing w:after="0"/>
              <w:rPr>
                <w:sz w:val="20"/>
                <w:szCs w:val="20"/>
                <w:color w:val="auto"/>
              </w:rPr>
            </w:pPr>
            <w:r>
              <w:rPr>
                <w:rFonts w:ascii="Courier New" w:cs="Courier New" w:eastAsia="Courier New" w:hAnsi="Courier New"/>
                <w:sz w:val="16"/>
                <w:szCs w:val="16"/>
                <w:color w:val="auto"/>
              </w:rPr>
              <w:t>requirements</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for the past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90</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days.</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YES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[x]</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NO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spacing w:after="0"/>
              <w:rPr>
                <w:sz w:val="23"/>
                <w:szCs w:val="23"/>
                <w:color w:val="auto"/>
              </w:rPr>
            </w:pPr>
          </w:p>
        </w:tc>
        <w:tc>
          <w:tcPr>
            <w:tcW w:w="1020" w:type="dxa"/>
            <w:vAlign w:val="bottom"/>
          </w:tcPr>
          <w:p>
            <w:pPr>
              <w:spacing w:after="0"/>
              <w:rPr>
                <w:sz w:val="23"/>
                <w:szCs w:val="23"/>
                <w:color w:val="auto"/>
              </w:rPr>
            </w:pPr>
          </w:p>
        </w:tc>
      </w:tr>
    </w:tbl>
    <w:p>
      <w:pPr>
        <w:spacing w:after="0" w:line="100" w:lineRule="exact"/>
        <w:rPr>
          <w:sz w:val="24"/>
          <w:szCs w:val="24"/>
          <w:color w:val="auto"/>
        </w:rPr>
      </w:pPr>
    </w:p>
    <w:p>
      <w:pPr>
        <w:jc w:val="both"/>
        <w:ind w:right="2499" w:firstLine="489"/>
        <w:spacing w:after="0" w:line="373" w:lineRule="auto"/>
        <w:rPr>
          <w:sz w:val="20"/>
          <w:szCs w:val="20"/>
          <w:color w:val="auto"/>
        </w:rPr>
      </w:pPr>
      <w:r>
        <w:rPr>
          <w:rFonts w:ascii="Courier New" w:cs="Courier New" w:eastAsia="Courier New" w:hAnsi="Courier New"/>
          <w:sz w:val="16"/>
          <w:szCs w:val="16"/>
          <w:color w:val="auto"/>
        </w:rPr>
        <w:t>The number of shares outstanding of each of the issuer's classes of Common Stock as of June 2, 2001 was 360,611,469 shares of Common Stock.</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1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6"/>
        </w:trPr>
        <w:tc>
          <w:tcPr>
            <w:tcW w:w="1180" w:type="dxa"/>
            <w:vAlign w:val="bottom"/>
          </w:tcPr>
          <w:p>
            <w:pPr>
              <w:ind w:left="300"/>
              <w:spacing w:after="0"/>
              <w:rPr>
                <w:sz w:val="20"/>
                <w:szCs w:val="20"/>
                <w:color w:val="auto"/>
              </w:rPr>
            </w:pPr>
            <w:r>
              <w:rPr>
                <w:rFonts w:ascii="Courier New" w:cs="Courier New" w:eastAsia="Courier New" w:hAnsi="Courier New"/>
                <w:sz w:val="16"/>
                <w:szCs w:val="16"/>
                <w:color w:val="auto"/>
              </w:rPr>
              <w:t>2</w:t>
            </w:r>
          </w:p>
        </w:tc>
        <w:tc>
          <w:tcPr>
            <w:tcW w:w="4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6"/>
        </w:trPr>
        <w:tc>
          <w:tcPr>
            <w:tcW w:w="1180" w:type="dxa"/>
            <w:vAlign w:val="bottom"/>
          </w:tcPr>
          <w:p>
            <w:pPr>
              <w:spacing w:after="0"/>
              <w:rPr>
                <w:sz w:val="24"/>
                <w:szCs w:val="24"/>
                <w:color w:val="auto"/>
              </w:rPr>
            </w:pPr>
          </w:p>
        </w:tc>
        <w:tc>
          <w:tcPr>
            <w:tcW w:w="4140" w:type="dxa"/>
            <w:vAlign w:val="bottom"/>
          </w:tcPr>
          <w:p>
            <w:pPr>
              <w:ind w:left="2440"/>
              <w:spacing w:after="0"/>
              <w:rPr>
                <w:sz w:val="20"/>
                <w:szCs w:val="20"/>
                <w:color w:val="auto"/>
              </w:rPr>
            </w:pPr>
            <w:r>
              <w:rPr>
                <w:rFonts w:ascii="Courier New" w:cs="Courier New" w:eastAsia="Courier New" w:hAnsi="Courier New"/>
                <w:sz w:val="16"/>
                <w:szCs w:val="16"/>
                <w:color w:val="auto"/>
              </w:rPr>
              <w:t>PART I</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180" w:type="dxa"/>
            <w:vAlign w:val="bottom"/>
          </w:tcPr>
          <w:p>
            <w:pPr>
              <w:spacing w:after="0"/>
              <w:rPr>
                <w:sz w:val="23"/>
                <w:szCs w:val="23"/>
                <w:color w:val="auto"/>
              </w:rPr>
            </w:pPr>
          </w:p>
        </w:tc>
        <w:tc>
          <w:tcPr>
            <w:tcW w:w="4140" w:type="dxa"/>
            <w:vAlign w:val="bottom"/>
          </w:tcPr>
          <w:p>
            <w:pPr>
              <w:ind w:left="1760"/>
              <w:spacing w:after="0"/>
              <w:rPr>
                <w:sz w:val="20"/>
                <w:szCs w:val="20"/>
                <w:color w:val="auto"/>
              </w:rPr>
            </w:pPr>
            <w:r>
              <w:rPr>
                <w:rFonts w:ascii="Courier New" w:cs="Courier New" w:eastAsia="Courier New" w:hAnsi="Courier New"/>
                <w:sz w:val="16"/>
                <w:szCs w:val="16"/>
                <w:color w:val="auto"/>
              </w:rPr>
              <w:t>FINANCIAL INFORMATION</w:t>
            </w: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414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rPr>
              <w:t>ANALOG DEVICES, INC.</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rPr>
              <w:t>CONDENSED CONSOLIDATED STATEMENTS OF INCOME</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(Unaudited)</w:t>
            </w:r>
          </w:p>
        </w:tc>
        <w:tc>
          <w:tcPr>
            <w:tcW w:w="4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rPr>
              <w:t>(thousands except per share amounts)</w:t>
            </w: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4"/>
        </w:trPr>
        <w:tc>
          <w:tcPr>
            <w:tcW w:w="1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gridSpan w:val="3"/>
          </w:tcPr>
          <w:p>
            <w:pPr>
              <w:jc w:val="right"/>
              <w:ind w:right="599"/>
              <w:spacing w:after="0"/>
              <w:rPr>
                <w:sz w:val="20"/>
                <w:szCs w:val="20"/>
                <w:color w:val="auto"/>
              </w:rPr>
            </w:pPr>
            <w:r>
              <w:rPr>
                <w:rFonts w:ascii="Courier New" w:cs="Courier New" w:eastAsia="Courier New" w:hAnsi="Courier New"/>
                <w:sz w:val="16"/>
                <w:szCs w:val="16"/>
                <w:color w:val="auto"/>
              </w:rPr>
              <w:t>Three Months Ended</w:t>
            </w: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9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980" w:type="dxa"/>
            <w:vAlign w:val="bottom"/>
            <w:gridSpan w:val="4"/>
          </w:tcPr>
          <w:p>
            <w:pPr>
              <w:ind w:left="260"/>
              <w:spacing w:after="0"/>
              <w:rPr>
                <w:sz w:val="20"/>
                <w:szCs w:val="20"/>
                <w:color w:val="auto"/>
              </w:rPr>
            </w:pPr>
            <w:r>
              <w:rPr>
                <w:rFonts w:ascii="Courier New" w:cs="Courier New" w:eastAsia="Courier New" w:hAnsi="Courier New"/>
                <w:sz w:val="16"/>
                <w:szCs w:val="16"/>
                <w:color w:val="auto"/>
              </w:rPr>
              <w:t>May 5, 2001   April 29, 2000</w:t>
            </w:r>
          </w:p>
        </w:tc>
        <w:tc>
          <w:tcPr>
            <w:tcW w:w="0" w:type="dxa"/>
            <w:vAlign w:val="bottom"/>
          </w:tcPr>
          <w:p>
            <w:pPr>
              <w:spacing w:after="0"/>
              <w:rPr>
                <w:sz w:val="1"/>
                <w:szCs w:val="1"/>
                <w:color w:val="auto"/>
              </w:rPr>
            </w:pPr>
          </w:p>
        </w:tc>
      </w:tr>
      <w:tr>
        <w:trPr>
          <w:trHeight w:val="276"/>
        </w:trPr>
        <w:tc>
          <w:tcPr>
            <w:tcW w:w="118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48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6"/>
        </w:trPr>
        <w:tc>
          <w:tcPr>
            <w:tcW w:w="118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4140" w:type="dxa"/>
            <w:vAlign w:val="bottom"/>
          </w:tcPr>
          <w:p>
            <w:pPr>
              <w:spacing w:after="0"/>
              <w:rPr>
                <w:sz w:val="24"/>
                <w:szCs w:val="24"/>
                <w:color w:val="auto"/>
              </w:rPr>
            </w:pP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$ 601,442</w:t>
            </w:r>
          </w:p>
        </w:tc>
        <w:tc>
          <w:tcPr>
            <w:tcW w:w="15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$ 580,995</w:t>
            </w:r>
          </w:p>
        </w:tc>
        <w:tc>
          <w:tcPr>
            <w:tcW w:w="0" w:type="dxa"/>
            <w:vAlign w:val="bottom"/>
          </w:tcPr>
          <w:p>
            <w:pPr>
              <w:spacing w:after="0"/>
              <w:rPr>
                <w:sz w:val="1"/>
                <w:szCs w:val="1"/>
                <w:color w:val="auto"/>
              </w:rPr>
            </w:pPr>
          </w:p>
        </w:tc>
      </w:tr>
      <w:tr>
        <w:trPr>
          <w:trHeight w:val="288"/>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rPr>
              <w:t>Cost of sales</w:t>
            </w:r>
          </w:p>
        </w:tc>
        <w:tc>
          <w:tcPr>
            <w:tcW w:w="500" w:type="dxa"/>
            <w:vAlign w:val="bottom"/>
          </w:tcPr>
          <w:p>
            <w:pPr>
              <w:spacing w:after="0"/>
              <w:rPr>
                <w:sz w:val="24"/>
                <w:szCs w:val="24"/>
                <w:color w:val="auto"/>
              </w:rPr>
            </w:pPr>
          </w:p>
        </w:tc>
        <w:tc>
          <w:tcPr>
            <w:tcW w:w="9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258,635</w:t>
            </w:r>
          </w:p>
        </w:tc>
        <w:tc>
          <w:tcPr>
            <w:tcW w:w="580" w:type="dxa"/>
            <w:vAlign w:val="bottom"/>
          </w:tcPr>
          <w:p>
            <w:pPr>
              <w:spacing w:after="0"/>
              <w:rPr>
                <w:sz w:val="24"/>
                <w:szCs w:val="24"/>
                <w:color w:val="auto"/>
              </w:rPr>
            </w:pP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257,184</w:t>
            </w:r>
          </w:p>
        </w:tc>
        <w:tc>
          <w:tcPr>
            <w:tcW w:w="0" w:type="dxa"/>
            <w:vAlign w:val="bottom"/>
          </w:tcPr>
          <w:p>
            <w:pPr>
              <w:spacing w:after="0"/>
              <w:rPr>
                <w:sz w:val="1"/>
                <w:szCs w:val="1"/>
                <w:color w:val="auto"/>
              </w:rPr>
            </w:pPr>
          </w:p>
        </w:tc>
      </w:tr>
      <w:tr>
        <w:trPr>
          <w:trHeight w:val="276"/>
        </w:trPr>
        <w:tc>
          <w:tcPr>
            <w:tcW w:w="118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6"/>
        </w:trPr>
        <w:tc>
          <w:tcPr>
            <w:tcW w:w="118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4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342,807</w:t>
            </w:r>
          </w:p>
        </w:tc>
        <w:tc>
          <w:tcPr>
            <w:tcW w:w="580" w:type="dxa"/>
            <w:vAlign w:val="bottom"/>
          </w:tcPr>
          <w:p>
            <w:pPr>
              <w:spacing w:after="0"/>
              <w:rPr>
                <w:sz w:val="24"/>
                <w:szCs w:val="24"/>
                <w:color w:val="auto"/>
              </w:rPr>
            </w:pP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323,811</w:t>
            </w:r>
          </w:p>
        </w:tc>
        <w:tc>
          <w:tcPr>
            <w:tcW w:w="0" w:type="dxa"/>
            <w:vAlign w:val="bottom"/>
          </w:tcPr>
          <w:p>
            <w:pPr>
              <w:spacing w:after="0"/>
              <w:rPr>
                <w:sz w:val="1"/>
                <w:szCs w:val="1"/>
                <w:color w:val="auto"/>
              </w:rPr>
            </w:pPr>
          </w:p>
        </w:tc>
      </w:tr>
      <w:tr>
        <w:trPr>
          <w:trHeight w:val="288"/>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rPr>
              <w:t>Operating expenses:</w:t>
            </w:r>
          </w:p>
        </w:tc>
        <w:tc>
          <w:tcPr>
            <w:tcW w:w="500" w:type="dxa"/>
            <w:vAlign w:val="bottom"/>
          </w:tcPr>
          <w:p>
            <w:pPr>
              <w:spacing w:after="0"/>
              <w:rPr>
                <w:sz w:val="24"/>
                <w:szCs w:val="24"/>
                <w:color w:val="auto"/>
              </w:rPr>
            </w:pPr>
          </w:p>
        </w:tc>
        <w:tc>
          <w:tcPr>
            <w:tcW w:w="98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124,821</w:t>
            </w:r>
          </w:p>
        </w:tc>
        <w:tc>
          <w:tcPr>
            <w:tcW w:w="580" w:type="dxa"/>
            <w:vAlign w:val="bottom"/>
          </w:tcPr>
          <w:p>
            <w:pPr>
              <w:spacing w:after="0"/>
              <w:rPr>
                <w:sz w:val="24"/>
                <w:szCs w:val="24"/>
                <w:color w:val="auto"/>
              </w:rPr>
            </w:pPr>
          </w:p>
        </w:tc>
        <w:tc>
          <w:tcPr>
            <w:tcW w:w="92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90,026</w:t>
            </w:r>
          </w:p>
        </w:tc>
        <w:tc>
          <w:tcPr>
            <w:tcW w:w="0" w:type="dxa"/>
            <w:vAlign w:val="bottom"/>
          </w:tcPr>
          <w:p>
            <w:pPr>
              <w:spacing w:after="0"/>
              <w:rPr>
                <w:sz w:val="1"/>
                <w:szCs w:val="1"/>
                <w:color w:val="auto"/>
              </w:rPr>
            </w:pPr>
          </w:p>
        </w:tc>
      </w:tr>
      <w:tr>
        <w:trPr>
          <w:trHeight w:val="188"/>
        </w:trPr>
        <w:tc>
          <w:tcPr>
            <w:tcW w:w="53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Research and development</w:t>
            </w:r>
          </w:p>
        </w:tc>
        <w:tc>
          <w:tcPr>
            <w:tcW w:w="5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Amortization of intangibles</w:t>
            </w:r>
          </w:p>
        </w:tc>
        <w:tc>
          <w:tcPr>
            <w:tcW w:w="500" w:type="dxa"/>
            <w:vAlign w:val="bottom"/>
          </w:tcPr>
          <w:p>
            <w:pPr>
              <w:spacing w:after="0"/>
              <w:rPr>
                <w:sz w:val="16"/>
                <w:szCs w:val="16"/>
                <w:color w:val="auto"/>
              </w:rPr>
            </w:pPr>
          </w:p>
        </w:tc>
        <w:tc>
          <w:tcPr>
            <w:tcW w:w="9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13,996</w:t>
            </w:r>
          </w:p>
        </w:tc>
        <w:tc>
          <w:tcPr>
            <w:tcW w:w="580" w:type="dxa"/>
            <w:vAlign w:val="bottom"/>
          </w:tcPr>
          <w:p>
            <w:pPr>
              <w:spacing w:after="0"/>
              <w:rPr>
                <w:sz w:val="16"/>
                <w:szCs w:val="16"/>
                <w:color w:val="auto"/>
              </w:rPr>
            </w:pP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676</w:t>
            </w:r>
          </w:p>
        </w:tc>
        <w:tc>
          <w:tcPr>
            <w:tcW w:w="0" w:type="dxa"/>
            <w:vAlign w:val="bottom"/>
          </w:tcPr>
          <w:p>
            <w:pPr>
              <w:spacing w:after="0"/>
              <w:rPr>
                <w:sz w:val="1"/>
                <w:szCs w:val="1"/>
                <w:color w:val="auto"/>
              </w:rPr>
            </w:pPr>
          </w:p>
        </w:tc>
      </w:tr>
      <w:tr>
        <w:trPr>
          <w:trHeight w:val="188"/>
        </w:trPr>
        <w:tc>
          <w:tcPr>
            <w:tcW w:w="53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Selling, marketing, general and administrative</w:t>
            </w:r>
          </w:p>
        </w:tc>
        <w:tc>
          <w:tcPr>
            <w:tcW w:w="500" w:type="dxa"/>
            <w:vAlign w:val="bottom"/>
          </w:tcPr>
          <w:p>
            <w:pPr>
              <w:spacing w:after="0"/>
              <w:rPr>
                <w:sz w:val="16"/>
                <w:szCs w:val="16"/>
                <w:color w:val="auto"/>
              </w:rPr>
            </w:pPr>
          </w:p>
        </w:tc>
        <w:tc>
          <w:tcPr>
            <w:tcW w:w="9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77,563</w:t>
            </w:r>
          </w:p>
        </w:tc>
        <w:tc>
          <w:tcPr>
            <w:tcW w:w="580" w:type="dxa"/>
            <w:vAlign w:val="bottom"/>
          </w:tcPr>
          <w:p>
            <w:pPr>
              <w:spacing w:after="0"/>
              <w:rPr>
                <w:sz w:val="16"/>
                <w:szCs w:val="16"/>
                <w:color w:val="auto"/>
              </w:rPr>
            </w:pP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71,073</w:t>
            </w: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118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216,380</w:t>
            </w:r>
          </w:p>
        </w:tc>
        <w:tc>
          <w:tcPr>
            <w:tcW w:w="580" w:type="dxa"/>
            <w:vAlign w:val="bottom"/>
          </w:tcPr>
          <w:p>
            <w:pPr>
              <w:spacing w:after="0"/>
              <w:rPr>
                <w:sz w:val="23"/>
                <w:szCs w:val="23"/>
                <w:color w:val="auto"/>
              </w:rPr>
            </w:pP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161,775</w:t>
            </w:r>
          </w:p>
        </w:tc>
        <w:tc>
          <w:tcPr>
            <w:tcW w:w="0" w:type="dxa"/>
            <w:vAlign w:val="bottom"/>
          </w:tcPr>
          <w:p>
            <w:pPr>
              <w:spacing w:after="0"/>
              <w:rPr>
                <w:sz w:val="1"/>
                <w:szCs w:val="1"/>
                <w:color w:val="auto"/>
              </w:rPr>
            </w:pPr>
          </w:p>
        </w:tc>
      </w:tr>
      <w:tr>
        <w:trPr>
          <w:trHeight w:val="376"/>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w:t>
            </w:r>
          </w:p>
        </w:tc>
        <w:tc>
          <w:tcPr>
            <w:tcW w:w="500" w:type="dxa"/>
            <w:vAlign w:val="bottom"/>
          </w:tcPr>
          <w:p>
            <w:pPr>
              <w:spacing w:after="0"/>
              <w:rPr>
                <w:sz w:val="24"/>
                <w:szCs w:val="24"/>
                <w:color w:val="auto"/>
              </w:rPr>
            </w:pPr>
          </w:p>
        </w:tc>
        <w:tc>
          <w:tcPr>
            <w:tcW w:w="9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126,427</w:t>
            </w:r>
          </w:p>
        </w:tc>
        <w:tc>
          <w:tcPr>
            <w:tcW w:w="580" w:type="dxa"/>
            <w:vAlign w:val="bottom"/>
          </w:tcPr>
          <w:p>
            <w:pPr>
              <w:spacing w:after="0"/>
              <w:rPr>
                <w:sz w:val="24"/>
                <w:szCs w:val="24"/>
                <w:color w:val="auto"/>
              </w:rPr>
            </w:pP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162,036</w:t>
            </w:r>
          </w:p>
        </w:tc>
        <w:tc>
          <w:tcPr>
            <w:tcW w:w="0" w:type="dxa"/>
            <w:vAlign w:val="bottom"/>
          </w:tcPr>
          <w:p>
            <w:pPr>
              <w:spacing w:after="0"/>
              <w:rPr>
                <w:sz w:val="1"/>
                <w:szCs w:val="1"/>
                <w:color w:val="auto"/>
              </w:rPr>
            </w:pPr>
          </w:p>
        </w:tc>
      </w:tr>
      <w:tr>
        <w:trPr>
          <w:trHeight w:val="288"/>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rPr>
              <w:t>Nonoperating (income) expenses:</w:t>
            </w:r>
          </w:p>
        </w:tc>
        <w:tc>
          <w:tcPr>
            <w:tcW w:w="500" w:type="dxa"/>
            <w:vAlign w:val="bottom"/>
          </w:tcPr>
          <w:p>
            <w:pPr>
              <w:spacing w:after="0"/>
              <w:rPr>
                <w:sz w:val="24"/>
                <w:szCs w:val="24"/>
                <w:color w:val="auto"/>
              </w:rPr>
            </w:pPr>
          </w:p>
        </w:tc>
        <w:tc>
          <w:tcPr>
            <w:tcW w:w="98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16,245</w:t>
            </w:r>
          </w:p>
        </w:tc>
        <w:tc>
          <w:tcPr>
            <w:tcW w:w="580" w:type="dxa"/>
            <w:vAlign w:val="bottom"/>
          </w:tcPr>
          <w:p>
            <w:pPr>
              <w:spacing w:after="0"/>
              <w:rPr>
                <w:sz w:val="24"/>
                <w:szCs w:val="24"/>
                <w:color w:val="auto"/>
              </w:rPr>
            </w:pPr>
          </w:p>
        </w:tc>
        <w:tc>
          <w:tcPr>
            <w:tcW w:w="92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822</w:t>
            </w:r>
          </w:p>
        </w:tc>
        <w:tc>
          <w:tcPr>
            <w:tcW w:w="0" w:type="dxa"/>
            <w:vAlign w:val="bottom"/>
          </w:tcPr>
          <w:p>
            <w:pPr>
              <w:spacing w:after="0"/>
              <w:rPr>
                <w:sz w:val="1"/>
                <w:szCs w:val="1"/>
                <w:color w:val="auto"/>
              </w:rPr>
            </w:pPr>
          </w:p>
        </w:tc>
      </w:tr>
      <w:tr>
        <w:trPr>
          <w:trHeight w:val="188"/>
        </w:trPr>
        <w:tc>
          <w:tcPr>
            <w:tcW w:w="53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Interest expense</w:t>
            </w:r>
          </w:p>
        </w:tc>
        <w:tc>
          <w:tcPr>
            <w:tcW w:w="5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Interest income</w:t>
            </w:r>
          </w:p>
        </w:tc>
        <w:tc>
          <w:tcPr>
            <w:tcW w:w="5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(35,817)</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(13,595)</w:t>
            </w:r>
          </w:p>
        </w:tc>
        <w:tc>
          <w:tcPr>
            <w:tcW w:w="0" w:type="dxa"/>
            <w:vAlign w:val="bottom"/>
          </w:tcPr>
          <w:p>
            <w:pPr>
              <w:spacing w:after="0"/>
              <w:rPr>
                <w:sz w:val="1"/>
                <w:szCs w:val="1"/>
                <w:color w:val="auto"/>
              </w:rPr>
            </w:pPr>
          </w:p>
        </w:tc>
      </w:tr>
      <w:tr>
        <w:trPr>
          <w:trHeight w:val="188"/>
        </w:trPr>
        <w:tc>
          <w:tcPr>
            <w:tcW w:w="53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Other, net</w:t>
            </w:r>
          </w:p>
        </w:tc>
        <w:tc>
          <w:tcPr>
            <w:tcW w:w="5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(1,173)</w:t>
            </w:r>
          </w:p>
        </w:tc>
        <w:tc>
          <w:tcPr>
            <w:tcW w:w="580" w:type="dxa"/>
            <w:vAlign w:val="bottom"/>
          </w:tcPr>
          <w:p>
            <w:pPr>
              <w:spacing w:after="0"/>
              <w:rPr>
                <w:sz w:val="16"/>
                <w:szCs w:val="16"/>
                <w:color w:val="auto"/>
              </w:rPr>
            </w:pP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449</w:t>
            </w: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(20,745)</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(12,324)</w:t>
            </w:r>
          </w:p>
        </w:tc>
        <w:tc>
          <w:tcPr>
            <w:tcW w:w="0" w:type="dxa"/>
            <w:vAlign w:val="bottom"/>
          </w:tcPr>
          <w:p>
            <w:pPr>
              <w:spacing w:after="0"/>
              <w:rPr>
                <w:sz w:val="1"/>
                <w:szCs w:val="1"/>
                <w:color w:val="auto"/>
              </w:rPr>
            </w:pPr>
          </w:p>
        </w:tc>
      </w:tr>
      <w:tr>
        <w:trPr>
          <w:trHeight w:val="276"/>
        </w:trPr>
        <w:tc>
          <w:tcPr>
            <w:tcW w:w="118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6"/>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income taxes</w:t>
            </w:r>
          </w:p>
        </w:tc>
        <w:tc>
          <w:tcPr>
            <w:tcW w:w="500" w:type="dxa"/>
            <w:vAlign w:val="bottom"/>
          </w:tcPr>
          <w:p>
            <w:pPr>
              <w:spacing w:after="0"/>
              <w:rPr>
                <w:sz w:val="24"/>
                <w:szCs w:val="24"/>
                <w:color w:val="auto"/>
              </w:rPr>
            </w:pPr>
          </w:p>
        </w:tc>
        <w:tc>
          <w:tcPr>
            <w:tcW w:w="9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147,172</w:t>
            </w:r>
          </w:p>
        </w:tc>
        <w:tc>
          <w:tcPr>
            <w:tcW w:w="580" w:type="dxa"/>
            <w:vAlign w:val="bottom"/>
          </w:tcPr>
          <w:p>
            <w:pPr>
              <w:spacing w:after="0"/>
              <w:rPr>
                <w:sz w:val="24"/>
                <w:szCs w:val="24"/>
                <w:color w:val="auto"/>
              </w:rPr>
            </w:pP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174,360</w:t>
            </w:r>
          </w:p>
        </w:tc>
        <w:tc>
          <w:tcPr>
            <w:tcW w:w="0" w:type="dxa"/>
            <w:vAlign w:val="bottom"/>
          </w:tcPr>
          <w:p>
            <w:pPr>
              <w:spacing w:after="0"/>
              <w:rPr>
                <w:sz w:val="1"/>
                <w:szCs w:val="1"/>
                <w:color w:val="auto"/>
              </w:rPr>
            </w:pPr>
          </w:p>
        </w:tc>
      </w:tr>
      <w:tr>
        <w:trPr>
          <w:trHeight w:val="288"/>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rPr>
              <w:t>Provision for income taxes</w:t>
            </w:r>
          </w:p>
        </w:tc>
        <w:tc>
          <w:tcPr>
            <w:tcW w:w="500" w:type="dxa"/>
            <w:vAlign w:val="bottom"/>
          </w:tcPr>
          <w:p>
            <w:pPr>
              <w:spacing w:after="0"/>
              <w:rPr>
                <w:sz w:val="24"/>
                <w:szCs w:val="24"/>
                <w:color w:val="auto"/>
              </w:rPr>
            </w:pPr>
          </w:p>
        </w:tc>
        <w:tc>
          <w:tcPr>
            <w:tcW w:w="9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44,676</w:t>
            </w:r>
          </w:p>
        </w:tc>
        <w:tc>
          <w:tcPr>
            <w:tcW w:w="580" w:type="dxa"/>
            <w:vAlign w:val="bottom"/>
          </w:tcPr>
          <w:p>
            <w:pPr>
              <w:spacing w:after="0"/>
              <w:rPr>
                <w:sz w:val="24"/>
                <w:szCs w:val="24"/>
                <w:color w:val="auto"/>
              </w:rPr>
            </w:pP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52,308</w:t>
            </w:r>
          </w:p>
        </w:tc>
        <w:tc>
          <w:tcPr>
            <w:tcW w:w="0" w:type="dxa"/>
            <w:vAlign w:val="bottom"/>
          </w:tcPr>
          <w:p>
            <w:pPr>
              <w:spacing w:after="0"/>
              <w:rPr>
                <w:sz w:val="1"/>
                <w:szCs w:val="1"/>
                <w:color w:val="auto"/>
              </w:rPr>
            </w:pPr>
          </w:p>
        </w:tc>
      </w:tr>
      <w:tr>
        <w:trPr>
          <w:trHeight w:val="276"/>
        </w:trPr>
        <w:tc>
          <w:tcPr>
            <w:tcW w:w="118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11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4140" w:type="dxa"/>
            <w:vAlign w:val="bottom"/>
          </w:tcPr>
          <w:p>
            <w:pPr>
              <w:spacing w:after="0"/>
              <w:rPr>
                <w:sz w:val="24"/>
                <w:szCs w:val="24"/>
                <w:color w:val="auto"/>
              </w:rPr>
            </w:pP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$ 102,496</w:t>
            </w:r>
          </w:p>
        </w:tc>
        <w:tc>
          <w:tcPr>
            <w:tcW w:w="15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$ 122,052</w:t>
            </w:r>
          </w:p>
        </w:tc>
        <w:tc>
          <w:tcPr>
            <w:tcW w:w="0" w:type="dxa"/>
            <w:vAlign w:val="bottom"/>
          </w:tcPr>
          <w:p>
            <w:pPr>
              <w:spacing w:after="0"/>
              <w:rPr>
                <w:sz w:val="1"/>
                <w:szCs w:val="1"/>
                <w:color w:val="auto"/>
              </w:rPr>
            </w:pPr>
          </w:p>
        </w:tc>
      </w:tr>
      <w:tr>
        <w:trPr>
          <w:trHeight w:val="276"/>
        </w:trPr>
        <w:tc>
          <w:tcPr>
            <w:tcW w:w="118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rPr>
              <w:t>Shares used to compute earnings per share - basic</w:t>
            </w:r>
          </w:p>
        </w:tc>
        <w:tc>
          <w:tcPr>
            <w:tcW w:w="500" w:type="dxa"/>
            <w:vAlign w:val="bottom"/>
          </w:tcPr>
          <w:p>
            <w:pPr>
              <w:spacing w:after="0"/>
              <w:rPr>
                <w:sz w:val="24"/>
                <w:szCs w:val="24"/>
                <w:color w:val="auto"/>
              </w:rPr>
            </w:pPr>
          </w:p>
        </w:tc>
        <w:tc>
          <w:tcPr>
            <w:tcW w:w="9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358,739</w:t>
            </w:r>
          </w:p>
        </w:tc>
        <w:tc>
          <w:tcPr>
            <w:tcW w:w="580" w:type="dxa"/>
            <w:vAlign w:val="bottom"/>
          </w:tcPr>
          <w:p>
            <w:pPr>
              <w:spacing w:after="0"/>
              <w:rPr>
                <w:sz w:val="24"/>
                <w:szCs w:val="24"/>
                <w:color w:val="auto"/>
              </w:rPr>
            </w:pP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352,706</w:t>
            </w:r>
          </w:p>
        </w:tc>
        <w:tc>
          <w:tcPr>
            <w:tcW w:w="0" w:type="dxa"/>
            <w:vAlign w:val="bottom"/>
          </w:tcPr>
          <w:p>
            <w:pPr>
              <w:spacing w:after="0"/>
              <w:rPr>
                <w:sz w:val="1"/>
                <w:szCs w:val="1"/>
                <w:color w:val="auto"/>
              </w:rPr>
            </w:pPr>
          </w:p>
        </w:tc>
      </w:tr>
      <w:tr>
        <w:trPr>
          <w:trHeight w:val="276"/>
        </w:trPr>
        <w:tc>
          <w:tcPr>
            <w:tcW w:w="118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rPr>
              <w:t>Shares used to compute earnings per share - diluted</w:t>
            </w:r>
          </w:p>
        </w:tc>
        <w:tc>
          <w:tcPr>
            <w:tcW w:w="500" w:type="dxa"/>
            <w:vAlign w:val="bottom"/>
          </w:tcPr>
          <w:p>
            <w:pPr>
              <w:spacing w:after="0"/>
              <w:rPr>
                <w:sz w:val="24"/>
                <w:szCs w:val="24"/>
                <w:color w:val="auto"/>
              </w:rPr>
            </w:pPr>
          </w:p>
        </w:tc>
        <w:tc>
          <w:tcPr>
            <w:tcW w:w="9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380,777</w:t>
            </w:r>
          </w:p>
        </w:tc>
        <w:tc>
          <w:tcPr>
            <w:tcW w:w="580" w:type="dxa"/>
            <w:vAlign w:val="bottom"/>
          </w:tcPr>
          <w:p>
            <w:pPr>
              <w:spacing w:after="0"/>
              <w:rPr>
                <w:sz w:val="24"/>
                <w:szCs w:val="24"/>
                <w:color w:val="auto"/>
              </w:rPr>
            </w:pP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382,321</w:t>
            </w:r>
          </w:p>
        </w:tc>
        <w:tc>
          <w:tcPr>
            <w:tcW w:w="0" w:type="dxa"/>
            <w:vAlign w:val="bottom"/>
          </w:tcPr>
          <w:p>
            <w:pPr>
              <w:spacing w:after="0"/>
              <w:rPr>
                <w:sz w:val="1"/>
                <w:szCs w:val="1"/>
                <w:color w:val="auto"/>
              </w:rPr>
            </w:pPr>
          </w:p>
        </w:tc>
      </w:tr>
      <w:tr>
        <w:trPr>
          <w:trHeight w:val="276"/>
        </w:trPr>
        <w:tc>
          <w:tcPr>
            <w:tcW w:w="118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rPr>
              <w:t>Earnings per share - basic</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0.29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0.35</w:t>
            </w:r>
          </w:p>
        </w:tc>
        <w:tc>
          <w:tcPr>
            <w:tcW w:w="0" w:type="dxa"/>
            <w:vAlign w:val="bottom"/>
          </w:tcPr>
          <w:p>
            <w:pPr>
              <w:spacing w:after="0"/>
              <w:rPr>
                <w:sz w:val="1"/>
                <w:szCs w:val="1"/>
                <w:color w:val="auto"/>
              </w:rPr>
            </w:pPr>
          </w:p>
        </w:tc>
      </w:tr>
      <w:tr>
        <w:trPr>
          <w:trHeight w:val="276"/>
        </w:trPr>
        <w:tc>
          <w:tcPr>
            <w:tcW w:w="118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320" w:type="dxa"/>
            <w:vAlign w:val="bottom"/>
            <w:gridSpan w:val="2"/>
          </w:tcPr>
          <w:p>
            <w:pPr>
              <w:spacing w:after="0"/>
              <w:rPr>
                <w:sz w:val="20"/>
                <w:szCs w:val="20"/>
                <w:color w:val="auto"/>
              </w:rPr>
            </w:pPr>
            <w:r>
              <w:rPr>
                <w:rFonts w:ascii="Courier New" w:cs="Courier New" w:eastAsia="Courier New" w:hAnsi="Courier New"/>
                <w:sz w:val="16"/>
                <w:szCs w:val="16"/>
                <w:color w:val="auto"/>
              </w:rPr>
              <w:t>Earnings per share - diluted</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0.27</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0.32</w:t>
            </w:r>
          </w:p>
        </w:tc>
        <w:tc>
          <w:tcPr>
            <w:tcW w:w="0" w:type="dxa"/>
            <w:vAlign w:val="bottom"/>
          </w:tcPr>
          <w:p>
            <w:pPr>
              <w:spacing w:after="0"/>
              <w:rPr>
                <w:sz w:val="1"/>
                <w:szCs w:val="1"/>
                <w:color w:val="auto"/>
              </w:rPr>
            </w:pPr>
          </w:p>
        </w:tc>
      </w:tr>
      <w:tr>
        <w:trPr>
          <w:trHeight w:val="276"/>
        </w:trPr>
        <w:tc>
          <w:tcPr>
            <w:tcW w:w="118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4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7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6"/>
        </w:trPr>
        <w:tc>
          <w:tcPr>
            <w:tcW w:w="5380" w:type="dxa"/>
            <w:vAlign w:val="bottom"/>
          </w:tcPr>
          <w:p>
            <w:pPr>
              <w:ind w:left="300"/>
              <w:spacing w:after="0"/>
              <w:rPr>
                <w:sz w:val="20"/>
                <w:szCs w:val="20"/>
                <w:color w:val="auto"/>
              </w:rPr>
            </w:pPr>
            <w:r>
              <w:rPr>
                <w:rFonts w:ascii="Courier New" w:cs="Courier New" w:eastAsia="Courier New" w:hAnsi="Courier New"/>
                <w:sz w:val="16"/>
                <w:szCs w:val="16"/>
                <w:color w:val="auto"/>
              </w:rPr>
              <w:t>3</w:t>
            </w:r>
          </w:p>
        </w:tc>
        <w:tc>
          <w:tcPr>
            <w:tcW w:w="6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4"/>
        </w:trPr>
        <w:tc>
          <w:tcPr>
            <w:tcW w:w="5380" w:type="dxa"/>
            <w:vAlign w:val="bottom"/>
          </w:tcPr>
          <w:p>
            <w:pPr>
              <w:spacing w:after="0"/>
              <w:rPr>
                <w:sz w:val="20"/>
                <w:szCs w:val="20"/>
                <w:color w:val="auto"/>
              </w:rPr>
            </w:pPr>
            <w:r>
              <w:rPr>
                <w:rFonts w:ascii="Courier New" w:cs="Courier New" w:eastAsia="Courier New" w:hAnsi="Courier New"/>
                <w:sz w:val="16"/>
                <w:szCs w:val="16"/>
                <w:color w:val="auto"/>
              </w:rPr>
              <w:t>ANALOG DEVICES, INC.</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CONDENSED CONSOLIDATED STATEMENTS OF INCOME</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(Unaudited)</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380" w:type="dxa"/>
            <w:vAlign w:val="bottom"/>
          </w:tcPr>
          <w:p>
            <w:pPr>
              <w:spacing w:after="0"/>
              <w:rPr>
                <w:sz w:val="20"/>
                <w:szCs w:val="20"/>
                <w:color w:val="auto"/>
              </w:rPr>
            </w:pPr>
            <w:r>
              <w:rPr>
                <w:rFonts w:ascii="Courier New" w:cs="Courier New" w:eastAsia="Courier New" w:hAnsi="Courier New"/>
                <w:sz w:val="16"/>
                <w:szCs w:val="16"/>
                <w:color w:val="auto"/>
              </w:rPr>
              <w:t>(thousands except per share amounts)</w:t>
            </w:r>
          </w:p>
        </w:tc>
        <w:tc>
          <w:tcPr>
            <w:tcW w:w="6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4"/>
        </w:trPr>
        <w:tc>
          <w:tcPr>
            <w:tcW w:w="5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Six Months Ended</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380" w:type="dxa"/>
            <w:vAlign w:val="bottom"/>
          </w:tcPr>
          <w:p>
            <w:pPr>
              <w:spacing w:after="0"/>
              <w:rPr>
                <w:sz w:val="16"/>
                <w:szCs w:val="16"/>
                <w:color w:val="auto"/>
              </w:rPr>
            </w:pPr>
          </w:p>
        </w:tc>
        <w:tc>
          <w:tcPr>
            <w:tcW w:w="3320" w:type="dxa"/>
            <w:vAlign w:val="bottom"/>
            <w:gridSpan w:val="4"/>
          </w:tcPr>
          <w:p>
            <w:pPr>
              <w:ind w:left="28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5380" w:type="dxa"/>
            <w:vAlign w:val="bottom"/>
          </w:tcPr>
          <w:p>
            <w:pPr>
              <w:spacing w:after="0"/>
              <w:rPr>
                <w:sz w:val="16"/>
                <w:szCs w:val="16"/>
                <w:color w:val="auto"/>
              </w:rPr>
            </w:pPr>
          </w:p>
        </w:tc>
        <w:tc>
          <w:tcPr>
            <w:tcW w:w="640" w:type="dxa"/>
            <w:vAlign w:val="bottom"/>
          </w:tcPr>
          <w:p>
            <w:pPr>
              <w:ind w:left="280"/>
              <w:spacing w:after="0"/>
              <w:rPr>
                <w:sz w:val="20"/>
                <w:szCs w:val="20"/>
                <w:color w:val="auto"/>
              </w:rPr>
            </w:pPr>
            <w:r>
              <w:rPr>
                <w:rFonts w:ascii="Courier New" w:cs="Courier New" w:eastAsia="Courier New" w:hAnsi="Courier New"/>
                <w:sz w:val="16"/>
                <w:szCs w:val="16"/>
                <w:color w:val="auto"/>
              </w:rPr>
              <w:t>May</w:t>
            </w: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5, 2001</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April 29, 2000</w:t>
            </w:r>
          </w:p>
        </w:tc>
        <w:tc>
          <w:tcPr>
            <w:tcW w:w="0" w:type="dxa"/>
            <w:vAlign w:val="bottom"/>
          </w:tcPr>
          <w:p>
            <w:pPr>
              <w:spacing w:after="0"/>
              <w:rPr>
                <w:sz w:val="1"/>
                <w:szCs w:val="1"/>
                <w:color w:val="auto"/>
              </w:rPr>
            </w:pPr>
          </w:p>
        </w:tc>
      </w:tr>
      <w:tr>
        <w:trPr>
          <w:trHeight w:val="276"/>
        </w:trPr>
        <w:tc>
          <w:tcPr>
            <w:tcW w:w="5380" w:type="dxa"/>
            <w:vAlign w:val="bottom"/>
          </w:tcPr>
          <w:p>
            <w:pPr>
              <w:spacing w:after="0"/>
              <w:rPr>
                <w:sz w:val="23"/>
                <w:szCs w:val="23"/>
                <w:color w:val="auto"/>
              </w:rPr>
            </w:pPr>
          </w:p>
        </w:tc>
        <w:tc>
          <w:tcPr>
            <w:tcW w:w="17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6"/>
        </w:trPr>
        <w:tc>
          <w:tcPr>
            <w:tcW w:w="538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7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$ 1,373,716</w:t>
            </w: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$ 1,071,272</w:t>
            </w:r>
          </w:p>
        </w:tc>
        <w:tc>
          <w:tcPr>
            <w:tcW w:w="0" w:type="dxa"/>
            <w:vAlign w:val="bottom"/>
          </w:tcPr>
          <w:p>
            <w:pPr>
              <w:spacing w:after="0"/>
              <w:rPr>
                <w:sz w:val="1"/>
                <w:szCs w:val="1"/>
                <w:color w:val="auto"/>
              </w:rPr>
            </w:pPr>
          </w:p>
        </w:tc>
      </w:tr>
      <w:tr>
        <w:trPr>
          <w:trHeight w:val="2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640" w:type="dxa"/>
            <w:vAlign w:val="bottom"/>
          </w:tcPr>
          <w:p>
            <w:pPr>
              <w:spacing w:after="0"/>
              <w:rPr>
                <w:sz w:val="24"/>
                <w:szCs w:val="24"/>
                <w:color w:val="auto"/>
              </w:rPr>
            </w:pP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578,655</w:t>
            </w:r>
          </w:p>
        </w:tc>
        <w:tc>
          <w:tcPr>
            <w:tcW w:w="74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482,271</w:t>
            </w:r>
          </w:p>
        </w:tc>
        <w:tc>
          <w:tcPr>
            <w:tcW w:w="0" w:type="dxa"/>
            <w:vAlign w:val="bottom"/>
          </w:tcPr>
          <w:p>
            <w:pPr>
              <w:spacing w:after="0"/>
              <w:rPr>
                <w:sz w:val="1"/>
                <w:szCs w:val="1"/>
                <w:color w:val="auto"/>
              </w:rPr>
            </w:pPr>
          </w:p>
        </w:tc>
      </w:tr>
      <w:tr>
        <w:trPr>
          <w:trHeight w:val="276"/>
        </w:trPr>
        <w:tc>
          <w:tcPr>
            <w:tcW w:w="5380" w:type="dxa"/>
            <w:vAlign w:val="bottom"/>
          </w:tcPr>
          <w:p>
            <w:pPr>
              <w:spacing w:after="0"/>
              <w:rPr>
                <w:sz w:val="23"/>
                <w:szCs w:val="23"/>
                <w:color w:val="auto"/>
              </w:rPr>
            </w:pPr>
          </w:p>
        </w:tc>
        <w:tc>
          <w:tcPr>
            <w:tcW w:w="17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6"/>
        </w:trPr>
        <w:tc>
          <w:tcPr>
            <w:tcW w:w="538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640" w:type="dxa"/>
            <w:vAlign w:val="bottom"/>
          </w:tcPr>
          <w:p>
            <w:pPr>
              <w:spacing w:after="0"/>
              <w:rPr>
                <w:sz w:val="24"/>
                <w:szCs w:val="24"/>
                <w:color w:val="auto"/>
              </w:rPr>
            </w:pP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795,061</w:t>
            </w:r>
          </w:p>
        </w:tc>
        <w:tc>
          <w:tcPr>
            <w:tcW w:w="74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589,001</w:t>
            </w:r>
          </w:p>
        </w:tc>
        <w:tc>
          <w:tcPr>
            <w:tcW w:w="0" w:type="dxa"/>
            <w:vAlign w:val="bottom"/>
          </w:tcPr>
          <w:p>
            <w:pPr>
              <w:spacing w:after="0"/>
              <w:rPr>
                <w:sz w:val="1"/>
                <w:szCs w:val="1"/>
                <w:color w:val="auto"/>
              </w:rPr>
            </w:pPr>
          </w:p>
        </w:tc>
      </w:tr>
      <w:tr>
        <w:trPr>
          <w:trHeight w:val="2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640" w:type="dxa"/>
            <w:vAlign w:val="bottom"/>
          </w:tcPr>
          <w:p>
            <w:pPr>
              <w:spacing w:after="0"/>
              <w:rPr>
                <w:sz w:val="24"/>
                <w:szCs w:val="24"/>
                <w:color w:val="auto"/>
              </w:rPr>
            </w:pPr>
          </w:p>
        </w:tc>
        <w:tc>
          <w:tcPr>
            <w:tcW w:w="10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246,531</w:t>
            </w:r>
          </w:p>
        </w:tc>
        <w:tc>
          <w:tcPr>
            <w:tcW w:w="740" w:type="dxa"/>
            <w:vAlign w:val="bottom"/>
          </w:tcPr>
          <w:p>
            <w:pPr>
              <w:spacing w:after="0"/>
              <w:rPr>
                <w:sz w:val="24"/>
                <w:szCs w:val="24"/>
                <w:color w:val="auto"/>
              </w:rPr>
            </w:pPr>
          </w:p>
        </w:tc>
        <w:tc>
          <w:tcPr>
            <w:tcW w:w="8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w w:val="98"/>
              </w:rPr>
              <w:t>172,542</w:t>
            </w:r>
          </w:p>
        </w:tc>
        <w:tc>
          <w:tcPr>
            <w:tcW w:w="0" w:type="dxa"/>
            <w:vAlign w:val="bottom"/>
          </w:tcPr>
          <w:p>
            <w:pPr>
              <w:spacing w:after="0"/>
              <w:rPr>
                <w:sz w:val="1"/>
                <w:szCs w:val="1"/>
                <w:color w:val="auto"/>
              </w:rPr>
            </w:pPr>
          </w:p>
        </w:tc>
      </w:tr>
      <w:tr>
        <w:trPr>
          <w:trHeight w:val="188"/>
        </w:trPr>
        <w:tc>
          <w:tcPr>
            <w:tcW w:w="5380" w:type="dxa"/>
            <w:vAlign w:val="bottom"/>
          </w:tcPr>
          <w:p>
            <w:pPr>
              <w:ind w:left="580"/>
              <w:spacing w:after="0"/>
              <w:rPr>
                <w:sz w:val="20"/>
                <w:szCs w:val="20"/>
                <w:color w:val="auto"/>
              </w:rPr>
            </w:pPr>
            <w:r>
              <w:rPr>
                <w:rFonts w:ascii="Courier New" w:cs="Courier New" w:eastAsia="Courier New" w:hAnsi="Courier New"/>
                <w:sz w:val="16"/>
                <w:szCs w:val="16"/>
                <w:color w:val="auto"/>
              </w:rPr>
              <w:t>Research and development</w:t>
            </w:r>
          </w:p>
        </w:tc>
        <w:tc>
          <w:tcPr>
            <w:tcW w:w="6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80" w:type="dxa"/>
            <w:vAlign w:val="bottom"/>
          </w:tcPr>
          <w:p>
            <w:pPr>
              <w:ind w:left="580"/>
              <w:spacing w:after="0"/>
              <w:rPr>
                <w:sz w:val="20"/>
                <w:szCs w:val="20"/>
                <w:color w:val="auto"/>
              </w:rPr>
            </w:pPr>
            <w:r>
              <w:rPr>
                <w:rFonts w:ascii="Courier New" w:cs="Courier New" w:eastAsia="Courier New" w:hAnsi="Courier New"/>
                <w:sz w:val="16"/>
                <w:szCs w:val="16"/>
                <w:color w:val="auto"/>
              </w:rPr>
              <w:t>Purchased in-process research and development</w:t>
            </w:r>
          </w:p>
        </w:tc>
        <w:tc>
          <w:tcPr>
            <w:tcW w:w="640" w:type="dxa"/>
            <w:vAlign w:val="bottom"/>
          </w:tcPr>
          <w:p>
            <w:pPr>
              <w:spacing w:after="0"/>
              <w:rPr>
                <w:sz w:val="16"/>
                <w:szCs w:val="16"/>
                <w:color w:val="auto"/>
              </w:rPr>
            </w:pP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9,500</w:t>
            </w:r>
          </w:p>
        </w:tc>
        <w:tc>
          <w:tcPr>
            <w:tcW w:w="7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5380" w:type="dxa"/>
            <w:vAlign w:val="bottom"/>
          </w:tcPr>
          <w:p>
            <w:pPr>
              <w:ind w:left="580"/>
              <w:spacing w:after="0"/>
              <w:rPr>
                <w:sz w:val="20"/>
                <w:szCs w:val="20"/>
                <w:color w:val="auto"/>
              </w:rPr>
            </w:pPr>
            <w:r>
              <w:rPr>
                <w:rFonts w:ascii="Courier New" w:cs="Courier New" w:eastAsia="Courier New" w:hAnsi="Courier New"/>
                <w:sz w:val="16"/>
                <w:szCs w:val="16"/>
                <w:color w:val="auto"/>
              </w:rPr>
              <w:t>Amortization of intangibles</w:t>
            </w:r>
          </w:p>
        </w:tc>
        <w:tc>
          <w:tcPr>
            <w:tcW w:w="640" w:type="dxa"/>
            <w:vAlign w:val="bottom"/>
          </w:tcPr>
          <w:p>
            <w:pPr>
              <w:spacing w:after="0"/>
              <w:rPr>
                <w:sz w:val="16"/>
                <w:szCs w:val="16"/>
                <w:color w:val="auto"/>
              </w:rPr>
            </w:pP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24,302</w:t>
            </w:r>
          </w:p>
        </w:tc>
        <w:tc>
          <w:tcPr>
            <w:tcW w:w="7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1,172</w:t>
            </w:r>
          </w:p>
        </w:tc>
        <w:tc>
          <w:tcPr>
            <w:tcW w:w="0" w:type="dxa"/>
            <w:vAlign w:val="bottom"/>
          </w:tcPr>
          <w:p>
            <w:pPr>
              <w:spacing w:after="0"/>
              <w:rPr>
                <w:sz w:val="1"/>
                <w:szCs w:val="1"/>
                <w:color w:val="auto"/>
              </w:rPr>
            </w:pPr>
          </w:p>
        </w:tc>
      </w:tr>
      <w:tr>
        <w:trPr>
          <w:trHeight w:val="188"/>
        </w:trPr>
        <w:tc>
          <w:tcPr>
            <w:tcW w:w="5380" w:type="dxa"/>
            <w:vAlign w:val="bottom"/>
          </w:tcPr>
          <w:p>
            <w:pPr>
              <w:ind w:left="580"/>
              <w:spacing w:after="0"/>
              <w:rPr>
                <w:sz w:val="20"/>
                <w:szCs w:val="20"/>
                <w:color w:val="auto"/>
              </w:rPr>
            </w:pPr>
            <w:r>
              <w:rPr>
                <w:rFonts w:ascii="Courier New" w:cs="Courier New" w:eastAsia="Courier New" w:hAnsi="Courier New"/>
                <w:sz w:val="16"/>
                <w:szCs w:val="16"/>
                <w:color w:val="auto"/>
              </w:rPr>
              <w:t>Selling, marketing, general and administrative</w:t>
            </w:r>
          </w:p>
        </w:tc>
        <w:tc>
          <w:tcPr>
            <w:tcW w:w="640" w:type="dxa"/>
            <w:vAlign w:val="bottom"/>
          </w:tcPr>
          <w:p>
            <w:pPr>
              <w:spacing w:after="0"/>
              <w:rPr>
                <w:sz w:val="16"/>
                <w:szCs w:val="16"/>
                <w:color w:val="auto"/>
              </w:rPr>
            </w:pP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163,116</w:t>
            </w:r>
          </w:p>
        </w:tc>
        <w:tc>
          <w:tcPr>
            <w:tcW w:w="7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135,597</w:t>
            </w:r>
          </w:p>
        </w:tc>
        <w:tc>
          <w:tcPr>
            <w:tcW w:w="0" w:type="dxa"/>
            <w:vAlign w:val="bottom"/>
          </w:tcPr>
          <w:p>
            <w:pPr>
              <w:spacing w:after="0"/>
              <w:rPr>
                <w:sz w:val="1"/>
                <w:szCs w:val="1"/>
                <w:color w:val="auto"/>
              </w:rPr>
            </w:pPr>
          </w:p>
        </w:tc>
      </w:tr>
      <w:tr>
        <w:trPr>
          <w:trHeight w:val="188"/>
        </w:trPr>
        <w:tc>
          <w:tcPr>
            <w:tcW w:w="5380" w:type="dxa"/>
            <w:vAlign w:val="bottom"/>
          </w:tcPr>
          <w:p>
            <w:pPr>
              <w:spacing w:after="0"/>
              <w:rPr>
                <w:sz w:val="16"/>
                <w:szCs w:val="16"/>
                <w:color w:val="auto"/>
              </w:rPr>
            </w:pPr>
          </w:p>
        </w:tc>
        <w:tc>
          <w:tcPr>
            <w:tcW w:w="17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5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443,449</w:t>
            </w:r>
          </w:p>
        </w:tc>
        <w:tc>
          <w:tcPr>
            <w:tcW w:w="740" w:type="dxa"/>
            <w:vAlign w:val="bottom"/>
          </w:tcPr>
          <w:p>
            <w:pPr>
              <w:spacing w:after="0"/>
              <w:rPr>
                <w:sz w:val="23"/>
                <w:szCs w:val="23"/>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309,311</w:t>
            </w:r>
          </w:p>
        </w:tc>
        <w:tc>
          <w:tcPr>
            <w:tcW w:w="0" w:type="dxa"/>
            <w:vAlign w:val="bottom"/>
          </w:tcPr>
          <w:p>
            <w:pPr>
              <w:spacing w:after="0"/>
              <w:rPr>
                <w:sz w:val="1"/>
                <w:szCs w:val="1"/>
                <w:color w:val="auto"/>
              </w:rPr>
            </w:pPr>
          </w:p>
        </w:tc>
      </w:tr>
      <w:tr>
        <w:trPr>
          <w:trHeight w:val="376"/>
        </w:trPr>
        <w:tc>
          <w:tcPr>
            <w:tcW w:w="538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640" w:type="dxa"/>
            <w:vAlign w:val="bottom"/>
          </w:tcPr>
          <w:p>
            <w:pPr>
              <w:spacing w:after="0"/>
              <w:rPr>
                <w:sz w:val="24"/>
                <w:szCs w:val="24"/>
                <w:color w:val="auto"/>
              </w:rPr>
            </w:pP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351,612</w:t>
            </w:r>
          </w:p>
        </w:tc>
        <w:tc>
          <w:tcPr>
            <w:tcW w:w="74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279,690</w:t>
            </w:r>
          </w:p>
        </w:tc>
        <w:tc>
          <w:tcPr>
            <w:tcW w:w="0" w:type="dxa"/>
            <w:vAlign w:val="bottom"/>
          </w:tcPr>
          <w:p>
            <w:pPr>
              <w:spacing w:after="0"/>
              <w:rPr>
                <w:sz w:val="1"/>
                <w:szCs w:val="1"/>
                <w:color w:val="auto"/>
              </w:rPr>
            </w:pPr>
          </w:p>
        </w:tc>
      </w:tr>
      <w:tr>
        <w:trPr>
          <w:trHeight w:val="2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Nonoperating (income) expenses:</w:t>
            </w:r>
          </w:p>
        </w:tc>
        <w:tc>
          <w:tcPr>
            <w:tcW w:w="640" w:type="dxa"/>
            <w:vAlign w:val="bottom"/>
          </w:tcPr>
          <w:p>
            <w:pPr>
              <w:spacing w:after="0"/>
              <w:rPr>
                <w:sz w:val="24"/>
                <w:szCs w:val="24"/>
                <w:color w:val="auto"/>
              </w:rPr>
            </w:pPr>
          </w:p>
        </w:tc>
        <w:tc>
          <w:tcPr>
            <w:tcW w:w="106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33,114</w:t>
            </w:r>
          </w:p>
        </w:tc>
        <w:tc>
          <w:tcPr>
            <w:tcW w:w="740" w:type="dxa"/>
            <w:vAlign w:val="bottom"/>
          </w:tcPr>
          <w:p>
            <w:pPr>
              <w:spacing w:after="0"/>
              <w:rPr>
                <w:sz w:val="24"/>
                <w:szCs w:val="24"/>
                <w:color w:val="auto"/>
              </w:rPr>
            </w:pPr>
          </w:p>
        </w:tc>
        <w:tc>
          <w:tcPr>
            <w:tcW w:w="8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2,503</w:t>
            </w:r>
          </w:p>
        </w:tc>
        <w:tc>
          <w:tcPr>
            <w:tcW w:w="0" w:type="dxa"/>
            <w:vAlign w:val="bottom"/>
          </w:tcPr>
          <w:p>
            <w:pPr>
              <w:spacing w:after="0"/>
              <w:rPr>
                <w:sz w:val="1"/>
                <w:szCs w:val="1"/>
                <w:color w:val="auto"/>
              </w:rPr>
            </w:pPr>
          </w:p>
        </w:tc>
      </w:tr>
      <w:tr>
        <w:trPr>
          <w:trHeight w:val="188"/>
        </w:trPr>
        <w:tc>
          <w:tcPr>
            <w:tcW w:w="5380" w:type="dxa"/>
            <w:vAlign w:val="bottom"/>
          </w:tcPr>
          <w:p>
            <w:pPr>
              <w:ind w:left="580"/>
              <w:spacing w:after="0"/>
              <w:rPr>
                <w:sz w:val="20"/>
                <w:szCs w:val="20"/>
                <w:color w:val="auto"/>
              </w:rPr>
            </w:pPr>
            <w:r>
              <w:rPr>
                <w:rFonts w:ascii="Courier New" w:cs="Courier New" w:eastAsia="Courier New" w:hAnsi="Courier New"/>
                <w:sz w:val="16"/>
                <w:szCs w:val="16"/>
                <w:color w:val="auto"/>
              </w:rPr>
              <w:t>Interest expense</w:t>
            </w:r>
          </w:p>
        </w:tc>
        <w:tc>
          <w:tcPr>
            <w:tcW w:w="6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80" w:type="dxa"/>
            <w:vAlign w:val="bottom"/>
          </w:tcPr>
          <w:p>
            <w:pPr>
              <w:ind w:left="580"/>
              <w:spacing w:after="0"/>
              <w:rPr>
                <w:sz w:val="20"/>
                <w:szCs w:val="20"/>
                <w:color w:val="auto"/>
              </w:rPr>
            </w:pPr>
            <w:r>
              <w:rPr>
                <w:rFonts w:ascii="Courier New" w:cs="Courier New" w:eastAsia="Courier New" w:hAnsi="Courier New"/>
                <w:sz w:val="16"/>
                <w:szCs w:val="16"/>
                <w:color w:val="auto"/>
              </w:rPr>
              <w:t>Interest income</w:t>
            </w:r>
          </w:p>
        </w:tc>
        <w:tc>
          <w:tcPr>
            <w:tcW w:w="64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(77,065)</w:t>
            </w:r>
          </w:p>
        </w:tc>
        <w:tc>
          <w:tcPr>
            <w:tcW w:w="7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(25,501)</w:t>
            </w:r>
          </w:p>
        </w:tc>
        <w:tc>
          <w:tcPr>
            <w:tcW w:w="0" w:type="dxa"/>
            <w:vAlign w:val="bottom"/>
          </w:tcPr>
          <w:p>
            <w:pPr>
              <w:spacing w:after="0"/>
              <w:rPr>
                <w:sz w:val="1"/>
                <w:szCs w:val="1"/>
                <w:color w:val="auto"/>
              </w:rPr>
            </w:pPr>
          </w:p>
        </w:tc>
      </w:tr>
      <w:tr>
        <w:trPr>
          <w:trHeight w:val="188"/>
        </w:trPr>
        <w:tc>
          <w:tcPr>
            <w:tcW w:w="5380" w:type="dxa"/>
            <w:vAlign w:val="bottom"/>
          </w:tcPr>
          <w:p>
            <w:pPr>
              <w:ind w:left="580"/>
              <w:spacing w:after="0"/>
              <w:rPr>
                <w:sz w:val="20"/>
                <w:szCs w:val="20"/>
                <w:color w:val="auto"/>
              </w:rPr>
            </w:pPr>
            <w:r>
              <w:rPr>
                <w:rFonts w:ascii="Courier New" w:cs="Courier New" w:eastAsia="Courier New" w:hAnsi="Courier New"/>
                <w:sz w:val="16"/>
                <w:szCs w:val="16"/>
                <w:color w:val="auto"/>
              </w:rPr>
              <w:t>Other, net</w:t>
            </w:r>
          </w:p>
        </w:tc>
        <w:tc>
          <w:tcPr>
            <w:tcW w:w="64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(29,289)</w:t>
            </w:r>
          </w:p>
        </w:tc>
        <w:tc>
          <w:tcPr>
            <w:tcW w:w="7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1,263</w:t>
            </w:r>
          </w:p>
        </w:tc>
        <w:tc>
          <w:tcPr>
            <w:tcW w:w="0" w:type="dxa"/>
            <w:vAlign w:val="bottom"/>
          </w:tcPr>
          <w:p>
            <w:pPr>
              <w:spacing w:after="0"/>
              <w:rPr>
                <w:sz w:val="1"/>
                <w:szCs w:val="1"/>
                <w:color w:val="auto"/>
              </w:rPr>
            </w:pPr>
          </w:p>
        </w:tc>
      </w:tr>
      <w:tr>
        <w:trPr>
          <w:trHeight w:val="188"/>
        </w:trPr>
        <w:tc>
          <w:tcPr>
            <w:tcW w:w="5380" w:type="dxa"/>
            <w:vAlign w:val="bottom"/>
          </w:tcPr>
          <w:p>
            <w:pPr>
              <w:spacing w:after="0"/>
              <w:rPr>
                <w:sz w:val="16"/>
                <w:szCs w:val="16"/>
                <w:color w:val="auto"/>
              </w:rPr>
            </w:pPr>
          </w:p>
        </w:tc>
        <w:tc>
          <w:tcPr>
            <w:tcW w:w="17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5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(73,240)</w:t>
            </w:r>
          </w:p>
        </w:tc>
        <w:tc>
          <w:tcPr>
            <w:tcW w:w="7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(21,735)</w:t>
            </w:r>
          </w:p>
        </w:tc>
        <w:tc>
          <w:tcPr>
            <w:tcW w:w="0" w:type="dxa"/>
            <w:vAlign w:val="bottom"/>
          </w:tcPr>
          <w:p>
            <w:pPr>
              <w:spacing w:after="0"/>
              <w:rPr>
                <w:sz w:val="1"/>
                <w:szCs w:val="1"/>
                <w:color w:val="auto"/>
              </w:rPr>
            </w:pPr>
          </w:p>
        </w:tc>
      </w:tr>
      <w:tr>
        <w:trPr>
          <w:trHeight w:val="276"/>
        </w:trPr>
        <w:tc>
          <w:tcPr>
            <w:tcW w:w="5380" w:type="dxa"/>
            <w:vAlign w:val="bottom"/>
          </w:tcPr>
          <w:p>
            <w:pPr>
              <w:spacing w:after="0"/>
              <w:rPr>
                <w:sz w:val="23"/>
                <w:szCs w:val="23"/>
                <w:color w:val="auto"/>
              </w:rPr>
            </w:pPr>
          </w:p>
        </w:tc>
        <w:tc>
          <w:tcPr>
            <w:tcW w:w="17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6"/>
        </w:trPr>
        <w:tc>
          <w:tcPr>
            <w:tcW w:w="538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640" w:type="dxa"/>
            <w:vAlign w:val="bottom"/>
          </w:tcPr>
          <w:p>
            <w:pPr>
              <w:spacing w:after="0"/>
              <w:rPr>
                <w:sz w:val="24"/>
                <w:szCs w:val="24"/>
                <w:color w:val="auto"/>
              </w:rPr>
            </w:pP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424,852</w:t>
            </w:r>
          </w:p>
        </w:tc>
        <w:tc>
          <w:tcPr>
            <w:tcW w:w="74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301,425</w:t>
            </w:r>
          </w:p>
        </w:tc>
        <w:tc>
          <w:tcPr>
            <w:tcW w:w="0" w:type="dxa"/>
            <w:vAlign w:val="bottom"/>
          </w:tcPr>
          <w:p>
            <w:pPr>
              <w:spacing w:after="0"/>
              <w:rPr>
                <w:sz w:val="1"/>
                <w:szCs w:val="1"/>
                <w:color w:val="auto"/>
              </w:rPr>
            </w:pPr>
          </w:p>
        </w:tc>
      </w:tr>
      <w:tr>
        <w:trPr>
          <w:trHeight w:val="2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640" w:type="dxa"/>
            <w:vAlign w:val="bottom"/>
          </w:tcPr>
          <w:p>
            <w:pPr>
              <w:spacing w:after="0"/>
              <w:rPr>
                <w:sz w:val="24"/>
                <w:szCs w:val="24"/>
                <w:color w:val="auto"/>
              </w:rPr>
            </w:pP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131,979</w:t>
            </w:r>
          </w:p>
        </w:tc>
        <w:tc>
          <w:tcPr>
            <w:tcW w:w="74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86,366</w:t>
            </w:r>
          </w:p>
        </w:tc>
        <w:tc>
          <w:tcPr>
            <w:tcW w:w="0" w:type="dxa"/>
            <w:vAlign w:val="bottom"/>
          </w:tcPr>
          <w:p>
            <w:pPr>
              <w:spacing w:after="0"/>
              <w:rPr>
                <w:sz w:val="1"/>
                <w:szCs w:val="1"/>
                <w:color w:val="auto"/>
              </w:rPr>
            </w:pPr>
          </w:p>
        </w:tc>
      </w:tr>
      <w:tr>
        <w:trPr>
          <w:trHeight w:val="276"/>
        </w:trPr>
        <w:tc>
          <w:tcPr>
            <w:tcW w:w="5380" w:type="dxa"/>
            <w:vAlign w:val="bottom"/>
          </w:tcPr>
          <w:p>
            <w:pPr>
              <w:spacing w:after="0"/>
              <w:rPr>
                <w:sz w:val="23"/>
                <w:szCs w:val="23"/>
                <w:color w:val="auto"/>
              </w:rPr>
            </w:pPr>
          </w:p>
        </w:tc>
        <w:tc>
          <w:tcPr>
            <w:tcW w:w="17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6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292,873</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215,059</w:t>
            </w:r>
          </w:p>
        </w:tc>
        <w:tc>
          <w:tcPr>
            <w:tcW w:w="0" w:type="dxa"/>
            <w:vAlign w:val="bottom"/>
          </w:tcPr>
          <w:p>
            <w:pPr>
              <w:spacing w:after="0"/>
              <w:rPr>
                <w:sz w:val="1"/>
                <w:szCs w:val="1"/>
                <w:color w:val="auto"/>
              </w:rPr>
            </w:pPr>
          </w:p>
        </w:tc>
      </w:tr>
      <w:tr>
        <w:trPr>
          <w:trHeight w:val="276"/>
        </w:trPr>
        <w:tc>
          <w:tcPr>
            <w:tcW w:w="5380" w:type="dxa"/>
            <w:vAlign w:val="bottom"/>
          </w:tcPr>
          <w:p>
            <w:pPr>
              <w:spacing w:after="0"/>
              <w:rPr>
                <w:sz w:val="23"/>
                <w:szCs w:val="23"/>
                <w:color w:val="auto"/>
              </w:rPr>
            </w:pPr>
          </w:p>
        </w:tc>
        <w:tc>
          <w:tcPr>
            <w:tcW w:w="17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Shares used to compute earnings per share - basic</w:t>
            </w:r>
          </w:p>
        </w:tc>
        <w:tc>
          <w:tcPr>
            <w:tcW w:w="640" w:type="dxa"/>
            <w:vAlign w:val="bottom"/>
          </w:tcPr>
          <w:p>
            <w:pPr>
              <w:spacing w:after="0"/>
              <w:rPr>
                <w:sz w:val="24"/>
                <w:szCs w:val="24"/>
                <w:color w:val="auto"/>
              </w:rPr>
            </w:pP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357,905</w:t>
            </w:r>
          </w:p>
        </w:tc>
        <w:tc>
          <w:tcPr>
            <w:tcW w:w="74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351,029</w:t>
            </w:r>
          </w:p>
        </w:tc>
        <w:tc>
          <w:tcPr>
            <w:tcW w:w="0" w:type="dxa"/>
            <w:vAlign w:val="bottom"/>
          </w:tcPr>
          <w:p>
            <w:pPr>
              <w:spacing w:after="0"/>
              <w:rPr>
                <w:sz w:val="1"/>
                <w:szCs w:val="1"/>
                <w:color w:val="auto"/>
              </w:rPr>
            </w:pPr>
          </w:p>
        </w:tc>
      </w:tr>
      <w:tr>
        <w:trPr>
          <w:trHeight w:val="276"/>
        </w:trPr>
        <w:tc>
          <w:tcPr>
            <w:tcW w:w="5380" w:type="dxa"/>
            <w:vAlign w:val="bottom"/>
          </w:tcPr>
          <w:p>
            <w:pPr>
              <w:spacing w:after="0"/>
              <w:rPr>
                <w:sz w:val="23"/>
                <w:szCs w:val="23"/>
                <w:color w:val="auto"/>
              </w:rPr>
            </w:pPr>
          </w:p>
        </w:tc>
        <w:tc>
          <w:tcPr>
            <w:tcW w:w="17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Shares used to compute earnings per share - diluted</w:t>
            </w:r>
          </w:p>
        </w:tc>
        <w:tc>
          <w:tcPr>
            <w:tcW w:w="640" w:type="dxa"/>
            <w:vAlign w:val="bottom"/>
          </w:tcPr>
          <w:p>
            <w:pPr>
              <w:spacing w:after="0"/>
              <w:rPr>
                <w:sz w:val="24"/>
                <w:szCs w:val="24"/>
                <w:color w:val="auto"/>
              </w:rPr>
            </w:pP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382,084</w:t>
            </w:r>
          </w:p>
        </w:tc>
        <w:tc>
          <w:tcPr>
            <w:tcW w:w="74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378,389</w:t>
            </w:r>
          </w:p>
        </w:tc>
        <w:tc>
          <w:tcPr>
            <w:tcW w:w="0" w:type="dxa"/>
            <w:vAlign w:val="bottom"/>
          </w:tcPr>
          <w:p>
            <w:pPr>
              <w:spacing w:after="0"/>
              <w:rPr>
                <w:sz w:val="1"/>
                <w:szCs w:val="1"/>
                <w:color w:val="auto"/>
              </w:rPr>
            </w:pPr>
          </w:p>
        </w:tc>
      </w:tr>
      <w:tr>
        <w:trPr>
          <w:trHeight w:val="276"/>
        </w:trPr>
        <w:tc>
          <w:tcPr>
            <w:tcW w:w="5380" w:type="dxa"/>
            <w:vAlign w:val="bottom"/>
          </w:tcPr>
          <w:p>
            <w:pPr>
              <w:spacing w:after="0"/>
              <w:rPr>
                <w:sz w:val="23"/>
                <w:szCs w:val="23"/>
                <w:color w:val="auto"/>
              </w:rPr>
            </w:pPr>
          </w:p>
        </w:tc>
        <w:tc>
          <w:tcPr>
            <w:tcW w:w="17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Earnings per share - basic</w:t>
            </w:r>
          </w:p>
        </w:tc>
        <w:tc>
          <w:tcPr>
            <w:tcW w:w="6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0.82</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0.61</w:t>
            </w:r>
          </w:p>
        </w:tc>
        <w:tc>
          <w:tcPr>
            <w:tcW w:w="0" w:type="dxa"/>
            <w:vAlign w:val="bottom"/>
          </w:tcPr>
          <w:p>
            <w:pPr>
              <w:spacing w:after="0"/>
              <w:rPr>
                <w:sz w:val="1"/>
                <w:szCs w:val="1"/>
                <w:color w:val="auto"/>
              </w:rPr>
            </w:pPr>
          </w:p>
        </w:tc>
      </w:tr>
      <w:tr>
        <w:trPr>
          <w:trHeight w:val="276"/>
        </w:trPr>
        <w:tc>
          <w:tcPr>
            <w:tcW w:w="5380" w:type="dxa"/>
            <w:vAlign w:val="bottom"/>
          </w:tcPr>
          <w:p>
            <w:pPr>
              <w:spacing w:after="0"/>
              <w:rPr>
                <w:sz w:val="23"/>
                <w:szCs w:val="23"/>
                <w:color w:val="auto"/>
              </w:rPr>
            </w:pPr>
          </w:p>
        </w:tc>
        <w:tc>
          <w:tcPr>
            <w:tcW w:w="17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380" w:type="dxa"/>
            <w:vAlign w:val="bottom"/>
          </w:tcPr>
          <w:p>
            <w:pPr>
              <w:spacing w:after="0"/>
              <w:rPr>
                <w:sz w:val="20"/>
                <w:szCs w:val="20"/>
                <w:color w:val="auto"/>
              </w:rPr>
            </w:pPr>
            <w:r>
              <w:rPr>
                <w:rFonts w:ascii="Courier New" w:cs="Courier New" w:eastAsia="Courier New" w:hAnsi="Courier New"/>
                <w:sz w:val="16"/>
                <w:szCs w:val="16"/>
                <w:color w:val="auto"/>
              </w:rPr>
              <w:t>Earnings per share - diluted</w:t>
            </w:r>
          </w:p>
        </w:tc>
        <w:tc>
          <w:tcPr>
            <w:tcW w:w="6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0.77</w:t>
            </w:r>
          </w:p>
        </w:tc>
        <w:tc>
          <w:tcPr>
            <w:tcW w:w="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0.57</w:t>
            </w:r>
          </w:p>
        </w:tc>
        <w:tc>
          <w:tcPr>
            <w:tcW w:w="0" w:type="dxa"/>
            <w:vAlign w:val="bottom"/>
          </w:tcPr>
          <w:p>
            <w:pPr>
              <w:spacing w:after="0"/>
              <w:rPr>
                <w:sz w:val="1"/>
                <w:szCs w:val="1"/>
                <w:color w:val="auto"/>
              </w:rPr>
            </w:pPr>
          </w:p>
        </w:tc>
      </w:tr>
      <w:tr>
        <w:trPr>
          <w:trHeight w:val="276"/>
        </w:trPr>
        <w:tc>
          <w:tcPr>
            <w:tcW w:w="5380" w:type="dxa"/>
            <w:vAlign w:val="bottom"/>
          </w:tcPr>
          <w:p>
            <w:pPr>
              <w:spacing w:after="0"/>
              <w:rPr>
                <w:sz w:val="23"/>
                <w:szCs w:val="23"/>
                <w:color w:val="auto"/>
              </w:rPr>
            </w:pPr>
          </w:p>
        </w:tc>
        <w:tc>
          <w:tcPr>
            <w:tcW w:w="17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75"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May 5, 2001</w:t>
            </w:r>
          </w:p>
        </w:tc>
        <w:tc>
          <w:tcPr>
            <w:tcW w:w="1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October 28, 2000</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April 29, 2000</w:t>
            </w:r>
          </w:p>
        </w:tc>
        <w:tc>
          <w:tcPr>
            <w:tcW w:w="0" w:type="dxa"/>
            <w:vAlign w:val="bottom"/>
          </w:tcPr>
          <w:p>
            <w:pPr>
              <w:spacing w:after="0"/>
              <w:rPr>
                <w:sz w:val="1"/>
                <w:szCs w:val="1"/>
                <w:color w:val="auto"/>
              </w:rPr>
            </w:pPr>
          </w:p>
        </w:tc>
      </w:tr>
      <w:tr>
        <w:trPr>
          <w:trHeight w:val="276"/>
        </w:trPr>
        <w:tc>
          <w:tcPr>
            <w:tcW w:w="4740" w:type="dxa"/>
            <w:vAlign w:val="bottom"/>
          </w:tcPr>
          <w:p>
            <w:pPr>
              <w:spacing w:after="0"/>
              <w:rPr>
                <w:sz w:val="23"/>
                <w:szCs w:val="23"/>
                <w:color w:val="auto"/>
              </w:rPr>
            </w:pP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474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$1,217,084</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$1,736,421</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514,894</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20"/>
                <w:szCs w:val="20"/>
                <w:color w:val="auto"/>
              </w:rPr>
            </w:pPr>
            <w:r>
              <w:rPr>
                <w:rFonts w:ascii="Courier New" w:cs="Courier New" w:eastAsia="Courier New" w:hAnsi="Courier New"/>
                <w:sz w:val="16"/>
                <w:szCs w:val="16"/>
                <w:color w:val="auto"/>
              </w:rPr>
              <w:t>Short-term investments</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1,292,462</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498,844</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416,559</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20"/>
                <w:szCs w:val="20"/>
                <w:color w:val="auto"/>
              </w:rPr>
            </w:pPr>
            <w:r>
              <w:rPr>
                <w:rFonts w:ascii="Courier New" w:cs="Courier New" w:eastAsia="Courier New" w:hAnsi="Courier New"/>
                <w:sz w:val="16"/>
                <w:szCs w:val="16"/>
                <w:color w:val="auto"/>
              </w:rPr>
              <w:t>Accounts receivable, net</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343,848</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463,912</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351,538</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20"/>
                <w:szCs w:val="20"/>
                <w:color w:val="auto"/>
              </w:rPr>
            </w:pPr>
            <w:r>
              <w:rPr>
                <w:rFonts w:ascii="Courier New" w:cs="Courier New" w:eastAsia="Courier New" w:hAnsi="Courier New"/>
                <w:sz w:val="16"/>
                <w:szCs w:val="16"/>
                <w:color w:val="auto"/>
              </w:rPr>
              <w:t>Inventories:</w:t>
            </w:r>
          </w:p>
        </w:tc>
        <w:tc>
          <w:tcPr>
            <w:tcW w:w="14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22,227</w:t>
            </w:r>
          </w:p>
        </w:tc>
        <w:tc>
          <w:tcPr>
            <w:tcW w:w="1820" w:type="dxa"/>
            <w:vAlign w:val="bottom"/>
            <w:vMerge w:val="restart"/>
          </w:tcPr>
          <w:p>
            <w:pPr>
              <w:jc w:val="right"/>
              <w:ind w:right="319"/>
              <w:spacing w:after="0"/>
              <w:rPr>
                <w:sz w:val="20"/>
                <w:szCs w:val="20"/>
                <w:color w:val="auto"/>
              </w:rPr>
            </w:pPr>
            <w:r>
              <w:rPr>
                <w:rFonts w:ascii="Courier New" w:cs="Courier New" w:eastAsia="Courier New" w:hAnsi="Courier New"/>
                <w:sz w:val="16"/>
                <w:szCs w:val="16"/>
                <w:color w:val="auto"/>
              </w:rPr>
              <w:t>17,505</w:t>
            </w:r>
          </w:p>
        </w:tc>
        <w:tc>
          <w:tcPr>
            <w:tcW w:w="146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13,105</w:t>
            </w:r>
          </w:p>
        </w:tc>
        <w:tc>
          <w:tcPr>
            <w:tcW w:w="0" w:type="dxa"/>
            <w:vAlign w:val="bottom"/>
          </w:tcPr>
          <w:p>
            <w:pPr>
              <w:spacing w:after="0"/>
              <w:rPr>
                <w:sz w:val="1"/>
                <w:szCs w:val="1"/>
                <w:color w:val="auto"/>
              </w:rPr>
            </w:pPr>
          </w:p>
        </w:tc>
      </w:tr>
      <w:tr>
        <w:trPr>
          <w:trHeight w:val="188"/>
        </w:trPr>
        <w:tc>
          <w:tcPr>
            <w:tcW w:w="4740" w:type="dxa"/>
            <w:vAlign w:val="bottom"/>
          </w:tcPr>
          <w:p>
            <w:pPr>
              <w:ind w:left="400"/>
              <w:spacing w:after="0"/>
              <w:rPr>
                <w:sz w:val="20"/>
                <w:szCs w:val="20"/>
                <w:color w:val="auto"/>
              </w:rPr>
            </w:pPr>
            <w:r>
              <w:rPr>
                <w:rFonts w:ascii="Courier New" w:cs="Courier New" w:eastAsia="Courier New" w:hAnsi="Courier New"/>
                <w:sz w:val="16"/>
                <w:szCs w:val="16"/>
                <w:color w:val="auto"/>
              </w:rPr>
              <w:t>Raw materials</w:t>
            </w:r>
          </w:p>
        </w:tc>
        <w:tc>
          <w:tcPr>
            <w:tcW w:w="146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40" w:type="dxa"/>
            <w:vAlign w:val="bottom"/>
          </w:tcPr>
          <w:p>
            <w:pPr>
              <w:ind w:left="400"/>
              <w:spacing w:after="0"/>
              <w:rPr>
                <w:sz w:val="20"/>
                <w:szCs w:val="20"/>
                <w:color w:val="auto"/>
              </w:rPr>
            </w:pPr>
            <w:r>
              <w:rPr>
                <w:rFonts w:ascii="Courier New" w:cs="Courier New" w:eastAsia="Courier New" w:hAnsi="Courier New"/>
                <w:sz w:val="16"/>
                <w:szCs w:val="16"/>
                <w:color w:val="auto"/>
              </w:rPr>
              <w:t>Work in process</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191,453</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179,918</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150,002</w:t>
            </w:r>
          </w:p>
        </w:tc>
        <w:tc>
          <w:tcPr>
            <w:tcW w:w="0" w:type="dxa"/>
            <w:vAlign w:val="bottom"/>
          </w:tcPr>
          <w:p>
            <w:pPr>
              <w:spacing w:after="0"/>
              <w:rPr>
                <w:sz w:val="1"/>
                <w:szCs w:val="1"/>
                <w:color w:val="auto"/>
              </w:rPr>
            </w:pPr>
          </w:p>
        </w:tc>
      </w:tr>
      <w:tr>
        <w:trPr>
          <w:trHeight w:val="188"/>
        </w:trPr>
        <w:tc>
          <w:tcPr>
            <w:tcW w:w="4740" w:type="dxa"/>
            <w:vAlign w:val="bottom"/>
          </w:tcPr>
          <w:p>
            <w:pPr>
              <w:ind w:left="400"/>
              <w:spacing w:after="0"/>
              <w:rPr>
                <w:sz w:val="20"/>
                <w:szCs w:val="20"/>
                <w:color w:val="auto"/>
              </w:rPr>
            </w:pPr>
            <w:r>
              <w:rPr>
                <w:rFonts w:ascii="Courier New" w:cs="Courier New" w:eastAsia="Courier New" w:hAnsi="Courier New"/>
                <w:sz w:val="16"/>
                <w:szCs w:val="16"/>
                <w:color w:val="auto"/>
              </w:rPr>
              <w:t>Finished goods</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105,154</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134,671</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117,291</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4740" w:type="dxa"/>
            <w:vAlign w:val="bottom"/>
            <w:vMerge w:val="restart"/>
          </w:tcPr>
          <w:p>
            <w:pPr>
              <w:spacing w:after="0"/>
              <w:rPr>
                <w:sz w:val="20"/>
                <w:szCs w:val="20"/>
                <w:color w:val="auto"/>
              </w:rPr>
            </w:pPr>
            <w:r>
              <w:rPr>
                <w:rFonts w:ascii="Courier New" w:cs="Courier New" w:eastAsia="Courier New" w:hAnsi="Courier New"/>
                <w:sz w:val="16"/>
                <w:szCs w:val="16"/>
                <w:color w:val="auto"/>
              </w:rPr>
              <w:t>Deferred tax assets</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318,834</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332,094</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280,398</w:t>
            </w:r>
          </w:p>
        </w:tc>
        <w:tc>
          <w:tcPr>
            <w:tcW w:w="0" w:type="dxa"/>
            <w:vAlign w:val="bottom"/>
          </w:tcPr>
          <w:p>
            <w:pPr>
              <w:spacing w:after="0"/>
              <w:rPr>
                <w:sz w:val="1"/>
                <w:szCs w:val="1"/>
                <w:color w:val="auto"/>
              </w:rPr>
            </w:pPr>
          </w:p>
        </w:tc>
      </w:tr>
      <w:tr>
        <w:trPr>
          <w:trHeight w:val="188"/>
        </w:trPr>
        <w:tc>
          <w:tcPr>
            <w:tcW w:w="4740" w:type="dxa"/>
            <w:vAlign w:val="bottom"/>
            <w:vMerge w:val="continue"/>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113,000</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108,989</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98,000</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20"/>
                <w:szCs w:val="20"/>
                <w:color w:val="auto"/>
              </w:rPr>
            </w:pPr>
            <w:r>
              <w:rPr>
                <w:rFonts w:ascii="Courier New" w:cs="Courier New" w:eastAsia="Courier New" w:hAnsi="Courier New"/>
                <w:sz w:val="16"/>
                <w:szCs w:val="16"/>
                <w:color w:val="auto"/>
              </w:rPr>
              <w:t>Prepaid expenses and other current assets</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38,237</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27,754</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11,236</w:t>
            </w:r>
          </w:p>
        </w:tc>
        <w:tc>
          <w:tcPr>
            <w:tcW w:w="0" w:type="dxa"/>
            <w:vAlign w:val="bottom"/>
          </w:tcPr>
          <w:p>
            <w:pPr>
              <w:spacing w:after="0"/>
              <w:rPr>
                <w:sz w:val="1"/>
                <w:szCs w:val="1"/>
                <w:color w:val="auto"/>
              </w:rPr>
            </w:pPr>
          </w:p>
        </w:tc>
      </w:tr>
      <w:tr>
        <w:trPr>
          <w:trHeight w:val="188"/>
        </w:trPr>
        <w:tc>
          <w:tcPr>
            <w:tcW w:w="4740" w:type="dxa"/>
            <w:vAlign w:val="bottom"/>
            <w:vMerge w:val="restart"/>
          </w:tcPr>
          <w:p>
            <w:pPr>
              <w:ind w:left="400"/>
              <w:spacing w:after="0"/>
              <w:rPr>
                <w:sz w:val="20"/>
                <w:szCs w:val="20"/>
                <w:color w:val="auto"/>
              </w:rPr>
            </w:pPr>
            <w:r>
              <w:rPr>
                <w:rFonts w:ascii="Courier New" w:cs="Courier New" w:eastAsia="Courier New" w:hAnsi="Courier New"/>
                <w:sz w:val="16"/>
                <w:szCs w:val="16"/>
                <w:color w:val="auto"/>
              </w:rPr>
              <w:t>Total current assets</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4740" w:type="dxa"/>
            <w:vAlign w:val="bottom"/>
            <w:vMerge w:val="continue"/>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3,323,465</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3,168,014</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1,672,625</w:t>
            </w:r>
          </w:p>
        </w:tc>
        <w:tc>
          <w:tcPr>
            <w:tcW w:w="0" w:type="dxa"/>
            <w:vAlign w:val="bottom"/>
          </w:tcPr>
          <w:p>
            <w:pPr>
              <w:spacing w:after="0"/>
              <w:rPr>
                <w:sz w:val="1"/>
                <w:szCs w:val="1"/>
                <w:color w:val="auto"/>
              </w:rPr>
            </w:pPr>
          </w:p>
        </w:tc>
      </w:tr>
      <w:tr>
        <w:trPr>
          <w:trHeight w:val="276"/>
        </w:trPr>
        <w:tc>
          <w:tcPr>
            <w:tcW w:w="4740" w:type="dxa"/>
            <w:vAlign w:val="bottom"/>
          </w:tcPr>
          <w:p>
            <w:pPr>
              <w:spacing w:after="0"/>
              <w:rPr>
                <w:sz w:val="23"/>
                <w:szCs w:val="23"/>
                <w:color w:val="auto"/>
              </w:rPr>
            </w:pP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474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at cost:</w:t>
            </w:r>
          </w:p>
        </w:tc>
        <w:tc>
          <w:tcPr>
            <w:tcW w:w="14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277,730</w:t>
            </w:r>
          </w:p>
        </w:tc>
        <w:tc>
          <w:tcPr>
            <w:tcW w:w="1820" w:type="dxa"/>
            <w:vAlign w:val="bottom"/>
            <w:vMerge w:val="restart"/>
          </w:tcPr>
          <w:p>
            <w:pPr>
              <w:jc w:val="right"/>
              <w:ind w:right="319"/>
              <w:spacing w:after="0"/>
              <w:rPr>
                <w:sz w:val="20"/>
                <w:szCs w:val="20"/>
                <w:color w:val="auto"/>
              </w:rPr>
            </w:pPr>
            <w:r>
              <w:rPr>
                <w:rFonts w:ascii="Courier New" w:cs="Courier New" w:eastAsia="Courier New" w:hAnsi="Courier New"/>
                <w:sz w:val="16"/>
                <w:szCs w:val="16"/>
                <w:color w:val="auto"/>
              </w:rPr>
              <w:t>238,550</w:t>
            </w:r>
          </w:p>
        </w:tc>
        <w:tc>
          <w:tcPr>
            <w:tcW w:w="146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179,068</w:t>
            </w:r>
          </w:p>
        </w:tc>
        <w:tc>
          <w:tcPr>
            <w:tcW w:w="0" w:type="dxa"/>
            <w:vAlign w:val="bottom"/>
          </w:tcPr>
          <w:p>
            <w:pPr>
              <w:spacing w:after="0"/>
              <w:rPr>
                <w:sz w:val="1"/>
                <w:szCs w:val="1"/>
                <w:color w:val="auto"/>
              </w:rPr>
            </w:pPr>
          </w:p>
        </w:tc>
      </w:tr>
      <w:tr>
        <w:trPr>
          <w:trHeight w:val="188"/>
        </w:trPr>
        <w:tc>
          <w:tcPr>
            <w:tcW w:w="4740" w:type="dxa"/>
            <w:vAlign w:val="bottom"/>
          </w:tcPr>
          <w:p>
            <w:pPr>
              <w:ind w:left="400"/>
              <w:spacing w:after="0"/>
              <w:rPr>
                <w:sz w:val="20"/>
                <w:szCs w:val="20"/>
                <w:color w:val="auto"/>
              </w:rPr>
            </w:pPr>
            <w:r>
              <w:rPr>
                <w:rFonts w:ascii="Courier New" w:cs="Courier New" w:eastAsia="Courier New" w:hAnsi="Courier New"/>
                <w:sz w:val="16"/>
                <w:szCs w:val="16"/>
                <w:color w:val="auto"/>
              </w:rPr>
              <w:t>Land and buildings</w:t>
            </w:r>
          </w:p>
        </w:tc>
        <w:tc>
          <w:tcPr>
            <w:tcW w:w="146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40" w:type="dxa"/>
            <w:vAlign w:val="bottom"/>
          </w:tcPr>
          <w:p>
            <w:pPr>
              <w:ind w:left="400"/>
              <w:spacing w:after="0"/>
              <w:rPr>
                <w:sz w:val="20"/>
                <w:szCs w:val="20"/>
                <w:color w:val="auto"/>
              </w:rPr>
            </w:pPr>
            <w:r>
              <w:rPr>
                <w:rFonts w:ascii="Courier New" w:cs="Courier New" w:eastAsia="Courier New" w:hAnsi="Courier New"/>
                <w:sz w:val="16"/>
                <w:szCs w:val="16"/>
                <w:color w:val="auto"/>
              </w:rPr>
              <w:t>Machinery and equipment</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1,429,411</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1,260,572</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1,151,759</w:t>
            </w:r>
          </w:p>
        </w:tc>
        <w:tc>
          <w:tcPr>
            <w:tcW w:w="0" w:type="dxa"/>
            <w:vAlign w:val="bottom"/>
          </w:tcPr>
          <w:p>
            <w:pPr>
              <w:spacing w:after="0"/>
              <w:rPr>
                <w:sz w:val="1"/>
                <w:szCs w:val="1"/>
                <w:color w:val="auto"/>
              </w:rPr>
            </w:pPr>
          </w:p>
        </w:tc>
      </w:tr>
      <w:tr>
        <w:trPr>
          <w:trHeight w:val="188"/>
        </w:trPr>
        <w:tc>
          <w:tcPr>
            <w:tcW w:w="4740" w:type="dxa"/>
            <w:vAlign w:val="bottom"/>
          </w:tcPr>
          <w:p>
            <w:pPr>
              <w:ind w:left="400"/>
              <w:spacing w:after="0"/>
              <w:rPr>
                <w:sz w:val="20"/>
                <w:szCs w:val="20"/>
                <w:color w:val="auto"/>
              </w:rPr>
            </w:pPr>
            <w:r>
              <w:rPr>
                <w:rFonts w:ascii="Courier New" w:cs="Courier New" w:eastAsia="Courier New" w:hAnsi="Courier New"/>
                <w:sz w:val="16"/>
                <w:szCs w:val="16"/>
                <w:color w:val="auto"/>
              </w:rPr>
              <w:t>Office equipment</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92,830</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86,930</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80,718</w:t>
            </w:r>
          </w:p>
        </w:tc>
        <w:tc>
          <w:tcPr>
            <w:tcW w:w="0" w:type="dxa"/>
            <w:vAlign w:val="bottom"/>
          </w:tcPr>
          <w:p>
            <w:pPr>
              <w:spacing w:after="0"/>
              <w:rPr>
                <w:sz w:val="1"/>
                <w:szCs w:val="1"/>
                <w:color w:val="auto"/>
              </w:rPr>
            </w:pPr>
          </w:p>
        </w:tc>
      </w:tr>
      <w:tr>
        <w:trPr>
          <w:trHeight w:val="188"/>
        </w:trPr>
        <w:tc>
          <w:tcPr>
            <w:tcW w:w="4740" w:type="dxa"/>
            <w:vAlign w:val="bottom"/>
          </w:tcPr>
          <w:p>
            <w:pPr>
              <w:ind w:left="400"/>
              <w:spacing w:after="0"/>
              <w:rPr>
                <w:sz w:val="20"/>
                <w:szCs w:val="20"/>
                <w:color w:val="auto"/>
              </w:rPr>
            </w:pPr>
            <w:r>
              <w:rPr>
                <w:rFonts w:ascii="Courier New" w:cs="Courier New" w:eastAsia="Courier New" w:hAnsi="Courier New"/>
                <w:sz w:val="16"/>
                <w:szCs w:val="16"/>
                <w:color w:val="auto"/>
              </w:rPr>
              <w:t>Leasehold improvements</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130,709</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120,710</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113,807</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4740" w:type="dxa"/>
            <w:vAlign w:val="bottom"/>
          </w:tcPr>
          <w:p>
            <w:pPr>
              <w:spacing w:after="0"/>
              <w:rPr>
                <w:sz w:val="23"/>
                <w:szCs w:val="23"/>
                <w:color w:val="auto"/>
              </w:rPr>
            </w:pP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1,930,680</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1,706,762</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1,525,352</w:t>
            </w:r>
          </w:p>
        </w:tc>
        <w:tc>
          <w:tcPr>
            <w:tcW w:w="0" w:type="dxa"/>
            <w:vAlign w:val="bottom"/>
          </w:tcPr>
          <w:p>
            <w:pPr>
              <w:spacing w:after="0"/>
              <w:rPr>
                <w:sz w:val="1"/>
                <w:szCs w:val="1"/>
                <w:color w:val="auto"/>
              </w:rPr>
            </w:pPr>
          </w:p>
        </w:tc>
      </w:tr>
      <w:tr>
        <w:trPr>
          <w:trHeight w:val="288"/>
        </w:trPr>
        <w:tc>
          <w:tcPr>
            <w:tcW w:w="474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992,471</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927,536</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860,591</w:t>
            </w:r>
          </w:p>
        </w:tc>
        <w:tc>
          <w:tcPr>
            <w:tcW w:w="0" w:type="dxa"/>
            <w:vAlign w:val="bottom"/>
          </w:tcPr>
          <w:p>
            <w:pPr>
              <w:spacing w:after="0"/>
              <w:rPr>
                <w:sz w:val="1"/>
                <w:szCs w:val="1"/>
                <w:color w:val="auto"/>
              </w:rPr>
            </w:pPr>
          </w:p>
        </w:tc>
      </w:tr>
      <w:tr>
        <w:trPr>
          <w:trHeight w:val="188"/>
        </w:trPr>
        <w:tc>
          <w:tcPr>
            <w:tcW w:w="4740" w:type="dxa"/>
            <w:vAlign w:val="bottom"/>
            <w:vMerge w:val="restart"/>
          </w:tcPr>
          <w:p>
            <w:pPr>
              <w:ind w:left="400"/>
              <w:spacing w:after="0"/>
              <w:rPr>
                <w:sz w:val="20"/>
                <w:szCs w:val="20"/>
                <w:color w:val="auto"/>
              </w:rPr>
            </w:pPr>
            <w:r>
              <w:rPr>
                <w:rFonts w:ascii="Courier New" w:cs="Courier New" w:eastAsia="Courier New" w:hAnsi="Courier New"/>
                <w:sz w:val="16"/>
                <w:szCs w:val="16"/>
                <w:color w:val="auto"/>
              </w:rPr>
              <w:t>Net property, plant and equipment</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4740" w:type="dxa"/>
            <w:vAlign w:val="bottom"/>
            <w:vMerge w:val="continue"/>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938,209</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779,226</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664,761</w:t>
            </w:r>
          </w:p>
        </w:tc>
        <w:tc>
          <w:tcPr>
            <w:tcW w:w="0" w:type="dxa"/>
            <w:vAlign w:val="bottom"/>
          </w:tcPr>
          <w:p>
            <w:pPr>
              <w:spacing w:after="0"/>
              <w:rPr>
                <w:sz w:val="1"/>
                <w:szCs w:val="1"/>
                <w:color w:val="auto"/>
              </w:rPr>
            </w:pPr>
          </w:p>
        </w:tc>
      </w:tr>
      <w:tr>
        <w:trPr>
          <w:trHeight w:val="276"/>
        </w:trPr>
        <w:tc>
          <w:tcPr>
            <w:tcW w:w="4740" w:type="dxa"/>
            <w:vAlign w:val="bottom"/>
          </w:tcPr>
          <w:p>
            <w:pPr>
              <w:spacing w:after="0"/>
              <w:rPr>
                <w:sz w:val="23"/>
                <w:szCs w:val="23"/>
                <w:color w:val="auto"/>
              </w:rPr>
            </w:pP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474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223,006</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217,755</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260,755</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256,271</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192,698</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34,956</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56,555</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53,644</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35,925</w:t>
            </w:r>
          </w:p>
        </w:tc>
        <w:tc>
          <w:tcPr>
            <w:tcW w:w="0" w:type="dxa"/>
            <w:vAlign w:val="bottom"/>
          </w:tcPr>
          <w:p>
            <w:pPr>
              <w:spacing w:after="0"/>
              <w:rPr>
                <w:sz w:val="1"/>
                <w:szCs w:val="1"/>
                <w:color w:val="auto"/>
              </w:rPr>
            </w:pPr>
          </w:p>
        </w:tc>
      </w:tr>
      <w:tr>
        <w:trPr>
          <w:trHeight w:val="188"/>
        </w:trPr>
        <w:tc>
          <w:tcPr>
            <w:tcW w:w="4740" w:type="dxa"/>
            <w:vAlign w:val="bottom"/>
            <w:vMerge w:val="restart"/>
          </w:tcPr>
          <w:p>
            <w:pPr>
              <w:ind w:left="400"/>
              <w:spacing w:after="0"/>
              <w:rPr>
                <w:sz w:val="20"/>
                <w:szCs w:val="20"/>
                <w:color w:val="auto"/>
              </w:rPr>
            </w:pPr>
            <w:r>
              <w:rPr>
                <w:rFonts w:ascii="Courier New" w:cs="Courier New" w:eastAsia="Courier New" w:hAnsi="Courier New"/>
                <w:sz w:val="16"/>
                <w:szCs w:val="16"/>
                <w:color w:val="auto"/>
              </w:rPr>
              <w:t>Total other assets</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4740" w:type="dxa"/>
            <w:vAlign w:val="bottom"/>
            <w:vMerge w:val="continue"/>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535,832</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464,097</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331,636</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$4,797,506</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$4,411,337</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$2,669,022</w:t>
            </w:r>
          </w:p>
        </w:tc>
        <w:tc>
          <w:tcPr>
            <w:tcW w:w="0" w:type="dxa"/>
            <w:vAlign w:val="bottom"/>
          </w:tcPr>
          <w:p>
            <w:pPr>
              <w:spacing w:after="0"/>
              <w:rPr>
                <w:sz w:val="1"/>
                <w:szCs w:val="1"/>
                <w:color w:val="auto"/>
              </w:rPr>
            </w:pPr>
          </w:p>
        </w:tc>
      </w:tr>
      <w:tr>
        <w:trPr>
          <w:trHeight w:val="276"/>
        </w:trPr>
        <w:tc>
          <w:tcPr>
            <w:tcW w:w="4740" w:type="dxa"/>
            <w:vAlign w:val="bottom"/>
          </w:tcPr>
          <w:p>
            <w:pPr>
              <w:spacing w:after="0"/>
              <w:rPr>
                <w:sz w:val="23"/>
                <w:szCs w:val="23"/>
                <w:color w:val="auto"/>
              </w:rPr>
            </w:pP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7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6"/>
        </w:trPr>
        <w:tc>
          <w:tcPr>
            <w:tcW w:w="6540" w:type="dxa"/>
            <w:vAlign w:val="bottom"/>
          </w:tcPr>
          <w:p>
            <w:pPr>
              <w:ind w:left="300"/>
              <w:spacing w:after="0"/>
              <w:rPr>
                <w:sz w:val="20"/>
                <w:szCs w:val="20"/>
                <w:color w:val="auto"/>
              </w:rPr>
            </w:pPr>
            <w:r>
              <w:rPr>
                <w:rFonts w:ascii="Courier New" w:cs="Courier New" w:eastAsia="Courier New" w:hAnsi="Courier New"/>
                <w:sz w:val="16"/>
                <w:szCs w:val="16"/>
                <w:color w:val="auto"/>
              </w:rPr>
              <w:t>5</w:t>
            </w: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6"/>
        </w:trPr>
        <w:tc>
          <w:tcPr>
            <w:tcW w:w="6540" w:type="dxa"/>
            <w:vAlign w:val="bottom"/>
          </w:tcPr>
          <w:p>
            <w:pPr>
              <w:spacing w:after="0"/>
              <w:rPr>
                <w:sz w:val="20"/>
                <w:szCs w:val="20"/>
                <w:color w:val="auto"/>
              </w:rPr>
            </w:pPr>
            <w:r>
              <w:rPr>
                <w:rFonts w:ascii="Courier New" w:cs="Courier New" w:eastAsia="Courier New" w:hAnsi="Courier New"/>
                <w:sz w:val="16"/>
                <w:szCs w:val="16"/>
                <w:color w:val="auto"/>
              </w:rPr>
              <w:t>ANALOG DEVICES, INC.</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540" w:type="dxa"/>
            <w:vAlign w:val="bottom"/>
          </w:tcPr>
          <w:p>
            <w:pPr>
              <w:spacing w:after="0"/>
              <w:rPr>
                <w:sz w:val="20"/>
                <w:szCs w:val="20"/>
                <w:color w:val="auto"/>
              </w:rPr>
            </w:pPr>
            <w:r>
              <w:rPr>
                <w:rFonts w:ascii="Courier New" w:cs="Courier New" w:eastAsia="Courier New" w:hAnsi="Courier New"/>
                <w:sz w:val="16"/>
                <w:szCs w:val="16"/>
                <w:color w:val="auto"/>
              </w:rPr>
              <w:t>CONDENSED CONSOLIDATED BALANCE SHEETS</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540" w:type="dxa"/>
            <w:vAlign w:val="bottom"/>
          </w:tcPr>
          <w:p>
            <w:pPr>
              <w:spacing w:after="0"/>
              <w:rPr>
                <w:sz w:val="20"/>
                <w:szCs w:val="20"/>
                <w:color w:val="auto"/>
              </w:rPr>
            </w:pPr>
            <w:r>
              <w:rPr>
                <w:rFonts w:ascii="Courier New" w:cs="Courier New" w:eastAsia="Courier New" w:hAnsi="Courier New"/>
                <w:sz w:val="16"/>
                <w:szCs w:val="16"/>
                <w:color w:val="auto"/>
              </w:rPr>
              <w:t>(Unaudited)</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540" w:type="dxa"/>
            <w:vAlign w:val="bottom"/>
          </w:tcPr>
          <w:p>
            <w:pPr>
              <w:spacing w:after="0"/>
              <w:rPr>
                <w:sz w:val="20"/>
                <w:szCs w:val="20"/>
                <w:color w:val="auto"/>
              </w:rPr>
            </w:pPr>
            <w:r>
              <w:rPr>
                <w:rFonts w:ascii="Courier New" w:cs="Courier New" w:eastAsia="Courier New" w:hAnsi="Courier New"/>
                <w:sz w:val="16"/>
                <w:szCs w:val="16"/>
                <w:color w:val="auto"/>
              </w:rPr>
              <w:t>(thousands)</w:t>
            </w: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4"/>
        </w:trPr>
        <w:tc>
          <w:tcPr>
            <w:tcW w:w="654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6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May 5, 2001</w:t>
            </w:r>
          </w:p>
        </w:tc>
        <w:tc>
          <w:tcPr>
            <w:tcW w:w="19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October 28, 2000</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April 29, 2000</w:t>
            </w:r>
          </w:p>
        </w:tc>
        <w:tc>
          <w:tcPr>
            <w:tcW w:w="0" w:type="dxa"/>
            <w:vAlign w:val="bottom"/>
          </w:tcPr>
          <w:p>
            <w:pPr>
              <w:spacing w:after="0"/>
              <w:rPr>
                <w:sz w:val="1"/>
                <w:szCs w:val="1"/>
                <w:color w:val="auto"/>
              </w:rPr>
            </w:pPr>
          </w:p>
        </w:tc>
      </w:tr>
      <w:tr>
        <w:trPr>
          <w:trHeight w:val="276"/>
        </w:trPr>
        <w:tc>
          <w:tcPr>
            <w:tcW w:w="6540" w:type="dxa"/>
            <w:vAlign w:val="bottom"/>
          </w:tcPr>
          <w:p>
            <w:pPr>
              <w:spacing w:after="0"/>
              <w:rPr>
                <w:sz w:val="23"/>
                <w:szCs w:val="23"/>
                <w:color w:val="auto"/>
              </w:rPr>
            </w:pPr>
          </w:p>
        </w:tc>
        <w:tc>
          <w:tcPr>
            <w:tcW w:w="16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6540" w:type="dxa"/>
            <w:vAlign w:val="bottom"/>
          </w:tcPr>
          <w:p>
            <w:pPr>
              <w:spacing w:after="0"/>
              <w:rPr>
                <w:sz w:val="20"/>
                <w:szCs w:val="20"/>
                <w:color w:val="auto"/>
              </w:rPr>
            </w:pPr>
            <w:r>
              <w:rPr>
                <w:rFonts w:ascii="Courier New" w:cs="Courier New" w:eastAsia="Courier New" w:hAnsi="Courier New"/>
                <w:sz w:val="16"/>
                <w:szCs w:val="16"/>
                <w:color w:val="auto"/>
              </w:rPr>
              <w:t>Short-term borrowings and current</w:t>
            </w:r>
          </w:p>
        </w:tc>
        <w:tc>
          <w:tcPr>
            <w:tcW w:w="400" w:type="dxa"/>
            <w:vAlign w:val="bottom"/>
            <w:vMerge w:val="restart"/>
          </w:tcPr>
          <w:p>
            <w:pPr>
              <w:ind w:left="30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48</w:t>
            </w:r>
          </w:p>
        </w:tc>
        <w:tc>
          <w:tcPr>
            <w:tcW w:w="5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vMerge w:val="restart"/>
          </w:tcPr>
          <w:p>
            <w:pPr>
              <w:jc w:val="right"/>
              <w:ind w:right="399"/>
              <w:spacing w:after="0"/>
              <w:rPr>
                <w:sz w:val="20"/>
                <w:szCs w:val="20"/>
                <w:color w:val="auto"/>
              </w:rPr>
            </w:pPr>
            <w:r>
              <w:rPr>
                <w:rFonts w:ascii="Courier New" w:cs="Courier New" w:eastAsia="Courier New" w:hAnsi="Courier New"/>
                <w:sz w:val="16"/>
                <w:szCs w:val="16"/>
                <w:color w:val="auto"/>
              </w:rPr>
              <w:t>5,752</w:t>
            </w:r>
          </w:p>
        </w:tc>
        <w:tc>
          <w:tcPr>
            <w:tcW w:w="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6540" w:type="dxa"/>
            <w:vAlign w:val="bottom"/>
          </w:tcPr>
          <w:p>
            <w:pPr>
              <w:ind w:left="200"/>
              <w:spacing w:after="0"/>
              <w:rPr>
                <w:sz w:val="20"/>
                <w:szCs w:val="20"/>
                <w:color w:val="auto"/>
              </w:rPr>
            </w:pPr>
            <w:r>
              <w:rPr>
                <w:rFonts w:ascii="Courier New" w:cs="Courier New" w:eastAsia="Courier New" w:hAnsi="Courier New"/>
                <w:sz w:val="16"/>
                <w:szCs w:val="16"/>
                <w:color w:val="auto"/>
              </w:rPr>
              <w:t>portion of long-term debt</w:t>
            </w:r>
          </w:p>
        </w:tc>
        <w:tc>
          <w:tcPr>
            <w:tcW w:w="4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540" w:type="dxa"/>
            <w:vAlign w:val="bottom"/>
          </w:tcPr>
          <w:p>
            <w:pPr>
              <w:spacing w:after="0"/>
              <w:rPr>
                <w:sz w:val="20"/>
                <w:szCs w:val="20"/>
                <w:color w:val="auto"/>
              </w:rPr>
            </w:pPr>
            <w:r>
              <w:rPr>
                <w:rFonts w:ascii="Courier New" w:cs="Courier New" w:eastAsia="Courier New" w:hAnsi="Courier New"/>
                <w:sz w:val="16"/>
                <w:szCs w:val="16"/>
                <w:color w:val="auto"/>
              </w:rPr>
              <w:t>Obligations under capital leases</w:t>
            </w:r>
          </w:p>
        </w:tc>
        <w:tc>
          <w:tcPr>
            <w:tcW w:w="4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7,135</w:t>
            </w:r>
          </w:p>
        </w:tc>
        <w:tc>
          <w:tcPr>
            <w:tcW w:w="540" w:type="dxa"/>
            <w:vAlign w:val="bottom"/>
          </w:tcPr>
          <w:p>
            <w:pPr>
              <w:spacing w:after="0"/>
              <w:rPr>
                <w:sz w:val="16"/>
                <w:szCs w:val="16"/>
                <w:color w:val="auto"/>
              </w:rPr>
            </w:pP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9,938</w:t>
            </w:r>
          </w:p>
        </w:tc>
        <w:tc>
          <w:tcPr>
            <w:tcW w:w="4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13,457</w:t>
            </w:r>
          </w:p>
        </w:tc>
        <w:tc>
          <w:tcPr>
            <w:tcW w:w="0" w:type="dxa"/>
            <w:vAlign w:val="bottom"/>
          </w:tcPr>
          <w:p>
            <w:pPr>
              <w:spacing w:after="0"/>
              <w:rPr>
                <w:sz w:val="1"/>
                <w:szCs w:val="1"/>
                <w:color w:val="auto"/>
              </w:rPr>
            </w:pPr>
          </w:p>
        </w:tc>
      </w:tr>
      <w:tr>
        <w:trPr>
          <w:trHeight w:val="188"/>
        </w:trPr>
        <w:tc>
          <w:tcPr>
            <w:tcW w:w="654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4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129,756</w:t>
            </w:r>
          </w:p>
        </w:tc>
        <w:tc>
          <w:tcPr>
            <w:tcW w:w="540" w:type="dxa"/>
            <w:vAlign w:val="bottom"/>
          </w:tcPr>
          <w:p>
            <w:pPr>
              <w:spacing w:after="0"/>
              <w:rPr>
                <w:sz w:val="16"/>
                <w:szCs w:val="16"/>
                <w:color w:val="auto"/>
              </w:rPr>
            </w:pP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213,196</w:t>
            </w:r>
          </w:p>
        </w:tc>
        <w:tc>
          <w:tcPr>
            <w:tcW w:w="4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139,903</w:t>
            </w:r>
          </w:p>
        </w:tc>
        <w:tc>
          <w:tcPr>
            <w:tcW w:w="0" w:type="dxa"/>
            <w:vAlign w:val="bottom"/>
          </w:tcPr>
          <w:p>
            <w:pPr>
              <w:spacing w:after="0"/>
              <w:rPr>
                <w:sz w:val="1"/>
                <w:szCs w:val="1"/>
                <w:color w:val="auto"/>
              </w:rPr>
            </w:pPr>
          </w:p>
        </w:tc>
      </w:tr>
      <w:tr>
        <w:trPr>
          <w:trHeight w:val="188"/>
        </w:trPr>
        <w:tc>
          <w:tcPr>
            <w:tcW w:w="6540" w:type="dxa"/>
            <w:vAlign w:val="bottom"/>
          </w:tcPr>
          <w:p>
            <w:pPr>
              <w:spacing w:after="0"/>
              <w:rPr>
                <w:sz w:val="20"/>
                <w:szCs w:val="20"/>
                <w:color w:val="auto"/>
              </w:rPr>
            </w:pPr>
            <w:r>
              <w:rPr>
                <w:rFonts w:ascii="Courier New" w:cs="Courier New" w:eastAsia="Courier New" w:hAnsi="Courier New"/>
                <w:sz w:val="16"/>
                <w:szCs w:val="16"/>
                <w:color w:val="auto"/>
              </w:rPr>
              <w:t>Deferred income on shipments to distributors</w:t>
            </w:r>
          </w:p>
        </w:tc>
        <w:tc>
          <w:tcPr>
            <w:tcW w:w="4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149,169</w:t>
            </w:r>
          </w:p>
        </w:tc>
        <w:tc>
          <w:tcPr>
            <w:tcW w:w="540" w:type="dxa"/>
            <w:vAlign w:val="bottom"/>
          </w:tcPr>
          <w:p>
            <w:pPr>
              <w:spacing w:after="0"/>
              <w:rPr>
                <w:sz w:val="16"/>
                <w:szCs w:val="16"/>
                <w:color w:val="auto"/>
              </w:rPr>
            </w:pP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140,369</w:t>
            </w:r>
          </w:p>
        </w:tc>
        <w:tc>
          <w:tcPr>
            <w:tcW w:w="4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112,795</w:t>
            </w:r>
          </w:p>
        </w:tc>
        <w:tc>
          <w:tcPr>
            <w:tcW w:w="0" w:type="dxa"/>
            <w:vAlign w:val="bottom"/>
          </w:tcPr>
          <w:p>
            <w:pPr>
              <w:spacing w:after="0"/>
              <w:rPr>
                <w:sz w:val="1"/>
                <w:szCs w:val="1"/>
                <w:color w:val="auto"/>
              </w:rPr>
            </w:pPr>
          </w:p>
        </w:tc>
      </w:tr>
      <w:tr>
        <w:trPr>
          <w:trHeight w:val="188"/>
        </w:trPr>
        <w:tc>
          <w:tcPr>
            <w:tcW w:w="6540" w:type="dxa"/>
            <w:vAlign w:val="bottom"/>
          </w:tcPr>
          <w:p>
            <w:pPr>
              <w:spacing w:after="0"/>
              <w:rPr>
                <w:sz w:val="20"/>
                <w:szCs w:val="20"/>
                <w:color w:val="auto"/>
              </w:rPr>
            </w:pPr>
            <w:r>
              <w:rPr>
                <w:rFonts w:ascii="Courier New" w:cs="Courier New" w:eastAsia="Courier New" w:hAnsi="Courier New"/>
                <w:sz w:val="16"/>
                <w:szCs w:val="16"/>
                <w:color w:val="auto"/>
              </w:rPr>
              <w:t>Income taxes payable</w:t>
            </w:r>
          </w:p>
        </w:tc>
        <w:tc>
          <w:tcPr>
            <w:tcW w:w="4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178,923</w:t>
            </w:r>
          </w:p>
        </w:tc>
        <w:tc>
          <w:tcPr>
            <w:tcW w:w="540" w:type="dxa"/>
            <w:vAlign w:val="bottom"/>
          </w:tcPr>
          <w:p>
            <w:pPr>
              <w:spacing w:after="0"/>
              <w:rPr>
                <w:sz w:val="16"/>
                <w:szCs w:val="16"/>
                <w:color w:val="auto"/>
              </w:rPr>
            </w:pP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86,625</w:t>
            </w:r>
          </w:p>
        </w:tc>
        <w:tc>
          <w:tcPr>
            <w:tcW w:w="4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135,720</w:t>
            </w:r>
          </w:p>
        </w:tc>
        <w:tc>
          <w:tcPr>
            <w:tcW w:w="0" w:type="dxa"/>
            <w:vAlign w:val="bottom"/>
          </w:tcPr>
          <w:p>
            <w:pPr>
              <w:spacing w:after="0"/>
              <w:rPr>
                <w:sz w:val="1"/>
                <w:szCs w:val="1"/>
                <w:color w:val="auto"/>
              </w:rPr>
            </w:pPr>
          </w:p>
        </w:tc>
      </w:tr>
      <w:tr>
        <w:trPr>
          <w:trHeight w:val="188"/>
        </w:trPr>
        <w:tc>
          <w:tcPr>
            <w:tcW w:w="6540" w:type="dxa"/>
            <w:vAlign w:val="bottom"/>
          </w:tcPr>
          <w:p>
            <w:pPr>
              <w:spacing w:after="0"/>
              <w:rPr>
                <w:sz w:val="20"/>
                <w:szCs w:val="20"/>
                <w:color w:val="auto"/>
              </w:rPr>
            </w:pPr>
            <w:r>
              <w:rPr>
                <w:rFonts w:ascii="Courier New" w:cs="Courier New" w:eastAsia="Courier New" w:hAnsi="Courier New"/>
                <w:sz w:val="16"/>
                <w:szCs w:val="16"/>
                <w:color w:val="auto"/>
              </w:rPr>
              <w:t>Accrued liabilities</w:t>
            </w:r>
          </w:p>
        </w:tc>
        <w:tc>
          <w:tcPr>
            <w:tcW w:w="4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191,982</w:t>
            </w:r>
          </w:p>
        </w:tc>
        <w:tc>
          <w:tcPr>
            <w:tcW w:w="540" w:type="dxa"/>
            <w:vAlign w:val="bottom"/>
          </w:tcPr>
          <w:p>
            <w:pPr>
              <w:spacing w:after="0"/>
              <w:rPr>
                <w:sz w:val="16"/>
                <w:szCs w:val="16"/>
                <w:color w:val="auto"/>
              </w:rPr>
            </w:pP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194,017</w:t>
            </w:r>
          </w:p>
        </w:tc>
        <w:tc>
          <w:tcPr>
            <w:tcW w:w="4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152,007</w:t>
            </w:r>
          </w:p>
        </w:tc>
        <w:tc>
          <w:tcPr>
            <w:tcW w:w="0" w:type="dxa"/>
            <w:vAlign w:val="bottom"/>
          </w:tcPr>
          <w:p>
            <w:pPr>
              <w:spacing w:after="0"/>
              <w:rPr>
                <w:sz w:val="1"/>
                <w:szCs w:val="1"/>
                <w:color w:val="auto"/>
              </w:rPr>
            </w:pPr>
          </w:p>
        </w:tc>
      </w:tr>
      <w:tr>
        <w:trPr>
          <w:trHeight w:val="188"/>
        </w:trPr>
        <w:tc>
          <w:tcPr>
            <w:tcW w:w="6540" w:type="dxa"/>
            <w:vAlign w:val="bottom"/>
            <w:vMerge w:val="restart"/>
          </w:tcPr>
          <w:p>
            <w:pPr>
              <w:ind w:left="580"/>
              <w:spacing w:after="0"/>
              <w:rPr>
                <w:sz w:val="20"/>
                <w:szCs w:val="20"/>
                <w:color w:val="auto"/>
              </w:rPr>
            </w:pPr>
            <w:r>
              <w:rPr>
                <w:rFonts w:ascii="Courier New" w:cs="Courier New" w:eastAsia="Courier New" w:hAnsi="Courier New"/>
                <w:sz w:val="16"/>
                <w:szCs w:val="16"/>
                <w:color w:val="auto"/>
              </w:rPr>
              <w:t>Total current liabilities</w:t>
            </w:r>
          </w:p>
        </w:tc>
        <w:tc>
          <w:tcPr>
            <w:tcW w:w="16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65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657,013</w:t>
            </w:r>
          </w:p>
        </w:tc>
        <w:tc>
          <w:tcPr>
            <w:tcW w:w="540" w:type="dxa"/>
            <w:vAlign w:val="bottom"/>
          </w:tcPr>
          <w:p>
            <w:pPr>
              <w:spacing w:after="0"/>
              <w:rPr>
                <w:sz w:val="16"/>
                <w:szCs w:val="16"/>
                <w:color w:val="auto"/>
              </w:rPr>
            </w:pP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649,897</w:t>
            </w:r>
          </w:p>
        </w:tc>
        <w:tc>
          <w:tcPr>
            <w:tcW w:w="4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553,882</w:t>
            </w:r>
          </w:p>
        </w:tc>
        <w:tc>
          <w:tcPr>
            <w:tcW w:w="0" w:type="dxa"/>
            <w:vAlign w:val="bottom"/>
          </w:tcPr>
          <w:p>
            <w:pPr>
              <w:spacing w:after="0"/>
              <w:rPr>
                <w:sz w:val="1"/>
                <w:szCs w:val="1"/>
                <w:color w:val="auto"/>
              </w:rPr>
            </w:pPr>
          </w:p>
        </w:tc>
      </w:tr>
      <w:tr>
        <w:trPr>
          <w:trHeight w:val="276"/>
        </w:trPr>
        <w:tc>
          <w:tcPr>
            <w:tcW w:w="6540" w:type="dxa"/>
            <w:vAlign w:val="bottom"/>
          </w:tcPr>
          <w:p>
            <w:pPr>
              <w:spacing w:after="0"/>
              <w:rPr>
                <w:sz w:val="23"/>
                <w:szCs w:val="23"/>
                <w:color w:val="auto"/>
              </w:rPr>
            </w:pPr>
          </w:p>
        </w:tc>
        <w:tc>
          <w:tcPr>
            <w:tcW w:w="16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654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400" w:type="dxa"/>
            <w:vAlign w:val="bottom"/>
          </w:tcPr>
          <w:p>
            <w:pPr>
              <w:spacing w:after="0"/>
              <w:rPr>
                <w:sz w:val="24"/>
                <w:szCs w:val="24"/>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1,200,421</w:t>
            </w:r>
          </w:p>
        </w:tc>
        <w:tc>
          <w:tcPr>
            <w:tcW w:w="540" w:type="dxa"/>
            <w:vAlign w:val="bottom"/>
          </w:tcPr>
          <w:p>
            <w:pPr>
              <w:spacing w:after="0"/>
              <w:rPr>
                <w:sz w:val="24"/>
                <w:szCs w:val="24"/>
                <w:color w:val="auto"/>
              </w:rPr>
            </w:pP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9"/>
              </w:rPr>
              <w:t>1,200,261</w:t>
            </w:r>
          </w:p>
        </w:tc>
        <w:tc>
          <w:tcPr>
            <w:tcW w:w="400" w:type="dxa"/>
            <w:vAlign w:val="bottom"/>
          </w:tcPr>
          <w:p>
            <w:pPr>
              <w:spacing w:after="0"/>
              <w:rPr>
                <w:sz w:val="24"/>
                <w:szCs w:val="24"/>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6540" w:type="dxa"/>
            <w:vAlign w:val="bottom"/>
          </w:tcPr>
          <w:p>
            <w:pPr>
              <w:spacing w:after="0"/>
              <w:rPr>
                <w:sz w:val="20"/>
                <w:szCs w:val="20"/>
                <w:color w:val="auto"/>
              </w:rPr>
            </w:pPr>
            <w:r>
              <w:rPr>
                <w:rFonts w:ascii="Courier New" w:cs="Courier New" w:eastAsia="Courier New" w:hAnsi="Courier New"/>
                <w:sz w:val="16"/>
                <w:szCs w:val="16"/>
                <w:color w:val="auto"/>
              </w:rPr>
              <w:t>Non-current obligations under capital leases</w:t>
            </w:r>
          </w:p>
        </w:tc>
        <w:tc>
          <w:tcPr>
            <w:tcW w:w="4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8,905</w:t>
            </w:r>
          </w:p>
        </w:tc>
        <w:tc>
          <w:tcPr>
            <w:tcW w:w="540" w:type="dxa"/>
            <w:vAlign w:val="bottom"/>
          </w:tcPr>
          <w:p>
            <w:pPr>
              <w:spacing w:after="0"/>
              <w:rPr>
                <w:sz w:val="16"/>
                <w:szCs w:val="16"/>
                <w:color w:val="auto"/>
              </w:rPr>
            </w:pP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12,699</w:t>
            </w:r>
          </w:p>
        </w:tc>
        <w:tc>
          <w:tcPr>
            <w:tcW w:w="4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12,655</w:t>
            </w:r>
          </w:p>
        </w:tc>
        <w:tc>
          <w:tcPr>
            <w:tcW w:w="0" w:type="dxa"/>
            <w:vAlign w:val="bottom"/>
          </w:tcPr>
          <w:p>
            <w:pPr>
              <w:spacing w:after="0"/>
              <w:rPr>
                <w:sz w:val="1"/>
                <w:szCs w:val="1"/>
                <w:color w:val="auto"/>
              </w:rPr>
            </w:pPr>
          </w:p>
        </w:tc>
      </w:tr>
      <w:tr>
        <w:trPr>
          <w:trHeight w:val="188"/>
        </w:trPr>
        <w:tc>
          <w:tcPr>
            <w:tcW w:w="654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4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52,420</w:t>
            </w:r>
          </w:p>
        </w:tc>
        <w:tc>
          <w:tcPr>
            <w:tcW w:w="540" w:type="dxa"/>
            <w:vAlign w:val="bottom"/>
          </w:tcPr>
          <w:p>
            <w:pPr>
              <w:spacing w:after="0"/>
              <w:rPr>
                <w:sz w:val="16"/>
                <w:szCs w:val="16"/>
                <w:color w:val="auto"/>
              </w:rPr>
            </w:pP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51,205</w:t>
            </w:r>
          </w:p>
        </w:tc>
        <w:tc>
          <w:tcPr>
            <w:tcW w:w="4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55,000</w:t>
            </w:r>
          </w:p>
        </w:tc>
        <w:tc>
          <w:tcPr>
            <w:tcW w:w="0" w:type="dxa"/>
            <w:vAlign w:val="bottom"/>
          </w:tcPr>
          <w:p>
            <w:pPr>
              <w:spacing w:after="0"/>
              <w:rPr>
                <w:sz w:val="1"/>
                <w:szCs w:val="1"/>
                <w:color w:val="auto"/>
              </w:rPr>
            </w:pPr>
          </w:p>
        </w:tc>
      </w:tr>
      <w:tr>
        <w:trPr>
          <w:trHeight w:val="188"/>
        </w:trPr>
        <w:tc>
          <w:tcPr>
            <w:tcW w:w="6540" w:type="dxa"/>
            <w:vAlign w:val="bottom"/>
          </w:tcPr>
          <w:p>
            <w:pPr>
              <w:spacing w:after="0"/>
              <w:rPr>
                <w:sz w:val="20"/>
                <w:szCs w:val="20"/>
                <w:color w:val="auto"/>
              </w:rPr>
            </w:pPr>
            <w:r>
              <w:rPr>
                <w:rFonts w:ascii="Courier New" w:cs="Courier New" w:eastAsia="Courier New" w:hAnsi="Courier New"/>
                <w:sz w:val="16"/>
                <w:szCs w:val="16"/>
                <w:color w:val="auto"/>
              </w:rPr>
              <w:t>Other non-current liabilities</w:t>
            </w:r>
          </w:p>
        </w:tc>
        <w:tc>
          <w:tcPr>
            <w:tcW w:w="4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229,505</w:t>
            </w:r>
          </w:p>
        </w:tc>
        <w:tc>
          <w:tcPr>
            <w:tcW w:w="540" w:type="dxa"/>
            <w:vAlign w:val="bottom"/>
          </w:tcPr>
          <w:p>
            <w:pPr>
              <w:spacing w:after="0"/>
              <w:rPr>
                <w:sz w:val="16"/>
                <w:szCs w:val="16"/>
                <w:color w:val="auto"/>
              </w:rPr>
            </w:pP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193,625</w:t>
            </w:r>
          </w:p>
        </w:tc>
        <w:tc>
          <w:tcPr>
            <w:tcW w:w="4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180,346</w:t>
            </w:r>
          </w:p>
        </w:tc>
        <w:tc>
          <w:tcPr>
            <w:tcW w:w="0" w:type="dxa"/>
            <w:vAlign w:val="bottom"/>
          </w:tcPr>
          <w:p>
            <w:pPr>
              <w:spacing w:after="0"/>
              <w:rPr>
                <w:sz w:val="1"/>
                <w:szCs w:val="1"/>
                <w:color w:val="auto"/>
              </w:rPr>
            </w:pPr>
          </w:p>
        </w:tc>
      </w:tr>
      <w:tr>
        <w:trPr>
          <w:trHeight w:val="188"/>
        </w:trPr>
        <w:tc>
          <w:tcPr>
            <w:tcW w:w="6540" w:type="dxa"/>
            <w:vAlign w:val="bottom"/>
            <w:vMerge w:val="restart"/>
          </w:tcPr>
          <w:p>
            <w:pPr>
              <w:ind w:left="580"/>
              <w:spacing w:after="0"/>
              <w:rPr>
                <w:sz w:val="20"/>
                <w:szCs w:val="20"/>
                <w:color w:val="auto"/>
              </w:rPr>
            </w:pPr>
            <w:r>
              <w:rPr>
                <w:rFonts w:ascii="Courier New" w:cs="Courier New" w:eastAsia="Courier New" w:hAnsi="Courier New"/>
                <w:sz w:val="16"/>
                <w:szCs w:val="16"/>
                <w:color w:val="auto"/>
              </w:rPr>
              <w:t>Total non-current liabilities</w:t>
            </w:r>
          </w:p>
        </w:tc>
        <w:tc>
          <w:tcPr>
            <w:tcW w:w="16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65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1,491,251</w:t>
            </w:r>
          </w:p>
        </w:tc>
        <w:tc>
          <w:tcPr>
            <w:tcW w:w="540" w:type="dxa"/>
            <w:vAlign w:val="bottom"/>
          </w:tcPr>
          <w:p>
            <w:pPr>
              <w:spacing w:after="0"/>
              <w:rPr>
                <w:sz w:val="16"/>
                <w:szCs w:val="16"/>
                <w:color w:val="auto"/>
              </w:rPr>
            </w:pP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9"/>
              </w:rPr>
              <w:t>1,457,790</w:t>
            </w:r>
          </w:p>
        </w:tc>
        <w:tc>
          <w:tcPr>
            <w:tcW w:w="4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248,001</w:t>
            </w:r>
          </w:p>
        </w:tc>
        <w:tc>
          <w:tcPr>
            <w:tcW w:w="0" w:type="dxa"/>
            <w:vAlign w:val="bottom"/>
          </w:tcPr>
          <w:p>
            <w:pPr>
              <w:spacing w:after="0"/>
              <w:rPr>
                <w:sz w:val="1"/>
                <w:szCs w:val="1"/>
                <w:color w:val="auto"/>
              </w:rPr>
            </w:pPr>
          </w:p>
        </w:tc>
      </w:tr>
      <w:tr>
        <w:trPr>
          <w:trHeight w:val="276"/>
        </w:trPr>
        <w:tc>
          <w:tcPr>
            <w:tcW w:w="6540" w:type="dxa"/>
            <w:vAlign w:val="bottom"/>
          </w:tcPr>
          <w:p>
            <w:pPr>
              <w:spacing w:after="0"/>
              <w:rPr>
                <w:sz w:val="23"/>
                <w:szCs w:val="23"/>
                <w:color w:val="auto"/>
              </w:rPr>
            </w:pPr>
          </w:p>
        </w:tc>
        <w:tc>
          <w:tcPr>
            <w:tcW w:w="16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6"/>
        </w:trPr>
        <w:tc>
          <w:tcPr>
            <w:tcW w:w="654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54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540" w:type="dxa"/>
            <w:vAlign w:val="bottom"/>
          </w:tcPr>
          <w:p>
            <w:pPr>
              <w:ind w:left="400"/>
              <w:spacing w:after="0"/>
              <w:rPr>
                <w:sz w:val="20"/>
                <w:szCs w:val="20"/>
                <w:color w:val="auto"/>
              </w:rPr>
            </w:pPr>
            <w:r>
              <w:rPr>
                <w:rFonts w:ascii="Courier New" w:cs="Courier New" w:eastAsia="Courier New" w:hAnsi="Courier New"/>
                <w:sz w:val="16"/>
                <w:szCs w:val="16"/>
                <w:color w:val="auto"/>
              </w:rPr>
              <w:t>Preferred stock, $1.00 par value, 471,934 shares authorized,</w:t>
            </w:r>
          </w:p>
        </w:tc>
        <w:tc>
          <w:tcPr>
            <w:tcW w:w="400" w:type="dxa"/>
            <w:vAlign w:val="bottom"/>
          </w:tcPr>
          <w:p>
            <w:pPr>
              <w:spacing w:after="0"/>
              <w:rPr>
                <w:sz w:val="16"/>
                <w:szCs w:val="16"/>
                <w:color w:val="auto"/>
              </w:rPr>
            </w:pPr>
          </w:p>
        </w:tc>
        <w:tc>
          <w:tcPr>
            <w:tcW w:w="12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36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0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6540" w:type="dxa"/>
            <w:vAlign w:val="bottom"/>
          </w:tcPr>
          <w:p>
            <w:pPr>
              <w:ind w:left="580"/>
              <w:spacing w:after="0"/>
              <w:rPr>
                <w:sz w:val="20"/>
                <w:szCs w:val="20"/>
                <w:color w:val="auto"/>
              </w:rPr>
            </w:pPr>
            <w:r>
              <w:rPr>
                <w:rFonts w:ascii="Courier New" w:cs="Courier New" w:eastAsia="Courier New" w:hAnsi="Courier New"/>
                <w:sz w:val="16"/>
                <w:szCs w:val="16"/>
                <w:color w:val="auto"/>
              </w:rPr>
              <w:t>none outstanding</w:t>
            </w:r>
          </w:p>
        </w:tc>
        <w:tc>
          <w:tcPr>
            <w:tcW w:w="4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540" w:type="dxa"/>
            <w:vAlign w:val="bottom"/>
          </w:tcPr>
          <w:p>
            <w:pPr>
              <w:ind w:left="400"/>
              <w:spacing w:after="0"/>
              <w:rPr>
                <w:sz w:val="20"/>
                <w:szCs w:val="20"/>
                <w:color w:val="auto"/>
              </w:rPr>
            </w:pPr>
            <w:r>
              <w:rPr>
                <w:rFonts w:ascii="Courier New" w:cs="Courier New" w:eastAsia="Courier New" w:hAnsi="Courier New"/>
                <w:sz w:val="16"/>
                <w:szCs w:val="16"/>
                <w:color w:val="auto"/>
              </w:rPr>
              <w:t>Common stock, $.16 2/3 par value, 600,000,000 shares</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540" w:type="dxa"/>
            <w:vAlign w:val="bottom"/>
          </w:tcPr>
          <w:p>
            <w:pPr>
              <w:ind w:left="580"/>
              <w:spacing w:after="0"/>
              <w:rPr>
                <w:sz w:val="20"/>
                <w:szCs w:val="20"/>
                <w:color w:val="auto"/>
              </w:rPr>
            </w:pPr>
            <w:r>
              <w:rPr>
                <w:rFonts w:ascii="Courier New" w:cs="Courier New" w:eastAsia="Courier New" w:hAnsi="Courier New"/>
                <w:sz w:val="16"/>
                <w:szCs w:val="16"/>
                <w:color w:val="auto"/>
              </w:rPr>
              <w:t>authorized, 360,684,042 shares issued</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540" w:type="dxa"/>
            <w:vAlign w:val="bottom"/>
          </w:tcPr>
          <w:p>
            <w:pPr>
              <w:ind w:left="580"/>
              <w:spacing w:after="0"/>
              <w:rPr>
                <w:sz w:val="20"/>
                <w:szCs w:val="20"/>
                <w:color w:val="auto"/>
              </w:rPr>
            </w:pPr>
            <w:r>
              <w:rPr>
                <w:rFonts w:ascii="Courier New" w:cs="Courier New" w:eastAsia="Courier New" w:hAnsi="Courier New"/>
                <w:sz w:val="16"/>
                <w:szCs w:val="16"/>
                <w:color w:val="auto"/>
              </w:rPr>
              <w:t>(357,969,010 in October 2000 and 355,095,676</w:t>
            </w:r>
          </w:p>
        </w:tc>
        <w:tc>
          <w:tcPr>
            <w:tcW w:w="400" w:type="dxa"/>
            <w:vAlign w:val="bottom"/>
          </w:tcPr>
          <w:p>
            <w:pPr>
              <w:spacing w:after="0"/>
              <w:rPr>
                <w:sz w:val="16"/>
                <w:szCs w:val="16"/>
                <w:color w:val="auto"/>
              </w:rPr>
            </w:pPr>
          </w:p>
        </w:tc>
        <w:tc>
          <w:tcPr>
            <w:tcW w:w="12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60,115</w:t>
            </w:r>
          </w:p>
        </w:tc>
        <w:tc>
          <w:tcPr>
            <w:tcW w:w="540" w:type="dxa"/>
            <w:vAlign w:val="bottom"/>
          </w:tcPr>
          <w:p>
            <w:pPr>
              <w:spacing w:after="0"/>
              <w:rPr>
                <w:sz w:val="16"/>
                <w:szCs w:val="16"/>
                <w:color w:val="auto"/>
              </w:rPr>
            </w:pPr>
          </w:p>
        </w:tc>
        <w:tc>
          <w:tcPr>
            <w:tcW w:w="136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59,663</w:t>
            </w:r>
          </w:p>
        </w:tc>
        <w:tc>
          <w:tcPr>
            <w:tcW w:w="400" w:type="dxa"/>
            <w:vAlign w:val="bottom"/>
          </w:tcPr>
          <w:p>
            <w:pPr>
              <w:spacing w:after="0"/>
              <w:rPr>
                <w:sz w:val="16"/>
                <w:szCs w:val="16"/>
                <w:color w:val="auto"/>
              </w:rPr>
            </w:pPr>
          </w:p>
        </w:tc>
        <w:tc>
          <w:tcPr>
            <w:tcW w:w="10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59,183</w:t>
            </w:r>
          </w:p>
        </w:tc>
        <w:tc>
          <w:tcPr>
            <w:tcW w:w="0" w:type="dxa"/>
            <w:vAlign w:val="bottom"/>
          </w:tcPr>
          <w:p>
            <w:pPr>
              <w:spacing w:after="0"/>
              <w:rPr>
                <w:sz w:val="1"/>
                <w:szCs w:val="1"/>
                <w:color w:val="auto"/>
              </w:rPr>
            </w:pPr>
          </w:p>
        </w:tc>
      </w:tr>
      <w:tr>
        <w:trPr>
          <w:trHeight w:val="188"/>
        </w:trPr>
        <w:tc>
          <w:tcPr>
            <w:tcW w:w="6540" w:type="dxa"/>
            <w:vAlign w:val="bottom"/>
          </w:tcPr>
          <w:p>
            <w:pPr>
              <w:ind w:left="580"/>
              <w:spacing w:after="0"/>
              <w:rPr>
                <w:sz w:val="20"/>
                <w:szCs w:val="20"/>
                <w:color w:val="auto"/>
              </w:rPr>
            </w:pPr>
            <w:r>
              <w:rPr>
                <w:rFonts w:ascii="Courier New" w:cs="Courier New" w:eastAsia="Courier New" w:hAnsi="Courier New"/>
                <w:sz w:val="16"/>
                <w:szCs w:val="16"/>
                <w:color w:val="auto"/>
              </w:rPr>
              <w:t>in April 2000)</w:t>
            </w:r>
          </w:p>
        </w:tc>
        <w:tc>
          <w:tcPr>
            <w:tcW w:w="4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540" w:type="dxa"/>
            <w:vAlign w:val="bottom"/>
          </w:tcPr>
          <w:p>
            <w:pPr>
              <w:spacing w:after="0"/>
              <w:rPr>
                <w:sz w:val="20"/>
                <w:szCs w:val="20"/>
                <w:color w:val="auto"/>
              </w:rPr>
            </w:pPr>
            <w:r>
              <w:rPr>
                <w:rFonts w:ascii="Courier New" w:cs="Courier New" w:eastAsia="Courier New" w:hAnsi="Courier New"/>
                <w:sz w:val="16"/>
                <w:szCs w:val="16"/>
                <w:color w:val="auto"/>
              </w:rPr>
              <w:t>Capital in excess of par value</w:t>
            </w:r>
          </w:p>
        </w:tc>
        <w:tc>
          <w:tcPr>
            <w:tcW w:w="4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598,938</w:t>
            </w:r>
          </w:p>
        </w:tc>
        <w:tc>
          <w:tcPr>
            <w:tcW w:w="540" w:type="dxa"/>
            <w:vAlign w:val="bottom"/>
          </w:tcPr>
          <w:p>
            <w:pPr>
              <w:spacing w:after="0"/>
              <w:rPr>
                <w:sz w:val="16"/>
                <w:szCs w:val="16"/>
                <w:color w:val="auto"/>
              </w:rPr>
            </w:pPr>
          </w:p>
        </w:tc>
        <w:tc>
          <w:tcPr>
            <w:tcW w:w="13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526,820</w:t>
            </w:r>
          </w:p>
        </w:tc>
        <w:tc>
          <w:tcPr>
            <w:tcW w:w="4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457,887</w:t>
            </w:r>
          </w:p>
        </w:tc>
        <w:tc>
          <w:tcPr>
            <w:tcW w:w="0" w:type="dxa"/>
            <w:vAlign w:val="bottom"/>
          </w:tcPr>
          <w:p>
            <w:pPr>
              <w:spacing w:after="0"/>
              <w:rPr>
                <w:sz w:val="1"/>
                <w:szCs w:val="1"/>
                <w:color w:val="auto"/>
              </w:rPr>
            </w:pPr>
          </w:p>
        </w:tc>
      </w:tr>
      <w:tr>
        <w:trPr>
          <w:trHeight w:val="188"/>
        </w:trPr>
        <w:tc>
          <w:tcPr>
            <w:tcW w:w="6540" w:type="dxa"/>
            <w:vAlign w:val="bottom"/>
          </w:tcPr>
          <w:p>
            <w:pPr>
              <w:spacing w:after="0"/>
              <w:rPr>
                <w:sz w:val="20"/>
                <w:szCs w:val="20"/>
                <w:color w:val="auto"/>
              </w:rPr>
            </w:pPr>
            <w:r>
              <w:rPr>
                <w:rFonts w:ascii="Courier New" w:cs="Courier New" w:eastAsia="Courier New" w:hAnsi="Courier New"/>
                <w:sz w:val="16"/>
                <w:szCs w:val="16"/>
                <w:color w:val="auto"/>
              </w:rPr>
              <w:t>Retained earnings</w:t>
            </w:r>
          </w:p>
        </w:tc>
        <w:tc>
          <w:tcPr>
            <w:tcW w:w="4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2,010,816</w:t>
            </w:r>
          </w:p>
        </w:tc>
        <w:tc>
          <w:tcPr>
            <w:tcW w:w="19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1,717,943</w:t>
            </w:r>
          </w:p>
        </w:tc>
        <w:tc>
          <w:tcPr>
            <w:tcW w:w="4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9"/>
              </w:rPr>
              <w:t>1,325,870</w:t>
            </w:r>
          </w:p>
        </w:tc>
        <w:tc>
          <w:tcPr>
            <w:tcW w:w="0" w:type="dxa"/>
            <w:vAlign w:val="bottom"/>
          </w:tcPr>
          <w:p>
            <w:pPr>
              <w:spacing w:after="0"/>
              <w:rPr>
                <w:sz w:val="1"/>
                <w:szCs w:val="1"/>
                <w:color w:val="auto"/>
              </w:rPr>
            </w:pPr>
          </w:p>
        </w:tc>
      </w:tr>
      <w:tr>
        <w:trPr>
          <w:trHeight w:val="188"/>
        </w:trPr>
        <w:tc>
          <w:tcPr>
            <w:tcW w:w="654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income</w:t>
            </w:r>
          </w:p>
        </w:tc>
        <w:tc>
          <w:tcPr>
            <w:tcW w:w="4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4,100</w:t>
            </w:r>
          </w:p>
        </w:tc>
        <w:tc>
          <w:tcPr>
            <w:tcW w:w="540" w:type="dxa"/>
            <w:vAlign w:val="bottom"/>
          </w:tcPr>
          <w:p>
            <w:pPr>
              <w:spacing w:after="0"/>
              <w:rPr>
                <w:sz w:val="16"/>
                <w:szCs w:val="16"/>
                <w:color w:val="auto"/>
              </w:rPr>
            </w:pPr>
          </w:p>
        </w:tc>
        <w:tc>
          <w:tcPr>
            <w:tcW w:w="13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2,841</w:t>
            </w:r>
          </w:p>
        </w:tc>
        <w:tc>
          <w:tcPr>
            <w:tcW w:w="4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25,702</w:t>
            </w:r>
          </w:p>
        </w:tc>
        <w:tc>
          <w:tcPr>
            <w:tcW w:w="0" w:type="dxa"/>
            <w:vAlign w:val="bottom"/>
          </w:tcPr>
          <w:p>
            <w:pPr>
              <w:spacing w:after="0"/>
              <w:rPr>
                <w:sz w:val="1"/>
                <w:szCs w:val="1"/>
                <w:color w:val="auto"/>
              </w:rPr>
            </w:pPr>
          </w:p>
        </w:tc>
      </w:tr>
      <w:tr>
        <w:trPr>
          <w:trHeight w:val="188"/>
        </w:trPr>
        <w:tc>
          <w:tcPr>
            <w:tcW w:w="6540" w:type="dxa"/>
            <w:vAlign w:val="bottom"/>
          </w:tcPr>
          <w:p>
            <w:pPr>
              <w:spacing w:after="0"/>
              <w:rPr>
                <w:sz w:val="16"/>
                <w:szCs w:val="16"/>
                <w:color w:val="auto"/>
              </w:rPr>
            </w:pPr>
          </w:p>
        </w:tc>
        <w:tc>
          <w:tcPr>
            <w:tcW w:w="16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6"/>
        </w:trPr>
        <w:tc>
          <w:tcPr>
            <w:tcW w:w="6540" w:type="dxa"/>
            <w:vAlign w:val="bottom"/>
            <w:vMerge w:val="restart"/>
          </w:tcPr>
          <w:p>
            <w:pPr>
              <w:spacing w:after="0"/>
              <w:rPr>
                <w:sz w:val="20"/>
                <w:szCs w:val="20"/>
                <w:color w:val="auto"/>
              </w:rPr>
            </w:pPr>
            <w:r>
              <w:rPr>
                <w:rFonts w:ascii="Courier New" w:cs="Courier New" w:eastAsia="Courier New" w:hAnsi="Courier New"/>
                <w:sz w:val="16"/>
                <w:szCs w:val="16"/>
                <w:color w:val="auto"/>
              </w:rPr>
              <w:t>Less 476,637 shares in treasury, at cost (45,186 in</w:t>
            </w:r>
          </w:p>
        </w:tc>
        <w:tc>
          <w:tcPr>
            <w:tcW w:w="400" w:type="dxa"/>
            <w:vAlign w:val="bottom"/>
          </w:tcPr>
          <w:p>
            <w:pPr>
              <w:spacing w:after="0"/>
              <w:rPr>
                <w:sz w:val="23"/>
                <w:szCs w:val="23"/>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2,673,969</w:t>
            </w:r>
          </w:p>
        </w:tc>
        <w:tc>
          <w:tcPr>
            <w:tcW w:w="19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2,307,267</w:t>
            </w:r>
          </w:p>
        </w:tc>
        <w:tc>
          <w:tcPr>
            <w:tcW w:w="400" w:type="dxa"/>
            <w:vAlign w:val="bottom"/>
          </w:tcPr>
          <w:p>
            <w:pPr>
              <w:spacing w:after="0"/>
              <w:rPr>
                <w:sz w:val="23"/>
                <w:szCs w:val="23"/>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9"/>
              </w:rPr>
              <w:t>1,868,642</w:t>
            </w: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24,727</w:t>
            </w:r>
          </w:p>
        </w:tc>
        <w:tc>
          <w:tcPr>
            <w:tcW w:w="540" w:type="dxa"/>
            <w:vAlign w:val="bottom"/>
          </w:tcPr>
          <w:p>
            <w:pPr>
              <w:spacing w:after="0"/>
              <w:rPr>
                <w:sz w:val="8"/>
                <w:szCs w:val="8"/>
                <w:color w:val="auto"/>
              </w:rPr>
            </w:pPr>
          </w:p>
        </w:tc>
        <w:tc>
          <w:tcPr>
            <w:tcW w:w="136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rPr>
              <w:t>3,617</w:t>
            </w:r>
          </w:p>
        </w:tc>
        <w:tc>
          <w:tcPr>
            <w:tcW w:w="400" w:type="dxa"/>
            <w:vAlign w:val="bottom"/>
          </w:tcPr>
          <w:p>
            <w:pPr>
              <w:spacing w:after="0"/>
              <w:rPr>
                <w:sz w:val="8"/>
                <w:szCs w:val="8"/>
                <w:color w:val="auto"/>
              </w:rPr>
            </w:pPr>
          </w:p>
        </w:tc>
        <w:tc>
          <w:tcPr>
            <w:tcW w:w="106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1,503</w:t>
            </w:r>
          </w:p>
        </w:tc>
        <w:tc>
          <w:tcPr>
            <w:tcW w:w="0" w:type="dxa"/>
            <w:vAlign w:val="bottom"/>
          </w:tcPr>
          <w:p>
            <w:pPr>
              <w:spacing w:after="0"/>
              <w:rPr>
                <w:sz w:val="1"/>
                <w:szCs w:val="1"/>
                <w:color w:val="auto"/>
              </w:rPr>
            </w:pPr>
          </w:p>
        </w:tc>
      </w:tr>
      <w:tr>
        <w:trPr>
          <w:trHeight w:val="188"/>
        </w:trPr>
        <w:tc>
          <w:tcPr>
            <w:tcW w:w="6540" w:type="dxa"/>
            <w:vAlign w:val="bottom"/>
          </w:tcPr>
          <w:p>
            <w:pPr>
              <w:ind w:left="400"/>
              <w:spacing w:after="0"/>
              <w:rPr>
                <w:sz w:val="20"/>
                <w:szCs w:val="20"/>
                <w:color w:val="auto"/>
              </w:rPr>
            </w:pPr>
            <w:r>
              <w:rPr>
                <w:rFonts w:ascii="Courier New" w:cs="Courier New" w:eastAsia="Courier New" w:hAnsi="Courier New"/>
                <w:sz w:val="16"/>
                <w:szCs w:val="16"/>
                <w:color w:val="auto"/>
              </w:rPr>
              <w:t>October 2000 and 19,552 in April 2000)</w:t>
            </w:r>
          </w:p>
        </w:tc>
        <w:tc>
          <w:tcPr>
            <w:tcW w:w="4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ind w:left="580"/>
              <w:spacing w:after="0"/>
              <w:rPr>
                <w:sz w:val="20"/>
                <w:szCs w:val="20"/>
                <w:color w:val="auto"/>
              </w:rPr>
            </w:pPr>
            <w:r>
              <w:rPr>
                <w:rFonts w:ascii="Courier New" w:cs="Courier New" w:eastAsia="Courier New" w:hAnsi="Courier New"/>
                <w:sz w:val="16"/>
                <w:szCs w:val="16"/>
                <w:color w:val="auto"/>
              </w:rPr>
              <w:t>Total stockholders' equity</w:t>
            </w:r>
          </w:p>
        </w:tc>
        <w:tc>
          <w:tcPr>
            <w:tcW w:w="16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65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2,649,242</w:t>
            </w:r>
          </w:p>
        </w:tc>
        <w:tc>
          <w:tcPr>
            <w:tcW w:w="19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2,303,650</w:t>
            </w:r>
          </w:p>
        </w:tc>
        <w:tc>
          <w:tcPr>
            <w:tcW w:w="4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9"/>
              </w:rPr>
              <w:t>1,867,139</w:t>
            </w:r>
          </w:p>
        </w:tc>
        <w:tc>
          <w:tcPr>
            <w:tcW w:w="0" w:type="dxa"/>
            <w:vAlign w:val="bottom"/>
          </w:tcPr>
          <w:p>
            <w:pPr>
              <w:spacing w:after="0"/>
              <w:rPr>
                <w:sz w:val="1"/>
                <w:szCs w:val="1"/>
                <w:color w:val="auto"/>
              </w:rPr>
            </w:pPr>
          </w:p>
        </w:tc>
      </w:tr>
      <w:tr>
        <w:trPr>
          <w:trHeight w:val="188"/>
        </w:trPr>
        <w:tc>
          <w:tcPr>
            <w:tcW w:w="6540" w:type="dxa"/>
            <w:vAlign w:val="bottom"/>
          </w:tcPr>
          <w:p>
            <w:pPr>
              <w:spacing w:after="0"/>
              <w:rPr>
                <w:sz w:val="16"/>
                <w:szCs w:val="16"/>
                <w:color w:val="auto"/>
              </w:rPr>
            </w:pPr>
          </w:p>
        </w:tc>
        <w:tc>
          <w:tcPr>
            <w:tcW w:w="16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6540" w:type="dxa"/>
            <w:vAlign w:val="bottom"/>
          </w:tcPr>
          <w:p>
            <w:pPr>
              <w:spacing w:after="0"/>
              <w:rPr>
                <w:sz w:val="16"/>
                <w:szCs w:val="16"/>
                <w:color w:val="auto"/>
              </w:rPr>
            </w:pPr>
          </w:p>
        </w:tc>
        <w:tc>
          <w:tcPr>
            <w:tcW w:w="16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$4,797,506</w:t>
            </w:r>
          </w:p>
        </w:tc>
        <w:tc>
          <w:tcPr>
            <w:tcW w:w="19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$4,411,337</w:t>
            </w:r>
          </w:p>
        </w:tc>
        <w:tc>
          <w:tcPr>
            <w:tcW w:w="14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$2,669,022</w:t>
            </w:r>
          </w:p>
        </w:tc>
        <w:tc>
          <w:tcPr>
            <w:tcW w:w="0" w:type="dxa"/>
            <w:vAlign w:val="bottom"/>
          </w:tcPr>
          <w:p>
            <w:pPr>
              <w:spacing w:after="0"/>
              <w:rPr>
                <w:sz w:val="1"/>
                <w:szCs w:val="1"/>
                <w:color w:val="auto"/>
              </w:rPr>
            </w:pPr>
          </w:p>
        </w:tc>
      </w:tr>
      <w:tr>
        <w:trPr>
          <w:trHeight w:val="276"/>
        </w:trPr>
        <w:tc>
          <w:tcPr>
            <w:tcW w:w="6540" w:type="dxa"/>
            <w:vAlign w:val="bottom"/>
          </w:tcPr>
          <w:p>
            <w:pPr>
              <w:spacing w:after="0"/>
              <w:rPr>
                <w:sz w:val="23"/>
                <w:szCs w:val="23"/>
                <w:color w:val="auto"/>
              </w:rPr>
            </w:pPr>
          </w:p>
        </w:tc>
        <w:tc>
          <w:tcPr>
            <w:tcW w:w="16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520"/>
          </w:cols>
          <w:pgMar w:left="240" w:top="275" w:right="139"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CONSOLIDATED STATEMENTS OF CASH FLOWS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(thousands)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60" w:type="dxa"/>
            <w:vAlign w:val="bottom"/>
          </w:tcPr>
          <w:p>
            <w:pPr>
              <w:spacing w:after="0"/>
              <w:rPr>
                <w:sz w:val="16"/>
                <w:szCs w:val="16"/>
                <w:color w:val="auto"/>
              </w:rPr>
            </w:pPr>
          </w:p>
        </w:tc>
        <w:tc>
          <w:tcPr>
            <w:tcW w:w="3240" w:type="dxa"/>
            <w:vAlign w:val="bottom"/>
            <w:gridSpan w:val="3"/>
          </w:tcPr>
          <w:p>
            <w:pPr>
              <w:jc w:val="right"/>
              <w:ind w:right="599"/>
              <w:spacing w:after="0"/>
              <w:rPr>
                <w:sz w:val="20"/>
                <w:szCs w:val="20"/>
                <w:color w:val="auto"/>
              </w:rPr>
            </w:pPr>
            <w:r>
              <w:rPr>
                <w:rFonts w:ascii="Courier New" w:cs="Courier New" w:eastAsia="Courier New" w:hAnsi="Courier New"/>
                <w:sz w:val="16"/>
                <w:szCs w:val="16"/>
                <w:color w:val="auto"/>
              </w:rPr>
              <w:t>Six Months Ended</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32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1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May 5, 2001</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April 29, 2000</w:t>
            </w:r>
          </w:p>
        </w:tc>
        <w:tc>
          <w:tcPr>
            <w:tcW w:w="0" w:type="dxa"/>
            <w:vAlign w:val="bottom"/>
          </w:tcPr>
          <w:p>
            <w:pPr>
              <w:spacing w:after="0"/>
              <w:rPr>
                <w:sz w:val="1"/>
                <w:szCs w:val="1"/>
                <w:color w:val="auto"/>
              </w:rPr>
            </w:pPr>
          </w:p>
        </w:tc>
      </w:tr>
      <w:tr>
        <w:trPr>
          <w:trHeight w:val="276"/>
        </w:trPr>
        <w:tc>
          <w:tcPr>
            <w:tcW w:w="5660" w:type="dxa"/>
            <w:vAlign w:val="bottom"/>
          </w:tcPr>
          <w:p>
            <w:pPr>
              <w:spacing w:after="0"/>
              <w:rPr>
                <w:sz w:val="23"/>
                <w:szCs w:val="23"/>
                <w:color w:val="auto"/>
              </w:rPr>
            </w:pPr>
          </w:p>
        </w:tc>
        <w:tc>
          <w:tcPr>
            <w:tcW w:w="1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660" w:type="dxa"/>
            <w:vAlign w:val="bottom"/>
          </w:tcPr>
          <w:p>
            <w:pPr>
              <w:spacing w:after="0"/>
              <w:rPr>
                <w:sz w:val="20"/>
                <w:szCs w:val="20"/>
                <w:color w:val="auto"/>
              </w:rPr>
            </w:pPr>
            <w:r>
              <w:rPr>
                <w:rFonts w:ascii="Courier New" w:cs="Courier New" w:eastAsia="Courier New" w:hAnsi="Courier New"/>
                <w:sz w:val="16"/>
                <w:szCs w:val="16"/>
                <w:color w:val="auto"/>
              </w:rPr>
              <w:t>OPERATIONS</w:t>
            </w: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660" w:type="dxa"/>
            <w:vAlign w:val="bottom"/>
          </w:tcPr>
          <w:p>
            <w:pPr>
              <w:spacing w:after="0"/>
              <w:rPr>
                <w:sz w:val="20"/>
                <w:szCs w:val="20"/>
                <w:color w:val="auto"/>
              </w:rPr>
            </w:pPr>
            <w:r>
              <w:rPr>
                <w:rFonts w:ascii="Courier New" w:cs="Courier New" w:eastAsia="Courier New" w:hAnsi="Courier New"/>
                <w:sz w:val="16"/>
                <w:szCs w:val="16"/>
                <w:color w:val="auto"/>
              </w:rPr>
              <w:t>Cash flows from operations:</w:t>
            </w:r>
          </w:p>
        </w:tc>
        <w:tc>
          <w:tcPr>
            <w:tcW w:w="168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   292,873</w:t>
            </w:r>
          </w:p>
        </w:tc>
        <w:tc>
          <w:tcPr>
            <w:tcW w:w="5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215,059</w:t>
            </w:r>
          </w:p>
        </w:tc>
        <w:tc>
          <w:tcPr>
            <w:tcW w:w="0" w:type="dxa"/>
            <w:vAlign w:val="bottom"/>
          </w:tcPr>
          <w:p>
            <w:pPr>
              <w:spacing w:after="0"/>
              <w:rPr>
                <w:sz w:val="1"/>
                <w:szCs w:val="1"/>
                <w:color w:val="auto"/>
              </w:rPr>
            </w:pPr>
          </w:p>
        </w:tc>
      </w:tr>
      <w:tr>
        <w:trPr>
          <w:trHeight w:val="188"/>
        </w:trPr>
        <w:tc>
          <w:tcPr>
            <w:tcW w:w="5660" w:type="dxa"/>
            <w:vAlign w:val="bottom"/>
          </w:tcPr>
          <w:p>
            <w:pPr>
              <w:ind w:left="400"/>
              <w:spacing w:after="0"/>
              <w:rPr>
                <w:sz w:val="20"/>
                <w:szCs w:val="20"/>
                <w:color w:val="auto"/>
              </w:rPr>
            </w:pPr>
            <w:r>
              <w:rPr>
                <w:rFonts w:ascii="Courier New" w:cs="Courier New" w:eastAsia="Courier New" w:hAnsi="Courier New"/>
                <w:sz w:val="16"/>
                <w:szCs w:val="16"/>
                <w:color w:val="auto"/>
              </w:rPr>
              <w:t>Net income</w:t>
            </w:r>
          </w:p>
        </w:tc>
        <w:tc>
          <w:tcPr>
            <w:tcW w:w="16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60" w:type="dxa"/>
            <w:vAlign w:val="bottom"/>
          </w:tcPr>
          <w:p>
            <w:pPr>
              <w:ind w:left="400"/>
              <w:spacing w:after="0"/>
              <w:rPr>
                <w:sz w:val="20"/>
                <w:szCs w:val="20"/>
                <w:color w:val="auto"/>
              </w:rPr>
            </w:pPr>
            <w:r>
              <w:rPr>
                <w:rFonts w:ascii="Courier New" w:cs="Courier New" w:eastAsia="Courier New" w:hAnsi="Courier New"/>
                <w:sz w:val="16"/>
                <w:szCs w:val="16"/>
                <w:color w:val="auto"/>
              </w:rPr>
              <w:t>Adjustments to reconcile net income</w:t>
            </w:r>
          </w:p>
        </w:tc>
        <w:tc>
          <w:tcPr>
            <w:tcW w:w="1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60" w:type="dxa"/>
            <w:vAlign w:val="bottom"/>
          </w:tcPr>
          <w:p>
            <w:pPr>
              <w:ind w:left="580"/>
              <w:spacing w:after="0"/>
              <w:rPr>
                <w:sz w:val="20"/>
                <w:szCs w:val="20"/>
                <w:color w:val="auto"/>
              </w:rPr>
            </w:pPr>
            <w:r>
              <w:rPr>
                <w:rFonts w:ascii="Courier New" w:cs="Courier New" w:eastAsia="Courier New" w:hAnsi="Courier New"/>
                <w:sz w:val="16"/>
                <w:szCs w:val="16"/>
                <w:color w:val="auto"/>
              </w:rPr>
              <w:t>to net cash provided by operations:</w:t>
            </w:r>
          </w:p>
        </w:tc>
        <w:tc>
          <w:tcPr>
            <w:tcW w:w="168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101,492</w:t>
            </w:r>
          </w:p>
        </w:tc>
        <w:tc>
          <w:tcPr>
            <w:tcW w:w="580" w:type="dxa"/>
            <w:vAlign w:val="bottom"/>
          </w:tcPr>
          <w:p>
            <w:pPr>
              <w:spacing w:after="0"/>
              <w:rPr>
                <w:sz w:val="16"/>
                <w:szCs w:val="16"/>
                <w:color w:val="auto"/>
              </w:rPr>
            </w:pPr>
          </w:p>
        </w:tc>
        <w:tc>
          <w:tcPr>
            <w:tcW w:w="9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73,315</w:t>
            </w:r>
          </w:p>
        </w:tc>
        <w:tc>
          <w:tcPr>
            <w:tcW w:w="0" w:type="dxa"/>
            <w:vAlign w:val="bottom"/>
          </w:tcPr>
          <w:p>
            <w:pPr>
              <w:spacing w:after="0"/>
              <w:rPr>
                <w:sz w:val="1"/>
                <w:szCs w:val="1"/>
                <w:color w:val="auto"/>
              </w:rPr>
            </w:pPr>
          </w:p>
        </w:tc>
      </w:tr>
      <w:tr>
        <w:trPr>
          <w:trHeight w:val="188"/>
        </w:trPr>
        <w:tc>
          <w:tcPr>
            <w:tcW w:w="5660" w:type="dxa"/>
            <w:vAlign w:val="bottom"/>
          </w:tcPr>
          <w:p>
            <w:pPr>
              <w:ind w:left="780"/>
              <w:spacing w:after="0"/>
              <w:rPr>
                <w:sz w:val="20"/>
                <w:szCs w:val="20"/>
                <w:color w:val="auto"/>
              </w:rPr>
            </w:pPr>
            <w:r>
              <w:rPr>
                <w:rFonts w:ascii="Courier New" w:cs="Courier New" w:eastAsia="Courier New" w:hAnsi="Courier New"/>
                <w:sz w:val="16"/>
                <w:szCs w:val="16"/>
                <w:color w:val="auto"/>
              </w:rPr>
              <w:t>Depreciation and amortization</w:t>
            </w:r>
          </w:p>
        </w:tc>
        <w:tc>
          <w:tcPr>
            <w:tcW w:w="16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60" w:type="dxa"/>
            <w:vAlign w:val="bottom"/>
          </w:tcPr>
          <w:p>
            <w:pPr>
              <w:ind w:left="780"/>
              <w:spacing w:after="0"/>
              <w:rPr>
                <w:sz w:val="20"/>
                <w:szCs w:val="20"/>
                <w:color w:val="auto"/>
              </w:rPr>
            </w:pPr>
            <w:r>
              <w:rPr>
                <w:rFonts w:ascii="Courier New" w:cs="Courier New" w:eastAsia="Courier New" w:hAnsi="Courier New"/>
                <w:sz w:val="16"/>
                <w:szCs w:val="16"/>
                <w:color w:val="auto"/>
              </w:rPr>
              <w:t>Gain on sale of investment</w:t>
            </w:r>
          </w:p>
        </w:tc>
        <w:tc>
          <w:tcPr>
            <w:tcW w:w="1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(28,084)</w:t>
            </w:r>
          </w:p>
        </w:tc>
        <w:tc>
          <w:tcPr>
            <w:tcW w:w="5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5660" w:type="dxa"/>
            <w:vAlign w:val="bottom"/>
          </w:tcPr>
          <w:p>
            <w:pPr>
              <w:ind w:left="780"/>
              <w:spacing w:after="0"/>
              <w:rPr>
                <w:sz w:val="20"/>
                <w:szCs w:val="20"/>
                <w:color w:val="auto"/>
              </w:rPr>
            </w:pPr>
            <w:r>
              <w:rPr>
                <w:rFonts w:ascii="Courier New" w:cs="Courier New" w:eastAsia="Courier New" w:hAnsi="Courier New"/>
                <w:sz w:val="16"/>
                <w:szCs w:val="16"/>
                <w:color w:val="auto"/>
              </w:rPr>
              <w:t>Write-off of purchased research and development</w:t>
            </w:r>
          </w:p>
        </w:tc>
        <w:tc>
          <w:tcPr>
            <w:tcW w:w="1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9,500</w:t>
            </w:r>
          </w:p>
        </w:tc>
        <w:tc>
          <w:tcPr>
            <w:tcW w:w="5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5660" w:type="dxa"/>
            <w:vAlign w:val="bottom"/>
          </w:tcPr>
          <w:p>
            <w:pPr>
              <w:ind w:left="780"/>
              <w:spacing w:after="0"/>
              <w:rPr>
                <w:sz w:val="20"/>
                <w:szCs w:val="20"/>
                <w:color w:val="auto"/>
              </w:rPr>
            </w:pPr>
            <w:r>
              <w:rPr>
                <w:rFonts w:ascii="Courier New" w:cs="Courier New" w:eastAsia="Courier New" w:hAnsi="Courier New"/>
                <w:sz w:val="16"/>
                <w:szCs w:val="16"/>
                <w:color w:val="auto"/>
              </w:rPr>
              <w:t>Deferred income taxes</w:t>
            </w:r>
          </w:p>
        </w:tc>
        <w:tc>
          <w:tcPr>
            <w:tcW w:w="1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(3,245)</w:t>
            </w: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(9,717)</w:t>
            </w:r>
          </w:p>
        </w:tc>
        <w:tc>
          <w:tcPr>
            <w:tcW w:w="0" w:type="dxa"/>
            <w:vAlign w:val="bottom"/>
          </w:tcPr>
          <w:p>
            <w:pPr>
              <w:spacing w:after="0"/>
              <w:rPr>
                <w:sz w:val="1"/>
                <w:szCs w:val="1"/>
                <w:color w:val="auto"/>
              </w:rPr>
            </w:pPr>
          </w:p>
        </w:tc>
      </w:tr>
      <w:tr>
        <w:trPr>
          <w:trHeight w:val="188"/>
        </w:trPr>
        <w:tc>
          <w:tcPr>
            <w:tcW w:w="5660" w:type="dxa"/>
            <w:vAlign w:val="bottom"/>
          </w:tcPr>
          <w:p>
            <w:pPr>
              <w:ind w:left="780"/>
              <w:spacing w:after="0"/>
              <w:rPr>
                <w:sz w:val="20"/>
                <w:szCs w:val="20"/>
                <w:color w:val="auto"/>
              </w:rPr>
            </w:pPr>
            <w:r>
              <w:rPr>
                <w:rFonts w:ascii="Courier New" w:cs="Courier New" w:eastAsia="Courier New" w:hAnsi="Courier New"/>
                <w:sz w:val="16"/>
                <w:szCs w:val="16"/>
                <w:color w:val="auto"/>
              </w:rPr>
              <w:t>Other non-cash expense</w:t>
            </w:r>
          </w:p>
        </w:tc>
        <w:tc>
          <w:tcPr>
            <w:tcW w:w="1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2,692</w:t>
            </w:r>
          </w:p>
        </w:tc>
        <w:tc>
          <w:tcPr>
            <w:tcW w:w="5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559</w:t>
            </w:r>
          </w:p>
        </w:tc>
        <w:tc>
          <w:tcPr>
            <w:tcW w:w="0" w:type="dxa"/>
            <w:vAlign w:val="bottom"/>
          </w:tcPr>
          <w:p>
            <w:pPr>
              <w:spacing w:after="0"/>
              <w:rPr>
                <w:sz w:val="1"/>
                <w:szCs w:val="1"/>
                <w:color w:val="auto"/>
              </w:rPr>
            </w:pPr>
          </w:p>
        </w:tc>
      </w:tr>
      <w:tr>
        <w:trPr>
          <w:trHeight w:val="188"/>
        </w:trPr>
        <w:tc>
          <w:tcPr>
            <w:tcW w:w="5660" w:type="dxa"/>
            <w:vAlign w:val="bottom"/>
          </w:tcPr>
          <w:p>
            <w:pPr>
              <w:ind w:left="78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1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135,074</w:t>
            </w:r>
          </w:p>
        </w:tc>
        <w:tc>
          <w:tcPr>
            <w:tcW w:w="5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39,282</w:t>
            </w:r>
          </w:p>
        </w:tc>
        <w:tc>
          <w:tcPr>
            <w:tcW w:w="0" w:type="dxa"/>
            <w:vAlign w:val="bottom"/>
          </w:tcPr>
          <w:p>
            <w:pPr>
              <w:spacing w:after="0"/>
              <w:rPr>
                <w:sz w:val="1"/>
                <w:szCs w:val="1"/>
                <w:color w:val="auto"/>
              </w:rPr>
            </w:pPr>
          </w:p>
        </w:tc>
      </w:tr>
      <w:tr>
        <w:trPr>
          <w:trHeight w:val="188"/>
        </w:trPr>
        <w:tc>
          <w:tcPr>
            <w:tcW w:w="5660" w:type="dxa"/>
            <w:vAlign w:val="bottom"/>
            <w:vMerge w:val="restart"/>
          </w:tcPr>
          <w:p>
            <w:pPr>
              <w:ind w:left="400"/>
              <w:spacing w:after="0"/>
              <w:rPr>
                <w:sz w:val="20"/>
                <w:szCs w:val="20"/>
                <w:color w:val="auto"/>
              </w:rPr>
            </w:pPr>
            <w:r>
              <w:rPr>
                <w:rFonts w:ascii="Courier New" w:cs="Courier New" w:eastAsia="Courier New" w:hAnsi="Courier New"/>
                <w:sz w:val="16"/>
                <w:szCs w:val="16"/>
                <w:color w:val="auto"/>
              </w:rPr>
              <w:t>Total adjustments</w:t>
            </w:r>
          </w:p>
        </w:tc>
        <w:tc>
          <w:tcPr>
            <w:tcW w:w="1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5660" w:type="dxa"/>
            <w:vAlign w:val="bottom"/>
            <w:vMerge w:val="continue"/>
          </w:tcPr>
          <w:p>
            <w:pPr>
              <w:spacing w:after="0"/>
              <w:rPr>
                <w:sz w:val="16"/>
                <w:szCs w:val="16"/>
                <w:color w:val="auto"/>
              </w:rPr>
            </w:pPr>
          </w:p>
        </w:tc>
        <w:tc>
          <w:tcPr>
            <w:tcW w:w="1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217,429</w:t>
            </w:r>
          </w:p>
        </w:tc>
        <w:tc>
          <w:tcPr>
            <w:tcW w:w="5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103,439</w:t>
            </w:r>
          </w:p>
        </w:tc>
        <w:tc>
          <w:tcPr>
            <w:tcW w:w="0" w:type="dxa"/>
            <w:vAlign w:val="bottom"/>
          </w:tcPr>
          <w:p>
            <w:pPr>
              <w:spacing w:after="0"/>
              <w:rPr>
                <w:sz w:val="1"/>
                <w:szCs w:val="1"/>
                <w:color w:val="auto"/>
              </w:rPr>
            </w:pPr>
          </w:p>
        </w:tc>
      </w:tr>
      <w:tr>
        <w:trPr>
          <w:trHeight w:val="188"/>
        </w:trPr>
        <w:tc>
          <w:tcPr>
            <w:tcW w:w="566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provided by operations</w:t>
            </w:r>
          </w:p>
        </w:tc>
        <w:tc>
          <w:tcPr>
            <w:tcW w:w="1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5660" w:type="dxa"/>
            <w:vAlign w:val="bottom"/>
            <w:vMerge w:val="continue"/>
          </w:tcPr>
          <w:p>
            <w:pPr>
              <w:spacing w:after="0"/>
              <w:rPr>
                <w:sz w:val="16"/>
                <w:szCs w:val="16"/>
                <w:color w:val="auto"/>
              </w:rPr>
            </w:pPr>
          </w:p>
        </w:tc>
        <w:tc>
          <w:tcPr>
            <w:tcW w:w="1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510,302</w:t>
            </w:r>
          </w:p>
        </w:tc>
        <w:tc>
          <w:tcPr>
            <w:tcW w:w="5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318,498</w:t>
            </w:r>
          </w:p>
        </w:tc>
        <w:tc>
          <w:tcPr>
            <w:tcW w:w="0" w:type="dxa"/>
            <w:vAlign w:val="bottom"/>
          </w:tcPr>
          <w:p>
            <w:pPr>
              <w:spacing w:after="0"/>
              <w:rPr>
                <w:sz w:val="1"/>
                <w:szCs w:val="1"/>
                <w:color w:val="auto"/>
              </w:rPr>
            </w:pPr>
          </w:p>
        </w:tc>
      </w:tr>
      <w:tr>
        <w:trPr>
          <w:trHeight w:val="276"/>
        </w:trPr>
        <w:tc>
          <w:tcPr>
            <w:tcW w:w="5660" w:type="dxa"/>
            <w:vAlign w:val="bottom"/>
          </w:tcPr>
          <w:p>
            <w:pPr>
              <w:spacing w:after="0"/>
              <w:rPr>
                <w:sz w:val="23"/>
                <w:szCs w:val="23"/>
                <w:color w:val="auto"/>
              </w:rPr>
            </w:pPr>
          </w:p>
        </w:tc>
        <w:tc>
          <w:tcPr>
            <w:tcW w:w="1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66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660" w:type="dxa"/>
            <w:vAlign w:val="bottom"/>
          </w:tcPr>
          <w:p>
            <w:pPr>
              <w:spacing w:after="0"/>
              <w:rPr>
                <w:sz w:val="20"/>
                <w:szCs w:val="20"/>
                <w:color w:val="auto"/>
              </w:rPr>
            </w:pPr>
            <w:r>
              <w:rPr>
                <w:rFonts w:ascii="Courier New" w:cs="Courier New" w:eastAsia="Courier New" w:hAnsi="Courier New"/>
                <w:sz w:val="16"/>
                <w:szCs w:val="16"/>
                <w:color w:val="auto"/>
              </w:rPr>
              <w:t>Cash flows from investments:</w:t>
            </w:r>
          </w:p>
        </w:tc>
        <w:tc>
          <w:tcPr>
            <w:tcW w:w="1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60" w:type="dxa"/>
            <w:vAlign w:val="bottom"/>
          </w:tcPr>
          <w:p>
            <w:pPr>
              <w:ind w:left="400"/>
              <w:spacing w:after="0"/>
              <w:rPr>
                <w:sz w:val="20"/>
                <w:szCs w:val="20"/>
                <w:color w:val="auto"/>
              </w:rPr>
            </w:pPr>
            <w:r>
              <w:rPr>
                <w:rFonts w:ascii="Courier New" w:cs="Courier New" w:eastAsia="Courier New" w:hAnsi="Courier New"/>
                <w:sz w:val="16"/>
                <w:szCs w:val="16"/>
                <w:color w:val="auto"/>
              </w:rPr>
              <w:t>Purchase of short-term investments</w:t>
            </w:r>
          </w:p>
        </w:tc>
        <w:tc>
          <w:tcPr>
            <w:tcW w:w="16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(1,444,042)</w:t>
            </w:r>
          </w:p>
        </w:tc>
        <w:tc>
          <w:tcPr>
            <w:tcW w:w="5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(418,662)</w:t>
            </w:r>
          </w:p>
        </w:tc>
        <w:tc>
          <w:tcPr>
            <w:tcW w:w="0" w:type="dxa"/>
            <w:vAlign w:val="bottom"/>
          </w:tcPr>
          <w:p>
            <w:pPr>
              <w:spacing w:after="0"/>
              <w:rPr>
                <w:sz w:val="1"/>
                <w:szCs w:val="1"/>
                <w:color w:val="auto"/>
              </w:rPr>
            </w:pPr>
          </w:p>
        </w:tc>
      </w:tr>
      <w:tr>
        <w:trPr>
          <w:trHeight w:val="188"/>
        </w:trPr>
        <w:tc>
          <w:tcPr>
            <w:tcW w:w="5660" w:type="dxa"/>
            <w:vAlign w:val="bottom"/>
          </w:tcPr>
          <w:p>
            <w:pPr>
              <w:ind w:left="580"/>
              <w:spacing w:after="0"/>
              <w:rPr>
                <w:sz w:val="20"/>
                <w:szCs w:val="20"/>
                <w:color w:val="auto"/>
              </w:rPr>
            </w:pPr>
            <w:r>
              <w:rPr>
                <w:rFonts w:ascii="Courier New" w:cs="Courier New" w:eastAsia="Courier New" w:hAnsi="Courier New"/>
                <w:sz w:val="16"/>
                <w:szCs w:val="16"/>
                <w:color w:val="auto"/>
              </w:rPr>
              <w:t>available for sale</w:t>
            </w:r>
          </w:p>
        </w:tc>
        <w:tc>
          <w:tcPr>
            <w:tcW w:w="16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60" w:type="dxa"/>
            <w:vAlign w:val="bottom"/>
          </w:tcPr>
          <w:p>
            <w:pPr>
              <w:ind w:left="400"/>
              <w:spacing w:after="0"/>
              <w:rPr>
                <w:sz w:val="20"/>
                <w:szCs w:val="20"/>
                <w:color w:val="auto"/>
              </w:rPr>
            </w:pPr>
            <w:r>
              <w:rPr>
                <w:rFonts w:ascii="Courier New" w:cs="Courier New" w:eastAsia="Courier New" w:hAnsi="Courier New"/>
                <w:sz w:val="16"/>
                <w:szCs w:val="16"/>
                <w:color w:val="auto"/>
              </w:rPr>
              <w:t>Maturities of short-term investments</w:t>
            </w:r>
          </w:p>
        </w:tc>
        <w:tc>
          <w:tcPr>
            <w:tcW w:w="168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650,424</w:t>
            </w:r>
          </w:p>
        </w:tc>
        <w:tc>
          <w:tcPr>
            <w:tcW w:w="580" w:type="dxa"/>
            <w:vAlign w:val="bottom"/>
          </w:tcPr>
          <w:p>
            <w:pPr>
              <w:spacing w:after="0"/>
              <w:rPr>
                <w:sz w:val="16"/>
                <w:szCs w:val="16"/>
                <w:color w:val="auto"/>
              </w:rPr>
            </w:pPr>
          </w:p>
        </w:tc>
        <w:tc>
          <w:tcPr>
            <w:tcW w:w="9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408,656</w:t>
            </w:r>
          </w:p>
        </w:tc>
        <w:tc>
          <w:tcPr>
            <w:tcW w:w="0" w:type="dxa"/>
            <w:vAlign w:val="bottom"/>
          </w:tcPr>
          <w:p>
            <w:pPr>
              <w:spacing w:after="0"/>
              <w:rPr>
                <w:sz w:val="1"/>
                <w:szCs w:val="1"/>
                <w:color w:val="auto"/>
              </w:rPr>
            </w:pPr>
          </w:p>
        </w:tc>
      </w:tr>
      <w:tr>
        <w:trPr>
          <w:trHeight w:val="188"/>
        </w:trPr>
        <w:tc>
          <w:tcPr>
            <w:tcW w:w="5660" w:type="dxa"/>
            <w:vAlign w:val="bottom"/>
          </w:tcPr>
          <w:p>
            <w:pPr>
              <w:ind w:left="580"/>
              <w:spacing w:after="0"/>
              <w:rPr>
                <w:sz w:val="20"/>
                <w:szCs w:val="20"/>
                <w:color w:val="auto"/>
              </w:rPr>
            </w:pPr>
            <w:r>
              <w:rPr>
                <w:rFonts w:ascii="Courier New" w:cs="Courier New" w:eastAsia="Courier New" w:hAnsi="Courier New"/>
                <w:sz w:val="16"/>
                <w:szCs w:val="16"/>
                <w:color w:val="auto"/>
              </w:rPr>
              <w:t>available for sale</w:t>
            </w:r>
          </w:p>
        </w:tc>
        <w:tc>
          <w:tcPr>
            <w:tcW w:w="16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60" w:type="dxa"/>
            <w:vAlign w:val="bottom"/>
          </w:tcPr>
          <w:p>
            <w:pPr>
              <w:ind w:left="400"/>
              <w:spacing w:after="0"/>
              <w:rPr>
                <w:sz w:val="20"/>
                <w:szCs w:val="20"/>
                <w:color w:val="auto"/>
              </w:rPr>
            </w:pPr>
            <w:r>
              <w:rPr>
                <w:rFonts w:ascii="Courier New" w:cs="Courier New" w:eastAsia="Courier New" w:hAnsi="Courier New"/>
                <w:sz w:val="16"/>
                <w:szCs w:val="16"/>
                <w:color w:val="auto"/>
              </w:rPr>
              <w:t>Payments for acquisitions, net of cash acquired</w:t>
            </w:r>
          </w:p>
        </w:tc>
        <w:tc>
          <w:tcPr>
            <w:tcW w:w="1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(37,526)</w:t>
            </w: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(2,176)</w:t>
            </w:r>
          </w:p>
        </w:tc>
        <w:tc>
          <w:tcPr>
            <w:tcW w:w="0" w:type="dxa"/>
            <w:vAlign w:val="bottom"/>
          </w:tcPr>
          <w:p>
            <w:pPr>
              <w:spacing w:after="0"/>
              <w:rPr>
                <w:sz w:val="1"/>
                <w:szCs w:val="1"/>
                <w:color w:val="auto"/>
              </w:rPr>
            </w:pPr>
          </w:p>
        </w:tc>
      </w:tr>
      <w:tr>
        <w:trPr>
          <w:trHeight w:val="188"/>
        </w:trPr>
        <w:tc>
          <w:tcPr>
            <w:tcW w:w="5660" w:type="dxa"/>
            <w:vAlign w:val="bottom"/>
          </w:tcPr>
          <w:p>
            <w:pPr>
              <w:ind w:left="400"/>
              <w:spacing w:after="0"/>
              <w:rPr>
                <w:sz w:val="20"/>
                <w:szCs w:val="20"/>
                <w:color w:val="auto"/>
              </w:rPr>
            </w:pPr>
            <w:r>
              <w:rPr>
                <w:rFonts w:ascii="Courier New" w:cs="Courier New" w:eastAsia="Courier New" w:hAnsi="Courier New"/>
                <w:sz w:val="16"/>
                <w:szCs w:val="16"/>
                <w:color w:val="auto"/>
              </w:rPr>
              <w:t>Proceeds from sale of investment</w:t>
            </w:r>
          </w:p>
        </w:tc>
        <w:tc>
          <w:tcPr>
            <w:tcW w:w="1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60,936</w:t>
            </w:r>
          </w:p>
        </w:tc>
        <w:tc>
          <w:tcPr>
            <w:tcW w:w="5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5660" w:type="dxa"/>
            <w:vAlign w:val="bottom"/>
          </w:tcPr>
          <w:p>
            <w:pPr>
              <w:ind w:left="400"/>
              <w:spacing w:after="0"/>
              <w:rPr>
                <w:sz w:val="20"/>
                <w:szCs w:val="20"/>
                <w:color w:val="auto"/>
              </w:rPr>
            </w:pPr>
            <w:r>
              <w:rPr>
                <w:rFonts w:ascii="Courier New" w:cs="Courier New" w:eastAsia="Courier New" w:hAnsi="Courier New"/>
                <w:sz w:val="16"/>
                <w:szCs w:val="16"/>
                <w:color w:val="auto"/>
              </w:rPr>
              <w:t>Change in long-term investments</w:t>
            </w:r>
          </w:p>
        </w:tc>
        <w:tc>
          <w:tcPr>
            <w:tcW w:w="1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348</w:t>
            </w:r>
          </w:p>
        </w:tc>
        <w:tc>
          <w:tcPr>
            <w:tcW w:w="0" w:type="dxa"/>
            <w:vAlign w:val="bottom"/>
          </w:tcPr>
          <w:p>
            <w:pPr>
              <w:spacing w:after="0"/>
              <w:rPr>
                <w:sz w:val="1"/>
                <w:szCs w:val="1"/>
                <w:color w:val="auto"/>
              </w:rPr>
            </w:pPr>
          </w:p>
        </w:tc>
      </w:tr>
      <w:tr>
        <w:trPr>
          <w:trHeight w:val="188"/>
        </w:trPr>
        <w:tc>
          <w:tcPr>
            <w:tcW w:w="5660" w:type="dxa"/>
            <w:vAlign w:val="bottom"/>
          </w:tcPr>
          <w:p>
            <w:pPr>
              <w:ind w:left="400"/>
              <w:spacing w:after="0"/>
              <w:rPr>
                <w:sz w:val="20"/>
                <w:szCs w:val="20"/>
                <w:color w:val="auto"/>
              </w:rPr>
            </w:pPr>
            <w:r>
              <w:rPr>
                <w:rFonts w:ascii="Courier New" w:cs="Courier New" w:eastAsia="Courier New" w:hAnsi="Courier New"/>
                <w:sz w:val="16"/>
                <w:szCs w:val="16"/>
                <w:color w:val="auto"/>
              </w:rPr>
              <w:t>Additions to property, plant and equipment, net</w:t>
            </w:r>
          </w:p>
        </w:tc>
        <w:tc>
          <w:tcPr>
            <w:tcW w:w="1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(234,845)</w:t>
            </w: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(92,846)</w:t>
            </w:r>
          </w:p>
        </w:tc>
        <w:tc>
          <w:tcPr>
            <w:tcW w:w="0" w:type="dxa"/>
            <w:vAlign w:val="bottom"/>
          </w:tcPr>
          <w:p>
            <w:pPr>
              <w:spacing w:after="0"/>
              <w:rPr>
                <w:sz w:val="1"/>
                <w:szCs w:val="1"/>
                <w:color w:val="auto"/>
              </w:rPr>
            </w:pPr>
          </w:p>
        </w:tc>
      </w:tr>
      <w:tr>
        <w:trPr>
          <w:trHeight w:val="188"/>
        </w:trPr>
        <w:tc>
          <w:tcPr>
            <w:tcW w:w="5660" w:type="dxa"/>
            <w:vAlign w:val="bottom"/>
          </w:tcPr>
          <w:p>
            <w:pPr>
              <w:ind w:left="400"/>
              <w:spacing w:after="0"/>
              <w:rPr>
                <w:sz w:val="20"/>
                <w:szCs w:val="20"/>
                <w:color w:val="auto"/>
              </w:rPr>
            </w:pPr>
            <w:r>
              <w:rPr>
                <w:rFonts w:ascii="Courier New" w:cs="Courier New" w:eastAsia="Courier New" w:hAnsi="Courier New"/>
                <w:sz w:val="16"/>
                <w:szCs w:val="16"/>
                <w:color w:val="auto"/>
              </w:rPr>
              <w:t>Decrease in other assets</w:t>
            </w:r>
          </w:p>
        </w:tc>
        <w:tc>
          <w:tcPr>
            <w:tcW w:w="1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(3,899)</w:t>
            </w:r>
          </w:p>
        </w:tc>
        <w:tc>
          <w:tcPr>
            <w:tcW w:w="5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6,737</w:t>
            </w:r>
          </w:p>
        </w:tc>
        <w:tc>
          <w:tcPr>
            <w:tcW w:w="0" w:type="dxa"/>
            <w:vAlign w:val="bottom"/>
          </w:tcPr>
          <w:p>
            <w:pPr>
              <w:spacing w:after="0"/>
              <w:rPr>
                <w:sz w:val="1"/>
                <w:szCs w:val="1"/>
                <w:color w:val="auto"/>
              </w:rPr>
            </w:pPr>
          </w:p>
        </w:tc>
      </w:tr>
      <w:tr>
        <w:trPr>
          <w:trHeight w:val="188"/>
        </w:trPr>
        <w:tc>
          <w:tcPr>
            <w:tcW w:w="566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used for investments</w:t>
            </w:r>
          </w:p>
        </w:tc>
        <w:tc>
          <w:tcPr>
            <w:tcW w:w="1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5660" w:type="dxa"/>
            <w:vAlign w:val="bottom"/>
            <w:vMerge w:val="continue"/>
          </w:tcPr>
          <w:p>
            <w:pPr>
              <w:spacing w:after="0"/>
              <w:rPr>
                <w:sz w:val="16"/>
                <w:szCs w:val="16"/>
                <w:color w:val="auto"/>
              </w:rPr>
            </w:pPr>
          </w:p>
        </w:tc>
        <w:tc>
          <w:tcPr>
            <w:tcW w:w="1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(1,008,952)</w:t>
            </w: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(97,943)</w:t>
            </w:r>
          </w:p>
        </w:tc>
        <w:tc>
          <w:tcPr>
            <w:tcW w:w="0" w:type="dxa"/>
            <w:vAlign w:val="bottom"/>
          </w:tcPr>
          <w:p>
            <w:pPr>
              <w:spacing w:after="0"/>
              <w:rPr>
                <w:sz w:val="1"/>
                <w:szCs w:val="1"/>
                <w:color w:val="auto"/>
              </w:rPr>
            </w:pPr>
          </w:p>
        </w:tc>
      </w:tr>
      <w:tr>
        <w:trPr>
          <w:trHeight w:val="276"/>
        </w:trPr>
        <w:tc>
          <w:tcPr>
            <w:tcW w:w="5660" w:type="dxa"/>
            <w:vAlign w:val="bottom"/>
          </w:tcPr>
          <w:p>
            <w:pPr>
              <w:spacing w:after="0"/>
              <w:rPr>
                <w:sz w:val="23"/>
                <w:szCs w:val="23"/>
                <w:color w:val="auto"/>
              </w:rPr>
            </w:pPr>
          </w:p>
        </w:tc>
        <w:tc>
          <w:tcPr>
            <w:tcW w:w="1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66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66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68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9,108</w:t>
            </w:r>
          </w:p>
        </w:tc>
        <w:tc>
          <w:tcPr>
            <w:tcW w:w="580" w:type="dxa"/>
            <w:vAlign w:val="bottom"/>
          </w:tcPr>
          <w:p>
            <w:pPr>
              <w:spacing w:after="0"/>
              <w:rPr>
                <w:sz w:val="16"/>
                <w:szCs w:val="16"/>
                <w:color w:val="auto"/>
              </w:rPr>
            </w:pPr>
          </w:p>
        </w:tc>
        <w:tc>
          <w:tcPr>
            <w:tcW w:w="9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20,693</w:t>
            </w:r>
          </w:p>
        </w:tc>
        <w:tc>
          <w:tcPr>
            <w:tcW w:w="0" w:type="dxa"/>
            <w:vAlign w:val="bottom"/>
          </w:tcPr>
          <w:p>
            <w:pPr>
              <w:spacing w:after="0"/>
              <w:rPr>
                <w:sz w:val="1"/>
                <w:szCs w:val="1"/>
                <w:color w:val="auto"/>
              </w:rPr>
            </w:pPr>
          </w:p>
        </w:tc>
      </w:tr>
      <w:tr>
        <w:trPr>
          <w:trHeight w:val="188"/>
        </w:trPr>
        <w:tc>
          <w:tcPr>
            <w:tcW w:w="5660" w:type="dxa"/>
            <w:vAlign w:val="bottom"/>
          </w:tcPr>
          <w:p>
            <w:pPr>
              <w:ind w:left="400"/>
              <w:spacing w:after="0"/>
              <w:rPr>
                <w:sz w:val="20"/>
                <w:szCs w:val="20"/>
                <w:color w:val="auto"/>
              </w:rPr>
            </w:pPr>
            <w:r>
              <w:rPr>
                <w:rFonts w:ascii="Courier New" w:cs="Courier New" w:eastAsia="Courier New" w:hAnsi="Courier New"/>
                <w:sz w:val="16"/>
                <w:szCs w:val="16"/>
                <w:color w:val="auto"/>
              </w:rPr>
              <w:t>Proceeds from employee stock plans</w:t>
            </w:r>
          </w:p>
        </w:tc>
        <w:tc>
          <w:tcPr>
            <w:tcW w:w="16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60" w:type="dxa"/>
            <w:vAlign w:val="bottom"/>
          </w:tcPr>
          <w:p>
            <w:pPr>
              <w:ind w:left="400"/>
              <w:spacing w:after="0"/>
              <w:rPr>
                <w:sz w:val="20"/>
                <w:szCs w:val="20"/>
                <w:color w:val="auto"/>
              </w:rPr>
            </w:pPr>
            <w:r>
              <w:rPr>
                <w:rFonts w:ascii="Courier New" w:cs="Courier New" w:eastAsia="Courier New" w:hAnsi="Courier New"/>
                <w:sz w:val="16"/>
                <w:szCs w:val="16"/>
                <w:color w:val="auto"/>
              </w:rPr>
              <w:t>Repurchase of common stock</w:t>
            </w:r>
          </w:p>
        </w:tc>
        <w:tc>
          <w:tcPr>
            <w:tcW w:w="1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(21,831)</w:t>
            </w:r>
          </w:p>
        </w:tc>
        <w:tc>
          <w:tcPr>
            <w:tcW w:w="5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5660" w:type="dxa"/>
            <w:vAlign w:val="bottom"/>
          </w:tcPr>
          <w:p>
            <w:pPr>
              <w:ind w:left="400"/>
              <w:spacing w:after="0"/>
              <w:rPr>
                <w:sz w:val="20"/>
                <w:szCs w:val="20"/>
                <w:color w:val="auto"/>
              </w:rPr>
            </w:pPr>
            <w:r>
              <w:rPr>
                <w:rFonts w:ascii="Courier New" w:cs="Courier New" w:eastAsia="Courier New" w:hAnsi="Courier New"/>
                <w:sz w:val="16"/>
                <w:szCs w:val="16"/>
                <w:color w:val="auto"/>
              </w:rPr>
              <w:t>Payments on capital lease obligations</w:t>
            </w:r>
          </w:p>
        </w:tc>
        <w:tc>
          <w:tcPr>
            <w:tcW w:w="1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(6,742)</w:t>
            </w: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(4,818)</w:t>
            </w:r>
          </w:p>
        </w:tc>
        <w:tc>
          <w:tcPr>
            <w:tcW w:w="0" w:type="dxa"/>
            <w:vAlign w:val="bottom"/>
          </w:tcPr>
          <w:p>
            <w:pPr>
              <w:spacing w:after="0"/>
              <w:rPr>
                <w:sz w:val="1"/>
                <w:szCs w:val="1"/>
                <w:color w:val="auto"/>
              </w:rPr>
            </w:pPr>
          </w:p>
        </w:tc>
      </w:tr>
      <w:tr>
        <w:trPr>
          <w:trHeight w:val="188"/>
        </w:trPr>
        <w:tc>
          <w:tcPr>
            <w:tcW w:w="5660" w:type="dxa"/>
            <w:vAlign w:val="bottom"/>
          </w:tcPr>
          <w:p>
            <w:pPr>
              <w:ind w:left="400"/>
              <w:spacing w:after="0"/>
              <w:rPr>
                <w:sz w:val="20"/>
                <w:szCs w:val="20"/>
                <w:color w:val="auto"/>
              </w:rPr>
            </w:pPr>
            <w:r>
              <w:rPr>
                <w:rFonts w:ascii="Courier New" w:cs="Courier New" w:eastAsia="Courier New" w:hAnsi="Courier New"/>
                <w:sz w:val="16"/>
                <w:szCs w:val="16"/>
                <w:color w:val="auto"/>
              </w:rPr>
              <w:t>Net (decrease) increase in variable rate borrowings</w:t>
            </w:r>
          </w:p>
        </w:tc>
        <w:tc>
          <w:tcPr>
            <w:tcW w:w="1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(5,439)</w:t>
            </w: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(82,215)</w:t>
            </w:r>
          </w:p>
        </w:tc>
        <w:tc>
          <w:tcPr>
            <w:tcW w:w="0" w:type="dxa"/>
            <w:vAlign w:val="bottom"/>
          </w:tcPr>
          <w:p>
            <w:pPr>
              <w:spacing w:after="0"/>
              <w:rPr>
                <w:sz w:val="1"/>
                <w:szCs w:val="1"/>
                <w:color w:val="auto"/>
              </w:rPr>
            </w:pPr>
          </w:p>
        </w:tc>
      </w:tr>
      <w:tr>
        <w:trPr>
          <w:trHeight w:val="188"/>
        </w:trPr>
        <w:tc>
          <w:tcPr>
            <w:tcW w:w="566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(used for) provided by financing activities</w:t>
            </w:r>
          </w:p>
        </w:tc>
        <w:tc>
          <w:tcPr>
            <w:tcW w:w="1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5660" w:type="dxa"/>
            <w:vAlign w:val="bottom"/>
            <w:vMerge w:val="continue"/>
          </w:tcPr>
          <w:p>
            <w:pPr>
              <w:spacing w:after="0"/>
              <w:rPr>
                <w:sz w:val="16"/>
                <w:szCs w:val="16"/>
                <w:color w:val="auto"/>
              </w:rPr>
            </w:pPr>
          </w:p>
        </w:tc>
        <w:tc>
          <w:tcPr>
            <w:tcW w:w="1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(24,904)</w:t>
            </w: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(66,340)</w:t>
            </w:r>
          </w:p>
        </w:tc>
        <w:tc>
          <w:tcPr>
            <w:tcW w:w="0" w:type="dxa"/>
            <w:vAlign w:val="bottom"/>
          </w:tcPr>
          <w:p>
            <w:pPr>
              <w:spacing w:after="0"/>
              <w:rPr>
                <w:sz w:val="1"/>
                <w:szCs w:val="1"/>
                <w:color w:val="auto"/>
              </w:rPr>
            </w:pPr>
          </w:p>
        </w:tc>
      </w:tr>
      <w:tr>
        <w:trPr>
          <w:trHeight w:val="188"/>
        </w:trPr>
        <w:tc>
          <w:tcPr>
            <w:tcW w:w="5660" w:type="dxa"/>
            <w:vAlign w:val="bottom"/>
            <w:vMerge w:val="restart"/>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1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5660" w:type="dxa"/>
            <w:vAlign w:val="bottom"/>
            <w:vMerge w:val="continue"/>
          </w:tcPr>
          <w:p>
            <w:pPr>
              <w:spacing w:after="0"/>
              <w:rPr>
                <w:sz w:val="16"/>
                <w:szCs w:val="16"/>
                <w:color w:val="auto"/>
              </w:rPr>
            </w:pPr>
          </w:p>
        </w:tc>
        <w:tc>
          <w:tcPr>
            <w:tcW w:w="1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4,217</w:t>
            </w:r>
          </w:p>
        </w:tc>
        <w:tc>
          <w:tcPr>
            <w:tcW w:w="5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4,788</w:t>
            </w:r>
          </w:p>
        </w:tc>
        <w:tc>
          <w:tcPr>
            <w:tcW w:w="0" w:type="dxa"/>
            <w:vAlign w:val="bottom"/>
          </w:tcPr>
          <w:p>
            <w:pPr>
              <w:spacing w:after="0"/>
              <w:rPr>
                <w:sz w:val="1"/>
                <w:szCs w:val="1"/>
                <w:color w:val="auto"/>
              </w:rPr>
            </w:pPr>
          </w:p>
        </w:tc>
      </w:tr>
      <w:tr>
        <w:trPr>
          <w:trHeight w:val="276"/>
        </w:trPr>
        <w:tc>
          <w:tcPr>
            <w:tcW w:w="5660" w:type="dxa"/>
            <w:vAlign w:val="bottom"/>
          </w:tcPr>
          <w:p>
            <w:pPr>
              <w:spacing w:after="0"/>
              <w:rPr>
                <w:sz w:val="23"/>
                <w:szCs w:val="23"/>
                <w:color w:val="auto"/>
              </w:rPr>
            </w:pPr>
          </w:p>
        </w:tc>
        <w:tc>
          <w:tcPr>
            <w:tcW w:w="1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660" w:type="dxa"/>
            <w:vAlign w:val="bottom"/>
          </w:tcPr>
          <w:p>
            <w:pPr>
              <w:spacing w:after="0"/>
              <w:rPr>
                <w:sz w:val="20"/>
                <w:szCs w:val="20"/>
                <w:color w:val="auto"/>
              </w:rPr>
            </w:pPr>
            <w:r>
              <w:rPr>
                <w:rFonts w:ascii="Courier New" w:cs="Courier New" w:eastAsia="Courier New" w:hAnsi="Courier New"/>
                <w:sz w:val="16"/>
                <w:szCs w:val="16"/>
                <w:color w:val="auto"/>
              </w:rPr>
              <w:t>Net (decrease) increase in cash and cash equivalents</w:t>
            </w:r>
          </w:p>
        </w:tc>
        <w:tc>
          <w:tcPr>
            <w:tcW w:w="1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(519,337)</w:t>
            </w:r>
          </w:p>
        </w:tc>
        <w:tc>
          <w:tcPr>
            <w:tcW w:w="5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159,003</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1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1,736,421</w:t>
            </w:r>
          </w:p>
        </w:tc>
        <w:tc>
          <w:tcPr>
            <w:tcW w:w="5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355,891</w:t>
            </w:r>
          </w:p>
        </w:tc>
        <w:tc>
          <w:tcPr>
            <w:tcW w:w="0" w:type="dxa"/>
            <w:vAlign w:val="bottom"/>
          </w:tcPr>
          <w:p>
            <w:pPr>
              <w:spacing w:after="0"/>
              <w:rPr>
                <w:sz w:val="1"/>
                <w:szCs w:val="1"/>
                <w:color w:val="auto"/>
              </w:rPr>
            </w:pPr>
          </w:p>
        </w:tc>
      </w:tr>
      <w:tr>
        <w:trPr>
          <w:trHeight w:val="188"/>
        </w:trPr>
        <w:tc>
          <w:tcPr>
            <w:tcW w:w="5660" w:type="dxa"/>
            <w:vAlign w:val="bottom"/>
            <w:vMerge w:val="restart"/>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1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5660" w:type="dxa"/>
            <w:vAlign w:val="bottom"/>
            <w:vMerge w:val="continue"/>
          </w:tcPr>
          <w:p>
            <w:pPr>
              <w:spacing w:after="0"/>
              <w:rPr>
                <w:sz w:val="16"/>
                <w:szCs w:val="16"/>
                <w:color w:val="auto"/>
              </w:rPr>
            </w:pPr>
          </w:p>
        </w:tc>
        <w:tc>
          <w:tcPr>
            <w:tcW w:w="1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$ 1,217,084</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514,894</w:t>
            </w:r>
          </w:p>
        </w:tc>
        <w:tc>
          <w:tcPr>
            <w:tcW w:w="0" w:type="dxa"/>
            <w:vAlign w:val="bottom"/>
          </w:tcPr>
          <w:p>
            <w:pPr>
              <w:spacing w:after="0"/>
              <w:rPr>
                <w:sz w:val="1"/>
                <w:szCs w:val="1"/>
                <w:color w:val="auto"/>
              </w:rPr>
            </w:pPr>
          </w:p>
        </w:tc>
      </w:tr>
      <w:tr>
        <w:trPr>
          <w:trHeight w:val="276"/>
        </w:trPr>
        <w:tc>
          <w:tcPr>
            <w:tcW w:w="5660" w:type="dxa"/>
            <w:vAlign w:val="bottom"/>
          </w:tcPr>
          <w:p>
            <w:pPr>
              <w:spacing w:after="0"/>
              <w:rPr>
                <w:sz w:val="23"/>
                <w:szCs w:val="23"/>
                <w:color w:val="auto"/>
              </w:rPr>
            </w:pPr>
          </w:p>
        </w:tc>
        <w:tc>
          <w:tcPr>
            <w:tcW w:w="16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75"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THREE MONTHS AND SIX MONTHS ENDED MAY 5,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tabular amounts in thousands except per share amounts)</w:t>
      </w:r>
    </w:p>
    <w:p>
      <w:pPr>
        <w:spacing w:after="0" w:line="353" w:lineRule="exact"/>
        <w:rPr>
          <w:sz w:val="20"/>
          <w:szCs w:val="20"/>
          <w:color w:val="auto"/>
        </w:rPr>
      </w:pPr>
    </w:p>
    <w:p>
      <w:pPr>
        <w:ind w:right="2599"/>
        <w:spacing w:after="0" w:line="273" w:lineRule="auto"/>
        <w:rPr>
          <w:sz w:val="20"/>
          <w:szCs w:val="20"/>
          <w:color w:val="auto"/>
        </w:rPr>
      </w:pPr>
      <w:r>
        <w:rPr>
          <w:rFonts w:ascii="Courier New" w:cs="Courier New" w:eastAsia="Courier New" w:hAnsi="Courier New"/>
          <w:sz w:val="16"/>
          <w:szCs w:val="16"/>
          <w:color w:val="auto"/>
        </w:rPr>
        <w:t>Note 1 - 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to Stockholders on Form 10-K for the fiscal year ended October 28, 2000 (2000 Annual Report).</w:t>
      </w:r>
    </w:p>
    <w:p>
      <w:pPr>
        <w:spacing w:after="0" w:line="79" w:lineRule="exact"/>
        <w:rPr>
          <w:sz w:val="20"/>
          <w:szCs w:val="20"/>
          <w:color w:val="auto"/>
        </w:rPr>
      </w:pPr>
    </w:p>
    <w:p>
      <w:pPr>
        <w:ind w:right="2699"/>
        <w:spacing w:after="0" w:line="311" w:lineRule="auto"/>
        <w:rPr>
          <w:sz w:val="20"/>
          <w:szCs w:val="20"/>
          <w:color w:val="auto"/>
        </w:rPr>
      </w:pPr>
      <w:r>
        <w:rPr>
          <w:rFonts w:ascii="Courier New" w:cs="Courier New" w:eastAsia="Courier New" w:hAnsi="Courier New"/>
          <w:sz w:val="16"/>
          <w:szCs w:val="16"/>
          <w:color w:val="auto"/>
        </w:rPr>
        <w:t>The Company has a 52-53 week fiscal year that ends on the Saturday closest to the last day in October. Fiscal 2001 is a 53-week fiscal year, with the additional week occurring in the first quarter ended February 3, 2001.</w:t>
      </w:r>
    </w:p>
    <w:p>
      <w:pPr>
        <w:spacing w:after="0" w:line="47" w:lineRule="exact"/>
        <w:rPr>
          <w:sz w:val="20"/>
          <w:szCs w:val="20"/>
          <w:color w:val="auto"/>
        </w:rPr>
      </w:pPr>
    </w:p>
    <w:p>
      <w:pPr>
        <w:ind w:right="2399"/>
        <w:spacing w:after="0" w:line="373" w:lineRule="auto"/>
        <w:rPr>
          <w:sz w:val="20"/>
          <w:szCs w:val="20"/>
          <w:color w:val="auto"/>
        </w:rPr>
      </w:pPr>
      <w:r>
        <w:rPr>
          <w:rFonts w:ascii="Courier New" w:cs="Courier New" w:eastAsia="Courier New" w:hAnsi="Courier New"/>
          <w:sz w:val="16"/>
          <w:szCs w:val="16"/>
          <w:color w:val="auto"/>
        </w:rPr>
        <w:t>Note 2 - Certain amounts reported in the previous year have been reclassified to conform to the fiscal 2001 presentation.</w:t>
      </w:r>
    </w:p>
    <w:p>
      <w:pPr>
        <w:spacing w:after="0"/>
        <w:rPr>
          <w:sz w:val="20"/>
          <w:szCs w:val="20"/>
          <w:color w:val="auto"/>
        </w:rPr>
      </w:pPr>
      <w:r>
        <w:rPr>
          <w:rFonts w:ascii="Courier New" w:cs="Courier New" w:eastAsia="Courier New" w:hAnsi="Courier New"/>
          <w:sz w:val="16"/>
          <w:szCs w:val="16"/>
          <w:color w:val="auto"/>
        </w:rPr>
        <w:t>Note 3 - Comprehensive Income</w:t>
      </w:r>
    </w:p>
    <w:p>
      <w:pPr>
        <w:spacing w:after="0" w:line="195" w:lineRule="exact"/>
        <w:rPr>
          <w:sz w:val="20"/>
          <w:szCs w:val="20"/>
          <w:color w:val="auto"/>
        </w:rPr>
      </w:pPr>
    </w:p>
    <w:p>
      <w:pPr>
        <w:ind w:right="2499"/>
        <w:spacing w:after="0" w:line="269" w:lineRule="auto"/>
        <w:rPr>
          <w:sz w:val="20"/>
          <w:szCs w:val="20"/>
          <w:color w:val="auto"/>
        </w:rPr>
      </w:pPr>
      <w:r>
        <w:rPr>
          <w:rFonts w:ascii="Courier New" w:cs="Courier New" w:eastAsia="Courier New" w:hAnsi="Courier New"/>
          <w:sz w:val="16"/>
          <w:szCs w:val="16"/>
          <w:color w:val="auto"/>
        </w:rPr>
        <w:t>Total comprehensive income, i.e., net income plus available-for-sale securities valuation adjustments, net gain or loss on derivative instruments designated as cash flow hedges and currency translation adjustments to stockholders' equity, for the first three months of fiscal 2001 and fiscal 2000 was $104 million and $109 million, respectively. For the first six months of fiscal 2001 and fiscal 2000, total comprehensive income was $294 million and $229 million, respectively.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 Earnings Per Share</w:t>
      </w:r>
    </w:p>
    <w:p>
      <w:pPr>
        <w:spacing w:after="0" w:line="195" w:lineRule="exact"/>
        <w:rPr>
          <w:sz w:val="20"/>
          <w:szCs w:val="20"/>
          <w:color w:val="auto"/>
        </w:rPr>
      </w:pPr>
    </w:p>
    <w:p>
      <w:pPr>
        <w:ind w:right="2399"/>
        <w:spacing w:after="0" w:line="260" w:lineRule="auto"/>
        <w:rPr>
          <w:sz w:val="20"/>
          <w:szCs w:val="20"/>
          <w:color w:val="auto"/>
        </w:rPr>
      </w:pPr>
      <w:r>
        <w:rPr>
          <w:rFonts w:ascii="Courier New" w:cs="Courier New" w:eastAsia="Courier New" w:hAnsi="Courier New"/>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future issues of common stock relating to stock option programs and other potentially dilutive securities. In calculating diluted earnings per share, the dilutive effect of stock options is computed using the average market price for the period. Shares related to convertible debt financing are excluded because the effect would be anti-dilutive. Certain of the Company's stock options were excluded because they were antidilutive, but these options could be dilutive in the future. The following table sets forth the computation of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540" w:type="dxa"/>
            <w:vAlign w:val="bottom"/>
            <w:gridSpan w:val="3"/>
          </w:tcPr>
          <w:p>
            <w:pPr>
              <w:jc w:val="right"/>
              <w:ind w:right="519"/>
              <w:spacing w:after="0"/>
              <w:rPr>
                <w:sz w:val="20"/>
                <w:szCs w:val="20"/>
                <w:color w:val="auto"/>
              </w:rPr>
            </w:pPr>
            <w:r>
              <w:rPr>
                <w:rFonts w:ascii="Courier New" w:cs="Courier New" w:eastAsia="Courier New" w:hAnsi="Courier New"/>
                <w:sz w:val="16"/>
                <w:szCs w:val="16"/>
                <w:color w:val="auto"/>
              </w:rPr>
              <w:t>Three Months Ended</w:t>
            </w:r>
          </w:p>
        </w:tc>
        <w:tc>
          <w:tcPr>
            <w:tcW w:w="0" w:type="dxa"/>
            <w:vAlign w:val="bottom"/>
          </w:tcPr>
          <w:p>
            <w:pPr>
              <w:spacing w:after="0"/>
              <w:rPr>
                <w:sz w:val="1"/>
                <w:szCs w:val="1"/>
                <w:color w:val="auto"/>
              </w:rPr>
            </w:pPr>
          </w:p>
        </w:tc>
      </w:tr>
      <w:tr>
        <w:trPr>
          <w:trHeight w:val="188"/>
        </w:trPr>
        <w:tc>
          <w:tcPr>
            <w:tcW w:w="5760" w:type="dxa"/>
            <w:vAlign w:val="bottom"/>
          </w:tcPr>
          <w:p>
            <w:pPr>
              <w:spacing w:after="0"/>
              <w:rPr>
                <w:sz w:val="16"/>
                <w:szCs w:val="16"/>
                <w:color w:val="auto"/>
              </w:rPr>
            </w:pPr>
          </w:p>
        </w:tc>
        <w:tc>
          <w:tcPr>
            <w:tcW w:w="31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5760" w:type="dxa"/>
            <w:vAlign w:val="bottom"/>
          </w:tcPr>
          <w:p>
            <w:pPr>
              <w:spacing w:after="0"/>
              <w:rPr>
                <w:sz w:val="16"/>
                <w:szCs w:val="16"/>
                <w:color w:val="auto"/>
              </w:rPr>
            </w:pPr>
          </w:p>
        </w:tc>
        <w:tc>
          <w:tcPr>
            <w:tcW w:w="15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May 5, 2001</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April 29, 2000</w:t>
            </w:r>
          </w:p>
        </w:tc>
        <w:tc>
          <w:tcPr>
            <w:tcW w:w="0" w:type="dxa"/>
            <w:vAlign w:val="bottom"/>
          </w:tcPr>
          <w:p>
            <w:pPr>
              <w:spacing w:after="0"/>
              <w:rPr>
                <w:sz w:val="1"/>
                <w:szCs w:val="1"/>
                <w:color w:val="auto"/>
              </w:rPr>
            </w:pPr>
          </w:p>
        </w:tc>
      </w:tr>
      <w:tr>
        <w:trPr>
          <w:trHeight w:val="276"/>
        </w:trPr>
        <w:tc>
          <w:tcPr>
            <w:tcW w:w="5760" w:type="dxa"/>
            <w:vAlign w:val="bottom"/>
          </w:tcPr>
          <w:p>
            <w:pPr>
              <w:spacing w:after="0"/>
              <w:rPr>
                <w:sz w:val="23"/>
                <w:szCs w:val="23"/>
                <w:color w:val="auto"/>
              </w:rPr>
            </w:pPr>
          </w:p>
        </w:tc>
        <w:tc>
          <w:tcPr>
            <w:tcW w:w="15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76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1580" w:type="dxa"/>
            <w:vAlign w:val="bottom"/>
            <w:gridSpan w:val="2"/>
            <w:vMerge w:val="restart"/>
          </w:tcPr>
          <w:p>
            <w:pPr>
              <w:jc w:val="right"/>
              <w:ind w:right="219"/>
              <w:spacing w:after="0"/>
              <w:rPr>
                <w:sz w:val="20"/>
                <w:szCs w:val="20"/>
                <w:color w:val="auto"/>
              </w:rPr>
            </w:pPr>
            <w:r>
              <w:rPr>
                <w:rFonts w:ascii="Courier New" w:cs="Courier New" w:eastAsia="Courier New" w:hAnsi="Courier New"/>
                <w:sz w:val="16"/>
                <w:szCs w:val="16"/>
                <w:color w:val="auto"/>
              </w:rPr>
              <w:t>$102,496</w:t>
            </w:r>
          </w:p>
        </w:tc>
        <w:tc>
          <w:tcPr>
            <w:tcW w:w="1560" w:type="dxa"/>
            <w:vAlign w:val="bottom"/>
            <w:gridSpan w:val="2"/>
            <w:vMerge w:val="restart"/>
          </w:tcPr>
          <w:p>
            <w:pPr>
              <w:jc w:val="right"/>
              <w:ind w:right="219"/>
              <w:spacing w:after="0"/>
              <w:rPr>
                <w:sz w:val="20"/>
                <w:szCs w:val="20"/>
                <w:color w:val="auto"/>
              </w:rPr>
            </w:pPr>
            <w:r>
              <w:rPr>
                <w:rFonts w:ascii="Courier New" w:cs="Courier New" w:eastAsia="Courier New" w:hAnsi="Courier New"/>
                <w:sz w:val="16"/>
                <w:szCs w:val="16"/>
                <w:color w:val="auto"/>
              </w:rPr>
              <w:t>$122,052</w:t>
            </w:r>
          </w:p>
        </w:tc>
        <w:tc>
          <w:tcPr>
            <w:tcW w:w="0" w:type="dxa"/>
            <w:vAlign w:val="bottom"/>
          </w:tcPr>
          <w:p>
            <w:pPr>
              <w:spacing w:after="0"/>
              <w:rPr>
                <w:sz w:val="1"/>
                <w:szCs w:val="1"/>
                <w:color w:val="auto"/>
              </w:rPr>
            </w:pPr>
          </w:p>
        </w:tc>
      </w:tr>
      <w:tr>
        <w:trPr>
          <w:trHeight w:val="188"/>
        </w:trPr>
        <w:tc>
          <w:tcPr>
            <w:tcW w:w="5760" w:type="dxa"/>
            <w:vAlign w:val="bottom"/>
          </w:tcPr>
          <w:p>
            <w:pPr>
              <w:ind w:left="400"/>
              <w:spacing w:after="0"/>
              <w:rPr>
                <w:sz w:val="20"/>
                <w:szCs w:val="20"/>
                <w:color w:val="auto"/>
              </w:rPr>
            </w:pPr>
            <w:r>
              <w:rPr>
                <w:rFonts w:ascii="Courier New" w:cs="Courier New" w:eastAsia="Courier New" w:hAnsi="Courier New"/>
                <w:sz w:val="16"/>
                <w:szCs w:val="16"/>
                <w:color w:val="auto"/>
              </w:rPr>
              <w:t>Net income</w:t>
            </w:r>
          </w:p>
        </w:tc>
        <w:tc>
          <w:tcPr>
            <w:tcW w:w="1580" w:type="dxa"/>
            <w:vAlign w:val="bottom"/>
            <w:gridSpan w:val="2"/>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760" w:type="dxa"/>
            <w:vAlign w:val="bottom"/>
          </w:tcPr>
          <w:p>
            <w:pPr>
              <w:spacing w:after="0"/>
              <w:rPr>
                <w:sz w:val="23"/>
                <w:szCs w:val="23"/>
                <w:color w:val="auto"/>
              </w:rPr>
            </w:pPr>
          </w:p>
        </w:tc>
        <w:tc>
          <w:tcPr>
            <w:tcW w:w="15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760" w:type="dxa"/>
            <w:vAlign w:val="bottom"/>
          </w:tcPr>
          <w:p>
            <w:pPr>
              <w:ind w:left="400"/>
              <w:spacing w:after="0"/>
              <w:rPr>
                <w:sz w:val="20"/>
                <w:szCs w:val="20"/>
                <w:color w:val="auto"/>
              </w:rPr>
            </w:pPr>
            <w:r>
              <w:rPr>
                <w:rFonts w:ascii="Courier New" w:cs="Courier New" w:eastAsia="Courier New" w:hAnsi="Courier New"/>
                <w:sz w:val="16"/>
                <w:szCs w:val="16"/>
                <w:color w:val="auto"/>
              </w:rPr>
              <w:t>Weighted shares outstanding</w:t>
            </w:r>
          </w:p>
        </w:tc>
        <w:tc>
          <w:tcPr>
            <w:tcW w:w="600" w:type="dxa"/>
            <w:vAlign w:val="bottom"/>
          </w:tcPr>
          <w:p>
            <w:pPr>
              <w:spacing w:after="0"/>
              <w:rPr>
                <w:sz w:val="24"/>
                <w:szCs w:val="24"/>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358,739</w:t>
            </w:r>
          </w:p>
        </w:tc>
        <w:tc>
          <w:tcPr>
            <w:tcW w:w="580" w:type="dxa"/>
            <w:vAlign w:val="bottom"/>
          </w:tcPr>
          <w:p>
            <w:pPr>
              <w:spacing w:after="0"/>
              <w:rPr>
                <w:sz w:val="24"/>
                <w:szCs w:val="24"/>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352,706</w:t>
            </w:r>
          </w:p>
        </w:tc>
        <w:tc>
          <w:tcPr>
            <w:tcW w:w="0" w:type="dxa"/>
            <w:vAlign w:val="bottom"/>
          </w:tcPr>
          <w:p>
            <w:pPr>
              <w:spacing w:after="0"/>
              <w:rPr>
                <w:sz w:val="1"/>
                <w:szCs w:val="1"/>
                <w:color w:val="auto"/>
              </w:rPr>
            </w:pPr>
          </w:p>
        </w:tc>
      </w:tr>
      <w:tr>
        <w:trPr>
          <w:trHeight w:val="276"/>
        </w:trPr>
        <w:tc>
          <w:tcPr>
            <w:tcW w:w="5760" w:type="dxa"/>
            <w:vAlign w:val="bottom"/>
          </w:tcPr>
          <w:p>
            <w:pPr>
              <w:spacing w:after="0"/>
              <w:rPr>
                <w:sz w:val="23"/>
                <w:szCs w:val="23"/>
                <w:color w:val="auto"/>
              </w:rPr>
            </w:pPr>
          </w:p>
        </w:tc>
        <w:tc>
          <w:tcPr>
            <w:tcW w:w="15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760" w:type="dxa"/>
            <w:vAlign w:val="bottom"/>
          </w:tcPr>
          <w:p>
            <w:pPr>
              <w:ind w:left="400"/>
              <w:spacing w:after="0"/>
              <w:rPr>
                <w:sz w:val="20"/>
                <w:szCs w:val="20"/>
                <w:color w:val="auto"/>
              </w:rPr>
            </w:pPr>
            <w:r>
              <w:rPr>
                <w:rFonts w:ascii="Courier New" w:cs="Courier New" w:eastAsia="Courier New" w:hAnsi="Courier New"/>
                <w:sz w:val="16"/>
                <w:szCs w:val="16"/>
                <w:color w:val="auto"/>
              </w:rPr>
              <w:t>Earnings per share</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0.29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0.35</w:t>
            </w:r>
          </w:p>
        </w:tc>
        <w:tc>
          <w:tcPr>
            <w:tcW w:w="0" w:type="dxa"/>
            <w:vAlign w:val="bottom"/>
          </w:tcPr>
          <w:p>
            <w:pPr>
              <w:spacing w:after="0"/>
              <w:rPr>
                <w:sz w:val="1"/>
                <w:szCs w:val="1"/>
                <w:color w:val="auto"/>
              </w:rPr>
            </w:pPr>
          </w:p>
        </w:tc>
      </w:tr>
      <w:tr>
        <w:trPr>
          <w:trHeight w:val="276"/>
        </w:trPr>
        <w:tc>
          <w:tcPr>
            <w:tcW w:w="5760" w:type="dxa"/>
            <w:vAlign w:val="bottom"/>
          </w:tcPr>
          <w:p>
            <w:pPr>
              <w:spacing w:after="0"/>
              <w:rPr>
                <w:sz w:val="23"/>
                <w:szCs w:val="23"/>
                <w:color w:val="auto"/>
              </w:rPr>
            </w:pPr>
          </w:p>
        </w:tc>
        <w:tc>
          <w:tcPr>
            <w:tcW w:w="15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76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1580" w:type="dxa"/>
            <w:vAlign w:val="bottom"/>
            <w:gridSpan w:val="2"/>
            <w:vMerge w:val="restart"/>
          </w:tcPr>
          <w:p>
            <w:pPr>
              <w:jc w:val="right"/>
              <w:ind w:right="219"/>
              <w:spacing w:after="0"/>
              <w:rPr>
                <w:sz w:val="20"/>
                <w:szCs w:val="20"/>
                <w:color w:val="auto"/>
              </w:rPr>
            </w:pPr>
            <w:r>
              <w:rPr>
                <w:rFonts w:ascii="Courier New" w:cs="Courier New" w:eastAsia="Courier New" w:hAnsi="Courier New"/>
                <w:sz w:val="16"/>
                <w:szCs w:val="16"/>
                <w:color w:val="auto"/>
              </w:rPr>
              <w:t>$102,496</w:t>
            </w:r>
          </w:p>
        </w:tc>
        <w:tc>
          <w:tcPr>
            <w:tcW w:w="1560" w:type="dxa"/>
            <w:vAlign w:val="bottom"/>
            <w:gridSpan w:val="2"/>
            <w:vMerge w:val="restart"/>
          </w:tcPr>
          <w:p>
            <w:pPr>
              <w:jc w:val="right"/>
              <w:ind w:right="219"/>
              <w:spacing w:after="0"/>
              <w:rPr>
                <w:sz w:val="20"/>
                <w:szCs w:val="20"/>
                <w:color w:val="auto"/>
              </w:rPr>
            </w:pPr>
            <w:r>
              <w:rPr>
                <w:rFonts w:ascii="Courier New" w:cs="Courier New" w:eastAsia="Courier New" w:hAnsi="Courier New"/>
                <w:sz w:val="16"/>
                <w:szCs w:val="16"/>
                <w:color w:val="auto"/>
              </w:rPr>
              <w:t>$122,052</w:t>
            </w:r>
          </w:p>
        </w:tc>
        <w:tc>
          <w:tcPr>
            <w:tcW w:w="0" w:type="dxa"/>
            <w:vAlign w:val="bottom"/>
          </w:tcPr>
          <w:p>
            <w:pPr>
              <w:spacing w:after="0"/>
              <w:rPr>
                <w:sz w:val="1"/>
                <w:szCs w:val="1"/>
                <w:color w:val="auto"/>
              </w:rPr>
            </w:pPr>
          </w:p>
        </w:tc>
      </w:tr>
      <w:tr>
        <w:trPr>
          <w:trHeight w:val="188"/>
        </w:trPr>
        <w:tc>
          <w:tcPr>
            <w:tcW w:w="5760" w:type="dxa"/>
            <w:vAlign w:val="bottom"/>
          </w:tcPr>
          <w:p>
            <w:pPr>
              <w:ind w:left="400"/>
              <w:spacing w:after="0"/>
              <w:rPr>
                <w:sz w:val="20"/>
                <w:szCs w:val="20"/>
                <w:color w:val="auto"/>
              </w:rPr>
            </w:pPr>
            <w:r>
              <w:rPr>
                <w:rFonts w:ascii="Courier New" w:cs="Courier New" w:eastAsia="Courier New" w:hAnsi="Courier New"/>
                <w:sz w:val="16"/>
                <w:szCs w:val="16"/>
                <w:color w:val="auto"/>
              </w:rPr>
              <w:t>Net income</w:t>
            </w:r>
          </w:p>
        </w:tc>
        <w:tc>
          <w:tcPr>
            <w:tcW w:w="1580" w:type="dxa"/>
            <w:vAlign w:val="bottom"/>
            <w:gridSpan w:val="2"/>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760" w:type="dxa"/>
            <w:vAlign w:val="bottom"/>
          </w:tcPr>
          <w:p>
            <w:pPr>
              <w:spacing w:after="0"/>
              <w:rPr>
                <w:sz w:val="23"/>
                <w:szCs w:val="23"/>
                <w:color w:val="auto"/>
              </w:rPr>
            </w:pPr>
          </w:p>
        </w:tc>
        <w:tc>
          <w:tcPr>
            <w:tcW w:w="15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760" w:type="dxa"/>
            <w:vAlign w:val="bottom"/>
          </w:tcPr>
          <w:p>
            <w:pPr>
              <w:ind w:left="400"/>
              <w:spacing w:after="0"/>
              <w:rPr>
                <w:sz w:val="20"/>
                <w:szCs w:val="20"/>
                <w:color w:val="auto"/>
              </w:rPr>
            </w:pPr>
            <w:r>
              <w:rPr>
                <w:rFonts w:ascii="Courier New" w:cs="Courier New" w:eastAsia="Courier New" w:hAnsi="Courier New"/>
                <w:sz w:val="16"/>
                <w:szCs w:val="16"/>
                <w:color w:val="auto"/>
              </w:rPr>
              <w:t>Weighted shares outstanding</w:t>
            </w:r>
          </w:p>
        </w:tc>
        <w:tc>
          <w:tcPr>
            <w:tcW w:w="600" w:type="dxa"/>
            <w:vAlign w:val="bottom"/>
          </w:tcPr>
          <w:p>
            <w:pPr>
              <w:spacing w:after="0"/>
              <w:rPr>
                <w:sz w:val="24"/>
                <w:szCs w:val="24"/>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358,739</w:t>
            </w:r>
          </w:p>
        </w:tc>
        <w:tc>
          <w:tcPr>
            <w:tcW w:w="580" w:type="dxa"/>
            <w:vAlign w:val="bottom"/>
          </w:tcPr>
          <w:p>
            <w:pPr>
              <w:spacing w:after="0"/>
              <w:rPr>
                <w:sz w:val="24"/>
                <w:szCs w:val="24"/>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352,706</w:t>
            </w:r>
          </w:p>
        </w:tc>
        <w:tc>
          <w:tcPr>
            <w:tcW w:w="0" w:type="dxa"/>
            <w:vAlign w:val="bottom"/>
          </w:tcPr>
          <w:p>
            <w:pPr>
              <w:spacing w:after="0"/>
              <w:rPr>
                <w:sz w:val="1"/>
                <w:szCs w:val="1"/>
                <w:color w:val="auto"/>
              </w:rPr>
            </w:pPr>
          </w:p>
        </w:tc>
      </w:tr>
      <w:tr>
        <w:trPr>
          <w:trHeight w:val="188"/>
        </w:trPr>
        <w:tc>
          <w:tcPr>
            <w:tcW w:w="5760" w:type="dxa"/>
            <w:vAlign w:val="bottom"/>
          </w:tcPr>
          <w:p>
            <w:pPr>
              <w:ind w:left="400"/>
              <w:spacing w:after="0"/>
              <w:rPr>
                <w:sz w:val="20"/>
                <w:szCs w:val="20"/>
                <w:color w:val="auto"/>
              </w:rPr>
            </w:pPr>
            <w:r>
              <w:rPr>
                <w:rFonts w:ascii="Courier New" w:cs="Courier New" w:eastAsia="Courier New" w:hAnsi="Courier New"/>
                <w:sz w:val="16"/>
                <w:szCs w:val="16"/>
                <w:color w:val="auto"/>
              </w:rPr>
              <w:t>Assumed exercise of common stock equivalents</w:t>
            </w:r>
          </w:p>
        </w:tc>
        <w:tc>
          <w:tcPr>
            <w:tcW w:w="60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22,038</w:t>
            </w:r>
          </w:p>
        </w:tc>
        <w:tc>
          <w:tcPr>
            <w:tcW w:w="5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29,615</w:t>
            </w:r>
          </w:p>
        </w:tc>
        <w:tc>
          <w:tcPr>
            <w:tcW w:w="0" w:type="dxa"/>
            <w:vAlign w:val="bottom"/>
          </w:tcPr>
          <w:p>
            <w:pPr>
              <w:spacing w:after="0"/>
              <w:rPr>
                <w:sz w:val="1"/>
                <w:szCs w:val="1"/>
                <w:color w:val="auto"/>
              </w:rPr>
            </w:pPr>
          </w:p>
        </w:tc>
      </w:tr>
      <w:tr>
        <w:trPr>
          <w:trHeight w:val="188"/>
        </w:trPr>
        <w:tc>
          <w:tcPr>
            <w:tcW w:w="5760" w:type="dxa"/>
            <w:vAlign w:val="bottom"/>
            <w:vMerge w:val="restart"/>
          </w:tcPr>
          <w:p>
            <w:pPr>
              <w:ind w:left="400"/>
              <w:spacing w:after="0"/>
              <w:rPr>
                <w:sz w:val="20"/>
                <w:szCs w:val="20"/>
                <w:color w:val="auto"/>
              </w:rPr>
            </w:pPr>
            <w:r>
              <w:rPr>
                <w:rFonts w:ascii="Courier New" w:cs="Courier New" w:eastAsia="Courier New" w:hAnsi="Courier New"/>
                <w:sz w:val="16"/>
                <w:szCs w:val="16"/>
                <w:color w:val="auto"/>
              </w:rPr>
              <w:t>Weighted average common and common equivalent shares</w:t>
            </w:r>
          </w:p>
        </w:tc>
        <w:tc>
          <w:tcPr>
            <w:tcW w:w="15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57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380,777</w:t>
            </w:r>
          </w:p>
        </w:tc>
        <w:tc>
          <w:tcPr>
            <w:tcW w:w="580" w:type="dxa"/>
            <w:vAlign w:val="bottom"/>
          </w:tcPr>
          <w:p>
            <w:pPr>
              <w:spacing w:after="0"/>
              <w:rPr>
                <w:sz w:val="16"/>
                <w:szCs w:val="16"/>
                <w:color w:val="auto"/>
              </w:rPr>
            </w:pP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382,321</w:t>
            </w:r>
          </w:p>
        </w:tc>
        <w:tc>
          <w:tcPr>
            <w:tcW w:w="0" w:type="dxa"/>
            <w:vAlign w:val="bottom"/>
          </w:tcPr>
          <w:p>
            <w:pPr>
              <w:spacing w:after="0"/>
              <w:rPr>
                <w:sz w:val="1"/>
                <w:szCs w:val="1"/>
                <w:color w:val="auto"/>
              </w:rPr>
            </w:pPr>
          </w:p>
        </w:tc>
      </w:tr>
      <w:tr>
        <w:trPr>
          <w:trHeight w:val="276"/>
        </w:trPr>
        <w:tc>
          <w:tcPr>
            <w:tcW w:w="5760" w:type="dxa"/>
            <w:vAlign w:val="bottom"/>
          </w:tcPr>
          <w:p>
            <w:pPr>
              <w:spacing w:after="0"/>
              <w:rPr>
                <w:sz w:val="23"/>
                <w:szCs w:val="23"/>
                <w:color w:val="auto"/>
              </w:rPr>
            </w:pPr>
          </w:p>
        </w:tc>
        <w:tc>
          <w:tcPr>
            <w:tcW w:w="15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760" w:type="dxa"/>
            <w:vAlign w:val="bottom"/>
          </w:tcPr>
          <w:p>
            <w:pPr>
              <w:ind w:left="400"/>
              <w:spacing w:after="0"/>
              <w:rPr>
                <w:sz w:val="20"/>
                <w:szCs w:val="20"/>
                <w:color w:val="auto"/>
              </w:rPr>
            </w:pPr>
            <w:r>
              <w:rPr>
                <w:rFonts w:ascii="Courier New" w:cs="Courier New" w:eastAsia="Courier New" w:hAnsi="Courier New"/>
                <w:sz w:val="16"/>
                <w:szCs w:val="16"/>
                <w:color w:val="auto"/>
              </w:rPr>
              <w:t>Earnings per share</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0.27</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0.32</w:t>
            </w:r>
          </w:p>
        </w:tc>
        <w:tc>
          <w:tcPr>
            <w:tcW w:w="0" w:type="dxa"/>
            <w:vAlign w:val="bottom"/>
          </w:tcPr>
          <w:p>
            <w:pPr>
              <w:spacing w:after="0"/>
              <w:rPr>
                <w:sz w:val="1"/>
                <w:szCs w:val="1"/>
                <w:color w:val="auto"/>
              </w:rPr>
            </w:pPr>
          </w:p>
        </w:tc>
      </w:tr>
      <w:tr>
        <w:trPr>
          <w:trHeight w:val="276"/>
        </w:trPr>
        <w:tc>
          <w:tcPr>
            <w:tcW w:w="5760" w:type="dxa"/>
            <w:vAlign w:val="bottom"/>
          </w:tcPr>
          <w:p>
            <w:pPr>
              <w:spacing w:after="0"/>
              <w:rPr>
                <w:sz w:val="23"/>
                <w:szCs w:val="23"/>
                <w:color w:val="auto"/>
              </w:rPr>
            </w:pPr>
          </w:p>
        </w:tc>
        <w:tc>
          <w:tcPr>
            <w:tcW w:w="15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75" w:right="1440" w:bottom="593"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76"/>
        </w:trPr>
        <w:tc>
          <w:tcPr>
            <w:tcW w:w="5760" w:type="dxa"/>
            <w:vAlign w:val="bottom"/>
          </w:tcPr>
          <w:p>
            <w:pPr>
              <w:ind w:left="300"/>
              <w:spacing w:after="0"/>
              <w:rPr>
                <w:sz w:val="20"/>
                <w:szCs w:val="20"/>
                <w:color w:val="auto"/>
              </w:rPr>
            </w:pPr>
            <w:r>
              <w:rPr>
                <w:rFonts w:ascii="Courier New" w:cs="Courier New" w:eastAsia="Courier New" w:hAnsi="Courier New"/>
                <w:sz w:val="16"/>
                <w:szCs w:val="16"/>
                <w:color w:val="auto"/>
              </w:rPr>
              <w:t>8</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4"/>
        </w:trPr>
        <w:tc>
          <w:tcPr>
            <w:tcW w:w="5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40" w:type="dxa"/>
            <w:vAlign w:val="bottom"/>
            <w:gridSpan w:val="3"/>
          </w:tcPr>
          <w:p>
            <w:pPr>
              <w:jc w:val="right"/>
              <w:ind w:right="599"/>
              <w:spacing w:after="0"/>
              <w:rPr>
                <w:sz w:val="20"/>
                <w:szCs w:val="20"/>
                <w:color w:val="auto"/>
              </w:rPr>
            </w:pPr>
            <w:r>
              <w:rPr>
                <w:rFonts w:ascii="Courier New" w:cs="Courier New" w:eastAsia="Courier New" w:hAnsi="Courier New"/>
                <w:sz w:val="16"/>
                <w:szCs w:val="16"/>
                <w:color w:val="auto"/>
              </w:rPr>
              <w:t>Six Months Ended</w:t>
            </w:r>
          </w:p>
        </w:tc>
        <w:tc>
          <w:tcPr>
            <w:tcW w:w="0" w:type="dxa"/>
            <w:vAlign w:val="bottom"/>
          </w:tcPr>
          <w:p>
            <w:pPr>
              <w:spacing w:after="0"/>
              <w:rPr>
                <w:sz w:val="1"/>
                <w:szCs w:val="1"/>
                <w:color w:val="auto"/>
              </w:rPr>
            </w:pPr>
          </w:p>
        </w:tc>
      </w:tr>
      <w:tr>
        <w:trPr>
          <w:trHeight w:val="188"/>
        </w:trPr>
        <w:tc>
          <w:tcPr>
            <w:tcW w:w="5760" w:type="dxa"/>
            <w:vAlign w:val="bottom"/>
          </w:tcPr>
          <w:p>
            <w:pPr>
              <w:spacing w:after="0"/>
              <w:rPr>
                <w:sz w:val="16"/>
                <w:szCs w:val="16"/>
                <w:color w:val="auto"/>
              </w:rPr>
            </w:pPr>
          </w:p>
        </w:tc>
        <w:tc>
          <w:tcPr>
            <w:tcW w:w="30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5760" w:type="dxa"/>
            <w:vAlign w:val="bottom"/>
          </w:tcPr>
          <w:p>
            <w:pPr>
              <w:spacing w:after="0"/>
              <w:rPr>
                <w:sz w:val="16"/>
                <w:szCs w:val="16"/>
                <w:color w:val="auto"/>
              </w:rPr>
            </w:pPr>
          </w:p>
        </w:tc>
        <w:tc>
          <w:tcPr>
            <w:tcW w:w="15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May 5, 2001</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April 29, 2000</w:t>
            </w:r>
          </w:p>
        </w:tc>
        <w:tc>
          <w:tcPr>
            <w:tcW w:w="0" w:type="dxa"/>
            <w:vAlign w:val="bottom"/>
          </w:tcPr>
          <w:p>
            <w:pPr>
              <w:spacing w:after="0"/>
              <w:rPr>
                <w:sz w:val="1"/>
                <w:szCs w:val="1"/>
                <w:color w:val="auto"/>
              </w:rPr>
            </w:pPr>
          </w:p>
        </w:tc>
      </w:tr>
      <w:tr>
        <w:trPr>
          <w:trHeight w:val="276"/>
        </w:trPr>
        <w:tc>
          <w:tcPr>
            <w:tcW w:w="5760" w:type="dxa"/>
            <w:vAlign w:val="bottom"/>
          </w:tcPr>
          <w:p>
            <w:pPr>
              <w:spacing w:after="0"/>
              <w:rPr>
                <w:sz w:val="23"/>
                <w:szCs w:val="23"/>
                <w:color w:val="auto"/>
              </w:rPr>
            </w:pPr>
          </w:p>
        </w:tc>
        <w:tc>
          <w:tcPr>
            <w:tcW w:w="15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76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1520" w:type="dxa"/>
            <w:vAlign w:val="bottom"/>
            <w:gridSpan w:val="2"/>
            <w:vMerge w:val="restart"/>
          </w:tcPr>
          <w:p>
            <w:pPr>
              <w:jc w:val="right"/>
              <w:ind w:right="159"/>
              <w:spacing w:after="0"/>
              <w:rPr>
                <w:sz w:val="20"/>
                <w:szCs w:val="20"/>
                <w:color w:val="auto"/>
              </w:rPr>
            </w:pPr>
            <w:r>
              <w:rPr>
                <w:rFonts w:ascii="Courier New" w:cs="Courier New" w:eastAsia="Courier New" w:hAnsi="Courier New"/>
                <w:sz w:val="16"/>
                <w:szCs w:val="16"/>
                <w:color w:val="auto"/>
              </w:rPr>
              <w:t>$292,873</w:t>
            </w:r>
          </w:p>
        </w:tc>
        <w:tc>
          <w:tcPr>
            <w:tcW w:w="1520" w:type="dxa"/>
            <w:vAlign w:val="bottom"/>
            <w:gridSpan w:val="2"/>
            <w:vMerge w:val="restart"/>
          </w:tcPr>
          <w:p>
            <w:pPr>
              <w:jc w:val="right"/>
              <w:ind w:right="119"/>
              <w:spacing w:after="0"/>
              <w:rPr>
                <w:sz w:val="20"/>
                <w:szCs w:val="20"/>
                <w:color w:val="auto"/>
              </w:rPr>
            </w:pPr>
            <w:r>
              <w:rPr>
                <w:rFonts w:ascii="Courier New" w:cs="Courier New" w:eastAsia="Courier New" w:hAnsi="Courier New"/>
                <w:sz w:val="16"/>
                <w:szCs w:val="16"/>
                <w:color w:val="auto"/>
              </w:rPr>
              <w:t>$215,059</w:t>
            </w:r>
          </w:p>
        </w:tc>
        <w:tc>
          <w:tcPr>
            <w:tcW w:w="0" w:type="dxa"/>
            <w:vAlign w:val="bottom"/>
          </w:tcPr>
          <w:p>
            <w:pPr>
              <w:spacing w:after="0"/>
              <w:rPr>
                <w:sz w:val="1"/>
                <w:szCs w:val="1"/>
                <w:color w:val="auto"/>
              </w:rPr>
            </w:pPr>
          </w:p>
        </w:tc>
      </w:tr>
      <w:tr>
        <w:trPr>
          <w:trHeight w:val="188"/>
        </w:trPr>
        <w:tc>
          <w:tcPr>
            <w:tcW w:w="5760" w:type="dxa"/>
            <w:vAlign w:val="bottom"/>
          </w:tcPr>
          <w:p>
            <w:pPr>
              <w:ind w:left="400"/>
              <w:spacing w:after="0"/>
              <w:rPr>
                <w:sz w:val="20"/>
                <w:szCs w:val="20"/>
                <w:color w:val="auto"/>
              </w:rPr>
            </w:pPr>
            <w:r>
              <w:rPr>
                <w:rFonts w:ascii="Courier New" w:cs="Courier New" w:eastAsia="Courier New" w:hAnsi="Courier New"/>
                <w:sz w:val="16"/>
                <w:szCs w:val="16"/>
                <w:color w:val="auto"/>
              </w:rPr>
              <w:t>Net income</w:t>
            </w: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760" w:type="dxa"/>
            <w:vAlign w:val="bottom"/>
          </w:tcPr>
          <w:p>
            <w:pPr>
              <w:spacing w:after="0"/>
              <w:rPr>
                <w:sz w:val="23"/>
                <w:szCs w:val="23"/>
                <w:color w:val="auto"/>
              </w:rPr>
            </w:pPr>
          </w:p>
        </w:tc>
        <w:tc>
          <w:tcPr>
            <w:tcW w:w="15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760" w:type="dxa"/>
            <w:vAlign w:val="bottom"/>
          </w:tcPr>
          <w:p>
            <w:pPr>
              <w:ind w:left="400"/>
              <w:spacing w:after="0"/>
              <w:rPr>
                <w:sz w:val="20"/>
                <w:szCs w:val="20"/>
                <w:color w:val="auto"/>
              </w:rPr>
            </w:pPr>
            <w:r>
              <w:rPr>
                <w:rFonts w:ascii="Courier New" w:cs="Courier New" w:eastAsia="Courier New" w:hAnsi="Courier New"/>
                <w:sz w:val="16"/>
                <w:szCs w:val="16"/>
                <w:color w:val="auto"/>
              </w:rPr>
              <w:t>Weighted shares outstanding</w:t>
            </w:r>
          </w:p>
        </w:tc>
        <w:tc>
          <w:tcPr>
            <w:tcW w:w="600" w:type="dxa"/>
            <w:vAlign w:val="bottom"/>
          </w:tcPr>
          <w:p>
            <w:pPr>
              <w:spacing w:after="0"/>
              <w:rPr>
                <w:sz w:val="24"/>
                <w:szCs w:val="24"/>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357,905</w:t>
            </w:r>
          </w:p>
        </w:tc>
        <w:tc>
          <w:tcPr>
            <w:tcW w:w="64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351,029</w:t>
            </w:r>
          </w:p>
        </w:tc>
        <w:tc>
          <w:tcPr>
            <w:tcW w:w="0" w:type="dxa"/>
            <w:vAlign w:val="bottom"/>
          </w:tcPr>
          <w:p>
            <w:pPr>
              <w:spacing w:after="0"/>
              <w:rPr>
                <w:sz w:val="1"/>
                <w:szCs w:val="1"/>
                <w:color w:val="auto"/>
              </w:rPr>
            </w:pPr>
          </w:p>
        </w:tc>
      </w:tr>
      <w:tr>
        <w:trPr>
          <w:trHeight w:val="276"/>
        </w:trPr>
        <w:tc>
          <w:tcPr>
            <w:tcW w:w="5760" w:type="dxa"/>
            <w:vAlign w:val="bottom"/>
          </w:tcPr>
          <w:p>
            <w:pPr>
              <w:spacing w:after="0"/>
              <w:rPr>
                <w:sz w:val="23"/>
                <w:szCs w:val="23"/>
                <w:color w:val="auto"/>
              </w:rPr>
            </w:pPr>
          </w:p>
        </w:tc>
        <w:tc>
          <w:tcPr>
            <w:tcW w:w="15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760" w:type="dxa"/>
            <w:vAlign w:val="bottom"/>
          </w:tcPr>
          <w:p>
            <w:pPr>
              <w:ind w:left="400"/>
              <w:spacing w:after="0"/>
              <w:rPr>
                <w:sz w:val="20"/>
                <w:szCs w:val="20"/>
                <w:color w:val="auto"/>
              </w:rPr>
            </w:pPr>
            <w:r>
              <w:rPr>
                <w:rFonts w:ascii="Courier New" w:cs="Courier New" w:eastAsia="Courier New" w:hAnsi="Courier New"/>
                <w:sz w:val="16"/>
                <w:szCs w:val="16"/>
                <w:color w:val="auto"/>
              </w:rPr>
              <w:t>Earnings per share</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0.82</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0.61</w:t>
            </w:r>
          </w:p>
        </w:tc>
        <w:tc>
          <w:tcPr>
            <w:tcW w:w="0" w:type="dxa"/>
            <w:vAlign w:val="bottom"/>
          </w:tcPr>
          <w:p>
            <w:pPr>
              <w:spacing w:after="0"/>
              <w:rPr>
                <w:sz w:val="1"/>
                <w:szCs w:val="1"/>
                <w:color w:val="auto"/>
              </w:rPr>
            </w:pPr>
          </w:p>
        </w:tc>
      </w:tr>
      <w:tr>
        <w:trPr>
          <w:trHeight w:val="276"/>
        </w:trPr>
        <w:tc>
          <w:tcPr>
            <w:tcW w:w="5760" w:type="dxa"/>
            <w:vAlign w:val="bottom"/>
          </w:tcPr>
          <w:p>
            <w:pPr>
              <w:spacing w:after="0"/>
              <w:rPr>
                <w:sz w:val="23"/>
                <w:szCs w:val="23"/>
                <w:color w:val="auto"/>
              </w:rPr>
            </w:pPr>
          </w:p>
        </w:tc>
        <w:tc>
          <w:tcPr>
            <w:tcW w:w="15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76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1520" w:type="dxa"/>
            <w:vAlign w:val="bottom"/>
            <w:gridSpan w:val="2"/>
            <w:vMerge w:val="restart"/>
          </w:tcPr>
          <w:p>
            <w:pPr>
              <w:jc w:val="right"/>
              <w:ind w:right="159"/>
              <w:spacing w:after="0"/>
              <w:rPr>
                <w:sz w:val="20"/>
                <w:szCs w:val="20"/>
                <w:color w:val="auto"/>
              </w:rPr>
            </w:pPr>
            <w:r>
              <w:rPr>
                <w:rFonts w:ascii="Courier New" w:cs="Courier New" w:eastAsia="Courier New" w:hAnsi="Courier New"/>
                <w:sz w:val="16"/>
                <w:szCs w:val="16"/>
                <w:color w:val="auto"/>
              </w:rPr>
              <w:t>$292,873</w:t>
            </w:r>
          </w:p>
        </w:tc>
        <w:tc>
          <w:tcPr>
            <w:tcW w:w="1520" w:type="dxa"/>
            <w:vAlign w:val="bottom"/>
            <w:gridSpan w:val="2"/>
            <w:vMerge w:val="restart"/>
          </w:tcPr>
          <w:p>
            <w:pPr>
              <w:jc w:val="right"/>
              <w:ind w:right="119"/>
              <w:spacing w:after="0"/>
              <w:rPr>
                <w:sz w:val="20"/>
                <w:szCs w:val="20"/>
                <w:color w:val="auto"/>
              </w:rPr>
            </w:pPr>
            <w:r>
              <w:rPr>
                <w:rFonts w:ascii="Courier New" w:cs="Courier New" w:eastAsia="Courier New" w:hAnsi="Courier New"/>
                <w:sz w:val="16"/>
                <w:szCs w:val="16"/>
                <w:color w:val="auto"/>
              </w:rPr>
              <w:t>$215,059</w:t>
            </w:r>
          </w:p>
        </w:tc>
        <w:tc>
          <w:tcPr>
            <w:tcW w:w="0" w:type="dxa"/>
            <w:vAlign w:val="bottom"/>
          </w:tcPr>
          <w:p>
            <w:pPr>
              <w:spacing w:after="0"/>
              <w:rPr>
                <w:sz w:val="1"/>
                <w:szCs w:val="1"/>
                <w:color w:val="auto"/>
              </w:rPr>
            </w:pPr>
          </w:p>
        </w:tc>
      </w:tr>
      <w:tr>
        <w:trPr>
          <w:trHeight w:val="188"/>
        </w:trPr>
        <w:tc>
          <w:tcPr>
            <w:tcW w:w="5760" w:type="dxa"/>
            <w:vAlign w:val="bottom"/>
          </w:tcPr>
          <w:p>
            <w:pPr>
              <w:ind w:left="400"/>
              <w:spacing w:after="0"/>
              <w:rPr>
                <w:sz w:val="20"/>
                <w:szCs w:val="20"/>
                <w:color w:val="auto"/>
              </w:rPr>
            </w:pPr>
            <w:r>
              <w:rPr>
                <w:rFonts w:ascii="Courier New" w:cs="Courier New" w:eastAsia="Courier New" w:hAnsi="Courier New"/>
                <w:sz w:val="16"/>
                <w:szCs w:val="16"/>
                <w:color w:val="auto"/>
              </w:rPr>
              <w:t>Net income</w:t>
            </w: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760" w:type="dxa"/>
            <w:vAlign w:val="bottom"/>
          </w:tcPr>
          <w:p>
            <w:pPr>
              <w:spacing w:after="0"/>
              <w:rPr>
                <w:sz w:val="23"/>
                <w:szCs w:val="23"/>
                <w:color w:val="auto"/>
              </w:rPr>
            </w:pPr>
          </w:p>
        </w:tc>
        <w:tc>
          <w:tcPr>
            <w:tcW w:w="15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760" w:type="dxa"/>
            <w:vAlign w:val="bottom"/>
          </w:tcPr>
          <w:p>
            <w:pPr>
              <w:ind w:left="400"/>
              <w:spacing w:after="0"/>
              <w:rPr>
                <w:sz w:val="20"/>
                <w:szCs w:val="20"/>
                <w:color w:val="auto"/>
              </w:rPr>
            </w:pPr>
            <w:r>
              <w:rPr>
                <w:rFonts w:ascii="Courier New" w:cs="Courier New" w:eastAsia="Courier New" w:hAnsi="Courier New"/>
                <w:sz w:val="16"/>
                <w:szCs w:val="16"/>
                <w:color w:val="auto"/>
              </w:rPr>
              <w:t>Weighted shares outstanding</w:t>
            </w:r>
          </w:p>
        </w:tc>
        <w:tc>
          <w:tcPr>
            <w:tcW w:w="600" w:type="dxa"/>
            <w:vAlign w:val="bottom"/>
          </w:tcPr>
          <w:p>
            <w:pPr>
              <w:spacing w:after="0"/>
              <w:rPr>
                <w:sz w:val="24"/>
                <w:szCs w:val="24"/>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357,905</w:t>
            </w:r>
          </w:p>
        </w:tc>
        <w:tc>
          <w:tcPr>
            <w:tcW w:w="64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351,029</w:t>
            </w:r>
          </w:p>
        </w:tc>
        <w:tc>
          <w:tcPr>
            <w:tcW w:w="0" w:type="dxa"/>
            <w:vAlign w:val="bottom"/>
          </w:tcPr>
          <w:p>
            <w:pPr>
              <w:spacing w:after="0"/>
              <w:rPr>
                <w:sz w:val="1"/>
                <w:szCs w:val="1"/>
                <w:color w:val="auto"/>
              </w:rPr>
            </w:pPr>
          </w:p>
        </w:tc>
      </w:tr>
      <w:tr>
        <w:trPr>
          <w:trHeight w:val="188"/>
        </w:trPr>
        <w:tc>
          <w:tcPr>
            <w:tcW w:w="5760" w:type="dxa"/>
            <w:vAlign w:val="bottom"/>
          </w:tcPr>
          <w:p>
            <w:pPr>
              <w:ind w:left="400"/>
              <w:spacing w:after="0"/>
              <w:rPr>
                <w:sz w:val="20"/>
                <w:szCs w:val="20"/>
                <w:color w:val="auto"/>
              </w:rPr>
            </w:pPr>
            <w:r>
              <w:rPr>
                <w:rFonts w:ascii="Courier New" w:cs="Courier New" w:eastAsia="Courier New" w:hAnsi="Courier New"/>
                <w:sz w:val="16"/>
                <w:szCs w:val="16"/>
                <w:color w:val="auto"/>
              </w:rPr>
              <w:t>Assumed exercise of common stock equivalents</w:t>
            </w:r>
          </w:p>
        </w:tc>
        <w:tc>
          <w:tcPr>
            <w:tcW w:w="60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24,179</w:t>
            </w:r>
          </w:p>
        </w:tc>
        <w:tc>
          <w:tcPr>
            <w:tcW w:w="6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27,360</w:t>
            </w:r>
          </w:p>
        </w:tc>
        <w:tc>
          <w:tcPr>
            <w:tcW w:w="0" w:type="dxa"/>
            <w:vAlign w:val="bottom"/>
          </w:tcPr>
          <w:p>
            <w:pPr>
              <w:spacing w:after="0"/>
              <w:rPr>
                <w:sz w:val="1"/>
                <w:szCs w:val="1"/>
                <w:color w:val="auto"/>
              </w:rPr>
            </w:pPr>
          </w:p>
        </w:tc>
      </w:tr>
      <w:tr>
        <w:trPr>
          <w:trHeight w:val="188"/>
        </w:trPr>
        <w:tc>
          <w:tcPr>
            <w:tcW w:w="5760" w:type="dxa"/>
            <w:vAlign w:val="bottom"/>
            <w:vMerge w:val="restart"/>
          </w:tcPr>
          <w:p>
            <w:pPr>
              <w:ind w:left="400"/>
              <w:spacing w:after="0"/>
              <w:rPr>
                <w:sz w:val="20"/>
                <w:szCs w:val="20"/>
                <w:color w:val="auto"/>
              </w:rPr>
            </w:pPr>
            <w:r>
              <w:rPr>
                <w:rFonts w:ascii="Courier New" w:cs="Courier New" w:eastAsia="Courier New" w:hAnsi="Courier New"/>
                <w:sz w:val="16"/>
                <w:szCs w:val="16"/>
                <w:color w:val="auto"/>
              </w:rPr>
              <w:t>Weighted average common and common equivalent shares</w:t>
            </w:r>
          </w:p>
        </w:tc>
        <w:tc>
          <w:tcPr>
            <w:tcW w:w="15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57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382,084</w:t>
            </w:r>
          </w:p>
        </w:tc>
        <w:tc>
          <w:tcPr>
            <w:tcW w:w="6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378,389</w:t>
            </w:r>
          </w:p>
        </w:tc>
        <w:tc>
          <w:tcPr>
            <w:tcW w:w="0" w:type="dxa"/>
            <w:vAlign w:val="bottom"/>
          </w:tcPr>
          <w:p>
            <w:pPr>
              <w:spacing w:after="0"/>
              <w:rPr>
                <w:sz w:val="1"/>
                <w:szCs w:val="1"/>
                <w:color w:val="auto"/>
              </w:rPr>
            </w:pPr>
          </w:p>
        </w:tc>
      </w:tr>
      <w:tr>
        <w:trPr>
          <w:trHeight w:val="276"/>
        </w:trPr>
        <w:tc>
          <w:tcPr>
            <w:tcW w:w="5760" w:type="dxa"/>
            <w:vAlign w:val="bottom"/>
          </w:tcPr>
          <w:p>
            <w:pPr>
              <w:spacing w:after="0"/>
              <w:rPr>
                <w:sz w:val="23"/>
                <w:szCs w:val="23"/>
                <w:color w:val="auto"/>
              </w:rPr>
            </w:pPr>
          </w:p>
        </w:tc>
        <w:tc>
          <w:tcPr>
            <w:tcW w:w="15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8"/>
        </w:trPr>
        <w:tc>
          <w:tcPr>
            <w:tcW w:w="5760" w:type="dxa"/>
            <w:vAlign w:val="bottom"/>
          </w:tcPr>
          <w:p>
            <w:pPr>
              <w:ind w:left="400"/>
              <w:spacing w:after="0"/>
              <w:rPr>
                <w:sz w:val="20"/>
                <w:szCs w:val="20"/>
                <w:color w:val="auto"/>
              </w:rPr>
            </w:pPr>
            <w:r>
              <w:rPr>
                <w:rFonts w:ascii="Courier New" w:cs="Courier New" w:eastAsia="Courier New" w:hAnsi="Courier New"/>
                <w:sz w:val="16"/>
                <w:szCs w:val="16"/>
                <w:color w:val="auto"/>
              </w:rPr>
              <w:t>Earnings per share</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0.77</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0.57</w:t>
            </w:r>
          </w:p>
        </w:tc>
        <w:tc>
          <w:tcPr>
            <w:tcW w:w="0" w:type="dxa"/>
            <w:vAlign w:val="bottom"/>
          </w:tcPr>
          <w:p>
            <w:pPr>
              <w:spacing w:after="0"/>
              <w:rPr>
                <w:sz w:val="1"/>
                <w:szCs w:val="1"/>
                <w:color w:val="auto"/>
              </w:rPr>
            </w:pPr>
          </w:p>
        </w:tc>
      </w:tr>
      <w:tr>
        <w:trPr>
          <w:trHeight w:val="276"/>
        </w:trPr>
        <w:tc>
          <w:tcPr>
            <w:tcW w:w="5760" w:type="dxa"/>
            <w:vAlign w:val="bottom"/>
          </w:tcPr>
          <w:p>
            <w:pPr>
              <w:spacing w:after="0"/>
              <w:rPr>
                <w:sz w:val="23"/>
                <w:szCs w:val="23"/>
                <w:color w:val="auto"/>
              </w:rPr>
            </w:pPr>
          </w:p>
        </w:tc>
        <w:tc>
          <w:tcPr>
            <w:tcW w:w="15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 Investments</w:t>
      </w:r>
    </w:p>
    <w:p>
      <w:pPr>
        <w:spacing w:after="0" w:line="195" w:lineRule="exact"/>
        <w:rPr>
          <w:sz w:val="20"/>
          <w:szCs w:val="20"/>
          <w:color w:val="auto"/>
        </w:rPr>
      </w:pPr>
    </w:p>
    <w:p>
      <w:pPr>
        <w:ind w:right="2399"/>
        <w:spacing w:after="0" w:line="290" w:lineRule="auto"/>
        <w:rPr>
          <w:sz w:val="20"/>
          <w:szCs w:val="20"/>
          <w:color w:val="auto"/>
        </w:rPr>
      </w:pPr>
      <w:r>
        <w:rPr>
          <w:rFonts w:ascii="Courier New" w:cs="Courier New" w:eastAsia="Courier New" w:hAnsi="Courier New"/>
          <w:sz w:val="16"/>
          <w:szCs w:val="16"/>
          <w:color w:val="auto"/>
        </w:rPr>
        <w:t>On December 27, 2000, the Company sold its investment in WaferTech, LLC to Taiwan Semiconductor Manufacturing Company. The Company received approximately $61 million in cash and realized a pretax gain of approximately $28 million. The realized gain is included in other nonoperating income.</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 Acquisitions</w:t>
      </w:r>
    </w:p>
    <w:p>
      <w:pPr>
        <w:spacing w:after="0" w:line="195"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During the first quarter of fiscal 2001, the Company completed several acquisitions. On October 31, 2000, the Company acquired Thomas Neuroth AG (Neuroth) of Vienna, Austria for approximately $4 million in cash, with additional contingent cash consideration of up to $4 million payable if certain operational objectives are achieved. Neuroth is a developer of highly integrated circuits for symmetric DSL broadband access. On November 10, 2000, the Company acquired Signal Processing Associates Pty. Ltd., (SPA) of Victoria, Australia for approximately $3 million in cash, with additional contingent cash consideration of up to $1.5 million payable if certain operational objectives are achieved. SPA is a developer and supplier of voice processing and fax/data relay software for telecommunications applications. On December 18, 2000, the Company acquired Integrated Micro Instruments, Inc. (IMI) of Berkeley, California for approximately $1 million in cash and 13,750 shares of common stock (valued at approximately $746,000), with an additional 50,000 shares of common stock issuable over the next five years upon the satisfaction of certain conditions. IMI develops MEMS process designs. On January 4, 2001, the Company acquired ChipLogic, Inc. (ChipLogic) of Santa Clara, California for cash of approximately $4 million and approximately 1 million shares of common stock (valued at approximately $60 million), with 489,375 shares of additional common stock issuable if certain operational objectives are achieved. In the second quarter of fiscal 2001, approximately $1.4 million of expense was recorded related to 44,000 shares of common stock to be issued related to the achievement of certain of these objectives. ChipLogic is a developer of high-performance integrated circuits and software focused on the convergence of voice, broadband access and network protocol processing. In connection with the acquisition of ChipLogic, the Company recorded a charge of $9.5 million for the write-off of in-process research and development in the first quarter of fiscal 2001. On January 16, 2001, the Company acquired Staccato Systems, Inc. (Staccato) of Mountain View, California for approximately $23 million in cash, with additional contingent cash consideration of up to $7 million payable if certain operational objectives are achieved. Approximately $2 million of the contingent consideration has been paid. Staccato is in the field of audio synthesis technology. Any contingent consideration paid to Staccato will be accounted for as additional goodwill. Of the $4 million of contingent consideration payable to Neuroth, $3 million will be allocated to goodwill and $1 million will be accounted for as acquisition-related expense. All other contingent consideration will be accounted for as acquisition-related expense. These acquisitions were accounted for as purchases, and the excess of the purchase price over the fair value of the assets acquired was allocated to goodwill, which is being amortized on the straight-line basis over five years.</w:t>
      </w:r>
    </w:p>
    <w:p>
      <w:pPr>
        <w:spacing w:after="0" w:line="28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75" w:right="1440" w:bottom="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371" w:lineRule="exact"/>
        <w:rPr>
          <w:sz w:val="20"/>
          <w:szCs w:val="20"/>
          <w:color w:val="auto"/>
        </w:rPr>
      </w:pPr>
    </w:p>
    <w:p>
      <w:pPr>
        <w:ind w:right="2399"/>
        <w:spacing w:after="0" w:line="280" w:lineRule="auto"/>
        <w:rPr>
          <w:sz w:val="20"/>
          <w:szCs w:val="20"/>
          <w:color w:val="auto"/>
        </w:rPr>
      </w:pPr>
      <w:r>
        <w:rPr>
          <w:rFonts w:ascii="Courier New" w:cs="Courier New" w:eastAsia="Courier New" w:hAnsi="Courier New"/>
          <w:sz w:val="16"/>
          <w:szCs w:val="16"/>
          <w:color w:val="auto"/>
        </w:rPr>
        <w:t>Pro forma results of operations for Neuroth, SPA, IMI, ChipLogic and Staccato have not been provided herein as they were not material to the Company on either an individual or an aggregate basis. The results of operations of each acquisition are included in the Company's consolidated statement of income from the date of each acquisition.</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7 - Segment Information</w:t>
      </w:r>
    </w:p>
    <w:p>
      <w:pPr>
        <w:spacing w:after="0" w:line="195" w:lineRule="exact"/>
        <w:rPr>
          <w:sz w:val="20"/>
          <w:szCs w:val="20"/>
          <w:color w:val="auto"/>
        </w:rPr>
      </w:pPr>
    </w:p>
    <w:p>
      <w:pPr>
        <w:ind w:right="2399"/>
        <w:spacing w:after="0" w:line="280" w:lineRule="auto"/>
        <w:rPr>
          <w:sz w:val="20"/>
          <w:szCs w:val="20"/>
          <w:color w:val="auto"/>
        </w:rPr>
      </w:pPr>
      <w:r>
        <w:rPr>
          <w:rFonts w:ascii="Courier New" w:cs="Courier New" w:eastAsia="Courier New" w:hAnsi="Courier New"/>
          <w:sz w:val="16"/>
          <w:szCs w:val="16"/>
          <w:color w:val="auto"/>
        </w:rPr>
        <w:t>The Company operates in two segments: the design, manufacture and marketing of a broad range of integrated circuits, which comprises approximately 98% of the Company's revenue, and the design, manufacture and marketing of a range of assembled products, which accounts for the remaining 2% of the Company's revenue. Effectively, the Company operates in one reportable segment.</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 New Accounting Standards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Recognition</w:t>
      </w:r>
    </w:p>
    <w:p>
      <w:pPr>
        <w:spacing w:after="0" w:line="195" w:lineRule="exact"/>
        <w:rPr>
          <w:sz w:val="20"/>
          <w:szCs w:val="20"/>
          <w:color w:val="auto"/>
        </w:rPr>
      </w:pPr>
    </w:p>
    <w:p>
      <w:pPr>
        <w:ind w:right="2399"/>
        <w:spacing w:after="0" w:line="273" w:lineRule="auto"/>
        <w:rPr>
          <w:sz w:val="20"/>
          <w:szCs w:val="20"/>
          <w:color w:val="auto"/>
        </w:rPr>
      </w:pPr>
      <w:r>
        <w:rPr>
          <w:rFonts w:ascii="Courier New" w:cs="Courier New" w:eastAsia="Courier New" w:hAnsi="Courier New"/>
          <w:sz w:val="16"/>
          <w:szCs w:val="16"/>
          <w:color w:val="auto"/>
        </w:rPr>
        <w:t>In December 1999, the Securities and Exchange Commission issued Staff Accounting Bulletin 101, (SAB 101), "Revenue Recognition in Financial Statements." SAB 101 summarizes the application of generally accepted accounting principles to revenue recognition in financial statements. The Company will adopt SAB 101 in the fourth quarter of fiscal 2001 and does not expect SAB 101 to have a material effect on its financial position or results of operations.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Derivatives</w:t>
      </w:r>
    </w:p>
    <w:p>
      <w:pPr>
        <w:spacing w:after="0" w:line="195" w:lineRule="exact"/>
        <w:rPr>
          <w:sz w:val="20"/>
          <w:szCs w:val="20"/>
          <w:color w:val="auto"/>
        </w:rPr>
      </w:pPr>
    </w:p>
    <w:p>
      <w:pPr>
        <w:ind w:right="2499"/>
        <w:spacing w:after="0" w:line="259" w:lineRule="auto"/>
        <w:rPr>
          <w:sz w:val="20"/>
          <w:szCs w:val="20"/>
          <w:color w:val="auto"/>
        </w:rPr>
      </w:pPr>
      <w:r>
        <w:rPr>
          <w:rFonts w:ascii="Courier New" w:cs="Courier New" w:eastAsia="Courier New" w:hAnsi="Courier New"/>
          <w:sz w:val="16"/>
          <w:szCs w:val="16"/>
          <w:color w:val="auto"/>
        </w:rPr>
        <w:t>Effective October 29, 2000, the Company adopted Statement of Financial Accounting Standards No. 133, (FAS 133), "Accounting for Derivative Instruments and Hedging Activities," as amended by Statement of Financial Accounting Standards No. 138, (FAS 138), "Accounting for Certain Instruments and Certain Hedging Activities." FAS 133 requires that an entity recognize all derivatives as either assets or liabilities and measure such instruments at fair market value. Under certain circumstances, a portion of the derivative's gain or loss is initially reported as a component of other comprehensive income (OCI) until the hedged transaction affects earnings. For a derivative not designated as a hedging instrument, the gain or loss is recognized in income in the period of change. The adoption of FAS 133 on October 29, 2000 did not have a material impact on operations; however, it resulted in a $5 million loss recognized in OCI. This loss is being reclassified into earnings during fiscal 2001.</w:t>
      </w:r>
    </w:p>
    <w:p>
      <w:pPr>
        <w:spacing w:after="0" w:line="89" w:lineRule="exact"/>
        <w:rPr>
          <w:sz w:val="20"/>
          <w:szCs w:val="20"/>
          <w:color w:val="auto"/>
        </w:rPr>
      </w:pPr>
    </w:p>
    <w:p>
      <w:pPr>
        <w:ind w:right="2399"/>
        <w:spacing w:after="0" w:line="255" w:lineRule="auto"/>
        <w:rPr>
          <w:sz w:val="20"/>
          <w:szCs w:val="20"/>
          <w:color w:val="auto"/>
        </w:rPr>
      </w:pPr>
      <w:r>
        <w:rPr>
          <w:rFonts w:ascii="Courier New" w:cs="Courier New" w:eastAsia="Courier New" w:hAnsi="Courier New"/>
          <w:sz w:val="16"/>
          <w:szCs w:val="16"/>
          <w:color w:val="auto"/>
        </w:rPr>
        <w:t>Foreign Exchange Exposure Management - The Company has significant international sales and purchase transactions in foreign currencies and has a policy of hedging forecasted and actual foreign currency risk with forward foreign exchange contracts. The Company's forward foreign exchange contracts are primarily denominated in Japanese yen and certain European currencies and are for periods consistent with the terms of the underlying transactions, generally one year or less. Derivative instruments are employed to eliminate or minimize certain foreign currency exposures that can be confidently identified and quantified. In accordance with FAS 133, hedges related to anticipated transactions are designated and documented at the inception of the respective hedge as cash flow hedges and evaluated for effectiveness monthly. As the terms of the forward contract and the underlying transaction are matched at inception, forward contract effectiveness is calculated by comparing the fair value of the contract to the change in the forward value of the anticipated transaction, with the effective portion of the gain or loss on the derivative instrument reported as a component of OCI in stockholders' equity and reclassified into earnings in the same period during which the hedged transaction affects earnings. Any residual change in fair value of the instruments, or ineffectiveness, is recognized immediately in other expense. No ineffectiveness was recognized in the first or second quarters of fiscal 2001.</w:t>
      </w:r>
    </w:p>
    <w:p>
      <w:pPr>
        <w:spacing w:after="0" w:line="95" w:lineRule="exact"/>
        <w:rPr>
          <w:sz w:val="20"/>
          <w:szCs w:val="20"/>
          <w:color w:val="auto"/>
        </w:rPr>
      </w:pPr>
    </w:p>
    <w:p>
      <w:pPr>
        <w:ind w:right="2499"/>
        <w:spacing w:after="0" w:line="280" w:lineRule="auto"/>
        <w:rPr>
          <w:sz w:val="20"/>
          <w:szCs w:val="20"/>
          <w:color w:val="auto"/>
        </w:rPr>
      </w:pPr>
      <w:r>
        <w:rPr>
          <w:rFonts w:ascii="Courier New" w:cs="Courier New" w:eastAsia="Courier New" w:hAnsi="Courier New"/>
          <w:sz w:val="16"/>
          <w:szCs w:val="16"/>
          <w:color w:val="auto"/>
        </w:rPr>
        <w:t>Additionally, the Company enters into foreign currency forward contracts to hedge the gains and losses generated by the remeasurement of certain recorded assets and liabilities in a non-functional currency. Changes in the fair value of these undesignated hedges are recognized in other expense immediately as an offset to the changes in the fair value of the asset or liability being hedged.</w:t>
      </w:r>
    </w:p>
    <w:p>
      <w:pPr>
        <w:spacing w:after="0" w:line="25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75"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10</w:t>
      </w:r>
    </w:p>
    <w:p>
      <w:pPr>
        <w:spacing w:after="0" w:line="200" w:lineRule="exact"/>
        <w:rPr>
          <w:sz w:val="20"/>
          <w:szCs w:val="20"/>
          <w:color w:val="auto"/>
        </w:rPr>
      </w:pPr>
    </w:p>
    <w:p>
      <w:pPr>
        <w:spacing w:after="0" w:line="371" w:lineRule="exact"/>
        <w:rPr>
          <w:sz w:val="20"/>
          <w:szCs w:val="20"/>
          <w:color w:val="auto"/>
        </w:rPr>
      </w:pPr>
    </w:p>
    <w:p>
      <w:pPr>
        <w:ind w:right="2399"/>
        <w:spacing w:after="0" w:line="257" w:lineRule="auto"/>
        <w:rPr>
          <w:sz w:val="20"/>
          <w:szCs w:val="20"/>
          <w:color w:val="auto"/>
        </w:rPr>
      </w:pPr>
      <w:r>
        <w:rPr>
          <w:rFonts w:ascii="Courier New" w:cs="Courier New" w:eastAsia="Courier New" w:hAnsi="Courier New"/>
          <w:sz w:val="16"/>
          <w:szCs w:val="16"/>
          <w:color w:val="auto"/>
        </w:rPr>
        <w:t>Interest Rate Risk Management - The Company enters into interest rate swap and cap agreements to manage its exposure to interest rate movements by effectively converting a portion of its debt and certain financing arrangements from fixed to variable rates. Maturity dates of interest rate swap and cap agreements generally match those of the underlying debt or financing arrangements. These agreements, which have maturities of up to seven years, involve the exchange of fixed rate payments for variable rate payments without the exchange of the underlying principal amounts. Variable rates are based on six-month U.S. dollar LIBOR and are reset on a semiannual basis. The differential between fixed and variable rates to be paid or received is accrued as interest rates change in accordance with the agreements and recognized over the life of the agreements as an adjustment to interest expense. Given the insignificant value of the current interest rate swap and cap agreements, the Company has not designated these instruments as hedges. The change in fair value related to these instruments is recognized immediately in Other expense.</w:t>
      </w:r>
    </w:p>
    <w:p>
      <w:pPr>
        <w:spacing w:after="0" w:line="96" w:lineRule="exact"/>
        <w:rPr>
          <w:sz w:val="20"/>
          <w:szCs w:val="20"/>
          <w:color w:val="auto"/>
        </w:rPr>
      </w:pPr>
    </w:p>
    <w:p>
      <w:pPr>
        <w:ind w:right="2399"/>
        <w:spacing w:after="0" w:line="256" w:lineRule="auto"/>
        <w:rPr>
          <w:sz w:val="20"/>
          <w:szCs w:val="20"/>
          <w:color w:val="auto"/>
        </w:rPr>
      </w:pPr>
      <w:r>
        <w:rPr>
          <w:rFonts w:ascii="Courier New" w:cs="Courier New" w:eastAsia="Courier New" w:hAnsi="Courier New"/>
          <w:sz w:val="16"/>
          <w:szCs w:val="16"/>
          <w:color w:val="auto"/>
        </w:rPr>
        <w:t>Derivative financial instruments involve, to a varying degree, elements of market and credit risk not recognized in the consolidated financial statements. The market risk associated with these instruments resulting from currency exchange rate or interest rate movements is expected to offset the market risk of the underlying transactions, assets and liabilities being hedged. The counterparties to the agreements relating to the Company's foreign exchange and interest rate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and limits the financial exposure and the amount of agreements entered into with any one financial institution.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Accumulated Derivative Gains or Losses</w:t>
      </w:r>
    </w:p>
    <w:p>
      <w:pPr>
        <w:spacing w:after="0" w:line="195" w:lineRule="exact"/>
        <w:rPr>
          <w:sz w:val="20"/>
          <w:szCs w:val="20"/>
          <w:color w:val="auto"/>
        </w:rPr>
      </w:pPr>
    </w:p>
    <w:p>
      <w:pPr>
        <w:jc w:val="both"/>
        <w:ind w:right="2399"/>
        <w:spacing w:after="0" w:line="311" w:lineRule="auto"/>
        <w:rPr>
          <w:sz w:val="20"/>
          <w:szCs w:val="20"/>
          <w:color w:val="auto"/>
        </w:rPr>
      </w:pPr>
      <w:r>
        <w:rPr>
          <w:rFonts w:ascii="Courier New" w:cs="Courier New" w:eastAsia="Courier New" w:hAnsi="Courier New"/>
          <w:sz w:val="16"/>
          <w:szCs w:val="16"/>
          <w:color w:val="auto"/>
        </w:rPr>
        <w:t>The following table summarizes activity in other comprehensive income related to derivatives classified as cash flow hedges held by the Company during the period of October 29, 2000 (the date of adoption of FAS 133) through May 5, 2001: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00" w:type="dxa"/>
            <w:vAlign w:val="bottom"/>
          </w:tcPr>
          <w:p>
            <w:pPr>
              <w:spacing w:after="0"/>
              <w:rPr>
                <w:sz w:val="20"/>
                <w:szCs w:val="20"/>
                <w:color w:val="auto"/>
              </w:rPr>
            </w:pPr>
            <w:r>
              <w:rPr>
                <w:rFonts w:ascii="Courier New" w:cs="Courier New" w:eastAsia="Courier New" w:hAnsi="Courier New"/>
                <w:sz w:val="16"/>
                <w:szCs w:val="16"/>
                <w:color w:val="auto"/>
              </w:rPr>
              <w:t>Cumulative effect of adopting FAS 133 as of October 29, 2000</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$ 5,200</w:t>
            </w:r>
          </w:p>
        </w:tc>
        <w:tc>
          <w:tcPr>
            <w:tcW w:w="0" w:type="dxa"/>
            <w:vAlign w:val="bottom"/>
          </w:tcPr>
          <w:p>
            <w:pPr>
              <w:spacing w:after="0"/>
              <w:rPr>
                <w:sz w:val="1"/>
                <w:szCs w:val="1"/>
                <w:color w:val="auto"/>
              </w:rPr>
            </w:pPr>
          </w:p>
        </w:tc>
      </w:tr>
      <w:tr>
        <w:trPr>
          <w:trHeight w:val="188"/>
        </w:trPr>
        <w:tc>
          <w:tcPr>
            <w:tcW w:w="6900" w:type="dxa"/>
            <w:vAlign w:val="bottom"/>
          </w:tcPr>
          <w:p>
            <w:pPr>
              <w:spacing w:after="0"/>
              <w:rPr>
                <w:sz w:val="20"/>
                <w:szCs w:val="20"/>
                <w:color w:val="auto"/>
              </w:rPr>
            </w:pPr>
            <w:r>
              <w:rPr>
                <w:rFonts w:ascii="Courier New" w:cs="Courier New" w:eastAsia="Courier New" w:hAnsi="Courier New"/>
                <w:sz w:val="16"/>
                <w:szCs w:val="16"/>
                <w:color w:val="auto"/>
              </w:rPr>
              <w:t>Less: Reclassifications into earnings from other comprehensive income</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(3,300)</w:t>
            </w:r>
          </w:p>
        </w:tc>
        <w:tc>
          <w:tcPr>
            <w:tcW w:w="0" w:type="dxa"/>
            <w:vAlign w:val="bottom"/>
          </w:tcPr>
          <w:p>
            <w:pPr>
              <w:spacing w:after="0"/>
              <w:rPr>
                <w:sz w:val="1"/>
                <w:szCs w:val="1"/>
                <w:color w:val="auto"/>
              </w:rPr>
            </w:pPr>
          </w:p>
        </w:tc>
      </w:tr>
      <w:tr>
        <w:trPr>
          <w:trHeight w:val="188"/>
        </w:trPr>
        <w:tc>
          <w:tcPr>
            <w:tcW w:w="69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6900" w:type="dxa"/>
            <w:vAlign w:val="bottom"/>
            <w:vMerge w:val="restart"/>
          </w:tcPr>
          <w:p>
            <w:pPr>
              <w:spacing w:after="0"/>
              <w:rPr>
                <w:sz w:val="20"/>
                <w:szCs w:val="20"/>
                <w:color w:val="auto"/>
              </w:rPr>
            </w:pPr>
            <w:r>
              <w:rPr>
                <w:rFonts w:ascii="Courier New" w:cs="Courier New" w:eastAsia="Courier New" w:hAnsi="Courier New"/>
                <w:sz w:val="16"/>
                <w:szCs w:val="16"/>
                <w:color w:val="auto"/>
              </w:rPr>
              <w:t>Changes in fair value of derivatives - (gain) loss</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1,900</w:t>
            </w:r>
          </w:p>
        </w:tc>
        <w:tc>
          <w:tcPr>
            <w:tcW w:w="0" w:type="dxa"/>
            <w:vAlign w:val="bottom"/>
          </w:tcPr>
          <w:p>
            <w:pPr>
              <w:spacing w:after="0"/>
              <w:rPr>
                <w:sz w:val="1"/>
                <w:szCs w:val="1"/>
                <w:color w:val="auto"/>
              </w:rPr>
            </w:pPr>
          </w:p>
        </w:tc>
      </w:tr>
      <w:tr>
        <w:trPr>
          <w:trHeight w:val="188"/>
        </w:trPr>
        <w:tc>
          <w:tcPr>
            <w:tcW w:w="690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(5,800)</w:t>
            </w:r>
          </w:p>
        </w:tc>
        <w:tc>
          <w:tcPr>
            <w:tcW w:w="0" w:type="dxa"/>
            <w:vAlign w:val="bottom"/>
          </w:tcPr>
          <w:p>
            <w:pPr>
              <w:spacing w:after="0"/>
              <w:rPr>
                <w:sz w:val="1"/>
                <w:szCs w:val="1"/>
                <w:color w:val="auto"/>
              </w:rPr>
            </w:pPr>
          </w:p>
        </w:tc>
      </w:tr>
      <w:tr>
        <w:trPr>
          <w:trHeight w:val="188"/>
        </w:trPr>
        <w:tc>
          <w:tcPr>
            <w:tcW w:w="6900" w:type="dxa"/>
            <w:vAlign w:val="bottom"/>
          </w:tcPr>
          <w:p>
            <w:pPr>
              <w:spacing w:after="0"/>
              <w:rPr>
                <w:sz w:val="20"/>
                <w:szCs w:val="20"/>
                <w:color w:val="auto"/>
              </w:rPr>
            </w:pPr>
            <w:r>
              <w:rPr>
                <w:rFonts w:ascii="Courier New" w:cs="Courier New" w:eastAsia="Courier New" w:hAnsi="Courier New"/>
                <w:sz w:val="16"/>
                <w:szCs w:val="16"/>
                <w:color w:val="auto"/>
              </w:rPr>
              <w:t>Reclassification into earnings from other comprehensive income</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1,300</w:t>
            </w:r>
          </w:p>
        </w:tc>
        <w:tc>
          <w:tcPr>
            <w:tcW w:w="0" w:type="dxa"/>
            <w:vAlign w:val="bottom"/>
          </w:tcPr>
          <w:p>
            <w:pPr>
              <w:spacing w:after="0"/>
              <w:rPr>
                <w:sz w:val="1"/>
                <w:szCs w:val="1"/>
                <w:color w:val="auto"/>
              </w:rPr>
            </w:pPr>
          </w:p>
        </w:tc>
      </w:tr>
      <w:tr>
        <w:trPr>
          <w:trHeight w:val="188"/>
        </w:trPr>
        <w:tc>
          <w:tcPr>
            <w:tcW w:w="6900" w:type="dxa"/>
            <w:vAlign w:val="bottom"/>
            <w:vMerge w:val="restart"/>
          </w:tcPr>
          <w:p>
            <w:pPr>
              <w:spacing w:after="0"/>
              <w:rPr>
                <w:sz w:val="20"/>
                <w:szCs w:val="20"/>
                <w:color w:val="auto"/>
              </w:rPr>
            </w:pPr>
            <w:r>
              <w:rPr>
                <w:rFonts w:ascii="Courier New" w:cs="Courier New" w:eastAsia="Courier New" w:hAnsi="Courier New"/>
                <w:sz w:val="16"/>
                <w:szCs w:val="16"/>
                <w:color w:val="auto"/>
              </w:rPr>
              <w:t>Accumulated (gain) loss included in other comprehensive income</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8"/>
        </w:trPr>
        <w:tc>
          <w:tcPr>
            <w:tcW w:w="690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$(2,600)</w:t>
            </w:r>
          </w:p>
        </w:tc>
        <w:tc>
          <w:tcPr>
            <w:tcW w:w="0" w:type="dxa"/>
            <w:vAlign w:val="bottom"/>
          </w:tcPr>
          <w:p>
            <w:pPr>
              <w:spacing w:after="0"/>
              <w:rPr>
                <w:sz w:val="1"/>
                <w:szCs w:val="1"/>
                <w:color w:val="auto"/>
              </w:rPr>
            </w:pPr>
          </w:p>
        </w:tc>
      </w:tr>
      <w:tr>
        <w:trPr>
          <w:trHeight w:val="276"/>
        </w:trPr>
        <w:tc>
          <w:tcPr>
            <w:tcW w:w="69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2499"/>
        <w:spacing w:after="0" w:line="373" w:lineRule="auto"/>
        <w:rPr>
          <w:sz w:val="20"/>
          <w:szCs w:val="20"/>
          <w:color w:val="auto"/>
        </w:rPr>
      </w:pPr>
      <w:r>
        <w:rPr>
          <w:rFonts w:ascii="Courier New" w:cs="Courier New" w:eastAsia="Courier New" w:hAnsi="Courier New"/>
          <w:sz w:val="16"/>
          <w:szCs w:val="16"/>
          <w:color w:val="auto"/>
        </w:rPr>
        <w:t>The amount of accumulated gain that will be reclassified into earnings over the next twelve months is $2.6 million.</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75"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371" w:lineRule="exact"/>
        <w:rPr>
          <w:sz w:val="20"/>
          <w:szCs w:val="20"/>
          <w:color w:val="auto"/>
        </w:rPr>
      </w:pPr>
    </w:p>
    <w:p>
      <w:pPr>
        <w:ind w:left="780" w:right="2499" w:hanging="781"/>
        <w:spacing w:after="0" w:line="373"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ind w:right="2599"/>
        <w:spacing w:after="0" w:line="280" w:lineRule="auto"/>
        <w:rPr>
          <w:sz w:val="20"/>
          <w:szCs w:val="20"/>
          <w:color w:val="auto"/>
        </w:rPr>
      </w:pPr>
      <w:r>
        <w:rPr>
          <w:rFonts w:ascii="Courier New" w:cs="Courier New" w:eastAsia="Courier New" w:hAnsi="Courier New"/>
          <w:sz w:val="16"/>
          <w:szCs w:val="16"/>
          <w:color w:val="auto"/>
        </w:rPr>
        <w:t>This information should be read in conjunction with the unaudited condensed consolidated financial statements and related notes included in Item 1 of this Quarterly Report and the audited consolidated financial statements and related notes and Management Analysis for the fiscal year ended October 28, 2000, contained in our 2000 Annual Report.</w:t>
      </w:r>
    </w:p>
    <w:p>
      <w:pPr>
        <w:spacing w:after="0" w:line="70" w:lineRule="exact"/>
        <w:rPr>
          <w:sz w:val="20"/>
          <w:szCs w:val="20"/>
          <w:color w:val="auto"/>
        </w:rPr>
      </w:pPr>
    </w:p>
    <w:p>
      <w:pPr>
        <w:ind w:right="2499"/>
        <w:spacing w:after="0" w:line="264" w:lineRule="auto"/>
        <w:rPr>
          <w:sz w:val="20"/>
          <w:szCs w:val="20"/>
          <w:color w:val="auto"/>
        </w:rPr>
      </w:pPr>
      <w:r>
        <w:rPr>
          <w:rFonts w:ascii="Courier New" w:cs="Courier New" w:eastAsia="Courier New" w:hAnsi="Courier New"/>
          <w:sz w:val="16"/>
          <w:szCs w:val="16"/>
          <w:color w:val="auto"/>
        </w:rPr>
        <w:t>The following discussion and analysis may contain forward-looking statements. Such statements are subject to certain risks and uncertainties, including those discussed below or in our 2000 Annual Report, which could cause actual results to differ materially from our expectations. Readers are cautioned not to place undue reliance on any forward-looking statements, as they reflect management's current analysis. We undertake no obligation to release the results of any revision to these forward-looking statements that may be made to reflect events or circumstances after the date of this report or to reflect the occurrence of unanticipated events.</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5" w:lineRule="exact"/>
        <w:rPr>
          <w:sz w:val="20"/>
          <w:szCs w:val="20"/>
          <w:color w:val="auto"/>
        </w:rPr>
      </w:pPr>
    </w:p>
    <w:p>
      <w:pPr>
        <w:ind w:right="2399"/>
        <w:spacing w:after="0" w:line="259" w:lineRule="auto"/>
        <w:rPr>
          <w:sz w:val="20"/>
          <w:szCs w:val="20"/>
          <w:color w:val="auto"/>
        </w:rPr>
      </w:pPr>
      <w:r>
        <w:rPr>
          <w:rFonts w:ascii="Courier New" w:cs="Courier New" w:eastAsia="Courier New" w:hAnsi="Courier New"/>
          <w:sz w:val="16"/>
          <w:szCs w:val="16"/>
          <w:color w:val="auto"/>
        </w:rPr>
        <w:t>Net sales for the second quarter of fiscal 2001 were $601 million, an increase of 4% from the $581 million reported for the second quarter of fiscal 2000. Net sales for the first six months of fiscal 2001 were $1,374 million, an increase of 28% from the $1,071 million reported for the comparable period of fiscal 2000. Analog IC product sales grew by 11% over the same quarter in fiscal 2000 and 34% over the same six-month period in fiscal 2000. Although sales of DSP IC products grew by 12% in the first six months of fiscal 2001 over the same prior year period, DSP IC product sales declined 18% in the second quarter of fiscal year 2001 from the same prior year quarter primarily due to significant order cancellations and adjustments particularly from telecommunications customers and contract manufacturers. The high levels of demand we experienced last year resulted in excess customer inventories in the current year that are still being absorbed in virtually every market we serve.</w:t>
      </w:r>
    </w:p>
    <w:p>
      <w:pPr>
        <w:spacing w:after="0" w:line="89" w:lineRule="exact"/>
        <w:rPr>
          <w:sz w:val="20"/>
          <w:szCs w:val="20"/>
          <w:color w:val="auto"/>
        </w:rPr>
      </w:pPr>
    </w:p>
    <w:p>
      <w:pPr>
        <w:ind w:right="2399"/>
        <w:spacing w:after="0" w:line="273" w:lineRule="auto"/>
        <w:rPr>
          <w:sz w:val="20"/>
          <w:szCs w:val="20"/>
          <w:color w:val="auto"/>
        </w:rPr>
      </w:pPr>
      <w:r>
        <w:rPr>
          <w:rFonts w:ascii="Courier New" w:cs="Courier New" w:eastAsia="Courier New" w:hAnsi="Courier New"/>
          <w:sz w:val="16"/>
          <w:szCs w:val="16"/>
          <w:color w:val="auto"/>
        </w:rPr>
        <w:t>A 42% increase in second quarter fiscal 2001 sales in Europe over the same prior year quarter was partially offset by a 9% decrease in North American sales. For the six months ended May 5, 2001, sales increased in all regions, with the largest increase occurring in Europe. International sales in the second quarter of fiscal 2001 represented 61% of total sales compared to 56% in the second quarter of fiscal 2000.</w:t>
      </w:r>
    </w:p>
    <w:p>
      <w:pPr>
        <w:spacing w:after="0" w:line="79" w:lineRule="exact"/>
        <w:rPr>
          <w:sz w:val="20"/>
          <w:szCs w:val="20"/>
          <w:color w:val="auto"/>
        </w:rPr>
      </w:pPr>
    </w:p>
    <w:p>
      <w:pPr>
        <w:ind w:right="2499"/>
        <w:spacing w:after="0" w:line="269" w:lineRule="auto"/>
        <w:rPr>
          <w:sz w:val="20"/>
          <w:szCs w:val="20"/>
          <w:color w:val="auto"/>
        </w:rPr>
      </w:pPr>
      <w:r>
        <w:rPr>
          <w:rFonts w:ascii="Courier New" w:cs="Courier New" w:eastAsia="Courier New" w:hAnsi="Courier New"/>
          <w:sz w:val="16"/>
          <w:szCs w:val="16"/>
          <w:color w:val="auto"/>
        </w:rPr>
        <w:t>Although we experienced overall sales growth in the three months and six months ended May 5, 2001 over the same prior year periods, deteriorating market conditions have resulted in a 22% sales decline compared to the fiscal quarter ended February 3, 2001, as the OEM and distributor channels continued to struggle with excess inventories and uncertain demand. We anticipate continued weak market conditions to result in a 10% decline in sequential revenue for our third quarter of fiscal 2001.</w:t>
      </w:r>
    </w:p>
    <w:p>
      <w:pPr>
        <w:spacing w:after="0" w:line="82" w:lineRule="exact"/>
        <w:rPr>
          <w:sz w:val="20"/>
          <w:szCs w:val="20"/>
          <w:color w:val="auto"/>
        </w:rPr>
      </w:pPr>
    </w:p>
    <w:p>
      <w:pPr>
        <w:ind w:right="2399"/>
        <w:spacing w:after="0" w:line="260" w:lineRule="auto"/>
        <w:rPr>
          <w:sz w:val="20"/>
          <w:szCs w:val="20"/>
          <w:color w:val="auto"/>
        </w:rPr>
      </w:pPr>
      <w:r>
        <w:rPr>
          <w:rFonts w:ascii="Courier New" w:cs="Courier New" w:eastAsia="Courier New" w:hAnsi="Courier New"/>
          <w:sz w:val="16"/>
          <w:szCs w:val="16"/>
          <w:color w:val="auto"/>
        </w:rPr>
        <w:t>Gross margin was 57.0% for the second quarter of fiscal 2001, an increase of 130 basis points from the 55.7% gross margin achieved in the second quarter of fiscal 2000. The gross margin was 57.9% for the first six months of fiscal 2001, an increase of 290 basis points from the 55.0% gross margin achieved in the first six months of fiscal 2000. For the quarter ended May 5, 2001, the improvement in gross margin was due to a revenue shift to our higher margin analog products partially offset by reduced revenue levels and the impact of additional inventory reserves. For the six months ended May 5, 2001, the improvement in gross margin over the same prior year period was primarily due to the favorable effect of fixed costs allocated across a higher sales base and improved manufacturing efficiencies at our wafer fabrication, assembly and test facilities.</w:t>
      </w:r>
    </w:p>
    <w:p>
      <w:pPr>
        <w:spacing w:after="0" w:line="283" w:lineRule="exact"/>
        <w:rPr>
          <w:sz w:val="20"/>
          <w:szCs w:val="20"/>
          <w:color w:val="auto"/>
        </w:rPr>
      </w:pPr>
    </w:p>
    <w:p>
      <w:pPr>
        <w:ind w:right="2399"/>
        <w:spacing w:after="0" w:line="257" w:lineRule="auto"/>
        <w:rPr>
          <w:sz w:val="20"/>
          <w:szCs w:val="20"/>
          <w:color w:val="auto"/>
        </w:rPr>
      </w:pPr>
      <w:r>
        <w:rPr>
          <w:rFonts w:ascii="Courier New" w:cs="Courier New" w:eastAsia="Courier New" w:hAnsi="Courier New"/>
          <w:sz w:val="16"/>
          <w:szCs w:val="16"/>
          <w:color w:val="auto"/>
        </w:rPr>
        <w:t>Research and development (R&amp;D) expenses were $125 million and $247 million for the three and six months ended May 5, 2001, respectively, compared to $90 million and $173 million for the corresponding periods of fiscal 2000. As a percentage of sales, R&amp;D spending increased during the second quarter of fiscal 2001 to 20.8%, up from 15.5% in the second quarter of fiscal 2000. The increases in R&amp;D spending for both the three months and six months ended May 5, 2001 as compared to the same periods in the prior year are due primarily to increased engineering headcount and related employee expenses to continue development of new products. We expect to continue the development of innovative technologies and processes for new products targeted for broadband and wireless communications applications, imaging, audio and high-performance power and thermal management products for computer and consumer product applications. We believe that a continued commitment to research and development is essential in order to maintain product leadership with our existing products and to provide innovative new product offerings, and therefore we expect to continue to make significant R&amp;D investments in the future.</w:t>
      </w:r>
    </w:p>
    <w:p>
      <w:pPr>
        <w:spacing w:after="0" w:line="90"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75" w:right="1440" w:bottom="3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12</w:t>
      </w:r>
    </w:p>
    <w:p>
      <w:pPr>
        <w:spacing w:after="0" w:line="383" w:lineRule="exact"/>
        <w:rPr>
          <w:sz w:val="20"/>
          <w:szCs w:val="20"/>
          <w:color w:val="auto"/>
        </w:rPr>
      </w:pPr>
    </w:p>
    <w:p>
      <w:pPr>
        <w:ind w:right="2399"/>
        <w:spacing w:after="0" w:line="269" w:lineRule="auto"/>
        <w:rPr>
          <w:sz w:val="20"/>
          <w:szCs w:val="20"/>
          <w:color w:val="auto"/>
        </w:rPr>
      </w:pPr>
      <w:r>
        <w:rPr>
          <w:rFonts w:ascii="Courier New" w:cs="Courier New" w:eastAsia="Courier New" w:hAnsi="Courier New"/>
          <w:sz w:val="16"/>
          <w:szCs w:val="16"/>
          <w:color w:val="auto"/>
        </w:rPr>
        <w:t>During the first quarter of fiscal 2001, we recorded a charge of $9.5 million for the write-off of in-process R&amp;D in connection with the acquisition of ChipLogic, Inc. of Santa Clara, California. The total cost of the acquisition was approximately $60 million in common stock and $4 million in cash, with additional contingent consideration of 489,375 shares of common stock payable if ChipLogic achieves certain operational objectives. The contingent consideration is expected to be accounted for as acquisition-related expense.</w:t>
      </w:r>
    </w:p>
    <w:p>
      <w:pPr>
        <w:spacing w:after="0" w:line="82" w:lineRule="exact"/>
        <w:rPr>
          <w:sz w:val="20"/>
          <w:szCs w:val="20"/>
          <w:color w:val="auto"/>
        </w:rPr>
      </w:pPr>
    </w:p>
    <w:p>
      <w:pPr>
        <w:ind w:right="2399"/>
        <w:spacing w:after="0" w:line="264" w:lineRule="auto"/>
        <w:rPr>
          <w:sz w:val="20"/>
          <w:szCs w:val="20"/>
          <w:color w:val="auto"/>
        </w:rPr>
      </w:pPr>
      <w:r>
        <w:rPr>
          <w:rFonts w:ascii="Courier New" w:cs="Courier New" w:eastAsia="Courier New" w:hAnsi="Courier New"/>
          <w:sz w:val="16"/>
          <w:szCs w:val="16"/>
          <w:color w:val="auto"/>
        </w:rPr>
        <w:t>Amortization of intangibles was $14 million and $24 million in the three and six months ended May 5, 2001, respectively, compared to $0.7 million and $1.2 million in the three and six months ended April 29, 2000, respectively. The quarter over quarter and year over year increases in amortization were attributable to the amortization of goodwill associated with the acquisition of BCO Technologies plc, Ltd. completed in the fourth quarter of fiscal 2000, and the acquisitions of Thomas Neuroth AG, Signal Processing Associates Pty. Ltd., Integrated Micro Instruments, Inc., ChipLogic, Inc. and Staccato Systems, Inc. completed in the first quarter of fiscal 2001.</w:t>
      </w:r>
    </w:p>
    <w:p>
      <w:pPr>
        <w:spacing w:after="0" w:line="85" w:lineRule="exact"/>
        <w:rPr>
          <w:sz w:val="20"/>
          <w:szCs w:val="20"/>
          <w:color w:val="auto"/>
        </w:rPr>
      </w:pPr>
    </w:p>
    <w:p>
      <w:pPr>
        <w:ind w:right="2399"/>
        <w:spacing w:after="0" w:line="266" w:lineRule="auto"/>
        <w:rPr>
          <w:sz w:val="20"/>
          <w:szCs w:val="20"/>
          <w:color w:val="auto"/>
        </w:rPr>
      </w:pPr>
      <w:r>
        <w:rPr>
          <w:rFonts w:ascii="Courier New" w:cs="Courier New" w:eastAsia="Courier New" w:hAnsi="Courier New"/>
          <w:sz w:val="16"/>
          <w:szCs w:val="16"/>
          <w:color w:val="auto"/>
        </w:rPr>
        <w:t>Selling, marketing, general &amp; administrative (SMG&amp;A) expenses for the second quarter of fiscal 2001 were $78 million, an increase of $7 million from the $71 million reported for the second quarter of fiscal 2000. SMG&amp;A expenses for the six months ended May 5, 2001 were $163 million, compared to $136 million for the six months ended April 29, 2000. In the second quarter of fiscal 2001, SMG&amp;A expenses as a percentage of sales remained relatively flat to the same period in the prior year, despite slightly higher sales, which reflects our continuing control over SMG&amp;A spending.</w:t>
      </w:r>
    </w:p>
    <w:p>
      <w:pPr>
        <w:spacing w:after="0" w:line="84" w:lineRule="exact"/>
        <w:rPr>
          <w:sz w:val="20"/>
          <w:szCs w:val="20"/>
          <w:color w:val="auto"/>
        </w:rPr>
      </w:pPr>
    </w:p>
    <w:p>
      <w:pPr>
        <w:ind w:right="2599"/>
        <w:spacing w:after="0" w:line="280" w:lineRule="auto"/>
        <w:rPr>
          <w:sz w:val="20"/>
          <w:szCs w:val="20"/>
          <w:color w:val="auto"/>
        </w:rPr>
      </w:pPr>
      <w:r>
        <w:rPr>
          <w:rFonts w:ascii="Courier New" w:cs="Courier New" w:eastAsia="Courier New" w:hAnsi="Courier New"/>
          <w:sz w:val="16"/>
          <w:szCs w:val="16"/>
          <w:color w:val="auto"/>
        </w:rPr>
        <w:t>Interest expense was $16 million and $33 million for the three and six months ended May 5, 2001, respectively, and $1 million and $3 million for the same prior year periods. These significant increases in interest expense were a result of the issuance of $1.2 billion of 4.75% convertible subordinated notes in the fourth quarter of fiscal 2000.</w:t>
      </w:r>
    </w:p>
    <w:p>
      <w:pPr>
        <w:spacing w:after="0" w:line="70" w:lineRule="exact"/>
        <w:rPr>
          <w:sz w:val="20"/>
          <w:szCs w:val="20"/>
          <w:color w:val="auto"/>
        </w:rPr>
      </w:pPr>
    </w:p>
    <w:p>
      <w:pPr>
        <w:ind w:right="2499"/>
        <w:spacing w:after="0" w:line="273" w:lineRule="auto"/>
        <w:rPr>
          <w:sz w:val="20"/>
          <w:szCs w:val="20"/>
          <w:color w:val="auto"/>
        </w:rPr>
      </w:pPr>
      <w:r>
        <w:rPr>
          <w:rFonts w:ascii="Courier New" w:cs="Courier New" w:eastAsia="Courier New" w:hAnsi="Courier New"/>
          <w:sz w:val="16"/>
          <w:szCs w:val="16"/>
          <w:color w:val="auto"/>
        </w:rPr>
        <w:t>Interest income was $36 million and $77 million for the three and six months ended May 5, 2001, respectively, and $14 million and $26 million for the same prior year periods. These increases in interest income were attributable to the interest earned on higher cash balances resulting from increased cash flow from operations as well as the unused portion of the funds from the issuance of the 4.75% convertible subordinated notes in the fourth quarter of fiscal 2000.</w:t>
      </w:r>
    </w:p>
    <w:p>
      <w:pPr>
        <w:spacing w:after="0" w:line="79" w:lineRule="exact"/>
        <w:rPr>
          <w:sz w:val="20"/>
          <w:szCs w:val="20"/>
          <w:color w:val="auto"/>
        </w:rPr>
      </w:pPr>
    </w:p>
    <w:p>
      <w:pPr>
        <w:ind w:right="2499"/>
        <w:spacing w:after="0" w:line="280" w:lineRule="auto"/>
        <w:rPr>
          <w:sz w:val="20"/>
          <w:szCs w:val="20"/>
          <w:color w:val="auto"/>
        </w:rPr>
      </w:pPr>
      <w:r>
        <w:rPr>
          <w:rFonts w:ascii="Courier New" w:cs="Courier New" w:eastAsia="Courier New" w:hAnsi="Courier New"/>
          <w:sz w:val="16"/>
          <w:szCs w:val="16"/>
          <w:color w:val="auto"/>
        </w:rPr>
        <w:t>During the first quarter of fiscal 2001, we completed the sale of our remaining investment in WaferTech, LLC to Taiwan Semiconductor Manufacturing Company for approximately $61 million. We recorded a pretax realized gain on the sale of this investment of approximately $28 million, which is included in other nonoperating income.</w:t>
      </w:r>
    </w:p>
    <w:p>
      <w:pPr>
        <w:spacing w:after="0" w:line="70" w:lineRule="exact"/>
        <w:rPr>
          <w:sz w:val="20"/>
          <w:szCs w:val="20"/>
          <w:color w:val="auto"/>
        </w:rPr>
      </w:pPr>
    </w:p>
    <w:p>
      <w:pPr>
        <w:ind w:right="2499"/>
        <w:spacing w:after="0" w:line="273" w:lineRule="auto"/>
        <w:rPr>
          <w:sz w:val="20"/>
          <w:szCs w:val="20"/>
          <w:color w:val="auto"/>
        </w:rPr>
      </w:pPr>
      <w:r>
        <w:rPr>
          <w:rFonts w:ascii="Courier New" w:cs="Courier New" w:eastAsia="Courier New" w:hAnsi="Courier New"/>
          <w:sz w:val="16"/>
          <w:szCs w:val="16"/>
          <w:color w:val="auto"/>
        </w:rPr>
        <w:t>Our effective income tax rate for the second quarter of fiscal 2001 remained relatively to the prior year quarter at approximately 30%. The effective income tax rate increased to 31.1% for the first six months of fiscal 2001 from 28.7% for the first six months of fiscal 2000, primarily due to a shift in the mix of worldwide profits as well as a taxable gain on the sale of our WaferTech investment in the first quarter of fiscal 2001.</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5" w:lineRule="exact"/>
        <w:rPr>
          <w:sz w:val="20"/>
          <w:szCs w:val="20"/>
          <w:color w:val="auto"/>
        </w:rPr>
      </w:pPr>
    </w:p>
    <w:p>
      <w:pPr>
        <w:ind w:right="2399"/>
        <w:spacing w:after="0" w:line="261" w:lineRule="auto"/>
        <w:rPr>
          <w:sz w:val="20"/>
          <w:szCs w:val="20"/>
          <w:color w:val="auto"/>
        </w:rPr>
      </w:pPr>
      <w:r>
        <w:rPr>
          <w:rFonts w:ascii="Courier New" w:cs="Courier New" w:eastAsia="Courier New" w:hAnsi="Courier New"/>
          <w:sz w:val="16"/>
          <w:szCs w:val="16"/>
          <w:color w:val="auto"/>
        </w:rPr>
        <w:t>At May 5, 2001, cash, cash equivalents and short-term investments totaled $2,510 million, an increase of $274 million from the fourth quarter of fiscal 2000 and an increase of $1,578 million from the second quarter of fiscal 2000. The increase in cash, cash equivalents and short-term investments in the first six months of fiscal 2001 was primarily due to operating cash inflows of $510 million and approximately $61 million received in the first quarter for the sale of an investment, partially offset by increased capital expenditures and payments for acquisitions. The year-over-year increase in cash, cash equivalents and short-term investments was primarily due to increased operating cash flows and $1,172 million of proceeds from the issuance of our 4.75% convertible subordinated notes in the fourth quarter of fiscal 2000.</w:t>
      </w:r>
    </w:p>
    <w:p>
      <w:pPr>
        <w:spacing w:after="0" w:line="87" w:lineRule="exact"/>
        <w:rPr>
          <w:sz w:val="20"/>
          <w:szCs w:val="20"/>
          <w:color w:val="auto"/>
        </w:rPr>
      </w:pPr>
    </w:p>
    <w:p>
      <w:pPr>
        <w:ind w:right="2599"/>
        <w:spacing w:after="0" w:line="290" w:lineRule="auto"/>
        <w:rPr>
          <w:sz w:val="20"/>
          <w:szCs w:val="20"/>
          <w:color w:val="auto"/>
        </w:rPr>
      </w:pPr>
      <w:r>
        <w:rPr>
          <w:rFonts w:ascii="Courier New" w:cs="Courier New" w:eastAsia="Courier New" w:hAnsi="Courier New"/>
          <w:sz w:val="16"/>
          <w:szCs w:val="16"/>
          <w:color w:val="auto"/>
        </w:rPr>
        <w:t>Accounts receivable totaled $344 million at the end of the second quarter of fiscal 2001, a decrease of $120 million from the fourth quarter of fiscal 2000 primarily due to a 22% sequential decline in sales. Days sales outstanding slightly improved from 53 days at April 29, 2000 to 52 days at May 5, 2001.</w:t>
      </w:r>
    </w:p>
    <w:p>
      <w:pPr>
        <w:spacing w:after="0" w:line="64" w:lineRule="exact"/>
        <w:rPr>
          <w:sz w:val="20"/>
          <w:szCs w:val="20"/>
          <w:color w:val="auto"/>
        </w:rPr>
      </w:pPr>
    </w:p>
    <w:p>
      <w:pPr>
        <w:ind w:right="2599"/>
        <w:spacing w:after="0" w:line="280" w:lineRule="auto"/>
        <w:rPr>
          <w:sz w:val="20"/>
          <w:szCs w:val="20"/>
          <w:color w:val="auto"/>
        </w:rPr>
      </w:pPr>
      <w:r>
        <w:rPr>
          <w:rFonts w:ascii="Courier New" w:cs="Courier New" w:eastAsia="Courier New" w:hAnsi="Courier New"/>
          <w:sz w:val="16"/>
          <w:szCs w:val="16"/>
          <w:color w:val="auto"/>
        </w:rPr>
        <w:t>Inventories of $319 million at May 5, 2001 were $13 million lower than the inventory levels at October 28, 2000 and $38 million higher than at the end of the second quarter of fiscal 2000. At May 5, 2001, days cost of sales in inventory increased to 119 days from 94 days at April 29, 2000 as demand continues to decline from the prior year record high levels.</w:t>
      </w:r>
    </w:p>
    <w:p>
      <w:pPr>
        <w:spacing w:after="0" w:line="25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75" w:right="1440" w:bottom="405"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13</w:t>
      </w:r>
    </w:p>
    <w:p>
      <w:pPr>
        <w:spacing w:after="0" w:line="383" w:lineRule="exact"/>
        <w:rPr>
          <w:sz w:val="20"/>
          <w:szCs w:val="20"/>
          <w:color w:val="auto"/>
        </w:rPr>
      </w:pPr>
    </w:p>
    <w:p>
      <w:pPr>
        <w:ind w:right="2499"/>
        <w:spacing w:after="0" w:line="290" w:lineRule="auto"/>
        <w:rPr>
          <w:sz w:val="20"/>
          <w:szCs w:val="20"/>
          <w:color w:val="auto"/>
        </w:rPr>
      </w:pPr>
      <w:r>
        <w:rPr>
          <w:rFonts w:ascii="Courier New" w:cs="Courier New" w:eastAsia="Courier New" w:hAnsi="Courier New"/>
          <w:sz w:val="16"/>
          <w:szCs w:val="16"/>
          <w:color w:val="auto"/>
        </w:rPr>
        <w:t>During the first quarter of fiscal 2001, we completed the sale of our remaining investment in WaferTech, LLC to Taiwan Semiconductor Manufacturing Company for approximately $61 million. We recorded a pretax realized gain on the sale of this investment of approximately $28 million.</w:t>
      </w:r>
    </w:p>
    <w:p>
      <w:pPr>
        <w:spacing w:after="0" w:line="64" w:lineRule="exact"/>
        <w:rPr>
          <w:sz w:val="20"/>
          <w:szCs w:val="20"/>
          <w:color w:val="auto"/>
        </w:rPr>
      </w:pPr>
    </w:p>
    <w:p>
      <w:pPr>
        <w:ind w:right="2399"/>
        <w:spacing w:after="0" w:line="262" w:lineRule="auto"/>
        <w:rPr>
          <w:sz w:val="20"/>
          <w:szCs w:val="20"/>
          <w:color w:val="auto"/>
        </w:rPr>
      </w:pPr>
      <w:r>
        <w:rPr>
          <w:rFonts w:ascii="Courier New" w:cs="Courier New" w:eastAsia="Courier New" w:hAnsi="Courier New"/>
          <w:sz w:val="16"/>
          <w:szCs w:val="16"/>
          <w:color w:val="auto"/>
        </w:rPr>
        <w:t>Net additions to property, plant and equipment of $235 million for the first six months of fiscal 2001 were funded with a combination of cash on hand and cash generated from operations. Capital spending in the first six months of fiscal 2001 was up substantially from the $93 million spent in the first six months of fiscal 2000. We had expanded our manufacturing capacity over the last few quarters as demand for our products increased rapidly. Because of the recent slowdown in our served markets, we have curtailed our capital spending but continue to add strategic capacity in anticipation of a resumption of growth. We currently plan to make capital expenditures of approximately $355 million during fiscal 2001.</w:t>
      </w:r>
    </w:p>
    <w:p>
      <w:pPr>
        <w:spacing w:after="0" w:line="89" w:lineRule="exact"/>
        <w:rPr>
          <w:sz w:val="20"/>
          <w:szCs w:val="20"/>
          <w:color w:val="auto"/>
        </w:rPr>
      </w:pPr>
    </w:p>
    <w:p>
      <w:pPr>
        <w:ind w:right="2399"/>
        <w:spacing w:after="0" w:line="253" w:lineRule="auto"/>
        <w:rPr>
          <w:sz w:val="20"/>
          <w:szCs w:val="20"/>
          <w:color w:val="auto"/>
        </w:rPr>
      </w:pPr>
      <w:r>
        <w:rPr>
          <w:rFonts w:ascii="Courier New" w:cs="Courier New" w:eastAsia="Courier New" w:hAnsi="Courier New"/>
          <w:sz w:val="16"/>
          <w:szCs w:val="16"/>
          <w:color w:val="auto"/>
        </w:rPr>
        <w:t>During the first quarter of fiscal 2001, we completed several acquisitions. On October 31, 2000, we acquired Thomas Neuroth AG (Neuroth) of Vienna, Austria for approximately $4 million in cash, with additional contingent cash consideration of up to $4 million payable if certain operational objectives are achieved. Neuroth is a developer of highly integrated circuits for symmetric DSL broadband access. On November 10, 2000, we acquired Signal Processing Associates Pty. Ltd., (SPA) of Victoria, Australia for approximately $3 million in cash, with additional contingent cash consideration of up to $1.5 million payable if certain operational objectives are achieved. SPA is a developer and supplier of voice processing and fax/data relay software for telecommunications applications. On December 18, 2000, we acquired Integrated Micro Instruments, Inc. (IMI) of Berkeley, California for approximately $1 million in cash and 13,750 shares of our common stock, with an additional 50,000 shares of common stock issuable over the next five years upon the satisfaction of certain conditions. IMI develops MEMS process designs. On January 4, 2001, we acquired ChipLogic, Inc. (ChipLogic) of Santa Clara, California for approximately 1 million shares of our common stock, with 489,375 shares of additional common stock issuable if certain operational objectives are achieved. In the second quarter of fiscal 2001, approximately $1.4 million of expense was recorded related to 44,000 shares of common stock to be issued related to the achievement of certain of these objectives. ChipLogic is a developer of high-performance integrated circuits and software focused on the convergence of voice, broadband access and network protocol processing. On January 16, 2001, we acquired Staccato Systems, Inc. (Staccato) of Mountain View, California for approximately $23 million in cash, with additional contingent cash consideration of up to $7 million payable if certain operational objectives are achieved. Approximately $2 million of the contingent consideration has been paid. Staccato is in the field of audio synthesis technology.</w:t>
      </w:r>
    </w:p>
    <w:p>
      <w:pPr>
        <w:spacing w:after="0" w:line="101" w:lineRule="exact"/>
        <w:rPr>
          <w:sz w:val="20"/>
          <w:szCs w:val="20"/>
          <w:color w:val="auto"/>
        </w:rPr>
      </w:pPr>
    </w:p>
    <w:p>
      <w:pPr>
        <w:ind w:right="2499"/>
        <w:spacing w:after="0" w:line="373" w:lineRule="auto"/>
        <w:rPr>
          <w:sz w:val="20"/>
          <w:szCs w:val="20"/>
          <w:color w:val="auto"/>
        </w:rPr>
      </w:pPr>
      <w:r>
        <w:rPr>
          <w:rFonts w:ascii="Courier New" w:cs="Courier New" w:eastAsia="Courier New" w:hAnsi="Courier New"/>
          <w:sz w:val="16"/>
          <w:szCs w:val="16"/>
          <w:color w:val="auto"/>
        </w:rPr>
        <w:t>At May 5, 2001, our principal sources of liquidity were $2,510 million of cash, cash equivalents and short-term investments.</w:t>
      </w:r>
    </w:p>
    <w:p>
      <w:pPr>
        <w:ind w:right="2699"/>
        <w:spacing w:after="0" w:line="290" w:lineRule="auto"/>
        <w:rPr>
          <w:sz w:val="20"/>
          <w:szCs w:val="20"/>
          <w:color w:val="auto"/>
        </w:rPr>
      </w:pPr>
      <w:r>
        <w:rPr>
          <w:rFonts w:ascii="Courier New" w:cs="Courier New" w:eastAsia="Courier New" w:hAnsi="Courier New"/>
          <w:sz w:val="16"/>
          <w:szCs w:val="16"/>
          <w:color w:val="auto"/>
        </w:rPr>
        <w:t>We believe that our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pacing w:after="0" w:line="25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75"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14</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Factors Which May Affect Future Results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experience material fluctuations in future operating results.</w:t>
      </w:r>
    </w:p>
    <w:p>
      <w:pPr>
        <w:spacing w:after="0" w:line="195" w:lineRule="exact"/>
        <w:rPr>
          <w:sz w:val="20"/>
          <w:szCs w:val="20"/>
          <w:color w:val="auto"/>
        </w:rPr>
      </w:pPr>
    </w:p>
    <w:p>
      <w:pPr>
        <w:ind w:right="2399"/>
        <w:spacing w:after="0" w:line="256" w:lineRule="auto"/>
        <w:rPr>
          <w:sz w:val="20"/>
          <w:szCs w:val="20"/>
          <w:color w:val="auto"/>
        </w:rPr>
      </w:pPr>
      <w:r>
        <w:rPr>
          <w:rFonts w:ascii="Courier New" w:cs="Courier New" w:eastAsia="Courier New" w:hAnsi="Courier New"/>
          <w:sz w:val="16"/>
          <w:szCs w:val="16"/>
          <w:color w:val="auto"/>
        </w:rPr>
        <w:t>Our future operating results are difficult to predict and may be affected by a number of factors including the timing of new product announcements or introductions by us and our competitors, competitive pricing pressures, fluctuations in manufacturing yields, adequate availability of wafers and manufacturing capacity, the effects of adverse changes in overall economic conditions, the risk that our backlog could decline significantly, our ability to continue hiring engineers and other qualified employees needed to meet the expected demands of our largest customers and changes in product mix and economic conditions in the United States and international markets. In addition, the semiconductor market has historically been cyclical and subject to significant economic downturns at various times, including the recent decline in demand experienced during the first six months of fiscal 2001.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96" w:lineRule="exact"/>
        <w:rPr>
          <w:sz w:val="20"/>
          <w:szCs w:val="20"/>
          <w:color w:val="auto"/>
        </w:rPr>
      </w:pPr>
    </w:p>
    <w:p>
      <w:pPr>
        <w:ind w:right="2599"/>
        <w:spacing w:after="0" w:line="373" w:lineRule="auto"/>
        <w:rPr>
          <w:sz w:val="20"/>
          <w:szCs w:val="20"/>
          <w:color w:val="auto"/>
        </w:rPr>
      </w:pPr>
      <w:r>
        <w:rPr>
          <w:rFonts w:ascii="Courier New" w:cs="Courier New" w:eastAsia="Courier New" w:hAnsi="Courier New"/>
          <w:sz w:val="16"/>
          <w:szCs w:val="16"/>
          <w:color w:val="auto"/>
        </w:rPr>
        <w:t>Our future success depends upon our ability to develop and market new products and enter new markets.</w:t>
      </w:r>
    </w:p>
    <w:p>
      <w:pPr>
        <w:ind w:right="2399"/>
        <w:spacing w:after="0" w:line="260" w:lineRule="auto"/>
        <w:rPr>
          <w:sz w:val="20"/>
          <w:szCs w:val="20"/>
          <w:color w:val="auto"/>
        </w:rPr>
      </w:pPr>
      <w:r>
        <w:rPr>
          <w:rFonts w:ascii="Courier New" w:cs="Courier New" w:eastAsia="Courier New" w:hAnsi="Courier New"/>
          <w:sz w:val="16"/>
          <w:szCs w:val="16"/>
          <w:color w:val="auto"/>
        </w:rPr>
        <w:t>Our success depends in part on our continued ability to develop and market new products. There can be no assurance that we will be able to develop and introduce new products in a timely manner or that new products, if developed, will achieve market acceptance.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Also, some of our customers in these markets are less well established, which could subject us to increased credit risk.</w:t>
      </w:r>
    </w:p>
    <w:p>
      <w:pPr>
        <w:spacing w:after="0" w:line="87" w:lineRule="exact"/>
        <w:rPr>
          <w:sz w:val="20"/>
          <w:szCs w:val="20"/>
          <w:color w:val="auto"/>
        </w:rPr>
      </w:pPr>
    </w:p>
    <w:p>
      <w:pPr>
        <w:ind w:right="2499"/>
        <w:spacing w:after="0" w:line="373" w:lineRule="auto"/>
        <w:rPr>
          <w:sz w:val="20"/>
          <w:szCs w:val="20"/>
          <w:color w:val="auto"/>
        </w:rPr>
      </w:pPr>
      <w:r>
        <w:rPr>
          <w:rFonts w:ascii="Courier New" w:cs="Courier New" w:eastAsia="Courier New" w:hAnsi="Courier New"/>
          <w:sz w:val="16"/>
          <w:szCs w:val="16"/>
          <w:color w:val="auto"/>
        </w:rPr>
        <w:t>We may not be able to compete successfully in the semiconductor industry in the future.</w:t>
      </w:r>
    </w:p>
    <w:p>
      <w:pPr>
        <w:ind w:right="2399"/>
        <w:spacing w:after="0" w:line="264" w:lineRule="auto"/>
        <w:rPr>
          <w:sz w:val="20"/>
          <w:szCs w:val="20"/>
          <w:color w:val="auto"/>
        </w:rPr>
      </w:pPr>
      <w:r>
        <w:rPr>
          <w:rFonts w:ascii="Courier New" w:cs="Courier New" w:eastAsia="Courier New" w:hAnsi="Courier New"/>
          <w:sz w:val="16"/>
          <w:szCs w:val="16"/>
          <w:color w:val="auto"/>
        </w:rPr>
        <w:t>The semiconductor industry is intensely competitive. Some of our competitors have greater technical, marketing, manufacturing and financial resources than we do. Our competitors also include emerging companies attempting to sell products to specialized markets such as those that we serve. Our competitors have, in some cases, developed and marketed products having similar design and functionality as our products. There can be no assurance that we will be able to compete successfully in the future against existing or new competitors or that our operating results will not be adversely affected by increased price competition.</w:t>
      </w:r>
    </w:p>
    <w:p>
      <w:pPr>
        <w:spacing w:after="0" w:line="285" w:lineRule="exact"/>
        <w:rPr>
          <w:sz w:val="20"/>
          <w:szCs w:val="20"/>
          <w:color w:val="auto"/>
        </w:rPr>
      </w:pPr>
    </w:p>
    <w:p>
      <w:pPr>
        <w:ind w:right="2499"/>
        <w:spacing w:after="0" w:line="373" w:lineRule="auto"/>
        <w:rPr>
          <w:sz w:val="20"/>
          <w:szCs w:val="20"/>
          <w:color w:val="auto"/>
        </w:rPr>
      </w:pPr>
      <w:r>
        <w:rPr>
          <w:rFonts w:ascii="Courier New" w:cs="Courier New" w:eastAsia="Courier New" w:hAnsi="Courier New"/>
          <w:sz w:val="16"/>
          <w:szCs w:val="16"/>
          <w:color w:val="auto"/>
        </w:rPr>
        <w:t>We may not be able to satisfy increasing demand for our products, and increased production may lead to overcapacity and lower prices.</w:t>
      </w:r>
    </w:p>
    <w:p>
      <w:pPr>
        <w:ind w:right="2399"/>
        <w:spacing w:after="0" w:line="257" w:lineRule="auto"/>
        <w:rPr>
          <w:sz w:val="20"/>
          <w:szCs w:val="20"/>
          <w:color w:val="auto"/>
        </w:rPr>
      </w:pPr>
      <w:r>
        <w:rPr>
          <w:rFonts w:ascii="Courier New" w:cs="Courier New" w:eastAsia="Courier New" w:hAnsi="Courier New"/>
          <w:sz w:val="16"/>
          <w:szCs w:val="16"/>
          <w:color w:val="auto"/>
        </w:rPr>
        <w:t>The cyclical nature of the semiconductor industry has resulted in sustained or short-term periods when demand for our products has increased or decreased rapidly. We and the semiconductor industry experienced a period of rapid increases in demand in fiscal 1999 and 2001, and as a result we have increased our manufacturing capacity through both expansion of our production facilities and increased access to third-party foundries. However, we cannot be sure that we will not encounter unanticipated production problems at either our own facilities or at third-party foundries, or that the increased capacity will be sufficient to satisfy demand for our products. We believe that other semiconductor manufacturers have expanded their production capacity over the past several years. This expansion by us and our competitors, or continuation of the decline in the demand for semiconductor products that began in early fiscal 2001, has led to overcapacity in our target markets, which has resulted in a decline in our growth rate and could lead to price erosion that would adversely affect our operating results.</w:t>
      </w:r>
    </w:p>
    <w:p>
      <w:pPr>
        <w:spacing w:after="0" w:line="96" w:lineRule="exact"/>
        <w:rPr>
          <w:sz w:val="20"/>
          <w:szCs w:val="20"/>
          <w:color w:val="auto"/>
        </w:rPr>
      </w:pPr>
    </w:p>
    <w:p>
      <w:pPr>
        <w:ind w:right="2879"/>
        <w:spacing w:after="0" w:line="311" w:lineRule="auto"/>
        <w:rPr>
          <w:sz w:val="20"/>
          <w:szCs w:val="20"/>
          <w:color w:val="auto"/>
        </w:rPr>
      </w:pPr>
      <w:r>
        <w:rPr>
          <w:rFonts w:ascii="Courier New" w:cs="Courier New" w:eastAsia="Courier New" w:hAnsi="Courier New"/>
          <w:sz w:val="16"/>
          <w:szCs w:val="16"/>
          <w:color w:val="auto"/>
        </w:rPr>
        <w:t>We rely on third-party subcontractors and manufacturers for some industry-standard wafers and therefore cannot control their availability or conditions of supply.</w:t>
      </w:r>
    </w:p>
    <w:p>
      <w:pPr>
        <w:spacing w:after="0" w:line="47" w:lineRule="exact"/>
        <w:rPr>
          <w:sz w:val="20"/>
          <w:szCs w:val="20"/>
          <w:color w:val="auto"/>
        </w:rPr>
      </w:pPr>
    </w:p>
    <w:p>
      <w:pPr>
        <w:ind w:right="2499"/>
        <w:spacing w:after="0" w:line="280" w:lineRule="auto"/>
        <w:rPr>
          <w:sz w:val="20"/>
          <w:szCs w:val="20"/>
          <w:color w:val="auto"/>
        </w:rPr>
      </w:pPr>
      <w:r>
        <w:rPr>
          <w:rFonts w:ascii="Courier New" w:cs="Courier New" w:eastAsia="Courier New" w:hAnsi="Courier New"/>
          <w:sz w:val="16"/>
          <w:szCs w:val="16"/>
          <w:color w:val="auto"/>
        </w:rPr>
        <w:t>We rely, and plan to continue to rely, on assembly and test subcontractors and on third-party wafer fabricators to supply most of our wafers that can be manufactured using industry-standard digital processes. This reliance involves several risks, including reduced control over delivery schedules, manufacturing yields and costs.</w:t>
      </w:r>
    </w:p>
    <w:p>
      <w:pPr>
        <w:spacing w:after="0" w:line="25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75" w:right="1440" w:bottom="3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15</w:t>
      </w:r>
    </w:p>
    <w:p>
      <w:pPr>
        <w:spacing w:after="0" w:line="383" w:lineRule="exact"/>
        <w:rPr>
          <w:sz w:val="20"/>
          <w:szCs w:val="20"/>
          <w:color w:val="auto"/>
        </w:rPr>
      </w:pPr>
    </w:p>
    <w:p>
      <w:pPr>
        <w:ind w:right="3179"/>
        <w:spacing w:after="0" w:line="373" w:lineRule="auto"/>
        <w:rPr>
          <w:sz w:val="20"/>
          <w:szCs w:val="20"/>
          <w:color w:val="auto"/>
        </w:rPr>
      </w:pPr>
      <w:r>
        <w:rPr>
          <w:rFonts w:ascii="Courier New" w:cs="Courier New" w:eastAsia="Courier New" w:hAnsi="Courier New"/>
          <w:sz w:val="16"/>
          <w:szCs w:val="16"/>
          <w:color w:val="auto"/>
        </w:rPr>
        <w:t>Our revenues may not increase enough to offset the expense of additional capacity.</w:t>
      </w:r>
    </w:p>
    <w:p>
      <w:pPr>
        <w:ind w:right="2399"/>
        <w:spacing w:after="0" w:line="280" w:lineRule="auto"/>
        <w:rPr>
          <w:sz w:val="20"/>
          <w:szCs w:val="20"/>
          <w:color w:val="auto"/>
        </w:rPr>
      </w:pPr>
      <w:r>
        <w:rPr>
          <w:rFonts w:ascii="Courier New" w:cs="Courier New" w:eastAsia="Courier New" w:hAnsi="Courier New"/>
          <w:sz w:val="16"/>
          <w:szCs w:val="16"/>
          <w:color w:val="auto"/>
        </w:rPr>
        <w:t>Our capacity additions resulted in a significant increase in operating expenses. If revenue levels do not increase enough to offset these additional expense levels, our future operating results could be adversely affected. In addition, asset values could be impaired if the additional capacity is underutilized for an extended period of time.</w:t>
      </w:r>
    </w:p>
    <w:p>
      <w:pPr>
        <w:spacing w:after="0" w:line="70" w:lineRule="exact"/>
        <w:rPr>
          <w:sz w:val="20"/>
          <w:szCs w:val="20"/>
          <w:color w:val="auto"/>
        </w:rPr>
      </w:pPr>
    </w:p>
    <w:p>
      <w:pPr>
        <w:ind w:right="2499"/>
        <w:spacing w:after="0" w:line="373" w:lineRule="auto"/>
        <w:rPr>
          <w:sz w:val="20"/>
          <w:szCs w:val="20"/>
          <w:color w:val="auto"/>
        </w:rPr>
      </w:pPr>
      <w:r>
        <w:rPr>
          <w:rFonts w:ascii="Courier New" w:cs="Courier New" w:eastAsia="Courier New" w:hAnsi="Courier New"/>
          <w:sz w:val="16"/>
          <w:szCs w:val="16"/>
          <w:color w:val="auto"/>
        </w:rPr>
        <w:t>We rely on manufacturing capacity located in geologically unstable areas, which could affect the availability of supplies and services.</w:t>
      </w:r>
    </w:p>
    <w:p>
      <w:pPr>
        <w:ind w:right="2399"/>
        <w:spacing w:after="0" w:line="257" w:lineRule="auto"/>
        <w:rPr>
          <w:sz w:val="20"/>
          <w:szCs w:val="20"/>
          <w:color w:val="auto"/>
        </w:rPr>
      </w:pPr>
      <w:r>
        <w:rPr>
          <w:rFonts w:ascii="Courier New" w:cs="Courier New" w:eastAsia="Courier New" w:hAnsi="Courier New"/>
          <w:sz w:val="16"/>
          <w:szCs w:val="16"/>
          <w:color w:val="auto"/>
        </w:rPr>
        <w:t>We, and many companies in the semiconductor industry, rely on internal manufacturing capacity located in California and Taiwan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 In addition, California is currently experiencing internittent interruption in the availability of electricity. To date the impact on us has been negligible. However, electricity is a critical resource to us, without which our products could not be manufactured at factories exposed to continued lengthy power interruptions. Our future operations in Taiwan may also be affected by recent diplomatic and political tensions involving the governments of the United States and the People's Republic of China involving, among other things, U.S diplomatic support of and arms sales to Taiwan.</w:t>
      </w:r>
    </w:p>
    <w:p>
      <w:pPr>
        <w:spacing w:after="0" w:line="96" w:lineRule="exact"/>
        <w:rPr>
          <w:sz w:val="20"/>
          <w:szCs w:val="20"/>
          <w:color w:val="auto"/>
        </w:rPr>
      </w:pPr>
    </w:p>
    <w:p>
      <w:pPr>
        <w:ind w:right="3379"/>
        <w:spacing w:after="0" w:line="373" w:lineRule="auto"/>
        <w:rPr>
          <w:sz w:val="20"/>
          <w:szCs w:val="20"/>
          <w:color w:val="auto"/>
        </w:rPr>
      </w:pPr>
      <w:r>
        <w:rPr>
          <w:rFonts w:ascii="Courier New" w:cs="Courier New" w:eastAsia="Courier New" w:hAnsi="Courier New"/>
          <w:sz w:val="16"/>
          <w:szCs w:val="16"/>
          <w:color w:val="auto"/>
        </w:rPr>
        <w:t>We are exposed to economic and political risks through our significant international operations.</w:t>
      </w:r>
    </w:p>
    <w:p>
      <w:pPr>
        <w:ind w:right="2399"/>
        <w:spacing w:after="0" w:line="259" w:lineRule="auto"/>
        <w:rPr>
          <w:sz w:val="20"/>
          <w:szCs w:val="20"/>
          <w:color w:val="auto"/>
        </w:rPr>
      </w:pPr>
      <w:r>
        <w:rPr>
          <w:rFonts w:ascii="Courier New" w:cs="Courier New" w:eastAsia="Courier New" w:hAnsi="Courier New"/>
          <w:sz w:val="16"/>
          <w:szCs w:val="16"/>
          <w:color w:val="auto"/>
        </w:rPr>
        <w:t>During the first six months of fiscal 2001, 58% of our revenues were derived from customers in international markets. We have manufacturing facilities outside the United States in Ireland, the United Kingdom, the Philippines and Taiwan. In addition to being exposed to the ongoing economic cycles in the semiconductor industry, we are also subject to the economic and political risks inherent in international operations, including the risks associated with the ongoing uncertainties in many developing economies around the world. These risks include air transportation disruptions, expropriation, currency controls and changes in currency exchange rates, tax and tariff rates and freight rates. Although we engage in hedging transactions to reduce our exposure to currency exchange rate fluctuations, there can be no assurance that our competitive position will not be adversely affected by changes in the exchange rate of the U.S. dollar against other currencies.</w:t>
      </w:r>
    </w:p>
    <w:p>
      <w:pPr>
        <w:spacing w:after="0" w:line="89" w:lineRule="exact"/>
        <w:rPr>
          <w:sz w:val="20"/>
          <w:szCs w:val="20"/>
          <w:color w:val="auto"/>
        </w:rPr>
      </w:pPr>
    </w:p>
    <w:p>
      <w:pPr>
        <w:ind w:right="2499"/>
        <w:spacing w:after="0" w:line="311" w:lineRule="auto"/>
        <w:rPr>
          <w:sz w:val="20"/>
          <w:szCs w:val="20"/>
          <w:color w:val="auto"/>
        </w:rPr>
      </w:pPr>
      <w:r>
        <w:rPr>
          <w:rFonts w:ascii="Courier New" w:cs="Courier New" w:eastAsia="Courier New" w:hAnsi="Courier New"/>
          <w:sz w:val="16"/>
          <w:szCs w:val="16"/>
          <w:color w:val="auto"/>
        </w:rPr>
        <w:t>We are involved in frequent litigation regarding intellectual property rights, which could be costly to undertake and could require us to redesign products or pay significant royalties.</w:t>
      </w:r>
    </w:p>
    <w:p>
      <w:pPr>
        <w:spacing w:after="0" w:line="47" w:lineRule="exact"/>
        <w:rPr>
          <w:sz w:val="20"/>
          <w:szCs w:val="20"/>
          <w:color w:val="auto"/>
        </w:rPr>
      </w:pPr>
    </w:p>
    <w:p>
      <w:pPr>
        <w:ind w:right="2399"/>
        <w:spacing w:after="0" w:line="256" w:lineRule="auto"/>
        <w:rPr>
          <w:sz w:val="20"/>
          <w:szCs w:val="20"/>
          <w:color w:val="auto"/>
        </w:rPr>
      </w:pPr>
      <w:r>
        <w:rPr>
          <w:rFonts w:ascii="Courier New" w:cs="Courier New" w:eastAsia="Courier New" w:hAnsi="Courier New"/>
          <w:sz w:val="16"/>
          <w:szCs w:val="16"/>
          <w:color w:val="auto"/>
        </w:rPr>
        <w:t>The semiconductor industry is characterized by frequent claims and litigation involving patent and other intellectual property rights. We have from time to time received, and may in the future receive, claims from third parties asserting that our products or processes infringe their patents or other intellectual property rights. In the event a third party makes a valid intellectual property claim and a license is not available on commercially reasonable terms, we could be forced either to redesign or to stop production of products incorporating that intellectual property, and our operating results could be materially and adversely affected. Litigation may be necessary to enforce patents or other of our intellectual property rights or to defend us against claims of infringement, and this litigation can be costly and divert the attention of key personnel. See Note 11 of the Notes to our Consolidated Financial Statements for the fiscal year ended October 28, 2000 for information concerning pending litigation involving us. An adverse outcome in this litigation could have a material adverse effect on our consolidated financial position or on our consolidated results of operations or cash flows in the period in which the litigation is resolved.</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Leverage and debt service obligations may adversely affect our cash flow.</w:t>
      </w:r>
    </w:p>
    <w:p>
      <w:pPr>
        <w:spacing w:after="0" w:line="195" w:lineRule="exact"/>
        <w:rPr>
          <w:sz w:val="20"/>
          <w:szCs w:val="20"/>
          <w:color w:val="auto"/>
        </w:rPr>
      </w:pPr>
    </w:p>
    <w:p>
      <w:pPr>
        <w:ind w:right="2399"/>
        <w:spacing w:after="0" w:line="261" w:lineRule="auto"/>
        <w:rPr>
          <w:sz w:val="20"/>
          <w:szCs w:val="20"/>
          <w:color w:val="auto"/>
        </w:rPr>
      </w:pPr>
      <w:r>
        <w:rPr>
          <w:rFonts w:ascii="Courier New" w:cs="Courier New" w:eastAsia="Courier New" w:hAnsi="Courier New"/>
          <w:sz w:val="16"/>
          <w:szCs w:val="16"/>
          <w:color w:val="auto"/>
        </w:rPr>
        <w:t>We have a substantial amount of outstanding indebtedness. There is the possibility that we may be unable to generate cash sufficient to pay the principal of, interest on, and other amounts due in respect of, this indebtedness when due. Our substantial leverage could have significant negative consequences. This substantial leverage could increase our vulnerability to general adverse economic and industry conditions. It may require the dedication of a substantial portion of our expected cash flow from operations to service the indebtedness, thereby reducing the amount of our expected cash flow available for other purposes, including capital expenditures. It may also limit our flexibility in planning for, or reacting to, changes in our business and the industry in which we operate.</w:t>
      </w:r>
    </w:p>
    <w:p>
      <w:pPr>
        <w:spacing w:after="0" w:line="2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75" w:right="1440" w:bottom="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16</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Quantitative and Qualitative Disclosures About Market Risk</w:t>
      </w:r>
    </w:p>
    <w:p>
      <w:pPr>
        <w:spacing w:after="0" w:line="195" w:lineRule="exact"/>
        <w:rPr>
          <w:sz w:val="20"/>
          <w:szCs w:val="20"/>
          <w:color w:val="auto"/>
        </w:rPr>
      </w:pPr>
    </w:p>
    <w:p>
      <w:pPr>
        <w:jc w:val="both"/>
        <w:ind w:right="2399"/>
        <w:spacing w:after="0" w:line="311" w:lineRule="auto"/>
        <w:rPr>
          <w:sz w:val="20"/>
          <w:szCs w:val="20"/>
          <w:color w:val="auto"/>
        </w:rPr>
      </w:pPr>
      <w:r>
        <w:rPr>
          <w:rFonts w:ascii="Courier New" w:cs="Courier New" w:eastAsia="Courier New" w:hAnsi="Courier New"/>
          <w:sz w:val="16"/>
          <w:szCs w:val="16"/>
          <w:color w:val="auto"/>
        </w:rPr>
        <w:t>The information required by this item is incorporated herein by reference to the "Management Analysis" set forth on pages 18 through 25 of the 2000 Annual Report to Shareholders.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75"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17</w:t>
      </w:r>
    </w:p>
    <w:p>
      <w:pPr>
        <w:spacing w:after="0" w:line="200" w:lineRule="exact"/>
        <w:rPr>
          <w:sz w:val="20"/>
          <w:szCs w:val="20"/>
          <w:color w:val="auto"/>
        </w:rPr>
      </w:pPr>
    </w:p>
    <w:p>
      <w:pPr>
        <w:spacing w:after="0" w:line="37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PART II - OTHER INFORMATION</w:t>
      </w:r>
    </w:p>
    <w:p>
      <w:pPr>
        <w:spacing w:after="0" w:line="3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ANALOG DEVICES, INC.</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Changes in Securities and Use of Proceeds</w:t>
      </w:r>
    </w:p>
    <w:p>
      <w:pPr>
        <w:spacing w:after="0" w:line="195" w:lineRule="exact"/>
        <w:rPr>
          <w:sz w:val="20"/>
          <w:szCs w:val="20"/>
          <w:color w:val="auto"/>
        </w:rPr>
      </w:pPr>
    </w:p>
    <w:p>
      <w:pPr>
        <w:ind w:right="2399"/>
        <w:spacing w:after="0" w:line="273" w:lineRule="auto"/>
        <w:rPr>
          <w:sz w:val="20"/>
          <w:szCs w:val="20"/>
          <w:color w:val="auto"/>
        </w:rPr>
      </w:pPr>
      <w:r>
        <w:rPr>
          <w:rFonts w:ascii="Courier New" w:cs="Courier New" w:eastAsia="Courier New" w:hAnsi="Courier New"/>
          <w:sz w:val="16"/>
          <w:szCs w:val="16"/>
          <w:color w:val="auto"/>
        </w:rPr>
        <w:t>On February 6, 2001, we issued and delivered an aggregate of 27,136 shares of our common stock to three individuals in partial fulfillment of the payment by us of consideration to the three former stockholders of White Mountain DSP, Inc., which we acquired on February 5, 1999. We issued and delivered these shares under an exemption from registration under Section 4(2) of the Securities Act of 1933, as amended.</w:t>
      </w:r>
    </w:p>
    <w:p>
      <w:pPr>
        <w:spacing w:after="0" w:line="7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4.</w:t>
        <w:tab/>
        <w:t>Submission of Matters to a Vote of Security Holders</w:t>
      </w:r>
    </w:p>
    <w:p>
      <w:pPr>
        <w:spacing w:after="0" w:line="195" w:lineRule="exact"/>
        <w:rPr>
          <w:sz w:val="20"/>
          <w:szCs w:val="20"/>
          <w:color w:val="auto"/>
        </w:rPr>
      </w:pPr>
    </w:p>
    <w:p>
      <w:pPr>
        <w:ind w:right="2499"/>
        <w:spacing w:after="0" w:line="311" w:lineRule="auto"/>
        <w:rPr>
          <w:sz w:val="20"/>
          <w:szCs w:val="20"/>
          <w:color w:val="auto"/>
        </w:rPr>
      </w:pPr>
      <w:r>
        <w:rPr>
          <w:rFonts w:ascii="Courier New" w:cs="Courier New" w:eastAsia="Courier New" w:hAnsi="Courier New"/>
          <w:sz w:val="16"/>
          <w:szCs w:val="16"/>
          <w:color w:val="auto"/>
        </w:rPr>
        <w:t>At the Annual Meeting of Stockholders held on March 13, 2001, the stockholders of the Company elected Messers. Jerald G. Fishman and F. Grant Saviers to serve as Class II Directors for a term of three years by the following votes:</w:t>
      </w:r>
    </w:p>
    <w:p>
      <w:pPr>
        <w:spacing w:after="0" w:line="235" w:lineRule="exact"/>
        <w:rPr>
          <w:sz w:val="20"/>
          <w:szCs w:val="20"/>
          <w:color w:val="auto"/>
        </w:rPr>
      </w:pPr>
    </w:p>
    <w:p>
      <w:pPr>
        <w:spacing w:after="0"/>
        <w:tabs>
          <w:tab w:leader="none" w:pos="2520" w:val="left"/>
          <w:tab w:leader="none" w:pos="4180" w:val="left"/>
          <w:tab w:leader="none" w:pos="6240" w:val="left"/>
        </w:tabs>
        <w:rPr>
          <w:sz w:val="20"/>
          <w:szCs w:val="20"/>
          <w:color w:val="auto"/>
        </w:rPr>
      </w:pPr>
      <w:r>
        <w:rPr>
          <w:rFonts w:ascii="Courier New" w:cs="Courier New" w:eastAsia="Courier New" w:hAnsi="Courier New"/>
          <w:sz w:val="16"/>
          <w:szCs w:val="16"/>
          <w:color w:val="auto"/>
        </w:rPr>
        <w:t>Nominee</w:t>
      </w:r>
      <w:r>
        <w:rPr>
          <w:sz w:val="20"/>
          <w:szCs w:val="20"/>
          <w:color w:val="auto"/>
        </w:rPr>
        <w:tab/>
      </w:r>
      <w:r>
        <w:rPr>
          <w:rFonts w:ascii="Courier New" w:cs="Courier New" w:eastAsia="Courier New" w:hAnsi="Courier New"/>
          <w:sz w:val="16"/>
          <w:szCs w:val="16"/>
          <w:color w:val="auto"/>
        </w:rPr>
        <w:t>Votes For</w:t>
      </w:r>
      <w:r>
        <w:rPr>
          <w:sz w:val="20"/>
          <w:szCs w:val="20"/>
          <w:color w:val="auto"/>
        </w:rPr>
        <w:tab/>
      </w:r>
      <w:r>
        <w:rPr>
          <w:rFonts w:ascii="Courier New" w:cs="Courier New" w:eastAsia="Courier New" w:hAnsi="Courier New"/>
          <w:sz w:val="16"/>
          <w:szCs w:val="16"/>
          <w:color w:val="auto"/>
        </w:rPr>
        <w:t>Votes Withheld</w:t>
      </w:r>
      <w:r>
        <w:rPr>
          <w:sz w:val="20"/>
          <w:szCs w:val="20"/>
          <w:color w:val="auto"/>
        </w:rPr>
        <w:tab/>
      </w:r>
      <w:r>
        <w:rPr>
          <w:rFonts w:ascii="Courier New" w:cs="Courier New" w:eastAsia="Courier New" w:hAnsi="Courier New"/>
          <w:sz w:val="16"/>
          <w:szCs w:val="16"/>
          <w:color w:val="auto"/>
        </w:rPr>
        <w:t>Broker Non Votes</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65"/>
        </w:trPr>
        <w:tc>
          <w:tcPr>
            <w:tcW w:w="2060" w:type="dxa"/>
            <w:vAlign w:val="bottom"/>
          </w:tcPr>
          <w:p>
            <w:pPr>
              <w:spacing w:after="0" w:line="165" w:lineRule="exact"/>
              <w:rPr>
                <w:sz w:val="20"/>
                <w:szCs w:val="20"/>
                <w:color w:val="auto"/>
              </w:rPr>
            </w:pPr>
            <w:r>
              <w:rPr>
                <w:rFonts w:ascii="Courier New" w:cs="Courier New" w:eastAsia="Courier New" w:hAnsi="Courier New"/>
                <w:sz w:val="16"/>
                <w:szCs w:val="16"/>
                <w:color w:val="auto"/>
              </w:rPr>
              <w:t>Jerald G. Fishman</w:t>
            </w:r>
          </w:p>
        </w:tc>
        <w:tc>
          <w:tcPr>
            <w:tcW w:w="1900" w:type="dxa"/>
            <w:vAlign w:val="bottom"/>
          </w:tcPr>
          <w:p>
            <w:pPr>
              <w:jc w:val="right"/>
              <w:ind w:right="359"/>
              <w:spacing w:after="0" w:line="165" w:lineRule="exact"/>
              <w:rPr>
                <w:sz w:val="20"/>
                <w:szCs w:val="20"/>
                <w:color w:val="auto"/>
              </w:rPr>
            </w:pPr>
            <w:r>
              <w:rPr>
                <w:rFonts w:ascii="Courier New" w:cs="Courier New" w:eastAsia="Courier New" w:hAnsi="Courier New"/>
                <w:sz w:val="16"/>
                <w:szCs w:val="16"/>
                <w:color w:val="auto"/>
              </w:rPr>
              <w:t>308,884,304</w:t>
            </w:r>
          </w:p>
        </w:tc>
        <w:tc>
          <w:tcPr>
            <w:tcW w:w="2200" w:type="dxa"/>
            <w:vAlign w:val="bottom"/>
          </w:tcPr>
          <w:p>
            <w:pPr>
              <w:jc w:val="right"/>
              <w:ind w:right="699"/>
              <w:spacing w:after="0" w:line="165" w:lineRule="exact"/>
              <w:rPr>
                <w:sz w:val="20"/>
                <w:szCs w:val="20"/>
                <w:color w:val="auto"/>
              </w:rPr>
            </w:pPr>
            <w:r>
              <w:rPr>
                <w:rFonts w:ascii="Courier New" w:cs="Courier New" w:eastAsia="Courier New" w:hAnsi="Courier New"/>
                <w:sz w:val="16"/>
                <w:szCs w:val="16"/>
                <w:color w:val="auto"/>
              </w:rPr>
              <w:t>6,494,278</w:t>
            </w:r>
          </w:p>
        </w:tc>
        <w:tc>
          <w:tcPr>
            <w:tcW w:w="880" w:type="dxa"/>
            <w:vAlign w:val="bottom"/>
          </w:tcPr>
          <w:p>
            <w:pPr>
              <w:jc w:val="right"/>
              <w:spacing w:after="0" w:line="165" w:lineRule="exact"/>
              <w:rPr>
                <w:sz w:val="20"/>
                <w:szCs w:val="20"/>
                <w:color w:val="auto"/>
              </w:rPr>
            </w:pPr>
            <w:r>
              <w:rPr>
                <w:rFonts w:ascii="Courier New" w:cs="Courier New" w:eastAsia="Courier New" w:hAnsi="Courier New"/>
                <w:sz w:val="16"/>
                <w:szCs w:val="16"/>
                <w:color w:val="auto"/>
              </w:rPr>
              <w:t>0</w:t>
            </w:r>
          </w:p>
        </w:tc>
      </w:tr>
      <w:tr>
        <w:trPr>
          <w:trHeight w:val="276"/>
        </w:trPr>
        <w:tc>
          <w:tcPr>
            <w:tcW w:w="2060" w:type="dxa"/>
            <w:vAlign w:val="bottom"/>
          </w:tcPr>
          <w:p>
            <w:pPr>
              <w:spacing w:after="0"/>
              <w:rPr>
                <w:sz w:val="20"/>
                <w:szCs w:val="20"/>
                <w:color w:val="auto"/>
              </w:rPr>
            </w:pPr>
            <w:r>
              <w:rPr>
                <w:rFonts w:ascii="Courier New" w:cs="Courier New" w:eastAsia="Courier New" w:hAnsi="Courier New"/>
                <w:sz w:val="16"/>
                <w:szCs w:val="16"/>
                <w:color w:val="auto"/>
              </w:rPr>
              <w:t>F. Grant Saviers</w:t>
            </w:r>
          </w:p>
        </w:tc>
        <w:tc>
          <w:tcPr>
            <w:tcW w:w="19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302,610,228</w:t>
            </w:r>
          </w:p>
        </w:tc>
        <w:tc>
          <w:tcPr>
            <w:tcW w:w="22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12,768,354</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line="100" w:lineRule="exact"/>
        <w:rPr>
          <w:sz w:val="20"/>
          <w:szCs w:val="20"/>
          <w:color w:val="auto"/>
        </w:rPr>
      </w:pPr>
    </w:p>
    <w:p>
      <w:pPr>
        <w:jc w:val="both"/>
        <w:ind w:right="2799"/>
        <w:spacing w:after="0" w:line="311" w:lineRule="auto"/>
        <w:rPr>
          <w:sz w:val="20"/>
          <w:szCs w:val="20"/>
          <w:color w:val="auto"/>
        </w:rPr>
      </w:pPr>
      <w:r>
        <w:rPr>
          <w:rFonts w:ascii="Courier New" w:cs="Courier New" w:eastAsia="Courier New" w:hAnsi="Courier New"/>
          <w:sz w:val="16"/>
          <w:szCs w:val="16"/>
          <w:color w:val="auto"/>
        </w:rPr>
        <w:t>Each of the following directors who were not up for reelection at the Annual Meeting of Stockholders will continue to serve as directors: Messrs. John L. Doyle, Ray Stata, Joel Moses, Lester C. Thurow and Charles O. Holliday, Jr.</w:t>
      </w:r>
    </w:p>
    <w:p>
      <w:pPr>
        <w:spacing w:after="0" w:line="47" w:lineRule="exact"/>
        <w:rPr>
          <w:sz w:val="20"/>
          <w:szCs w:val="20"/>
          <w:color w:val="auto"/>
        </w:rPr>
      </w:pPr>
    </w:p>
    <w:p>
      <w:pPr>
        <w:ind w:right="2699"/>
        <w:spacing w:after="0" w:line="290" w:lineRule="auto"/>
        <w:rPr>
          <w:sz w:val="20"/>
          <w:szCs w:val="20"/>
          <w:color w:val="auto"/>
        </w:rPr>
      </w:pPr>
      <w:r>
        <w:rPr>
          <w:rFonts w:ascii="Courier New" w:cs="Courier New" w:eastAsia="Courier New" w:hAnsi="Courier New"/>
          <w:sz w:val="16"/>
          <w:szCs w:val="16"/>
          <w:color w:val="auto"/>
        </w:rPr>
        <w:t>Stockholders also ratified the selection by the Board of Directors of Ernst &amp; Young LLP as the Company's independent auditors for the fiscal year ending November 3, 2001, by a vote of 314,080,371 in favor, 289,701 opposed and 1,008,510 abstaining.</w:t>
      </w:r>
    </w:p>
    <w:p>
      <w:pPr>
        <w:spacing w:after="0" w:line="6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95" w:lineRule="exact"/>
        <w:rPr>
          <w:sz w:val="20"/>
          <w:szCs w:val="20"/>
          <w:color w:val="auto"/>
        </w:rPr>
      </w:pPr>
    </w:p>
    <w:p>
      <w:pPr>
        <w:ind w:left="780" w:right="8659" w:hanging="487"/>
        <w:spacing w:after="0" w:line="497" w:lineRule="auto"/>
        <w:tabs>
          <w:tab w:leader="none" w:pos="7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None</w:t>
      </w:r>
    </w:p>
    <w:p>
      <w:pPr>
        <w:spacing w:after="0" w:line="1" w:lineRule="exact"/>
        <w:rPr>
          <w:rFonts w:ascii="Courier New" w:cs="Courier New" w:eastAsia="Courier New" w:hAnsi="Courier New"/>
          <w:sz w:val="16"/>
          <w:szCs w:val="16"/>
          <w:color w:val="auto"/>
        </w:rPr>
      </w:pPr>
    </w:p>
    <w:p>
      <w:pPr>
        <w:ind w:left="780" w:right="7679" w:hanging="487"/>
        <w:spacing w:after="0" w:line="622" w:lineRule="auto"/>
        <w:tabs>
          <w:tab w:leader="none" w:pos="7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 on Form 8-K None</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Items 1, 3 and 5 of PART II are not applicable and have been omitted.</w:t>
      </w:r>
    </w:p>
    <w:p>
      <w:pPr>
        <w:spacing w:after="0" w:line="200" w:lineRule="exact"/>
        <w:rPr>
          <w:sz w:val="20"/>
          <w:szCs w:val="20"/>
          <w:color w:val="auto"/>
        </w:rPr>
      </w:pP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75"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18</w:t>
      </w:r>
    </w:p>
    <w:p>
      <w:pPr>
        <w:spacing w:after="0" w:line="383"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383" w:lineRule="exact"/>
        <w:rPr>
          <w:sz w:val="20"/>
          <w:szCs w:val="20"/>
          <w:color w:val="auto"/>
        </w:rPr>
      </w:pPr>
    </w:p>
    <w:p>
      <w:pPr>
        <w:jc w:val="both"/>
        <w:ind w:right="3179"/>
        <w:spacing w:after="0" w:line="311"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Analog Devices, Inc.</w:t>
      </w:r>
    </w:p>
    <w:p>
      <w:pPr>
        <w:spacing w:after="0" w:line="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275"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18,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Jerald G. Fishman</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Jerald G. Fishman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4">
            <w:col w:w="480" w:space="300"/>
            <w:col w:w="2120" w:space="720"/>
            <w:col w:w="280" w:space="300"/>
            <w:col w:w="6019"/>
          </w:cols>
          <w:pgMar w:left="240" w:top="275" w:right="1440"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18, 2001</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Joseph E. McDonough</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Joseph E. McDonough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Officer)</w:t>
      </w:r>
    </w:p>
    <w:p>
      <w:pPr>
        <w:spacing w:after="0" w:line="200" w:lineRule="exact"/>
        <w:rPr>
          <w:sz w:val="20"/>
          <w:szCs w:val="20"/>
          <w:color w:val="auto"/>
        </w:rPr>
      </w:pPr>
    </w:p>
    <w:p>
      <w:pPr>
        <w:sectPr>
          <w:pgSz w:w="11900" w:h="16838" w:orient="portrait"/>
          <w:cols w:equalWidth="0" w:num="4">
            <w:col w:w="480" w:space="300"/>
            <w:col w:w="2120" w:space="720"/>
            <w:col w:w="280" w:space="300"/>
            <w:col w:w="6019"/>
          </w:cols>
          <w:pgMar w:left="240" w:top="275" w:right="1440"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18</w:t>
      </w:r>
    </w:p>
    <w:sectPr>
      <w:pgSz w:w="11900" w:h="16838" w:orient="portrait"/>
      <w:cols w:equalWidth="0" w:num="1">
        <w:col w:w="10219"/>
      </w:cols>
      <w:pgMar w:left="240" w:top="27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2019-12-20T04:36:45Z</dcterms:created>
  <dcterms:modified xsi:type="dcterms:W3CDTF">2019-12-20T04:36:45Z</dcterms:modified>
</cp:coreProperties>
</file>