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19, 2021</w:t>
      </w:r>
    </w:p>
    <w:p>
      <w:pPr>
        <w:spacing w:after="0" w:line="27"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73" w:lineRule="exact"/>
        <w:rPr>
          <w:sz w:val="24"/>
          <w:szCs w:val="24"/>
          <w:color w:val="auto"/>
        </w:rPr>
      </w:pPr>
    </w:p>
    <w:p>
      <w:pPr>
        <w:ind w:left="120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w:t>
      </w:r>
    </w:p>
    <w:p>
      <w:pPr>
        <w:spacing w:after="0" w:line="7"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1-7819</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04-2348234</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960" w:space="720"/>
            <w:col w:w="2440"/>
          </w:cols>
          <w:pgMar w:left="320" w:top="1035" w:right="339" w:bottom="1440" w:gutter="0" w:footer="0" w:header="0"/>
          <w:type w:val="continuous"/>
        </w:sectPr>
      </w:pPr>
    </w:p>
    <w:p>
      <w:pPr>
        <w:spacing w:after="0" w:line="181" w:lineRule="exact"/>
        <w:rPr>
          <w:sz w:val="24"/>
          <w:szCs w:val="24"/>
          <w:color w:val="auto"/>
        </w:rPr>
      </w:pPr>
    </w:p>
    <w:p>
      <w:pPr>
        <w:ind w:left="640"/>
        <w:spacing w:after="0"/>
        <w:rPr>
          <w:sz w:val="20"/>
          <w:szCs w:val="20"/>
          <w:color w:val="auto"/>
        </w:rPr>
      </w:pPr>
      <w:r>
        <w:rPr>
          <w:rFonts w:ascii="Arial" w:cs="Arial" w:eastAsia="Arial" w:hAnsi="Arial"/>
          <w:sz w:val="16"/>
          <w:szCs w:val="16"/>
          <w:b w:val="1"/>
          <w:bCs w:val="1"/>
          <w:color w:val="auto"/>
        </w:rPr>
        <w:t>One Analog Way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01887</w:t>
      </w:r>
    </w:p>
    <w:p>
      <w:pPr>
        <w:spacing w:after="0" w:line="50" w:lineRule="exact"/>
        <w:rPr>
          <w:sz w:val="24"/>
          <w:szCs w:val="24"/>
          <w:color w:val="auto"/>
        </w:rPr>
      </w:pPr>
    </w:p>
    <w:p>
      <w:pPr>
        <w:sectPr>
          <w:pgSz w:w="11900" w:h="16838" w:orient="portrait"/>
          <w:cols w:equalWidth="0" w:num="3">
            <w:col w:w="1940" w:space="340"/>
            <w:col w:w="4860" w:space="720"/>
            <w:col w:w="3380"/>
          </w:cols>
          <w:pgMar w:left="320" w:top="1035" w:right="33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35" w:lineRule="exact"/>
        <w:rPr>
          <w:sz w:val="24"/>
          <w:szCs w:val="24"/>
          <w:color w:val="auto"/>
        </w:rPr>
      </w:pPr>
    </w:p>
    <w:p>
      <w:pPr>
        <w:sectPr>
          <w:pgSz w:w="11900" w:h="16838" w:orient="portrait"/>
          <w:cols w:equalWidth="0" w:num="2">
            <w:col w:w="6980" w:space="720"/>
            <w:col w:w="354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3" w:lineRule="exact"/>
        <w:rPr>
          <w:sz w:val="24"/>
          <w:szCs w:val="24"/>
          <w:color w:val="auto"/>
        </w:rPr>
      </w:pPr>
    </w:p>
    <w:p>
      <w:pPr>
        <w:ind w:left="1040"/>
        <w:spacing w:after="0"/>
        <w:rPr>
          <w:sz w:val="20"/>
          <w:szCs w:val="20"/>
          <w:color w:val="auto"/>
        </w:rPr>
      </w:pPr>
      <w:r>
        <w:rPr>
          <w:rFonts w:ascii="Arial" w:cs="Arial" w:eastAsia="Arial" w:hAnsi="Arial"/>
          <w:sz w:val="17"/>
          <w:szCs w:val="17"/>
          <w:b w:val="1"/>
          <w:bCs w:val="1"/>
          <w:color w:val="auto"/>
        </w:rPr>
        <w:t>______________________________________________________________________________________________________</w:t>
      </w:r>
    </w:p>
    <w:p>
      <w:pPr>
        <w:spacing w:after="0" w:line="268"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80" w:type="dxa"/>
            <w:vAlign w:val="bottom"/>
            <w:vMerge w:val="restart"/>
          </w:tcPr>
          <w:p>
            <w:pPr>
              <w:jc w:val="center"/>
              <w:ind w:right="230"/>
              <w:spacing w:after="0"/>
              <w:rPr>
                <w:sz w:val="20"/>
                <w:szCs w:val="20"/>
                <w:color w:val="auto"/>
              </w:rPr>
            </w:pPr>
            <w:r>
              <w:rPr>
                <w:rFonts w:ascii="Arial" w:cs="Arial" w:eastAsia="Arial" w:hAnsi="Arial"/>
                <w:sz w:val="18"/>
                <w:szCs w:val="18"/>
                <w:b w:val="1"/>
                <w:bCs w:val="1"/>
                <w:color w:val="auto"/>
                <w:w w:val="87"/>
              </w:rPr>
              <w:t>Title of each class</w:t>
            </w:r>
          </w:p>
        </w:tc>
        <w:tc>
          <w:tcPr>
            <w:tcW w:w="2260" w:type="dxa"/>
            <w:vAlign w:val="bottom"/>
          </w:tcPr>
          <w:p>
            <w:pPr>
              <w:jc w:val="center"/>
              <w:ind w:right="430"/>
              <w:spacing w:after="0"/>
              <w:rPr>
                <w:sz w:val="20"/>
                <w:szCs w:val="20"/>
                <w:color w:val="auto"/>
              </w:rPr>
            </w:pPr>
            <w:r>
              <w:rPr>
                <w:rFonts w:ascii="Arial" w:cs="Arial" w:eastAsia="Arial" w:hAnsi="Arial"/>
                <w:sz w:val="18"/>
                <w:szCs w:val="18"/>
                <w:b w:val="1"/>
                <w:bCs w:val="1"/>
                <w:color w:val="auto"/>
                <w:w w:val="93"/>
              </w:rPr>
              <w:t>Trading</w:t>
            </w:r>
          </w:p>
        </w:tc>
        <w:tc>
          <w:tcPr>
            <w:tcW w:w="3100" w:type="dxa"/>
            <w:vAlign w:val="bottom"/>
          </w:tcPr>
          <w:p>
            <w:pPr>
              <w:jc w:val="center"/>
              <w:ind w:left="830"/>
              <w:spacing w:after="0"/>
              <w:rPr>
                <w:sz w:val="20"/>
                <w:szCs w:val="20"/>
                <w:color w:val="auto"/>
              </w:rPr>
            </w:pPr>
            <w:r>
              <w:rPr>
                <w:rFonts w:ascii="Arial" w:cs="Arial" w:eastAsia="Arial" w:hAnsi="Arial"/>
                <w:sz w:val="18"/>
                <w:szCs w:val="18"/>
                <w:b w:val="1"/>
                <w:bCs w:val="1"/>
                <w:color w:val="auto"/>
                <w:w w:val="86"/>
              </w:rPr>
              <w:t>Name of each exchange</w:t>
            </w:r>
          </w:p>
        </w:tc>
        <w:tc>
          <w:tcPr>
            <w:tcW w:w="0" w:type="dxa"/>
            <w:vAlign w:val="bottom"/>
          </w:tcPr>
          <w:p>
            <w:pPr>
              <w:spacing w:after="0"/>
              <w:rPr>
                <w:sz w:val="1"/>
                <w:szCs w:val="1"/>
                <w:color w:val="auto"/>
              </w:rPr>
            </w:pPr>
          </w:p>
        </w:tc>
      </w:tr>
      <w:tr>
        <w:trPr>
          <w:trHeight w:val="229"/>
        </w:trPr>
        <w:tc>
          <w:tcPr>
            <w:tcW w:w="4680" w:type="dxa"/>
            <w:vAlign w:val="bottom"/>
            <w:vMerge w:val="continue"/>
          </w:tcPr>
          <w:p>
            <w:pPr>
              <w:spacing w:after="0"/>
              <w:rPr>
                <w:sz w:val="19"/>
                <w:szCs w:val="19"/>
                <w:color w:val="auto"/>
              </w:rPr>
            </w:pPr>
          </w:p>
        </w:tc>
        <w:tc>
          <w:tcPr>
            <w:tcW w:w="226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Symbol(s)</w:t>
            </w:r>
          </w:p>
        </w:tc>
        <w:tc>
          <w:tcPr>
            <w:tcW w:w="310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on which registered</w:t>
            </w:r>
          </w:p>
        </w:tc>
        <w:tc>
          <w:tcPr>
            <w:tcW w:w="0" w:type="dxa"/>
            <w:vAlign w:val="bottom"/>
          </w:tcPr>
          <w:p>
            <w:pPr>
              <w:spacing w:after="0"/>
              <w:rPr>
                <w:sz w:val="1"/>
                <w:szCs w:val="1"/>
                <w:color w:val="auto"/>
              </w:rPr>
            </w:pPr>
          </w:p>
        </w:tc>
      </w:tr>
      <w:tr>
        <w:trPr>
          <w:trHeight w:val="230"/>
        </w:trPr>
        <w:tc>
          <w:tcPr>
            <w:tcW w:w="4680" w:type="dxa"/>
            <w:vAlign w:val="bottom"/>
          </w:tcPr>
          <w:p>
            <w:pPr>
              <w:jc w:val="center"/>
              <w:ind w:right="250"/>
              <w:spacing w:after="0"/>
              <w:rPr>
                <w:sz w:val="20"/>
                <w:szCs w:val="20"/>
                <w:color w:val="auto"/>
              </w:rPr>
            </w:pPr>
            <w:r>
              <w:rPr>
                <w:rFonts w:ascii="Arial" w:cs="Arial" w:eastAsia="Arial" w:hAnsi="Arial"/>
                <w:sz w:val="18"/>
                <w:szCs w:val="18"/>
                <w:color w:val="auto"/>
                <w:w w:val="89"/>
              </w:rPr>
              <w:t>Common Stock $0.16 2/3 par value per share</w:t>
            </w:r>
          </w:p>
        </w:tc>
        <w:tc>
          <w:tcPr>
            <w:tcW w:w="2260" w:type="dxa"/>
            <w:vAlign w:val="bottom"/>
          </w:tcPr>
          <w:p>
            <w:pPr>
              <w:jc w:val="center"/>
              <w:ind w:right="370"/>
              <w:spacing w:after="0"/>
              <w:rPr>
                <w:sz w:val="20"/>
                <w:szCs w:val="20"/>
                <w:color w:val="auto"/>
              </w:rPr>
            </w:pPr>
            <w:r>
              <w:rPr>
                <w:rFonts w:ascii="Arial" w:cs="Arial" w:eastAsia="Arial" w:hAnsi="Arial"/>
                <w:sz w:val="18"/>
                <w:szCs w:val="18"/>
                <w:color w:val="auto"/>
              </w:rPr>
              <w:t>ADI</w:t>
            </w:r>
          </w:p>
        </w:tc>
        <w:tc>
          <w:tcPr>
            <w:tcW w:w="3100" w:type="dxa"/>
            <w:vAlign w:val="bottom"/>
          </w:tcPr>
          <w:p>
            <w:pPr>
              <w:jc w:val="center"/>
              <w:ind w:left="890"/>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May 19, 2021, Analog Devices, Inc. (the “Registrant”) announced its financial results for its fiscal second quarter ended May 1, 2021. The full text of the press release issued by the Registrant concerning the foregoing results is furnished herewith as Exhibit 99.1.</w:t>
      </w:r>
    </w:p>
    <w:p>
      <w:pPr>
        <w:spacing w:after="0" w:line="4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8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gridSpan w:val="3"/>
          </w:tcPr>
          <w:p>
            <w:pPr>
              <w:jc w:val="center"/>
              <w:ind w:right="1000"/>
              <w:spacing w:after="0"/>
              <w:rPr>
                <w:sz w:val="20"/>
                <w:szCs w:val="20"/>
                <w:color w:val="auto"/>
              </w:rPr>
            </w:pPr>
            <w:r>
              <w:rPr>
                <w:rFonts w:ascii="Arial" w:cs="Arial" w:eastAsia="Arial" w:hAnsi="Arial"/>
                <w:sz w:val="18"/>
                <w:szCs w:val="18"/>
                <w:color w:val="auto"/>
                <w:w w:val="99"/>
              </w:rPr>
              <w:t>(d) Exhibits</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20" w:type="dxa"/>
            <w:vAlign w:val="bottom"/>
          </w:tcPr>
          <w:p>
            <w:pPr>
              <w:spacing w:after="0"/>
              <w:rPr>
                <w:sz w:val="20"/>
                <w:szCs w:val="20"/>
                <w:color w:val="auto"/>
              </w:rPr>
            </w:pPr>
          </w:p>
        </w:tc>
      </w:tr>
      <w:tr>
        <w:trPr>
          <w:trHeight w:val="311"/>
        </w:trPr>
        <w:tc>
          <w:tcPr>
            <w:tcW w:w="1900" w:type="dxa"/>
            <w:vAlign w:val="bottom"/>
            <w:gridSpan w:val="3"/>
          </w:tcPr>
          <w:p>
            <w:pPr>
              <w:jc w:val="center"/>
              <w:ind w:right="980"/>
              <w:spacing w:after="0"/>
              <w:rPr>
                <w:sz w:val="20"/>
                <w:szCs w:val="20"/>
                <w:color w:val="auto"/>
              </w:rPr>
            </w:pPr>
            <w:r>
              <w:rPr>
                <w:rFonts w:ascii="Arial" w:cs="Arial" w:eastAsia="Arial" w:hAnsi="Arial"/>
                <w:sz w:val="18"/>
                <w:szCs w:val="18"/>
                <w:color w:val="auto"/>
                <w:w w:val="96"/>
              </w:rPr>
              <w:t>Exhibit No.</w:t>
            </w:r>
          </w:p>
        </w:tc>
        <w:tc>
          <w:tcPr>
            <w:tcW w:w="93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99.1</w:t>
            </w:r>
          </w:p>
        </w:tc>
        <w:tc>
          <w:tcPr>
            <w:tcW w:w="930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Press release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May 19, 2021</w:t>
            </w:r>
          </w:p>
        </w:tc>
      </w:tr>
      <w:tr>
        <w:trPr>
          <w:trHeight w:val="20"/>
        </w:trPr>
        <w:tc>
          <w:tcPr>
            <w:tcW w:w="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860" w:type="dxa"/>
            <w:vAlign w:val="bottom"/>
            <w:gridSpan w:val="2"/>
          </w:tcPr>
          <w:p>
            <w:pPr>
              <w:jc w:val="center"/>
              <w:ind w:right="220"/>
              <w:spacing w:after="0" w:line="196" w:lineRule="exact"/>
              <w:rPr>
                <w:sz w:val="20"/>
                <w:szCs w:val="20"/>
                <w:color w:val="auto"/>
              </w:rPr>
            </w:pPr>
            <w:r>
              <w:rPr>
                <w:rFonts w:ascii="Arial" w:cs="Arial" w:eastAsia="Arial" w:hAnsi="Arial"/>
                <w:sz w:val="18"/>
                <w:szCs w:val="18"/>
                <w:color w:val="auto"/>
                <w:w w:val="92"/>
              </w:rPr>
              <w:t>101.INS</w:t>
            </w:r>
          </w:p>
        </w:tc>
        <w:tc>
          <w:tcPr>
            <w:tcW w:w="9300" w:type="dxa"/>
            <w:vAlign w:val="bottom"/>
            <w:gridSpan w:val="3"/>
          </w:tcPr>
          <w:p>
            <w:pPr>
              <w:spacing w:after="0" w:line="196" w:lineRule="exact"/>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29"/>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30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229"/>
        </w:trPr>
        <w:tc>
          <w:tcPr>
            <w:tcW w:w="4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101.SCH</w:t>
            </w:r>
          </w:p>
        </w:tc>
        <w:tc>
          <w:tcPr>
            <w:tcW w:w="9300" w:type="dxa"/>
            <w:vAlign w:val="bottom"/>
            <w:gridSpan w:val="3"/>
          </w:tcPr>
          <w:p>
            <w:pPr>
              <w:spacing w:after="0"/>
              <w:rPr>
                <w:sz w:val="20"/>
                <w:szCs w:val="20"/>
                <w:color w:val="auto"/>
              </w:rPr>
            </w:pPr>
            <w:r>
              <w:rPr>
                <w:rFonts w:ascii="Arial" w:cs="Arial" w:eastAsia="Arial" w:hAnsi="Arial"/>
                <w:sz w:val="18"/>
                <w:szCs w:val="18"/>
                <w:color w:val="auto"/>
              </w:rPr>
              <w:t>Inline XBRL Schema Document.**</w:t>
            </w:r>
          </w:p>
        </w:tc>
      </w:tr>
      <w:tr>
        <w:trPr>
          <w:trHeight w:val="230"/>
        </w:trPr>
        <w:tc>
          <w:tcPr>
            <w:tcW w:w="4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101.CAL</w:t>
            </w:r>
          </w:p>
        </w:tc>
        <w:tc>
          <w:tcPr>
            <w:tcW w:w="9300" w:type="dxa"/>
            <w:vAlign w:val="bottom"/>
            <w:gridSpan w:val="3"/>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29"/>
        </w:trPr>
        <w:tc>
          <w:tcPr>
            <w:tcW w:w="4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101.LAB</w:t>
            </w:r>
          </w:p>
        </w:tc>
        <w:tc>
          <w:tcPr>
            <w:tcW w:w="9300" w:type="dxa"/>
            <w:vAlign w:val="bottom"/>
            <w:gridSpan w:val="3"/>
          </w:tcPr>
          <w:p>
            <w:pPr>
              <w:spacing w:after="0"/>
              <w:rPr>
                <w:sz w:val="20"/>
                <w:szCs w:val="20"/>
                <w:color w:val="auto"/>
              </w:rPr>
            </w:pPr>
            <w:r>
              <w:rPr>
                <w:rFonts w:ascii="Arial" w:cs="Arial" w:eastAsia="Arial" w:hAnsi="Arial"/>
                <w:sz w:val="18"/>
                <w:szCs w:val="18"/>
                <w:color w:val="auto"/>
              </w:rPr>
              <w:t>Inline XBRL Labels Linkbase Document.**</w:t>
            </w:r>
          </w:p>
        </w:tc>
      </w:tr>
      <w:tr>
        <w:trPr>
          <w:trHeight w:val="230"/>
        </w:trPr>
        <w:tc>
          <w:tcPr>
            <w:tcW w:w="4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101.PRE</w:t>
            </w:r>
          </w:p>
        </w:tc>
        <w:tc>
          <w:tcPr>
            <w:tcW w:w="9300" w:type="dxa"/>
            <w:vAlign w:val="bottom"/>
            <w:gridSpan w:val="3"/>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4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101.DEF</w:t>
            </w:r>
          </w:p>
        </w:tc>
        <w:tc>
          <w:tcPr>
            <w:tcW w:w="9300" w:type="dxa"/>
            <w:vAlign w:val="bottom"/>
            <w:gridSpan w:val="3"/>
          </w:tcPr>
          <w:p>
            <w:pPr>
              <w:spacing w:after="0"/>
              <w:rPr>
                <w:sz w:val="20"/>
                <w:szCs w:val="20"/>
                <w:color w:val="auto"/>
              </w:rPr>
            </w:pPr>
            <w:r>
              <w:rPr>
                <w:rFonts w:ascii="Arial" w:cs="Arial" w:eastAsia="Arial" w:hAnsi="Arial"/>
                <w:sz w:val="18"/>
                <w:szCs w:val="18"/>
                <w:color w:val="auto"/>
              </w:rPr>
              <w:t>Inline XBRL Definition Linkbase Document.**</w:t>
            </w:r>
          </w:p>
        </w:tc>
      </w:tr>
    </w:tbl>
    <w:p>
      <w:pPr>
        <w:ind w:left="1900" w:right="500" w:hanging="1170"/>
        <w:spacing w:after="0" w:line="234" w:lineRule="auto"/>
        <w:tabs>
          <w:tab w:leader="none" w:pos="1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900" w:hanging="1125"/>
        <w:spacing w:after="0"/>
        <w:tabs>
          <w:tab w:leader="none" w:pos="1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781685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May 19, 2021</w:t>
            </w:r>
          </w:p>
        </w:tc>
        <w:tc>
          <w:tcPr>
            <w:tcW w:w="5840" w:type="dxa"/>
            <w:vAlign w:val="bottom"/>
            <w:gridSpan w:val="2"/>
          </w:tcPr>
          <w:p>
            <w:pPr>
              <w:ind w:left="2140"/>
              <w:spacing w:after="0"/>
              <w:rPr>
                <w:sz w:val="20"/>
                <w:szCs w:val="20"/>
                <w:color w:val="auto"/>
              </w:rPr>
            </w:pPr>
            <w:r>
              <w:rPr>
                <w:rFonts w:ascii="Arial" w:cs="Arial" w:eastAsia="Arial" w:hAnsi="Arial"/>
                <w:sz w:val="18"/>
                <w:szCs w:val="18"/>
                <w:color w:val="auto"/>
              </w:rPr>
              <w:t>ANALOG DEVICES, INC.</w:t>
            </w:r>
          </w:p>
        </w:tc>
      </w:tr>
      <w:tr>
        <w:trPr>
          <w:trHeight w:val="405"/>
        </w:trPr>
        <w:tc>
          <w:tcPr>
            <w:tcW w:w="3760" w:type="dxa"/>
            <w:vAlign w:val="bottom"/>
          </w:tcPr>
          <w:p>
            <w:pPr>
              <w:spacing w:after="0"/>
              <w:rPr>
                <w:sz w:val="24"/>
                <w:szCs w:val="24"/>
                <w:color w:val="auto"/>
              </w:rPr>
            </w:pPr>
          </w:p>
        </w:tc>
        <w:tc>
          <w:tcPr>
            <w:tcW w:w="5840" w:type="dxa"/>
            <w:vAlign w:val="bottom"/>
            <w:gridSpan w:val="2"/>
          </w:tcPr>
          <w:p>
            <w:pPr>
              <w:ind w:left="2140"/>
              <w:spacing w:after="0"/>
              <w:rPr>
                <w:sz w:val="20"/>
                <w:szCs w:val="20"/>
                <w:color w:val="auto"/>
              </w:rPr>
            </w:pPr>
            <w:r>
              <w:rPr>
                <w:rFonts w:ascii="Arial" w:cs="Arial" w:eastAsia="Arial" w:hAnsi="Arial"/>
                <w:sz w:val="18"/>
                <w:szCs w:val="18"/>
                <w:color w:val="auto"/>
              </w:rPr>
              <w:t>By:    /s/ Prashanth Mahendra-Rajah</w:t>
            </w:r>
          </w:p>
        </w:tc>
      </w:tr>
      <w:tr>
        <w:trPr>
          <w:trHeight w:val="224"/>
        </w:trPr>
        <w:tc>
          <w:tcPr>
            <w:tcW w:w="37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Prashanth Mahendra-Rajah</w:t>
            </w:r>
          </w:p>
        </w:tc>
      </w:tr>
    </w:tbl>
    <w:p>
      <w:pPr>
        <w:ind w:left="6520"/>
        <w:spacing w:after="0" w:line="220" w:lineRule="auto"/>
        <w:rPr>
          <w:sz w:val="20"/>
          <w:szCs w:val="20"/>
          <w:color w:val="auto"/>
        </w:rPr>
      </w:pPr>
      <w:r>
        <w:rPr>
          <w:rFonts w:ascii="Arial" w:cs="Arial" w:eastAsia="Arial" w:hAnsi="Arial"/>
          <w:sz w:val="18"/>
          <w:szCs w:val="18"/>
          <w:color w:val="auto"/>
        </w:rPr>
        <w:t>Senior Vice President, Finance and Chief</w:t>
      </w:r>
    </w:p>
    <w:p>
      <w:pPr>
        <w:ind w:left="652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0980"/>
          </w:cols>
          <w:pgMar w:left="320" w:top="989"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Record Revenue and Earnings for the Second Quarter Fiscal 2021</w:t>
      </w:r>
    </w:p>
    <w:p>
      <w:pPr>
        <w:spacing w:after="0" w:line="23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Revenue of $1.66 billion increased 26% year-over-year with record revenue in the Industrial and Automotive markets</w:t>
      </w:r>
    </w:p>
    <w:p>
      <w:pPr>
        <w:spacing w:after="0" w:line="42" w:lineRule="exact"/>
        <w:rPr>
          <w:rFonts w:ascii="Arial" w:cs="Arial" w:eastAsia="Arial" w:hAnsi="Arial"/>
          <w:sz w:val="19"/>
          <w:szCs w:val="19"/>
          <w:color w:val="auto"/>
        </w:rPr>
      </w:pPr>
    </w:p>
    <w:p>
      <w:pPr>
        <w:ind w:left="660" w:right="440" w:hanging="328"/>
        <w:spacing w:after="0" w:line="230"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cash flow of $2.4 billion and free cash flow of $2.2 billion, or 36% of revenue, on a trailing twelve months basis</w:t>
      </w:r>
    </w:p>
    <w:p>
      <w:pPr>
        <w:spacing w:after="0" w:line="1"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Returned over $440 million to shareholders through dividends and share repurchases in the quarter</w:t>
      </w:r>
    </w:p>
    <w:p>
      <w:pPr>
        <w:ind w:left="660" w:right="220" w:hanging="328"/>
        <w:spacing w:after="0" w:line="236"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2"/>
          <w:szCs w:val="22"/>
          <w:color w:val="auto"/>
        </w:rPr>
        <w:t>Received European Union, Korea, Taiwan, Japan, and Singapore approvals for the Maxim Integrated acquisition and on track to close this summer</w:t>
      </w:r>
    </w:p>
    <w:p>
      <w:pPr>
        <w:spacing w:after="0" w:line="208" w:lineRule="exact"/>
        <w:rPr>
          <w:sz w:val="20"/>
          <w:szCs w:val="20"/>
          <w:color w:val="auto"/>
        </w:rPr>
      </w:pPr>
    </w:p>
    <w:p>
      <w:pPr>
        <w:ind w:right="580"/>
        <w:spacing w:after="0" w:line="334" w:lineRule="auto"/>
        <w:rPr>
          <w:sz w:val="20"/>
          <w:szCs w:val="20"/>
          <w:color w:val="auto"/>
        </w:rPr>
      </w:pPr>
      <w:r>
        <w:rPr>
          <w:rFonts w:ascii="Arial" w:cs="Arial" w:eastAsia="Arial" w:hAnsi="Arial"/>
          <w:sz w:val="19"/>
          <w:szCs w:val="19"/>
          <w:b w:val="1"/>
          <w:bCs w:val="1"/>
          <w:color w:val="auto"/>
        </w:rPr>
        <w:t>WILMINGTON, Mass.--(BUSINESS WIRE)--May 19, 2021</w:t>
      </w:r>
      <w:r>
        <w:rPr>
          <w:rFonts w:ascii="Arial" w:cs="Arial" w:eastAsia="Arial" w:hAnsi="Arial"/>
          <w:sz w:val="19"/>
          <w:szCs w:val="19"/>
          <w:color w:val="auto"/>
        </w:rPr>
        <w:t>--Analog Devices, Inc. (Nasdaq: ADI), a leading global</w:t>
      </w:r>
      <w:r>
        <w:rPr>
          <w:rFonts w:ascii="Arial" w:cs="Arial" w:eastAsia="Arial" w:hAnsi="Arial"/>
          <w:sz w:val="19"/>
          <w:szCs w:val="19"/>
          <w:b w:val="1"/>
          <w:bCs w:val="1"/>
          <w:color w:val="auto"/>
        </w:rPr>
        <w:t xml:space="preserve"> </w:t>
      </w:r>
      <w:r>
        <w:rPr>
          <w:rFonts w:ascii="Arial" w:cs="Arial" w:eastAsia="Arial" w:hAnsi="Arial"/>
          <w:sz w:val="19"/>
          <w:szCs w:val="19"/>
          <w:color w:val="auto"/>
        </w:rPr>
        <w:t>semiconductor company, today announced financial results for its second quarter of fiscal 2021, which ended May 1, 2021.</w:t>
      </w:r>
    </w:p>
    <w:p>
      <w:pPr>
        <w:spacing w:after="0" w:line="12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“ADI delivered record quarterly results that exceeded the high end of our outlook, reflecting the insatiable demand for our products and disciplined operational execution. Revenue increased 26% and gross and operating margins continued to expand, leading to earnings growth of 43%,” said Vincent Roche, President and CEO. “The economic recovery has materialized faster and stronger than initially anticipated, increasing pressure across supply chains globally. Our decision to strategically invest in additional capacity ahead of this demand inflection has enabled us to move with speed and agility to better serve our customers. These investments combined with continued momentum in bookings give us confidence that our second half will be stronger than the first half.”</w:t>
      </w:r>
    </w:p>
    <w:p>
      <w:pPr>
        <w:spacing w:after="0" w:line="231"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Roche added, “Semiconductors are the bedrock of the modern digital economy and their importance to accelerating digitalization across all industries has never been more apparent. Our cadre of talented employees continues to push the edge of what is possible and deliver maximum customer impact. I am more optimistic than ever about ADI’s position in this reordered world as we create long-term value for all stakeholders.”</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Performance for the Second Quarter of Fiscal 2021</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Results Summary</w:t>
      </w:r>
      <w:r>
        <w:rPr>
          <w:rFonts w:ascii="Arial" w:cs="Arial" w:eastAsia="Arial" w:hAnsi="Arial"/>
          <w:sz w:val="28"/>
          <w:szCs w:val="28"/>
          <w:b w:val="1"/>
          <w:bCs w:val="1"/>
          <w:color w:val="auto"/>
          <w:vertAlign w:val="superscript"/>
        </w:rPr>
        <w:t>(1)</w:t>
      </w:r>
    </w:p>
    <w:p>
      <w:pPr>
        <w:ind w:left="20"/>
        <w:spacing w:after="0"/>
        <w:rPr>
          <w:sz w:val="20"/>
          <w:szCs w:val="20"/>
          <w:color w:val="auto"/>
        </w:rPr>
      </w:pPr>
      <w:r>
        <w:rPr>
          <w:rFonts w:ascii="Arial" w:cs="Arial" w:eastAsia="Arial" w:hAnsi="Arial"/>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63"/>
        </w:trPr>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May 1, 2021</w:t>
            </w: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May 2, 2020</w:t>
            </w:r>
          </w:p>
        </w:tc>
        <w:tc>
          <w:tcPr>
            <w:tcW w:w="1980" w:type="dxa"/>
            <w:vAlign w:val="bottom"/>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1,317</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1,137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percentage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 bps</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bps</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57"/>
        </w:trPr>
        <w:tc>
          <w:tcPr>
            <w:tcW w:w="5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rPr>
          <w:sz w:val="20"/>
          <w:szCs w:val="20"/>
          <w:color w:val="auto"/>
        </w:rPr>
      </w:pPr>
      <w:r>
        <w:rPr>
          <w:rFonts w:ascii="Arial" w:cs="Arial" w:eastAsia="Arial" w:hAnsi="Arial"/>
          <w:sz w:val="22"/>
          <w:szCs w:val="22"/>
          <w:b w:val="1"/>
          <w:bCs w:val="1"/>
          <w:color w:val="auto"/>
        </w:rPr>
        <w:t>Adjusted Results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Adjusted gross margin percentage</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70.9 %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67.7 %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Adjusted operating margin</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41.7 %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370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diluted earnings per share</w:t>
            </w:r>
          </w:p>
        </w:tc>
        <w:tc>
          <w:tcPr>
            <w:tcW w:w="18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Generation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Arial" w:cs="Arial" w:eastAsia="Arial" w:hAnsi="Arial"/>
                <w:sz w:val="18"/>
                <w:szCs w:val="18"/>
                <w:b w:val="1"/>
                <w:bCs w:val="1"/>
                <w:color w:val="auto"/>
                <w:w w:val="91"/>
              </w:rPr>
              <w:t>May 1, 2021</w:t>
            </w:r>
          </w:p>
        </w:tc>
        <w:tc>
          <w:tcPr>
            <w:tcW w:w="320" w:type="dxa"/>
            <w:vAlign w:val="bottom"/>
          </w:tcPr>
          <w:p>
            <w:pPr>
              <w:spacing w:after="0"/>
              <w:rPr>
                <w:sz w:val="17"/>
                <w:szCs w:val="17"/>
                <w:color w:val="auto"/>
              </w:rPr>
            </w:pPr>
          </w:p>
        </w:tc>
        <w:tc>
          <w:tcPr>
            <w:tcW w:w="1660" w:type="dxa"/>
            <w:vAlign w:val="bottom"/>
          </w:tcPr>
          <w:p>
            <w:pPr>
              <w:jc w:val="center"/>
              <w:ind w:right="230"/>
              <w:spacing w:after="0" w:line="182" w:lineRule="exact"/>
              <w:rPr>
                <w:sz w:val="20"/>
                <w:szCs w:val="20"/>
                <w:color w:val="auto"/>
              </w:rPr>
            </w:pPr>
            <w:r>
              <w:rPr>
                <w:rFonts w:ascii="Arial" w:cs="Arial" w:eastAsia="Arial" w:hAnsi="Arial"/>
                <w:sz w:val="18"/>
                <w:szCs w:val="18"/>
                <w:b w:val="1"/>
                <w:bCs w:val="1"/>
                <w:color w:val="auto"/>
                <w:w w:val="93"/>
              </w:rPr>
              <w:t>May 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 of revenue</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Free cash flow</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of revenue</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Return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Arial" w:cs="Arial" w:eastAsia="Arial" w:hAnsi="Arial"/>
                <w:sz w:val="18"/>
                <w:szCs w:val="18"/>
                <w:b w:val="1"/>
                <w:bCs w:val="1"/>
                <w:color w:val="auto"/>
                <w:w w:val="91"/>
              </w:rPr>
              <w:t>May 1, 2021</w:t>
            </w:r>
          </w:p>
        </w:tc>
        <w:tc>
          <w:tcPr>
            <w:tcW w:w="320" w:type="dxa"/>
            <w:vAlign w:val="bottom"/>
          </w:tcPr>
          <w:p>
            <w:pPr>
              <w:spacing w:after="0"/>
              <w:rPr>
                <w:sz w:val="17"/>
                <w:szCs w:val="17"/>
                <w:color w:val="auto"/>
              </w:rPr>
            </w:pPr>
          </w:p>
        </w:tc>
        <w:tc>
          <w:tcPr>
            <w:tcW w:w="1660" w:type="dxa"/>
            <w:vAlign w:val="bottom"/>
          </w:tcPr>
          <w:p>
            <w:pPr>
              <w:jc w:val="center"/>
              <w:ind w:right="230"/>
              <w:spacing w:after="0" w:line="182" w:lineRule="exact"/>
              <w:rPr>
                <w:sz w:val="20"/>
                <w:szCs w:val="20"/>
                <w:color w:val="auto"/>
              </w:rPr>
            </w:pPr>
            <w:r>
              <w:rPr>
                <w:rFonts w:ascii="Arial" w:cs="Arial" w:eastAsia="Arial" w:hAnsi="Arial"/>
                <w:sz w:val="18"/>
                <w:szCs w:val="18"/>
                <w:b w:val="1"/>
                <w:bCs w:val="1"/>
                <w:color w:val="auto"/>
                <w:w w:val="93"/>
              </w:rPr>
              <w:t>May 1,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 paid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Stock repurchases</w:t>
            </w:r>
          </w:p>
        </w:tc>
        <w:tc>
          <w:tcPr>
            <w:tcW w:w="18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sum and/or computation of the individual amounts may not equal the total due to rounding.</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 for the Third Quarter of Fiscal Year 2021</w:t>
      </w:r>
    </w:p>
    <w:p>
      <w:pPr>
        <w:spacing w:after="0" w:line="253" w:lineRule="exact"/>
        <w:rPr>
          <w:sz w:val="20"/>
          <w:szCs w:val="20"/>
          <w:color w:val="auto"/>
        </w:rPr>
      </w:pPr>
    </w:p>
    <w:p>
      <w:pPr>
        <w:ind w:right="240"/>
        <w:spacing w:after="0" w:line="250" w:lineRule="auto"/>
        <w:rPr>
          <w:sz w:val="20"/>
          <w:szCs w:val="20"/>
          <w:color w:val="auto"/>
        </w:rPr>
      </w:pPr>
      <w:r>
        <w:rPr>
          <w:rFonts w:ascii="Arial" w:cs="Arial" w:eastAsia="Arial" w:hAnsi="Arial"/>
          <w:sz w:val="22"/>
          <w:szCs w:val="22"/>
          <w:color w:val="auto"/>
        </w:rPr>
        <w:t>For the third quarter of fiscal 2021, we are forecasting revenue of $1.7 billion, +/- $70 million. At the midpoint of this revenue outlook, we expect reported operating margin of approximately 32.9%, +/-140 bps, and adjusted operating margin of approximately 42.5%, +/-100 bps. We are planning for reported EPS to be $1.23, +/-$0.11, and adjusted EPS to be $1.61, +/-$0.11.</w:t>
      </w:r>
    </w:p>
    <w:p>
      <w:pPr>
        <w:spacing w:after="0" w:line="215"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Our third quarter fiscal 2021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Payment</w:t>
      </w:r>
    </w:p>
    <w:p>
      <w:pPr>
        <w:spacing w:after="0" w:line="253" w:lineRule="exact"/>
        <w:rPr>
          <w:sz w:val="20"/>
          <w:szCs w:val="20"/>
          <w:color w:val="auto"/>
        </w:rPr>
      </w:pPr>
    </w:p>
    <w:p>
      <w:pPr>
        <w:ind w:right="700"/>
        <w:spacing w:after="0" w:line="343" w:lineRule="auto"/>
        <w:rPr>
          <w:sz w:val="20"/>
          <w:szCs w:val="20"/>
          <w:color w:val="auto"/>
        </w:rPr>
      </w:pPr>
      <w:r>
        <w:rPr>
          <w:rFonts w:ascii="Arial" w:cs="Arial" w:eastAsia="Arial" w:hAnsi="Arial"/>
          <w:sz w:val="19"/>
          <w:szCs w:val="19"/>
          <w:color w:val="auto"/>
        </w:rPr>
        <w:t>The ADI Board of Directors has declared a quarterly cash dividend of $0.69 per outstanding share of common stock. The dividend will be paid on June 8, 2021 to all shareholders of record at the close of business on May 28, 2021.</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Scheduled for Today, Wednesday, May 19, 2021 at 10:00 am ET</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ADI will host a conference call to discuss our second quarter fiscal 2021 results and short-term outlook today, beginning at 10:00 am ET. Investors may join via webcast, accessible at investor.analog.com, or by telephone (call 800-859-9560, or 706-634-7193 for international calls, ten minutes before the call begins and provide the password "ADI").</w:t>
      </w:r>
    </w:p>
    <w:p>
      <w:pPr>
        <w:spacing w:after="0" w:line="194"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2534357, or by visiting investor.analog.com.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253"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 comparable financial measures calculated and presented in accordance with GAAP are provided in the financial tables included in this release.</w:t>
      </w:r>
    </w:p>
    <w:p>
      <w:pPr>
        <w:sectPr>
          <w:pgSz w:w="11900" w:h="16838" w:orient="portrait"/>
          <w:cols w:equalWidth="0" w:num="1">
            <w:col w:w="11180"/>
          </w:cols>
          <w:pgMar w:left="320" w:top="895" w:right="399" w:bottom="1440" w:gutter="0" w:footer="0" w:header="0"/>
        </w:sectPr>
      </w:pPr>
    </w:p>
    <w:bookmarkStart w:id="6" w:name="page7"/>
    <w:bookmarkEnd w:id="6"/>
    <w:p>
      <w:pPr>
        <w:spacing w:after="0" w:line="258"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free cash flow, and free cash flow margin percentage.</w:t>
      </w:r>
    </w:p>
    <w:p>
      <w:pPr>
        <w:spacing w:after="0" w:line="66" w:lineRule="exact"/>
        <w:rPr>
          <w:sz w:val="20"/>
          <w:szCs w:val="20"/>
          <w:color w:val="auto"/>
        </w:rPr>
      </w:pPr>
    </w:p>
    <w:p>
      <w:pPr>
        <w:ind w:right="320"/>
        <w:spacing w:after="0" w:line="228" w:lineRule="auto"/>
        <w:rPr>
          <w:sz w:val="20"/>
          <w:szCs w:val="20"/>
          <w:color w:val="auto"/>
        </w:rPr>
      </w:pPr>
      <w:r>
        <w:rPr>
          <w:rFonts w:ascii="Arial" w:cs="Arial" w:eastAsia="Arial" w:hAnsi="Arial"/>
          <w:sz w:val="22"/>
          <w:szCs w:val="22"/>
          <w:color w:val="auto"/>
        </w:rPr>
        <w:t xml:space="preserve">Adjusted gross margin is defined as gross margin, determined in accordance with GAAP, excluding certain </w:t>
      </w:r>
      <w:r>
        <w:rPr>
          <w:rFonts w:ascii="Arial" w:cs="Arial" w:eastAsia="Arial" w:hAnsi="Arial"/>
          <w:sz w:val="22"/>
          <w:szCs w:val="22"/>
          <w:i w:val="1"/>
          <w:iCs w:val="1"/>
          <w:color w:val="auto"/>
        </w:rPr>
        <w:t>acquisition 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gross margin percentage represents adjusted gross margin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revenue.</w:t>
      </w:r>
    </w:p>
    <w:p>
      <w:pPr>
        <w:spacing w:after="0" w:line="77" w:lineRule="exact"/>
        <w:rPr>
          <w:sz w:val="20"/>
          <w:szCs w:val="20"/>
          <w:color w:val="auto"/>
        </w:rPr>
      </w:pPr>
    </w:p>
    <w:p>
      <w:pPr>
        <w:ind w:right="140"/>
        <w:spacing w:after="0" w:line="217" w:lineRule="auto"/>
        <w:rPr>
          <w:sz w:val="20"/>
          <w:szCs w:val="20"/>
          <w:color w:val="auto"/>
        </w:rPr>
      </w:pPr>
      <w:r>
        <w:rPr>
          <w:rFonts w:ascii="Arial" w:cs="Arial" w:eastAsia="Arial" w:hAnsi="Arial"/>
          <w:sz w:val="22"/>
          <w:szCs w:val="22"/>
          <w:color w:val="auto"/>
        </w:rPr>
        <w:t xml:space="preserve">Adjusted operating expenses is defined as operating expenses, determined in accordance with GAAP, excluding: certain </w:t>
      </w:r>
      <w:r>
        <w:rPr>
          <w:rFonts w:ascii="Arial" w:cs="Arial" w:eastAsia="Arial" w:hAnsi="Arial"/>
          <w:sz w:val="22"/>
          <w:szCs w:val="22"/>
          <w:i w:val="1"/>
          <w:iCs w:val="1"/>
          <w:color w:val="auto"/>
        </w:rPr>
        <w:t>acquisition 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acquisition 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 and</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 operating expenses percentage represents adjusted operating expenses</w:t>
      </w:r>
      <w:r>
        <w:rPr>
          <w:rFonts w:ascii="Arial" w:cs="Arial" w:eastAsia="Arial" w:hAnsi="Arial"/>
          <w:sz w:val="22"/>
          <w:szCs w:val="22"/>
          <w:i w:val="1"/>
          <w:iCs w:val="1"/>
          <w:color w:val="auto"/>
        </w:rPr>
        <w:t xml:space="preserve"> </w:t>
      </w:r>
      <w:r>
        <w:rPr>
          <w:rFonts w:ascii="Arial" w:cs="Arial" w:eastAsia="Arial" w:hAnsi="Arial"/>
          <w:sz w:val="22"/>
          <w:szCs w:val="22"/>
          <w:color w:val="auto"/>
        </w:rPr>
        <w:t>divided by revenue.</w:t>
      </w:r>
    </w:p>
    <w:p>
      <w:pPr>
        <w:spacing w:after="0" w:line="67" w:lineRule="exact"/>
        <w:rPr>
          <w:sz w:val="20"/>
          <w:szCs w:val="20"/>
          <w:color w:val="auto"/>
        </w:rPr>
      </w:pPr>
    </w:p>
    <w:p>
      <w:pPr>
        <w:jc w:val="both"/>
        <w:ind w:right="120"/>
        <w:spacing w:after="0" w:line="274" w:lineRule="auto"/>
        <w:rPr>
          <w:sz w:val="20"/>
          <w:szCs w:val="20"/>
          <w:color w:val="auto"/>
        </w:rPr>
      </w:pPr>
      <w:r>
        <w:rPr>
          <w:rFonts w:ascii="Arial" w:cs="Arial" w:eastAsia="Arial" w:hAnsi="Arial"/>
          <w:sz w:val="19"/>
          <w:szCs w:val="19"/>
          <w:color w:val="auto"/>
        </w:rPr>
        <w:t xml:space="preserve">Adjusted operating income is defined as operating income, determined in accordance with GAAP, excluding: </w:t>
      </w:r>
      <w:r>
        <w:rPr>
          <w:rFonts w:ascii="Arial" w:cs="Arial" w:eastAsia="Arial" w:hAnsi="Arial"/>
          <w:sz w:val="19"/>
          <w:szCs w:val="19"/>
          <w:i w:val="1"/>
          <w:iCs w:val="1"/>
          <w:color w:val="auto"/>
        </w:rPr>
        <w:t>acquisition related</w:t>
      </w:r>
      <w:r>
        <w:rPr>
          <w:rFonts w:ascii="Arial" w:cs="Arial" w:eastAsia="Arial" w:hAnsi="Arial"/>
          <w:sz w:val="19"/>
          <w:szCs w:val="19"/>
          <w:color w:val="auto"/>
        </w:rPr>
        <w:t xml:space="preserve"> </w:t>
      </w:r>
      <w:r>
        <w:rPr>
          <w:rFonts w:ascii="Arial" w:cs="Arial" w:eastAsia="Arial" w:hAnsi="Arial"/>
          <w:sz w:val="19"/>
          <w:szCs w:val="19"/>
          <w:i w:val="1"/>
          <w:iCs w:val="1"/>
          <w:color w:val="auto"/>
        </w:rPr>
        <w:t>expenses</w:t>
      </w:r>
      <w:r>
        <w:rPr>
          <w:rFonts w:ascii="Arial" w:cs="Arial" w:eastAsia="Arial" w:hAnsi="Arial"/>
          <w:sz w:val="25"/>
          <w:szCs w:val="25"/>
          <w:i w:val="1"/>
          <w:iCs w:val="1"/>
          <w:color w:val="auto"/>
          <w:vertAlign w:val="superscript"/>
        </w:rPr>
        <w:t>1</w:t>
      </w:r>
      <w:r>
        <w:rPr>
          <w:rFonts w:ascii="Arial" w:cs="Arial" w:eastAsia="Arial" w:hAnsi="Arial"/>
          <w:sz w:val="19"/>
          <w:szCs w:val="19"/>
          <w:color w:val="auto"/>
        </w:rPr>
        <w:t>;</w:t>
      </w:r>
      <w:r>
        <w:rPr>
          <w:rFonts w:ascii="Arial" w:cs="Arial" w:eastAsia="Arial" w:hAnsi="Arial"/>
          <w:sz w:val="19"/>
          <w:szCs w:val="19"/>
          <w:i w:val="1"/>
          <w:iCs w:val="1"/>
          <w:color w:val="auto"/>
        </w:rPr>
        <w:t xml:space="preserve"> acquisition related transaction costs</w:t>
      </w:r>
      <w:r>
        <w:rPr>
          <w:rFonts w:ascii="Arial" w:cs="Arial" w:eastAsia="Arial" w:hAnsi="Arial"/>
          <w:sz w:val="25"/>
          <w:szCs w:val="25"/>
          <w:i w:val="1"/>
          <w:iCs w:val="1"/>
          <w:color w:val="auto"/>
          <w:vertAlign w:val="superscript"/>
        </w:rPr>
        <w:t>2</w:t>
      </w:r>
      <w:r>
        <w:rPr>
          <w:rFonts w:ascii="Arial" w:cs="Arial" w:eastAsia="Arial" w:hAnsi="Arial"/>
          <w:sz w:val="19"/>
          <w:szCs w:val="19"/>
          <w:color w:val="auto"/>
        </w:rPr>
        <w:t>;</w:t>
      </w:r>
      <w:r>
        <w:rPr>
          <w:rFonts w:ascii="Arial" w:cs="Arial" w:eastAsia="Arial" w:hAnsi="Arial"/>
          <w:sz w:val="19"/>
          <w:szCs w:val="19"/>
          <w:i w:val="1"/>
          <w:iCs w:val="1"/>
          <w:color w:val="auto"/>
        </w:rPr>
        <w:t xml:space="preserve"> restructuring related expense</w:t>
      </w:r>
      <w:r>
        <w:rPr>
          <w:rFonts w:ascii="Arial" w:cs="Arial" w:eastAsia="Arial" w:hAnsi="Arial"/>
          <w:sz w:val="25"/>
          <w:szCs w:val="25"/>
          <w:i w:val="1"/>
          <w:iCs w:val="1"/>
          <w:color w:val="auto"/>
          <w:vertAlign w:val="superscript"/>
        </w:rPr>
        <w:t>3</w:t>
      </w:r>
      <w:r>
        <w:rPr>
          <w:rFonts w:ascii="Arial" w:cs="Arial" w:eastAsia="Arial" w:hAnsi="Arial"/>
          <w:sz w:val="19"/>
          <w:szCs w:val="19"/>
          <w:color w:val="auto"/>
        </w:rPr>
        <w:t>; and</w:t>
      </w:r>
      <w:r>
        <w:rPr>
          <w:rFonts w:ascii="Arial" w:cs="Arial" w:eastAsia="Arial" w:hAnsi="Arial"/>
          <w:sz w:val="19"/>
          <w:szCs w:val="19"/>
          <w:i w:val="1"/>
          <w:iCs w:val="1"/>
          <w:color w:val="auto"/>
        </w:rPr>
        <w:t xml:space="preserve"> charitable foundation contribution</w:t>
      </w:r>
      <w:r>
        <w:rPr>
          <w:rFonts w:ascii="Arial" w:cs="Arial" w:eastAsia="Arial" w:hAnsi="Arial"/>
          <w:sz w:val="25"/>
          <w:szCs w:val="25"/>
          <w:i w:val="1"/>
          <w:iCs w:val="1"/>
          <w:color w:val="auto"/>
          <w:vertAlign w:val="superscript"/>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which</w:t>
      </w:r>
      <w:r>
        <w:rPr>
          <w:rFonts w:ascii="Arial" w:cs="Arial" w:eastAsia="Arial" w:hAnsi="Arial"/>
          <w:sz w:val="19"/>
          <w:szCs w:val="19"/>
          <w:i w:val="1"/>
          <w:iCs w:val="1"/>
          <w:color w:val="auto"/>
        </w:rPr>
        <w:t xml:space="preserve"> </w:t>
      </w:r>
      <w:r>
        <w:rPr>
          <w:rFonts w:ascii="Arial" w:cs="Arial" w:eastAsia="Arial" w:hAnsi="Arial"/>
          <w:sz w:val="19"/>
          <w:szCs w:val="19"/>
          <w:color w:val="auto"/>
        </w:rPr>
        <w:t>are described further below. Adjusted operating margin represents adjusted operating income divided by revenue.</w:t>
      </w:r>
    </w:p>
    <w:p>
      <w:pPr>
        <w:spacing w:after="0" w:line="37" w:lineRule="exact"/>
        <w:rPr>
          <w:sz w:val="20"/>
          <w:szCs w:val="20"/>
          <w:color w:val="auto"/>
        </w:rPr>
      </w:pPr>
    </w:p>
    <w:p>
      <w:pPr>
        <w:ind w:right="360"/>
        <w:spacing w:after="0" w:line="233" w:lineRule="auto"/>
        <w:rPr>
          <w:sz w:val="20"/>
          <w:szCs w:val="20"/>
          <w:color w:val="auto"/>
        </w:rPr>
      </w:pPr>
      <w:r>
        <w:rPr>
          <w:rFonts w:ascii="Arial" w:cs="Arial" w:eastAsia="Arial" w:hAnsi="Arial"/>
          <w:sz w:val="22"/>
          <w:szCs w:val="22"/>
          <w:color w:val="auto"/>
        </w:rPr>
        <w:t xml:space="preserve">Adjusted income before income taxes is defined as income before income taxes, determined in accordance with GAAP, excluding: </w:t>
      </w:r>
      <w:r>
        <w:rPr>
          <w:rFonts w:ascii="Arial" w:cs="Arial" w:eastAsia="Arial" w:hAnsi="Arial"/>
          <w:sz w:val="22"/>
          <w:szCs w:val="22"/>
          <w:i w:val="1"/>
          <w:iCs w:val="1"/>
          <w:color w:val="auto"/>
        </w:rPr>
        <w:t>acquisition 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 xml:space="preserve">; </w:t>
      </w:r>
      <w:r>
        <w:rPr>
          <w:rFonts w:ascii="Arial" w:cs="Arial" w:eastAsia="Arial" w:hAnsi="Arial"/>
          <w:sz w:val="22"/>
          <w:szCs w:val="22"/>
          <w:i w:val="1"/>
          <w:iCs w:val="1"/>
          <w:color w:val="auto"/>
        </w:rPr>
        <w:t>acquisition 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xml:space="preserve">; </w:t>
      </w:r>
      <w:r>
        <w:rPr>
          <w:rFonts w:ascii="Arial" w:cs="Arial" w:eastAsia="Arial" w:hAnsi="Arial"/>
          <w:sz w:val="22"/>
          <w:szCs w:val="22"/>
          <w:i w:val="1"/>
          <w:iCs w:val="1"/>
          <w:color w:val="auto"/>
        </w:rPr>
        <w:t>restructuring related expense</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 xml:space="preserve">; and </w:t>
      </w:r>
      <w:r>
        <w:rPr>
          <w:rFonts w:ascii="Arial" w:cs="Arial" w:eastAsia="Arial" w:hAnsi="Arial"/>
          <w:sz w:val="22"/>
          <w:szCs w:val="22"/>
          <w:i w:val="1"/>
          <w:iCs w:val="1"/>
          <w:color w:val="auto"/>
        </w:rPr>
        <w:t>charitable</w:t>
      </w:r>
      <w:r>
        <w:rPr>
          <w:rFonts w:ascii="Arial" w:cs="Arial" w:eastAsia="Arial" w:hAnsi="Arial"/>
          <w:sz w:val="22"/>
          <w:szCs w:val="22"/>
          <w:color w:val="auto"/>
        </w:rPr>
        <w:t xml:space="preserve"> </w:t>
      </w:r>
      <w:r>
        <w:rPr>
          <w:rFonts w:ascii="Arial" w:cs="Arial" w:eastAsia="Arial" w:hAnsi="Arial"/>
          <w:sz w:val="22"/>
          <w:szCs w:val="22"/>
          <w:i w:val="1"/>
          <w:iCs w:val="1"/>
          <w:color w:val="auto"/>
        </w:rPr>
        <w:t>foundation contribution</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p>
    <w:p>
      <w:pPr>
        <w:spacing w:after="0" w:line="1" w:lineRule="exact"/>
        <w:rPr>
          <w:sz w:val="20"/>
          <w:szCs w:val="20"/>
          <w:color w:val="auto"/>
        </w:rPr>
      </w:pPr>
    </w:p>
    <w:p>
      <w:pPr>
        <w:ind w:right="140"/>
        <w:spacing w:after="0" w:line="225" w:lineRule="auto"/>
        <w:rPr>
          <w:sz w:val="20"/>
          <w:szCs w:val="20"/>
          <w:color w:val="auto"/>
        </w:rPr>
      </w:pPr>
      <w:r>
        <w:rPr>
          <w:rFonts w:ascii="Arial" w:cs="Arial" w:eastAsia="Arial" w:hAnsi="Arial"/>
          <w:sz w:val="22"/>
          <w:szCs w:val="22"/>
          <w:color w:val="auto"/>
        </w:rPr>
        <w:t xml:space="preserve">Adjusted provision for income taxes is defined as provision for income taxes, determined in accordance with GAAP, excluding </w:t>
      </w:r>
      <w:r>
        <w:rPr>
          <w:rFonts w:ascii="Arial" w:cs="Arial" w:eastAsia="Arial" w:hAnsi="Arial"/>
          <w:sz w:val="22"/>
          <w:szCs w:val="22"/>
          <w:i w:val="1"/>
          <w:iCs w:val="1"/>
          <w:color w:val="auto"/>
        </w:rPr>
        <w:t>tax related items</w:t>
      </w:r>
      <w:r>
        <w:rPr>
          <w:rFonts w:ascii="Arial" w:cs="Arial" w:eastAsia="Arial" w:hAnsi="Arial"/>
          <w:sz w:val="28"/>
          <w:szCs w:val="28"/>
          <w:i w:val="1"/>
          <w:iCs w:val="1"/>
          <w:color w:val="auto"/>
          <w:vertAlign w:val="superscript"/>
        </w:rPr>
        <w:t>5</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 tax rate represents adjusted provision for income taxes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income before income taxes.</w:t>
      </w:r>
    </w:p>
    <w:p>
      <w:pPr>
        <w:spacing w:after="0" w:line="66" w:lineRule="exact"/>
        <w:rPr>
          <w:sz w:val="20"/>
          <w:szCs w:val="20"/>
          <w:color w:val="auto"/>
        </w:rPr>
      </w:pPr>
    </w:p>
    <w:p>
      <w:pPr>
        <w:jc w:val="both"/>
        <w:ind w:right="140"/>
        <w:spacing w:after="0" w:line="210" w:lineRule="auto"/>
        <w:rPr>
          <w:sz w:val="20"/>
          <w:szCs w:val="20"/>
          <w:color w:val="auto"/>
        </w:rPr>
      </w:pPr>
      <w:r>
        <w:rPr>
          <w:rFonts w:ascii="Arial" w:cs="Arial" w:eastAsia="Arial" w:hAnsi="Arial"/>
          <w:sz w:val="22"/>
          <w:szCs w:val="22"/>
          <w:color w:val="auto"/>
        </w:rPr>
        <w:t xml:space="preserve">Adjusted diluted EPS is defined as diluted EPS, determined in accordance with GAAP, excluding: </w:t>
      </w:r>
      <w:r>
        <w:rPr>
          <w:rFonts w:ascii="Arial" w:cs="Arial" w:eastAsia="Arial" w:hAnsi="Arial"/>
          <w:sz w:val="22"/>
          <w:szCs w:val="22"/>
          <w:i w:val="1"/>
          <w:iCs w:val="1"/>
          <w:color w:val="auto"/>
        </w:rPr>
        <w:t>acquisition 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 xml:space="preserve">; </w:t>
      </w:r>
      <w:r>
        <w:rPr>
          <w:rFonts w:ascii="Arial" w:cs="Arial" w:eastAsia="Arial" w:hAnsi="Arial"/>
          <w:sz w:val="22"/>
          <w:szCs w:val="22"/>
          <w:i w:val="1"/>
          <w:iCs w:val="1"/>
          <w:color w:val="auto"/>
        </w:rPr>
        <w:t>acquisition related transaction costs</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tax related items</w:t>
      </w:r>
      <w:r>
        <w:rPr>
          <w:rFonts w:ascii="Arial" w:cs="Arial" w:eastAsia="Arial" w:hAnsi="Arial"/>
          <w:sz w:val="28"/>
          <w:szCs w:val="28"/>
          <w:i w:val="1"/>
          <w:iCs w:val="1"/>
          <w:color w:val="auto"/>
          <w:vertAlign w:val="superscript"/>
        </w:rPr>
        <w:t>5</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p>
    <w:p>
      <w:pPr>
        <w:spacing w:after="0" w:line="79" w:lineRule="exact"/>
        <w:rPr>
          <w:sz w:val="20"/>
          <w:szCs w:val="20"/>
          <w:color w:val="auto"/>
        </w:rPr>
      </w:pPr>
    </w:p>
    <w:p>
      <w:pPr>
        <w:ind w:right="400"/>
        <w:spacing w:after="0" w:line="329" w:lineRule="auto"/>
        <w:rPr>
          <w:sz w:val="20"/>
          <w:szCs w:val="20"/>
          <w:color w:val="auto"/>
        </w:rPr>
      </w:pPr>
      <w:r>
        <w:rPr>
          <w:rFonts w:ascii="Arial" w:cs="Arial" w:eastAsia="Arial" w:hAnsi="Arial"/>
          <w:sz w:val="19"/>
          <w:szCs w:val="19"/>
          <w:color w:val="auto"/>
        </w:rPr>
        <w:t>Free cash flow is defined as net cash provided by operating activities, determined in accordance with GAAP, less additions to property, plant and equipment, net. Free cash flow margin percentage represents free cash flow divided by revenue.</w:t>
      </w:r>
    </w:p>
    <w:p>
      <w:pPr>
        <w:spacing w:after="0" w:line="1" w:lineRule="exact"/>
        <w:rPr>
          <w:sz w:val="20"/>
          <w:szCs w:val="20"/>
          <w:color w:val="auto"/>
        </w:rPr>
      </w:pPr>
    </w:p>
    <w:p>
      <w:pPr>
        <w:ind w:left="660" w:right="160"/>
        <w:spacing w:after="0" w:line="261" w:lineRule="auto"/>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20"/>
          <w:szCs w:val="20"/>
          <w:i w:val="1"/>
          <w:iCs w:val="1"/>
          <w:color w:val="auto"/>
        </w:rPr>
        <w:t>Acquisition Related Expenses</w:t>
      </w:r>
      <w:r>
        <w:rPr>
          <w:rFonts w:ascii="Arial" w:cs="Arial" w:eastAsia="Arial" w:hAnsi="Arial"/>
          <w:sz w:val="20"/>
          <w:szCs w:val="20"/>
          <w:color w:val="auto"/>
        </w:rPr>
        <w:t>: Expenses incurred as a result of current and prior period acquisitions and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expenses 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w:t>
      </w:r>
    </w:p>
    <w:p>
      <w:pPr>
        <w:sectPr>
          <w:pgSz w:w="11900" w:h="16838" w:orient="portrait"/>
          <w:cols w:equalWidth="0" w:num="1">
            <w:col w:w="11240"/>
          </w:cols>
          <w:pgMar w:left="320" w:top="996" w:right="339" w:bottom="1440" w:gutter="0" w:footer="0" w:header="0"/>
        </w:sectPr>
      </w:pPr>
    </w:p>
    <w:bookmarkStart w:id="7" w:name="page8"/>
    <w:bookmarkEnd w:id="7"/>
    <w:p>
      <w:pPr>
        <w:ind w:left="660" w:right="180"/>
        <w:spacing w:after="0" w:line="263" w:lineRule="auto"/>
        <w:rPr>
          <w:sz w:val="20"/>
          <w:szCs w:val="20"/>
          <w:color w:val="auto"/>
        </w:rPr>
      </w:pPr>
      <w:r>
        <w:rPr>
          <w:rFonts w:ascii="Arial" w:cs="Arial" w:eastAsia="Arial" w:hAnsi="Arial"/>
          <w:sz w:val="22"/>
          <w:szCs w:val="22"/>
          <w:color w:val="auto"/>
        </w:rPr>
        <w:t>Corporation (Linear) acquisition. We excluded these costs from our non-GAAP measures because they relate to specific transactions and are not reflective of our ongoing financial performance.</w:t>
      </w:r>
    </w:p>
    <w:p>
      <w:pPr>
        <w:spacing w:after="0" w:line="40" w:lineRule="exact"/>
        <w:rPr>
          <w:sz w:val="20"/>
          <w:szCs w:val="20"/>
          <w:color w:val="auto"/>
        </w:rPr>
      </w:pPr>
    </w:p>
    <w:p>
      <w:pPr>
        <w:ind w:left="660" w:right="20"/>
        <w:spacing w:after="0" w:line="231" w:lineRule="auto"/>
        <w:rPr>
          <w:sz w:val="20"/>
          <w:szCs w:val="20"/>
          <w:color w:val="auto"/>
        </w:rPr>
      </w:pPr>
      <w:r>
        <w:rPr>
          <w:rFonts w:ascii="Arial" w:cs="Arial" w:eastAsia="Arial" w:hAnsi="Arial"/>
          <w:sz w:val="28"/>
          <w:szCs w:val="28"/>
          <w:i w:val="1"/>
          <w:iCs w:val="1"/>
          <w:color w:val="auto"/>
          <w:vertAlign w:val="superscript"/>
        </w:rPr>
        <w:t>2</w:t>
      </w:r>
      <w:r>
        <w:rPr>
          <w:rFonts w:ascii="Arial" w:cs="Arial" w:eastAsia="Arial" w:hAnsi="Arial"/>
          <w:sz w:val="22"/>
          <w:szCs w:val="22"/>
          <w:i w:val="1"/>
          <w:iCs w:val="1"/>
          <w:color w:val="auto"/>
        </w:rPr>
        <w:t>Acquisition Related Transaction Costs</w:t>
      </w:r>
      <w:r>
        <w:rPr>
          <w:rFonts w:ascii="Arial" w:cs="Arial" w:eastAsia="Arial" w:hAnsi="Arial"/>
          <w:sz w:val="22"/>
          <w:szCs w:val="22"/>
          <w:color w:val="auto"/>
        </w:rPr>
        <w:t>: Costs directly related to the proposed Maxim Integrated Products, Inc.</w:t>
      </w:r>
      <w:r>
        <w:rPr>
          <w:rFonts w:ascii="Arial" w:cs="Arial" w:eastAsia="Arial" w:hAnsi="Arial"/>
          <w:sz w:val="22"/>
          <w:szCs w:val="22"/>
          <w:i w:val="1"/>
          <w:iCs w:val="1"/>
          <w:color w:val="auto"/>
        </w:rPr>
        <w:t xml:space="preserve"> </w:t>
      </w:r>
      <w:r>
        <w:rPr>
          <w:rFonts w:ascii="Arial" w:cs="Arial" w:eastAsia="Arial" w:hAnsi="Arial"/>
          <w:sz w:val="22"/>
          <w:szCs w:val="22"/>
          <w:color w:val="auto"/>
        </w:rPr>
        <w:t>acquisition, including legal, accounting and other professional fees as well as integration-related costs. We excluded these costs from our non-GAAP measures because they relate to a specific transaction and are not reflective of our ongoing financial performance.</w:t>
      </w:r>
    </w:p>
    <w:p>
      <w:pPr>
        <w:spacing w:after="0" w:line="73" w:lineRule="exact"/>
        <w:rPr>
          <w:sz w:val="20"/>
          <w:szCs w:val="20"/>
          <w:color w:val="auto"/>
        </w:rPr>
      </w:pPr>
    </w:p>
    <w:p>
      <w:pPr>
        <w:ind w:left="660" w:right="60"/>
        <w:spacing w:after="0" w:line="235" w:lineRule="auto"/>
        <w:rPr>
          <w:sz w:val="20"/>
          <w:szCs w:val="20"/>
          <w:color w:val="auto"/>
        </w:rPr>
      </w:pP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Restructuring Related Expense</w:t>
      </w:r>
      <w:r>
        <w:rPr>
          <w:rFonts w:ascii="Arial" w:cs="Arial" w:eastAsia="Arial" w:hAnsi="Arial"/>
          <w:sz w:val="22"/>
          <w:szCs w:val="22"/>
          <w:color w:val="auto"/>
        </w:rPr>
        <w:t>: Expenses incurred in connection with facility closures, consolidation of manufacturing</w:t>
      </w:r>
      <w:r>
        <w:rPr>
          <w:rFonts w:ascii="Arial" w:cs="Arial" w:eastAsia="Arial" w:hAnsi="Arial"/>
          <w:sz w:val="22"/>
          <w:szCs w:val="22"/>
          <w:i w:val="1"/>
          <w:iCs w:val="1"/>
          <w:color w:val="auto"/>
        </w:rPr>
        <w:t xml:space="preserve"> </w:t>
      </w:r>
      <w:r>
        <w:rPr>
          <w:rFonts w:ascii="Arial" w:cs="Arial" w:eastAsia="Arial" w:hAnsi="Arial"/>
          <w:sz w:val="22"/>
          <w:szCs w:val="22"/>
          <w:color w:val="auto"/>
        </w:rPr>
        <w:t>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71" w:lineRule="exact"/>
        <w:rPr>
          <w:sz w:val="20"/>
          <w:szCs w:val="20"/>
          <w:color w:val="auto"/>
        </w:rPr>
      </w:pPr>
    </w:p>
    <w:p>
      <w:pPr>
        <w:jc w:val="both"/>
        <w:ind w:left="660" w:right="140"/>
        <w:spacing w:after="0"/>
        <w:rPr>
          <w:sz w:val="20"/>
          <w:szCs w:val="20"/>
          <w:color w:val="auto"/>
        </w:rPr>
      </w:pPr>
      <w:r>
        <w:rPr>
          <w:rFonts w:ascii="Arial" w:cs="Arial" w:eastAsia="Arial" w:hAnsi="Arial"/>
          <w:sz w:val="27"/>
          <w:szCs w:val="27"/>
          <w:i w:val="1"/>
          <w:iCs w:val="1"/>
          <w:color w:val="auto"/>
          <w:vertAlign w:val="superscript"/>
        </w:rPr>
        <w:t>4</w:t>
      </w:r>
      <w:r>
        <w:rPr>
          <w:rFonts w:ascii="Arial" w:cs="Arial" w:eastAsia="Arial" w:hAnsi="Arial"/>
          <w:sz w:val="21"/>
          <w:szCs w:val="21"/>
          <w:i w:val="1"/>
          <w:iCs w:val="1"/>
          <w:color w:val="auto"/>
        </w:rPr>
        <w:t>Charitable Foundation Contribution</w:t>
      </w:r>
      <w:r>
        <w:rPr>
          <w:rFonts w:ascii="Arial" w:cs="Arial" w:eastAsia="Arial" w:hAnsi="Arial"/>
          <w:sz w:val="21"/>
          <w:szCs w:val="21"/>
          <w:color w:val="auto"/>
        </w:rPr>
        <w:t>: Expenses incurred in connection with a one time contribution of registered shares</w:t>
      </w:r>
      <w:r>
        <w:rPr>
          <w:rFonts w:ascii="Arial" w:cs="Arial" w:eastAsia="Arial" w:hAnsi="Arial"/>
          <w:sz w:val="21"/>
          <w:szCs w:val="21"/>
          <w:i w:val="1"/>
          <w:iCs w:val="1"/>
          <w:color w:val="auto"/>
        </w:rPr>
        <w:t xml:space="preserve"> </w:t>
      </w:r>
      <w:r>
        <w:rPr>
          <w:rFonts w:ascii="Arial" w:cs="Arial" w:eastAsia="Arial" w:hAnsi="Arial"/>
          <w:sz w:val="21"/>
          <w:szCs w:val="21"/>
          <w:color w:val="auto"/>
        </w:rPr>
        <w:t>of common stock to the Analog Devices Foundation. We excluded this expense from our non-GAAP measures because this expense has no direct correlation to the operation of our business in the future.</w:t>
      </w:r>
    </w:p>
    <w:p>
      <w:pPr>
        <w:spacing w:after="0" w:line="65" w:lineRule="exact"/>
        <w:rPr>
          <w:sz w:val="20"/>
          <w:szCs w:val="20"/>
          <w:color w:val="auto"/>
        </w:rPr>
      </w:pPr>
    </w:p>
    <w:p>
      <w:pPr>
        <w:ind w:left="660" w:right="100"/>
        <w:spacing w:after="0" w:line="228" w:lineRule="auto"/>
        <w:rPr>
          <w:sz w:val="20"/>
          <w:szCs w:val="20"/>
          <w:color w:val="auto"/>
        </w:rPr>
      </w:pPr>
      <w:r>
        <w:rPr>
          <w:rFonts w:ascii="Arial" w:cs="Arial" w:eastAsia="Arial" w:hAnsi="Arial"/>
          <w:sz w:val="28"/>
          <w:szCs w:val="28"/>
          <w:i w:val="1"/>
          <w:iCs w:val="1"/>
          <w:color w:val="auto"/>
          <w:vertAlign w:val="superscript"/>
        </w:rPr>
        <w:t>5</w:t>
      </w:r>
      <w:r>
        <w:rPr>
          <w:rFonts w:ascii="Arial" w:cs="Arial" w:eastAsia="Arial" w:hAnsi="Arial"/>
          <w:sz w:val="22"/>
          <w:szCs w:val="22"/>
          <w:i w:val="1"/>
          <w:iCs w:val="1"/>
          <w:color w:val="auto"/>
        </w:rPr>
        <w:t>Tax Related Items</w:t>
      </w:r>
      <w:r>
        <w:rPr>
          <w:rFonts w:ascii="Arial" w:cs="Arial" w:eastAsia="Arial" w:hAnsi="Arial"/>
          <w:sz w:val="22"/>
          <w:szCs w:val="22"/>
          <w:color w:val="auto"/>
        </w:rPr>
        <w:t>: Income tax effect of the non-GAAP items discussed above. We excluded the income tax</w:t>
      </w:r>
      <w:r>
        <w:rPr>
          <w:rFonts w:ascii="Arial" w:cs="Arial" w:eastAsia="Arial" w:hAnsi="Arial"/>
          <w:sz w:val="22"/>
          <w:szCs w:val="22"/>
          <w:i w:val="1"/>
          <w:iCs w:val="1"/>
          <w:color w:val="auto"/>
        </w:rPr>
        <w:t xml:space="preserve"> </w:t>
      </w:r>
      <w:r>
        <w:rPr>
          <w:rFonts w:ascii="Arial" w:cs="Arial" w:eastAsia="Arial" w:hAnsi="Arial"/>
          <w:sz w:val="22"/>
          <w:szCs w:val="22"/>
          <w:color w:val="auto"/>
        </w:rPr>
        <w:t>benefit/provision effect of these tax related items from our non-GAAP measures because they are not associated with the tax expense on our ongoing operating results.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53" w:lineRule="exact"/>
        <w:rPr>
          <w:sz w:val="20"/>
          <w:szCs w:val="20"/>
          <w:color w:val="auto"/>
        </w:rPr>
      </w:pPr>
    </w:p>
    <w:p>
      <w:pPr>
        <w:ind w:right="560"/>
        <w:spacing w:after="0" w:line="312" w:lineRule="auto"/>
        <w:rPr>
          <w:sz w:val="20"/>
          <w:szCs w:val="20"/>
          <w:color w:val="auto"/>
        </w:rPr>
      </w:pPr>
      <w:r>
        <w:rPr>
          <w:rFonts w:ascii="Arial" w:cs="Arial" w:eastAsia="Arial" w:hAnsi="Arial"/>
          <w:sz w:val="19"/>
          <w:szCs w:val="19"/>
          <w:color w:val="auto"/>
        </w:rPr>
        <w:t>Analog Devices (Nasdaq: ADI) is a leading global semiconductor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53" w:lineRule="exact"/>
        <w:rPr>
          <w:sz w:val="20"/>
          <w:szCs w:val="20"/>
          <w:color w:val="auto"/>
        </w:rPr>
      </w:pPr>
    </w:p>
    <w:p>
      <w:pPr>
        <w:spacing w:after="0" w:line="285"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our proposed acquisition of Maxim Integrated Products, Inc. (“Maxim”); the impact of the COVID-19 pandemic on our business, financial condition and results of operations; expected revenue, operating margin, tax rate, earnings per share, and other financial results; expected market trends, market share gains, operating leverage, production and inventory levels; expected customer demand and order rates for our products and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or Maxim’s estimates of our respective expected tax rates based on current tax law; our ability to successfully integrate Maxim’s businesses and technologies; the risk that the expected benefits and synergies of the proposed transaction and growth prospects of the combined company may not be fully achieved in a timely manner,</w:t>
      </w:r>
    </w:p>
    <w:p>
      <w:pPr>
        <w:sectPr>
          <w:pgSz w:w="11900" w:h="16838" w:orient="portrait"/>
          <w:cols w:equalWidth="0" w:num="1">
            <w:col w:w="11200"/>
          </w:cols>
          <w:pgMar w:left="320" w:top="996" w:right="379" w:bottom="1440" w:gutter="0" w:footer="0" w:header="0"/>
        </w:sectPr>
      </w:pPr>
    </w:p>
    <w:bookmarkStart w:id="8" w:name="page9"/>
    <w:bookmarkEnd w:id="8"/>
    <w:p>
      <w:pPr>
        <w:spacing w:after="0" w:line="286" w:lineRule="auto"/>
        <w:rPr>
          <w:sz w:val="20"/>
          <w:szCs w:val="20"/>
          <w:color w:val="auto"/>
        </w:rPr>
      </w:pPr>
      <w:r>
        <w:rPr>
          <w:rFonts w:ascii="Arial" w:cs="Arial" w:eastAsia="Arial" w:hAnsi="Arial"/>
          <w:sz w:val="19"/>
          <w:szCs w:val="19"/>
          <w:i w:val="1"/>
          <w:iCs w:val="1"/>
          <w:color w:val="auto"/>
        </w:rPr>
        <w:t>or at all; adverse results in litigation matters, including the potential for litigation related to the proposed transaction; the risk that we or Maxim will be unable to retain and hire key personnel; the risk associated with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our common stock; the diversion of management time on transaction-related matters; our ability to successfully integrate acquired businesses and technologies; and the risk that expected benefits, synergies and growth prospects of acquisitions may not be fully achieved in a timely manner, or at all.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860"/>
        <w:spacing w:after="0" w:line="263"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240"/>
          </w:cols>
          <w:pgMar w:left="320" w:top="90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5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1, 2021</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May 2,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1, 2021</w:t>
            </w:r>
          </w:p>
        </w:tc>
        <w:tc>
          <w:tcPr>
            <w:tcW w:w="16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May 2, 2020</w:t>
            </w:r>
          </w:p>
        </w:tc>
      </w:tr>
      <w:tr>
        <w:trPr>
          <w:trHeight w:val="22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1,661,407</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1,317,060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3,219,865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2,620,625</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524,770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1,037,857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925,809</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1,136,637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1,694,816</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509,486</w:t>
            </w:r>
          </w:p>
        </w:tc>
      </w:tr>
      <w:tr>
        <w:trPr>
          <w:trHeight w:val="229"/>
        </w:trPr>
        <w:tc>
          <w:tcPr>
            <w:tcW w:w="538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206,612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391,887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341,055</w:t>
            </w:r>
          </w:p>
        </w:tc>
      </w:tr>
      <w:tr>
        <w:trPr>
          <w:trHeight w:val="230"/>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214,371</w:t>
            </w:r>
          </w:p>
        </w:tc>
      </w:tr>
      <w:tr>
        <w:trPr>
          <w:trHeight w:val="229"/>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Special charges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12,456</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1,077,368</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519,690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983,550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617,448</w:t>
            </w: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5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49,985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98,798</w:t>
            </w:r>
          </w:p>
        </w:tc>
      </w:tr>
      <w:tr>
        <w:trPr>
          <w:trHeight w:val="229"/>
        </w:trPr>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r>
      <w:tr>
        <w:trPr>
          <w:trHeight w:val="230"/>
        </w:trPr>
        <w:tc>
          <w:tcPr>
            <w:tcW w:w="5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r>
      <w:tr>
        <w:trPr>
          <w:trHeight w:val="223"/>
        </w:trPr>
        <w:tc>
          <w:tcPr>
            <w:tcW w:w="5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96,170</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475,985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295,061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912,603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521,278</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49,708</w:t>
            </w: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811,424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471,570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5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368,823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368,217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368,229</w:t>
            </w:r>
          </w:p>
        </w:tc>
      </w:tr>
      <w:tr>
        <w:trPr>
          <w:trHeight w:val="22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372,418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371,784</w:t>
            </w:r>
          </w:p>
        </w:tc>
      </w:tr>
      <w:tr>
        <w:trPr>
          <w:trHeight w:val="257"/>
        </w:trPr>
        <w:tc>
          <w:tcPr>
            <w:tcW w:w="5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w:t>
            </w:r>
          </w:p>
        </w:tc>
      </w:tr>
    </w:tbl>
    <w:p>
      <w:pPr>
        <w:sectPr>
          <w:pgSz w:w="11900" w:h="16838" w:orient="portrait"/>
          <w:cols w:equalWidth="0" w:num="1">
            <w:col w:w="11240"/>
          </w:cols>
          <w:pgMar w:left="320" w:top="89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May 1,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Arial" w:cs="Arial" w:eastAsia="Arial" w:hAnsi="Arial"/>
                <w:sz w:val="18"/>
                <w:szCs w:val="18"/>
                <w:b w:val="1"/>
                <w:bCs w:val="1"/>
                <w:color w:val="auto"/>
              </w:rPr>
              <w:t>Oct. 31, 2020</w:t>
            </w: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1,305,216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1,055,860</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814,135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737,536</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608,260</w:t>
            </w:r>
          </w:p>
        </w:tc>
      </w:tr>
      <w:tr>
        <w:trPr>
          <w:trHeight w:val="229"/>
        </w:trPr>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116,032</w:t>
            </w:r>
          </w:p>
        </w:tc>
      </w:tr>
      <w:tr>
        <w:trPr>
          <w:trHeight w:val="223"/>
        </w:trPr>
        <w:tc>
          <w:tcPr>
            <w:tcW w:w="6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2,517,688</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1,160,586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1,120,561</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86,729</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12,282,465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12,278,425</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3,650,280</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1,448,018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1,503,064</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311,856</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21,588,217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21,468,603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1,452,378</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1,364,986</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Debt, current</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3,823,595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5,145,102</w:t>
            </w:r>
          </w:p>
        </w:tc>
      </w:tr>
      <w:tr>
        <w:trPr>
          <w:trHeight w:val="229"/>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1,833,520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1,919,595</w:t>
            </w: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987,169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1,040,975</w:t>
            </w:r>
          </w:p>
        </w:tc>
      </w:tr>
      <w:tr>
        <w:trPr>
          <w:trHeight w:val="23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12,167,104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11,997,945</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21,588,217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21,468,603</w:t>
            </w:r>
          </w:p>
        </w:tc>
      </w:tr>
      <w:tr>
        <w:trPr>
          <w:trHeight w:val="21"/>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91"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177165</wp:posOffset>
            </wp:positionV>
            <wp:extent cx="395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51605" cy="8890"/>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288" w:lineRule="exact"/>
        <w:rPr>
          <w:sz w:val="20"/>
          <w:szCs w:val="20"/>
          <w:color w:val="auto"/>
        </w:rPr>
      </w:pPr>
    </w:p>
    <w:p>
      <w:pPr>
        <w:jc w:val="center"/>
        <w:ind w:left="52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17145</wp:posOffset>
            </wp:positionV>
            <wp:extent cx="1928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6" w:lineRule="exact"/>
        <w:rPr>
          <w:sz w:val="20"/>
          <w:szCs w:val="20"/>
          <w:color w:val="auto"/>
        </w:rPr>
      </w:pPr>
    </w:p>
    <w:p>
      <w:pPr>
        <w:ind w:left="5280"/>
        <w:spacing w:after="0"/>
        <w:tabs>
          <w:tab w:leader="none" w:pos="6840" w:val="left"/>
        </w:tabs>
        <w:rPr>
          <w:sz w:val="20"/>
          <w:szCs w:val="20"/>
          <w:color w:val="auto"/>
        </w:rPr>
      </w:pPr>
      <w:r>
        <w:rPr>
          <w:rFonts w:ascii="Arial" w:cs="Arial" w:eastAsia="Arial" w:hAnsi="Arial"/>
          <w:sz w:val="18"/>
          <w:szCs w:val="18"/>
          <w:b w:val="1"/>
          <w:bCs w:val="1"/>
          <w:color w:val="auto"/>
        </w:rPr>
        <w:t>May 1, 2021</w:t>
      </w:r>
      <w:r>
        <w:rPr>
          <w:sz w:val="20"/>
          <w:szCs w:val="20"/>
          <w:color w:val="auto"/>
        </w:rPr>
        <w:tab/>
      </w:r>
      <w:r>
        <w:rPr>
          <w:rFonts w:ascii="Arial" w:cs="Arial" w:eastAsia="Arial" w:hAnsi="Arial"/>
          <w:sz w:val="16"/>
          <w:szCs w:val="16"/>
          <w:b w:val="1"/>
          <w:bCs w:val="1"/>
          <w:color w:val="auto"/>
        </w:rPr>
        <w:t>May 2, 2020</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wp:posOffset>
            </wp:positionH>
            <wp:positionV relativeFrom="paragraph">
              <wp:posOffset>17145</wp:posOffset>
            </wp:positionV>
            <wp:extent cx="1954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6"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May 1, 2021</w:t>
      </w:r>
      <w:r>
        <w:rPr>
          <w:sz w:val="20"/>
          <w:szCs w:val="20"/>
          <w:color w:val="auto"/>
        </w:rPr>
        <w:tab/>
      </w:r>
      <w:r>
        <w:rPr>
          <w:rFonts w:ascii="Arial" w:cs="Arial" w:eastAsia="Arial" w:hAnsi="Arial"/>
          <w:sz w:val="16"/>
          <w:szCs w:val="16"/>
          <w:b w:val="1"/>
          <w:bCs w:val="1"/>
          <w:color w:val="auto"/>
        </w:rPr>
        <w:t>May 2, 2020</w:t>
      </w:r>
    </w:p>
    <w:p>
      <w:pPr>
        <w:spacing w:after="0" w:line="27" w:lineRule="exact"/>
        <w:rPr>
          <w:sz w:val="20"/>
          <w:szCs w:val="20"/>
          <w:color w:val="auto"/>
        </w:rPr>
      </w:pPr>
    </w:p>
    <w:p>
      <w:pPr>
        <w:sectPr>
          <w:pgSz w:w="11900" w:h="16838" w:orient="portrait"/>
          <w:cols w:equalWidth="0" w:num="2">
            <w:col w:w="7800" w:space="640"/>
            <w:col w:w="2800"/>
          </w:cols>
          <w:pgMar w:left="320" w:top="89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422,905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267,696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811,424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471,570</w:t>
            </w:r>
          </w:p>
        </w:tc>
      </w:tr>
      <w:tr>
        <w:trPr>
          <w:trHeight w:val="176"/>
        </w:trPr>
        <w:tc>
          <w:tcPr>
            <w:tcW w:w="5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29"/>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0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52,466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59,261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108,775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119,124</w:t>
            </w:r>
          </w:p>
        </w:tc>
      </w:tr>
      <w:tr>
        <w:trPr>
          <w:trHeight w:val="229"/>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145,701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144,051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290,745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288,120</w:t>
            </w: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40,358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35,900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76,996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73,401</w:t>
            </w: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(21,017)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(21,408)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(48,292)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(35,390)</w:t>
            </w:r>
          </w:p>
        </w:tc>
      </w:tr>
      <w:tr>
        <w:trPr>
          <w:trHeight w:val="229"/>
        </w:trPr>
        <w:tc>
          <w:tcPr>
            <w:tcW w:w="5020" w:type="dxa"/>
            <w:vAlign w:val="bottom"/>
          </w:tcPr>
          <w:p>
            <w:pPr>
              <w:ind w:left="340"/>
              <w:spacing w:after="0"/>
              <w:rPr>
                <w:sz w:val="20"/>
                <w:szCs w:val="20"/>
                <w:color w:val="auto"/>
              </w:rPr>
            </w:pPr>
            <w:r>
              <w:rPr>
                <w:rFonts w:ascii="Arial" w:cs="Arial" w:eastAsia="Arial" w:hAnsi="Arial"/>
                <w:sz w:val="18"/>
                <w:szCs w:val="18"/>
                <w:color w:val="auto"/>
              </w:rPr>
              <w:t>Non-cash contribution to charitable foundation</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40,000</w:t>
            </w:r>
          </w:p>
        </w:tc>
      </w:tr>
      <w:tr>
        <w:trPr>
          <w:trHeight w:val="230"/>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activity</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(12,122)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3,801</w:t>
            </w:r>
          </w:p>
        </w:tc>
      </w:tr>
      <w:tr>
        <w:trPr>
          <w:trHeight w:val="229"/>
        </w:trPr>
        <w:tc>
          <w:tcPr>
            <w:tcW w:w="50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93,517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(57,928)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(63,223)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(181,937)</w:t>
            </w:r>
          </w:p>
        </w:tc>
      </w:tr>
      <w:tr>
        <w:trPr>
          <w:trHeight w:val="223"/>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313,456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161,345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352,879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307,119</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736,361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429,041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1,164,303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778,689</w:t>
            </w:r>
          </w:p>
        </w:tc>
      </w:tr>
      <w:tr>
        <w:trPr>
          <w:trHeight w:val="223"/>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Percent of revenue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other investments</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18,566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10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(59,170)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(60,161)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(126,558)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(115,000)</w:t>
            </w:r>
          </w:p>
        </w:tc>
      </w:tr>
      <w:tr>
        <w:trPr>
          <w:trHeight w:val="229"/>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asset acquisition</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Payments for acquisitions, net of cash acquired</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(1,284)</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(60,696)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(61,552)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(135,768)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(116,284)</w:t>
            </w:r>
          </w:p>
        </w:tc>
      </w:tr>
      <w:tr>
        <w:trPr>
          <w:trHeight w:val="250"/>
        </w:trPr>
        <w:tc>
          <w:tcPr>
            <w:tcW w:w="5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debt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395,646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395,646</w:t>
            </w: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Payments on revolver</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(350,000)</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revolver</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350,000</w:t>
            </w:r>
          </w:p>
        </w:tc>
      </w:tr>
      <w:tr>
        <w:trPr>
          <w:trHeight w:val="230"/>
        </w:trPr>
        <w:tc>
          <w:tcPr>
            <w:tcW w:w="502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(300,000)</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payments to shareholders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(254,429)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(228,600)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(483,608)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(427,760)</w:t>
            </w:r>
          </w:p>
        </w:tc>
      </w:tr>
      <w:tr>
        <w:trPr>
          <w:trHeight w:val="229"/>
        </w:trPr>
        <w:tc>
          <w:tcPr>
            <w:tcW w:w="502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(188,814)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(113,584)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(345,871)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(219,614)</w:t>
            </w:r>
          </w:p>
        </w:tc>
      </w:tr>
      <w:tr>
        <w:trPr>
          <w:trHeight w:val="230"/>
        </w:trPr>
        <w:tc>
          <w:tcPr>
            <w:tcW w:w="5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employee stock plans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14,784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30,897</w:t>
            </w:r>
          </w:p>
        </w:tc>
      </w:tr>
      <w:tr>
        <w:trPr>
          <w:trHeight w:val="230"/>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Changes in other financing activities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(4,451)</w:t>
            </w: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(419,585)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(235,710)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(783,408)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(525,282)</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(508)</w:t>
            </w:r>
          </w:p>
        </w:tc>
      </w:tr>
      <w:tr>
        <w:trPr>
          <w:trHeight w:val="250"/>
        </w:trPr>
        <w:tc>
          <w:tcPr>
            <w:tcW w:w="50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257,153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130,529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249,356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136,615</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1,048,063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654,408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1,055,860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648,322</w:t>
            </w: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1,305,216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784,937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1,305,216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784,937</w:t>
            </w:r>
          </w:p>
        </w:tc>
      </w:tr>
      <w:tr>
        <w:trPr>
          <w:trHeight w:val="20"/>
        </w:trPr>
        <w:tc>
          <w:tcPr>
            <w:tcW w:w="5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91" w:right="33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7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May 1, 2021</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Revenue</w:t>
            </w: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972,177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59%</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716,364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276,960</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10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276,575</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21%</w:t>
            </w:r>
          </w:p>
        </w:tc>
      </w:tr>
      <w:tr>
        <w:trPr>
          <w:trHeight w:val="229"/>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257,586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181,211</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14%</w:t>
            </w:r>
          </w:p>
        </w:tc>
      </w:tr>
      <w:tr>
        <w:trPr>
          <w:trHeight w:val="229"/>
        </w:trPr>
        <w:tc>
          <w:tcPr>
            <w:tcW w:w="2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154,684</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17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11%</w:t>
            </w:r>
          </w:p>
        </w:tc>
      </w:tr>
      <w:tr>
        <w:trPr>
          <w:trHeight w:val="248"/>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1,661,407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1,317,060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May 1, 2021</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rPr>
              <w:t>May 2, 2020</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Revenue</w:t>
            </w:r>
          </w:p>
        </w:tc>
        <w:tc>
          <w:tcPr>
            <w:tcW w:w="1620" w:type="dxa"/>
            <w:vAlign w:val="bottom"/>
          </w:tcPr>
          <w:p>
            <w:pPr>
              <w:ind w:left="260"/>
              <w:spacing w:after="0"/>
              <w:rPr>
                <w:sz w:val="20"/>
                <w:szCs w:val="20"/>
                <w:color w:val="auto"/>
              </w:rPr>
            </w:pPr>
            <w:r>
              <w:rPr>
                <w:rFonts w:ascii="Arial" w:cs="Arial" w:eastAsia="Arial" w:hAnsi="Arial"/>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1,828,140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57%</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1,405,224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r>
      <w:tr>
        <w:trPr>
          <w:trHeight w:val="229"/>
        </w:trPr>
        <w:tc>
          <w:tcPr>
            <w:tcW w:w="2700" w:type="dxa"/>
            <w:vAlign w:val="bottom"/>
          </w:tcPr>
          <w:p>
            <w:pPr>
              <w:spacing w:after="0"/>
              <w:rPr>
                <w:sz w:val="20"/>
                <w:szCs w:val="20"/>
                <w:color w:val="auto"/>
              </w:rPr>
            </w:pPr>
            <w:r>
              <w:rPr>
                <w:rFonts w:ascii="Arial" w:cs="Arial" w:eastAsia="Arial" w:hAnsi="Arial"/>
                <w:sz w:val="18"/>
                <w:szCs w:val="18"/>
                <w:color w:val="auto"/>
              </w:rPr>
              <w:t>Communications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557,786</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517,872</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20%</w:t>
            </w:r>
          </w:p>
        </w:tc>
      </w:tr>
      <w:tr>
        <w:trPr>
          <w:trHeight w:val="23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503,501</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1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386,618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r>
      <w:tr>
        <w:trPr>
          <w:trHeight w:val="230"/>
        </w:trPr>
        <w:tc>
          <w:tcPr>
            <w:tcW w:w="2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330,438</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w:t>
            </w:r>
          </w:p>
        </w:tc>
        <w:tc>
          <w:tcPr>
            <w:tcW w:w="172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310,911</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12%</w:t>
            </w:r>
          </w:p>
        </w:tc>
      </w:tr>
      <w:tr>
        <w:trPr>
          <w:trHeight w:val="248"/>
        </w:trPr>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3,219,865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2,620,625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sum of the individual percentages may not equal the total due to rounding.</w:t>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177165</wp:posOffset>
            </wp:positionV>
            <wp:extent cx="4311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292" w:lineRule="exact"/>
        <w:rPr>
          <w:sz w:val="20"/>
          <w:szCs w:val="20"/>
          <w:color w:val="auto"/>
        </w:rPr>
      </w:pPr>
    </w:p>
    <w:p>
      <w:pPr>
        <w:jc w:val="center"/>
        <w:ind w:left="46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20320</wp:posOffset>
            </wp:positionV>
            <wp:extent cx="2117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6" w:lineRule="exact"/>
        <w:rPr>
          <w:sz w:val="20"/>
          <w:szCs w:val="20"/>
          <w:color w:val="auto"/>
        </w:rPr>
      </w:pPr>
    </w:p>
    <w:p>
      <w:pPr>
        <w:ind w:left="4840"/>
        <w:spacing w:after="0"/>
        <w:tabs>
          <w:tab w:leader="none" w:pos="6540" w:val="left"/>
        </w:tabs>
        <w:rPr>
          <w:sz w:val="20"/>
          <w:szCs w:val="20"/>
          <w:color w:val="auto"/>
        </w:rPr>
      </w:pPr>
      <w:r>
        <w:rPr>
          <w:rFonts w:ascii="Arial" w:cs="Arial" w:eastAsia="Arial" w:hAnsi="Arial"/>
          <w:sz w:val="16"/>
          <w:szCs w:val="16"/>
          <w:b w:val="1"/>
          <w:bCs w:val="1"/>
          <w:color w:val="auto"/>
        </w:rPr>
        <w:t>May 1, 2021</w:t>
      </w:r>
      <w:r>
        <w:rPr>
          <w:sz w:val="20"/>
          <w:szCs w:val="20"/>
          <w:color w:val="auto"/>
        </w:rPr>
        <w:tab/>
      </w:r>
      <w:r>
        <w:rPr>
          <w:rFonts w:ascii="Arial" w:cs="Arial" w:eastAsia="Arial" w:hAnsi="Arial"/>
          <w:sz w:val="15"/>
          <w:szCs w:val="15"/>
          <w:b w:val="1"/>
          <w:bCs w:val="1"/>
          <w:color w:val="auto"/>
        </w:rPr>
        <w:t>May 2,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20320</wp:posOffset>
            </wp:positionV>
            <wp:extent cx="2125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26" w:lineRule="exact"/>
        <w:rPr>
          <w:sz w:val="20"/>
          <w:szCs w:val="20"/>
          <w:color w:val="auto"/>
        </w:rPr>
      </w:pPr>
    </w:p>
    <w:p>
      <w:pPr>
        <w:spacing w:after="0"/>
        <w:tabs>
          <w:tab w:leader="none" w:pos="1700" w:val="left"/>
        </w:tabs>
        <w:rPr>
          <w:sz w:val="20"/>
          <w:szCs w:val="20"/>
          <w:color w:val="auto"/>
        </w:rPr>
      </w:pPr>
      <w:r>
        <w:rPr>
          <w:rFonts w:ascii="Arial" w:cs="Arial" w:eastAsia="Arial" w:hAnsi="Arial"/>
          <w:sz w:val="16"/>
          <w:szCs w:val="16"/>
          <w:b w:val="1"/>
          <w:bCs w:val="1"/>
          <w:color w:val="auto"/>
        </w:rPr>
        <w:t>May 1, 2021</w:t>
      </w:r>
      <w:r>
        <w:rPr>
          <w:sz w:val="20"/>
          <w:szCs w:val="20"/>
          <w:color w:val="auto"/>
        </w:rPr>
        <w:tab/>
      </w:r>
      <w:r>
        <w:rPr>
          <w:rFonts w:ascii="Arial" w:cs="Arial" w:eastAsia="Arial" w:hAnsi="Arial"/>
          <w:sz w:val="15"/>
          <w:szCs w:val="15"/>
          <w:b w:val="1"/>
          <w:bCs w:val="1"/>
          <w:color w:val="auto"/>
        </w:rPr>
        <w:t>May 2, 2020</w:t>
      </w:r>
    </w:p>
    <w:p>
      <w:pPr>
        <w:spacing w:after="0" w:line="26" w:lineRule="exact"/>
        <w:rPr>
          <w:sz w:val="20"/>
          <w:szCs w:val="20"/>
          <w:color w:val="auto"/>
        </w:rPr>
      </w:pPr>
    </w:p>
    <w:p>
      <w:pPr>
        <w:sectPr>
          <w:pgSz w:w="11900" w:h="16838" w:orient="portrait"/>
          <w:cols w:equalWidth="0" w:num="2">
            <w:col w:w="7560" w:space="720"/>
            <w:col w:w="296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444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1,136,637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846,674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2,182,008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1,694,816</w:t>
            </w:r>
          </w:p>
        </w:tc>
        <w:tc>
          <w:tcPr>
            <w:tcW w:w="0" w:type="dxa"/>
            <w:vAlign w:val="bottom"/>
          </w:tcPr>
          <w:p>
            <w:pPr>
              <w:spacing w:after="0"/>
              <w:rPr>
                <w:sz w:val="1"/>
                <w:szCs w:val="1"/>
                <w:color w:val="auto"/>
              </w:rPr>
            </w:pPr>
          </w:p>
        </w:tc>
      </w:tr>
      <w:tr>
        <w:trPr>
          <w:trHeight w:val="213"/>
        </w:trPr>
        <w:tc>
          <w:tcPr>
            <w:tcW w:w="4440" w:type="dxa"/>
            <w:vAlign w:val="bottom"/>
          </w:tcPr>
          <w:p>
            <w:pPr>
              <w:ind w:left="100"/>
              <w:spacing w:after="0"/>
              <w:rPr>
                <w:sz w:val="20"/>
                <w:szCs w:val="20"/>
                <w:color w:val="auto"/>
              </w:rPr>
            </w:pPr>
            <w:r>
              <w:rPr>
                <w:rFonts w:ascii="Arial" w:cs="Arial" w:eastAsia="Arial" w:hAnsi="Arial"/>
                <w:sz w:val="16"/>
                <w:szCs w:val="16"/>
                <w:color w:val="auto"/>
              </w:rPr>
              <w:t>Gross margin percentage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64.3 %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67.8 %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64.7 %</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40,711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44,395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85,709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89,411</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Adjusted gross margin</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1,177,348</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891,069</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2,267,717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1,784,227</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Adjusted gross margin percentage</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68.1 %</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616,947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502,654</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1,198,458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1,077,368</w:t>
            </w:r>
          </w:p>
        </w:tc>
        <w:tc>
          <w:tcPr>
            <w:tcW w:w="0" w:type="dxa"/>
            <w:vAlign w:val="bottom"/>
          </w:tcPr>
          <w:p>
            <w:pPr>
              <w:spacing w:after="0"/>
              <w:rPr>
                <w:sz w:val="1"/>
                <w:szCs w:val="1"/>
                <w:color w:val="auto"/>
              </w:rPr>
            </w:pPr>
          </w:p>
        </w:tc>
      </w:tr>
      <w:tr>
        <w:trPr>
          <w:trHeight w:val="213"/>
        </w:trPr>
        <w:tc>
          <w:tcPr>
            <w:tcW w:w="4440" w:type="dxa"/>
            <w:vAlign w:val="bottom"/>
          </w:tcPr>
          <w:p>
            <w:pPr>
              <w:ind w:left="100"/>
              <w:spacing w:after="0"/>
              <w:rPr>
                <w:sz w:val="20"/>
                <w:szCs w:val="20"/>
                <w:color w:val="auto"/>
              </w:rPr>
            </w:pPr>
            <w:r>
              <w:rPr>
                <w:rFonts w:ascii="Arial" w:cs="Arial" w:eastAsia="Arial" w:hAnsi="Arial"/>
                <w:sz w:val="16"/>
                <w:szCs w:val="16"/>
                <w:color w:val="auto"/>
              </w:rPr>
              <w:t>Percent of revenue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37.1 %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38.2 %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37.2 %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41.1 %</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(109,903)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(111,057)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(222,838)</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4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(23,008)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(38,244)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(12,456)</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operating expenses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483,725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390,277</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939,262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802,074</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color w:val="auto"/>
              </w:rPr>
              <w:t>Adjusted operating expenses percentage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29.1 %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29.6 %</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29.2 %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30.6 %</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519,690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344,020</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983,550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617,448</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margin</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150,614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155,452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305,912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312,249</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23,008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38,244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1,320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12,456</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693,623</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500,792</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1,328,455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982,153</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Adjusted operating margin</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41.7 %</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54"/>
        </w:trPr>
        <w:tc>
          <w:tcPr>
            <w:tcW w:w="4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53,080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27,365</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101,179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49,708</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Tax related items</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22,983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21,867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45,780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50,147</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provision for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76,063</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49,232</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146,959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99,855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475,985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295,061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912,603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521,278</w:t>
            </w:r>
          </w:p>
        </w:tc>
        <w:tc>
          <w:tcPr>
            <w:tcW w:w="0" w:type="dxa"/>
            <w:vAlign w:val="bottom"/>
          </w:tcPr>
          <w:p>
            <w:pPr>
              <w:spacing w:after="0"/>
              <w:rPr>
                <w:sz w:val="1"/>
                <w:szCs w:val="1"/>
                <w:color w:val="auto"/>
              </w:rPr>
            </w:pPr>
          </w:p>
        </w:tc>
      </w:tr>
      <w:tr>
        <w:trPr>
          <w:trHeight w:val="213"/>
        </w:trPr>
        <w:tc>
          <w:tcPr>
            <w:tcW w:w="4440" w:type="dxa"/>
            <w:vAlign w:val="bottom"/>
          </w:tcPr>
          <w:p>
            <w:pPr>
              <w:ind w:left="100"/>
              <w:spacing w:after="0"/>
              <w:rPr>
                <w:sz w:val="20"/>
                <w:szCs w:val="20"/>
                <w:color w:val="auto"/>
              </w:rPr>
            </w:pPr>
            <w:r>
              <w:rPr>
                <w:rFonts w:ascii="Arial" w:cs="Arial" w:eastAsia="Arial" w:hAnsi="Arial"/>
                <w:sz w:val="16"/>
                <w:szCs w:val="16"/>
                <w:color w:val="auto"/>
              </w:rPr>
              <w:t>Effective tax rate</w:t>
            </w: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9.3 %</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11.1 %</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9.5 %</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150,614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155,452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305,912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312,249</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23,008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38,244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1,320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12,456</w:t>
            </w:r>
          </w:p>
        </w:tc>
        <w:tc>
          <w:tcPr>
            <w:tcW w:w="0" w:type="dxa"/>
            <w:vAlign w:val="bottom"/>
          </w:tcPr>
          <w:p>
            <w:pPr>
              <w:spacing w:after="0"/>
              <w:rPr>
                <w:sz w:val="1"/>
                <w:szCs w:val="1"/>
                <w:color w:val="auto"/>
              </w:rPr>
            </w:pPr>
          </w:p>
        </w:tc>
      </w:tr>
      <w:tr>
        <w:trPr>
          <w:trHeight w:val="233"/>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income before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649,918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451,833</w:t>
            </w:r>
          </w:p>
        </w:tc>
        <w:tc>
          <w:tcPr>
            <w:tcW w:w="540" w:type="dxa"/>
            <w:vAlign w:val="bottom"/>
            <w:gridSpan w:val="2"/>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1,257,508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885,983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6"/>
                <w:szCs w:val="16"/>
                <w:color w:val="auto"/>
              </w:rPr>
              <w:t>Adjusted tax rate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40" w:type="dxa"/>
            <w:vAlign w:val="bottom"/>
            <w:tcBorders>
              <w:bottom w:val="single" w:sz="8" w:color="CCEEFF"/>
            </w:tcBorders>
            <w:vMerge w:val="continue"/>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11.7 %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10.9 %</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11.7 %</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0.72</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0.84</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Acquisition related transaction costs</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13"/>
        </w:trPr>
        <w:tc>
          <w:tcPr>
            <w:tcW w:w="4440" w:type="dxa"/>
            <w:vAlign w:val="bottom"/>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Tax related items</w:t>
            </w: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1.08</w:t>
            </w:r>
          </w:p>
        </w:tc>
        <w:tc>
          <w:tcPr>
            <w:tcW w:w="54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 share amounts may not equal the total due to rounding.</w:t>
      </w:r>
    </w:p>
    <w:p>
      <w:pPr>
        <w:sectPr>
          <w:pgSz w:w="11900" w:h="16838" w:orient="portrait"/>
          <w:cols w:equalWidth="0" w:num="1">
            <w:col w:w="11240"/>
          </w:cols>
          <w:pgMar w:left="320" w:top="688"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0"/>
              <w:spacing w:after="0" w:line="189" w:lineRule="exact"/>
              <w:rPr>
                <w:sz w:val="20"/>
                <w:szCs w:val="20"/>
                <w:color w:val="auto"/>
              </w:rPr>
            </w:pPr>
            <w:r>
              <w:rPr>
                <w:rFonts w:ascii="Arial" w:cs="Arial" w:eastAsia="Arial" w:hAnsi="Arial"/>
                <w:sz w:val="18"/>
                <w:szCs w:val="18"/>
                <w:b w:val="1"/>
                <w:bCs w:val="1"/>
                <w:color w:val="auto"/>
                <w:w w:val="92"/>
              </w:rPr>
              <w:t>Trailing Twelve</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5"/>
            <w:vMerge w:val="restart"/>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May 1, 2021</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May 1, 2021</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Jan. 30, 2021</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Oct 31, 2021</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Aug. 1, 2020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6,202,296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1,661,407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1,558,458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1,526,295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1,456,136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2,394,100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736,361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427,941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672,598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557,200</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(177,250)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(59,170)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(67,388)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(29,888)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(20,804)</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2,216,850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677,191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360,553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642,710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536,396</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940"/>
              <w:spacing w:after="0"/>
              <w:rPr>
                <w:sz w:val="20"/>
                <w:szCs w:val="20"/>
                <w:color w:val="auto"/>
              </w:rPr>
            </w:pPr>
            <w:r>
              <w:rPr>
                <w:rFonts w:ascii="Arial" w:cs="Arial" w:eastAsia="Arial" w:hAnsi="Arial"/>
                <w:sz w:val="18"/>
                <w:szCs w:val="18"/>
                <w:b w:val="1"/>
                <w:bCs w:val="1"/>
                <w:color w:val="auto"/>
              </w:rPr>
              <w:t>Three Months Ending July 31, 2021</w:t>
            </w:r>
          </w:p>
        </w:tc>
      </w:tr>
      <w:tr>
        <w:trPr>
          <w:trHeight w:val="263"/>
        </w:trPr>
        <w:tc>
          <w:tcPr>
            <w:tcW w:w="4580" w:type="dxa"/>
            <w:vAlign w:val="bottom"/>
          </w:tcPr>
          <w:p>
            <w:pPr>
              <w:spacing w:after="0"/>
              <w:rPr>
                <w:sz w:val="22"/>
                <w:szCs w:val="22"/>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$1.7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$1.7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$70 Million)</w:t>
            </w:r>
          </w:p>
        </w:tc>
        <w:tc>
          <w:tcPr>
            <w:tcW w:w="3260" w:type="dxa"/>
            <w:vAlign w:val="bottom"/>
          </w:tcPr>
          <w:p>
            <w:pPr>
              <w:jc w:val="center"/>
              <w:spacing w:after="0"/>
              <w:rPr>
                <w:sz w:val="20"/>
                <w:szCs w:val="20"/>
                <w:color w:val="auto"/>
              </w:rPr>
            </w:pPr>
            <w:r>
              <w:rPr>
                <w:rFonts w:ascii="Arial" w:cs="Arial" w:eastAsia="Arial" w:hAnsi="Arial"/>
                <w:sz w:val="18"/>
                <w:szCs w:val="18"/>
                <w:color w:val="auto"/>
                <w:w w:val="97"/>
              </w:rPr>
              <w:t>(+/- $70 Million)</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32.9%</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42.5% (1)</w:t>
            </w:r>
          </w:p>
        </w:tc>
      </w:tr>
      <w:tr>
        <w:trPr>
          <w:trHeight w:val="230"/>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(+/-140 bps)</w:t>
            </w: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(+/-100 bps)</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3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 $43 Million</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$43 Million</w:t>
            </w: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Tax rate</w:t>
            </w: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11% to 13%</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11% to 13% (2)</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$1.23</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 (3)</w:t>
            </w:r>
          </w:p>
        </w:tc>
      </w:tr>
      <w:tr>
        <w:trPr>
          <w:trHeight w:val="230"/>
        </w:trPr>
        <w:tc>
          <w:tcPr>
            <w:tcW w:w="45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 $0.11)</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 $0.11)</w:t>
            </w:r>
          </w:p>
        </w:tc>
      </w:tr>
    </w:tbl>
    <w:p>
      <w:pPr>
        <w:spacing w:after="0" w:line="336" w:lineRule="exact"/>
        <w:rPr>
          <w:sz w:val="20"/>
          <w:szCs w:val="20"/>
          <w:color w:val="auto"/>
        </w:rPr>
      </w:pPr>
    </w:p>
    <w:p>
      <w:pPr>
        <w:ind w:right="140" w:firstLine="8"/>
        <w:spacing w:after="0" w:line="271"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$163 million of adjustments related to acquisition related expenses and acquisition related transaction costs as previously defined in the Non-GAAP Financial Information section of this press release. This excludes acquisition related transaction costs that are contingent upon closing of the proposed Maxim Integrated Products, Inc. acquisition as we cannot reasonably predict the timing of this transaction.</w:t>
      </w:r>
    </w:p>
    <w:p>
      <w:pPr>
        <w:ind w:right="500" w:firstLine="8"/>
        <w:spacing w:after="0" w:line="25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$23 million of tax effects associated with the adjustments for acquisition related expenses and acquisition related transaction costs noted above.</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$0.38 of adjustments related to the net impact of $0.44 of acquisition related expenses and acquisition related transaction costs, as well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$0.06 of tax effects on those items.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more information, please contact: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Sr. Director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781-461-3282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Media Contacts: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Ms. Andrea Calise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917-826-3804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andrea.calise@teneo.com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Ms. Megan Fenton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917-860-0356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megan.fenton@teneo.com</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2021-05-19T06:03:49Z</dcterms:created>
  <dcterms:modified xsi:type="dcterms:W3CDTF">2021-05-19T06:03:49Z</dcterms:modified>
</cp:coreProperties>
</file>