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444" w:type="dxa"/>
        <w:tblCellMar>
          <w:top w:w="0" w:type="dxa"/>
          <w:left w:w="0" w:type="dxa"/>
          <w:bottom w:w="0" w:type="dxa"/>
          <w:right w:w="0" w:type="dxa"/>
        </w:tblCellMar>
      </w:tblPr>
      <w:tr>
        <w:trPr>
          <w:trHeight w:val="212"/>
        </w:trPr>
        <w:tc>
          <w:tcPr>
            <w:tcW w:w="4440" w:type="dxa"/>
            <w:vAlign w:val="bottom"/>
          </w:tcPr>
          <w:p>
            <w:pPr>
              <w:jc w:val="center"/>
              <w:ind w:right="1679"/>
              <w:spacing w:after="0"/>
              <w:rPr>
                <w:sz w:val="20"/>
                <w:szCs w:val="20"/>
                <w:color w:val="auto"/>
              </w:rPr>
            </w:pPr>
            <w:r>
              <w:rPr>
                <w:rFonts w:ascii="Arial" w:cs="Arial" w:eastAsia="Arial" w:hAnsi="Arial"/>
                <w:sz w:val="18"/>
                <w:szCs w:val="18"/>
                <w:b w:val="1"/>
                <w:bCs w:val="1"/>
                <w:color w:val="auto"/>
                <w:w w:val="86"/>
              </w:rPr>
              <w:t>Massachusetts</w:t>
            </w:r>
          </w:p>
        </w:tc>
        <w:tc>
          <w:tcPr>
            <w:tcW w:w="3140" w:type="dxa"/>
            <w:vAlign w:val="bottom"/>
          </w:tcPr>
          <w:p>
            <w:pPr>
              <w:jc w:val="center"/>
              <w:ind w:left="1697"/>
              <w:spacing w:after="0"/>
              <w:rPr>
                <w:sz w:val="20"/>
                <w:szCs w:val="20"/>
                <w:color w:val="auto"/>
              </w:rPr>
            </w:pPr>
            <w:r>
              <w:rPr>
                <w:rFonts w:ascii="Arial" w:cs="Arial" w:eastAsia="Arial" w:hAnsi="Arial"/>
                <w:sz w:val="18"/>
                <w:szCs w:val="18"/>
                <w:b w:val="1"/>
                <w:bCs w:val="1"/>
                <w:color w:val="auto"/>
                <w:w w:val="92"/>
              </w:rPr>
              <w:t>1-7819</w:t>
            </w:r>
          </w:p>
        </w:tc>
      </w:tr>
      <w:tr>
        <w:trPr>
          <w:trHeight w:val="148"/>
        </w:trPr>
        <w:tc>
          <w:tcPr>
            <w:tcW w:w="4440" w:type="dxa"/>
            <w:vAlign w:val="bottom"/>
          </w:tcPr>
          <w:p>
            <w:pPr>
              <w:jc w:val="center"/>
              <w:ind w:right="1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697"/>
              <w:spacing w:after="0" w:line="149" w:lineRule="exact"/>
              <w:rPr>
                <w:sz w:val="20"/>
                <w:szCs w:val="20"/>
                <w:color w:val="auto"/>
              </w:rPr>
            </w:pPr>
            <w:r>
              <w:rPr>
                <w:rFonts w:ascii="Arial" w:cs="Arial" w:eastAsia="Arial" w:hAnsi="Arial"/>
                <w:sz w:val="14"/>
                <w:szCs w:val="14"/>
                <w:b w:val="1"/>
                <w:bCs w:val="1"/>
                <w:color w:val="auto"/>
                <w:w w:val="91"/>
              </w:rPr>
              <w:t>(Commission File No.)</w:t>
            </w:r>
          </w:p>
        </w:tc>
      </w:tr>
      <w:tr>
        <w:trPr>
          <w:trHeight w:val="186"/>
        </w:trPr>
        <w:tc>
          <w:tcPr>
            <w:tcW w:w="4440" w:type="dxa"/>
            <w:vAlign w:val="bottom"/>
          </w:tcPr>
          <w:p>
            <w:pPr>
              <w:jc w:val="center"/>
              <w:ind w:right="1679"/>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spacing w:after="0"/>
              <w:rPr>
                <w:sz w:val="16"/>
                <w:szCs w:val="16"/>
                <w:color w:val="auto"/>
              </w:rPr>
            </w:pPr>
          </w:p>
        </w:tc>
      </w:tr>
      <w:tr>
        <w:trPr>
          <w:trHeight w:val="448"/>
        </w:trPr>
        <w:tc>
          <w:tcPr>
            <w:tcW w:w="4440" w:type="dxa"/>
            <w:vAlign w:val="bottom"/>
          </w:tcPr>
          <w:p>
            <w:pPr>
              <w:jc w:val="center"/>
              <w:ind w:right="1679"/>
              <w:spacing w:after="0"/>
              <w:rPr>
                <w:sz w:val="20"/>
                <w:szCs w:val="20"/>
                <w:color w:val="auto"/>
              </w:rPr>
            </w:pPr>
            <w:r>
              <w:rPr>
                <w:rFonts w:ascii="Arial" w:cs="Arial" w:eastAsia="Arial" w:hAnsi="Arial"/>
                <w:sz w:val="18"/>
                <w:szCs w:val="18"/>
                <w:b w:val="1"/>
                <w:bCs w:val="1"/>
                <w:color w:val="auto"/>
                <w:w w:val="92"/>
              </w:rPr>
              <w:t>One Analog Way, Wilmington, MA</w:t>
            </w:r>
          </w:p>
        </w:tc>
        <w:tc>
          <w:tcPr>
            <w:tcW w:w="3140" w:type="dxa"/>
            <w:vAlign w:val="bottom"/>
          </w:tcPr>
          <w:p>
            <w:pPr>
              <w:jc w:val="center"/>
              <w:ind w:left="1697"/>
              <w:spacing w:after="0"/>
              <w:rPr>
                <w:sz w:val="20"/>
                <w:szCs w:val="20"/>
                <w:color w:val="auto"/>
              </w:rPr>
            </w:pPr>
            <w:r>
              <w:rPr>
                <w:rFonts w:ascii="Arial" w:cs="Arial" w:eastAsia="Arial" w:hAnsi="Arial"/>
                <w:sz w:val="18"/>
                <w:szCs w:val="18"/>
                <w:b w:val="1"/>
                <w:bCs w:val="1"/>
                <w:color w:val="auto"/>
                <w:w w:val="87"/>
              </w:rPr>
              <w:t>01887</w:t>
            </w:r>
          </w:p>
        </w:tc>
      </w:tr>
      <w:tr>
        <w:trPr>
          <w:trHeight w:val="186"/>
        </w:trPr>
        <w:tc>
          <w:tcPr>
            <w:tcW w:w="4440" w:type="dxa"/>
            <w:vAlign w:val="bottom"/>
          </w:tcPr>
          <w:p>
            <w:pPr>
              <w:jc w:val="center"/>
              <w:ind w:right="16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697"/>
              <w:spacing w:after="0"/>
              <w:rPr>
                <w:sz w:val="20"/>
                <w:szCs w:val="20"/>
                <w:color w:val="auto"/>
              </w:rPr>
            </w:pPr>
            <w:r>
              <w:rPr>
                <w:rFonts w:ascii="Arial" w:cs="Arial" w:eastAsia="Arial" w:hAnsi="Arial"/>
                <w:sz w:val="14"/>
                <w:szCs w:val="14"/>
                <w:b w:val="1"/>
                <w:bCs w:val="1"/>
                <w:color w:val="auto"/>
                <w:w w:val="98"/>
              </w:rPr>
              <w:t>(Zip Code)</w:t>
            </w:r>
          </w:p>
        </w:tc>
      </w:tr>
      <w:tr>
        <w:trPr>
          <w:trHeight w:val="437"/>
        </w:trPr>
        <w:tc>
          <w:tcPr>
            <w:tcW w:w="4440" w:type="dxa"/>
            <w:vAlign w:val="bottom"/>
          </w:tcPr>
          <w:p>
            <w:pPr>
              <w:jc w:val="center"/>
              <w:ind w:right="1679"/>
              <w:spacing w:after="0"/>
              <w:rPr>
                <w:sz w:val="20"/>
                <w:szCs w:val="20"/>
                <w:color w:val="auto"/>
              </w:rPr>
            </w:pPr>
            <w:r>
              <w:rPr>
                <w:rFonts w:ascii="Arial" w:cs="Arial" w:eastAsia="Arial" w:hAnsi="Arial"/>
                <w:sz w:val="18"/>
                <w:szCs w:val="18"/>
                <w:b w:val="1"/>
                <w:bCs w:val="1"/>
                <w:color w:val="auto"/>
                <w:w w:val="84"/>
              </w:rPr>
              <w:t>Janene Asgeirsson</w:t>
            </w:r>
          </w:p>
        </w:tc>
        <w:tc>
          <w:tcPr>
            <w:tcW w:w="3140" w:type="dxa"/>
            <w:vAlign w:val="bottom"/>
          </w:tcPr>
          <w:p>
            <w:pPr>
              <w:jc w:val="center"/>
              <w:ind w:left="1717"/>
              <w:spacing w:after="0"/>
              <w:rPr>
                <w:sz w:val="20"/>
                <w:szCs w:val="20"/>
                <w:color w:val="auto"/>
              </w:rPr>
            </w:pPr>
            <w:r>
              <w:rPr>
                <w:rFonts w:ascii="Arial" w:cs="Arial" w:eastAsia="Arial" w:hAnsi="Arial"/>
                <w:sz w:val="18"/>
                <w:szCs w:val="18"/>
                <w:b w:val="1"/>
                <w:bCs w:val="1"/>
                <w:color w:val="auto"/>
                <w:w w:val="90"/>
              </w:rPr>
              <w:t>781-329-4700</w:t>
            </w:r>
          </w:p>
        </w:tc>
      </w:tr>
    </w:tbl>
    <w:p>
      <w:pPr>
        <w:ind w:left="1404"/>
        <w:spacing w:after="0"/>
        <w:rPr>
          <w:sz w:val="20"/>
          <w:szCs w:val="20"/>
          <w:color w:val="auto"/>
        </w:rPr>
      </w:pPr>
      <w:r>
        <w:rPr>
          <w:rFonts w:ascii="Arial" w:cs="Arial" w:eastAsia="Arial" w:hAnsi="Arial"/>
          <w:sz w:val="14"/>
          <w:szCs w:val="14"/>
          <w:b w:val="1"/>
          <w:bCs w:val="1"/>
          <w:color w:val="auto"/>
        </w:rPr>
        <w:t>Chief Legal Officer and Corporate Secretary</w:t>
      </w:r>
    </w:p>
    <w:p>
      <w:pPr>
        <w:spacing w:after="0" w:line="188"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01 to December 31, 2022.</w:t>
      </w:r>
    </w:p>
    <w:p>
      <w:pPr>
        <w:spacing w:after="0" w:line="264"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82"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32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reporting period from January 1 to December 31, 2022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w:t>
      </w:r>
      <w:r>
        <w:rPr>
          <w:rFonts w:ascii="Arial" w:cs="Arial" w:eastAsia="Arial" w:hAnsi="Arial"/>
          <w:sz w:val="18"/>
          <w:szCs w:val="18"/>
          <w:color w:val="auto"/>
        </w:rPr>
        <w:t xml:space="preserve"> as required by Items 1.01 and 1.02 of this Form SD.</w:t>
      </w:r>
    </w:p>
    <w:p>
      <w:pPr>
        <w:sectPr>
          <w:pgSz w:w="11900" w:h="16838" w:orient="portrait"/>
          <w:cols w:equalWidth="0" w:num="1">
            <w:col w:w="10700"/>
          </w:cols>
          <w:pgMar w:left="440" w:top="486" w:right="7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c>
          <w:tcPr>
            <w:tcW w:w="6060" w:type="dxa"/>
            <w:vAlign w:val="bottom"/>
          </w:tcPr>
          <w:p>
            <w:pPr>
              <w:ind w:left="4520"/>
              <w:spacing w:after="0"/>
              <w:rPr>
                <w:sz w:val="20"/>
                <w:szCs w:val="20"/>
                <w:color w:val="auto"/>
              </w:rPr>
            </w:pPr>
            <w:r>
              <w:rPr>
                <w:rFonts w:ascii="Arial" w:cs="Arial" w:eastAsia="Arial" w:hAnsi="Arial"/>
                <w:sz w:val="18"/>
                <w:szCs w:val="18"/>
                <w:color w:val="auto"/>
                <w:w w:val="90"/>
              </w:rPr>
              <w:t>Dated: May 25, 2023</w:t>
            </w:r>
          </w:p>
        </w:tc>
      </w:tr>
      <w:tr>
        <w:trPr>
          <w:trHeight w:val="195"/>
        </w:trPr>
        <w:tc>
          <w:tcPr>
            <w:tcW w:w="4960" w:type="dxa"/>
            <w:vAlign w:val="bottom"/>
          </w:tcPr>
          <w:p>
            <w:pPr>
              <w:spacing w:after="0" w:line="195" w:lineRule="exact"/>
              <w:rPr>
                <w:sz w:val="20"/>
                <w:szCs w:val="20"/>
                <w:color w:val="auto"/>
              </w:rPr>
            </w:pPr>
            <w:r>
              <w:rPr>
                <w:rFonts w:ascii="Arial" w:cs="Arial" w:eastAsia="Arial" w:hAnsi="Arial"/>
                <w:sz w:val="18"/>
                <w:szCs w:val="18"/>
                <w:color w:val="auto"/>
              </w:rPr>
              <w:t>Prashanth Mahendra-Rajah</w:t>
            </w:r>
          </w:p>
        </w:tc>
        <w:tc>
          <w:tcPr>
            <w:tcW w:w="6060" w:type="dxa"/>
            <w:vAlign w:val="bottom"/>
          </w:tcPr>
          <w:p>
            <w:pPr>
              <w:spacing w:after="0"/>
              <w:rPr>
                <w:sz w:val="16"/>
                <w:szCs w:val="16"/>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c>
          <w:tcPr>
            <w:tcW w:w="6060" w:type="dxa"/>
            <w:vAlign w:val="bottom"/>
          </w:tcPr>
          <w:p>
            <w:pPr>
              <w:spacing w:after="0"/>
              <w:rPr>
                <w:sz w:val="20"/>
                <w:szCs w:val="20"/>
                <w:color w:val="auto"/>
              </w:rPr>
            </w:pPr>
          </w:p>
        </w:tc>
      </w:tr>
    </w:tbl>
    <w:p>
      <w:pPr>
        <w:sectPr>
          <w:pgSz w:w="11900" w:h="16838" w:orient="portrait"/>
          <w:cols w:equalWidth="0" w:num="1">
            <w:col w:w="11020"/>
          </w:cols>
          <w:pgMar w:left="440" w:top="490" w:right="43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CONFLICT MINERALS REPORT OF ANALOG DEVICES, INC. IN ACCORDANCE WITH RULE 13P-1 UNDER THE SECURITIES EXCHANGE ACT OF 1934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Introduction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This is the Conflict Minerals Report of Analog Devices, Inc. (Analog Devices, ADI, we, our) for calendar year 2022 in accordance with Rule 13p-1 under the Securities Exchange Act of 1934 (Rule 13p-1). Numerous terms in this report are defined in Rule 13p-1 and Form SD and the reader is referred to those sources for such definitions and explanations thereof.</w:t>
      </w:r>
    </w:p>
    <w:p>
      <w:pPr>
        <w:spacing w:after="0" w:line="18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Products manufactured or contracted to be manufactured by Analog Devices may contain tantalum, tin, tungsten and/or gold (collectively, conflict minerals) that are necessary to the functionality or production of our products. Based on the reasonable country of origin inquiry (RCOI)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on the source and chain of custody of the necessary conflict minerals in our products, as described below. Analog Devices is many steps removed from the mining of the conflict minerals; we do not purchase raw ore or unrefined conflict minerals, and we do no purchasing in the Covered Countries. We either purchase conflict minerals indirectly from a smelter or refiner (SOR)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Analog Devices is a leading semiconductor company dedicated to solving our customers’ most complex engineering challenges. We deliver innovations that connect technology to human breakthroughs and play a critical role at the intersection of the physical and digital world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1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focus on key strategic markets such as industrial, automotive, consumer, and communications where our signal processing technology is often a critical differentiator in our customers’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Product Scope</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design, manufacture, test and market a broad portfolio of solutions, including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RF ICs, edge processors and other sensors. The scope of this report applies to semiconductor ICs, monolithic and multi-chip ICs, multi-component ICs, system-in-package modules/hybrid ICs, and other modules and assembled products. Our ICs are designed to address a wide range of real-world signal processing applications. We sell our products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More specifically, our analog ICs monitor, condition, amplify or transform continuous analog signals associated with physical properties, such as temperature, pressure, weight, light, sound or motion, and play an important role in bridging real world phenomena to a variety of electronic systems. Our analog ICs also provide voltage regulation and power control to electronic systems. We also focus on working with leading customers to design application-specific solutions. We begin with our existing core technologies, which leverage our analog and mixed signal, power management, RF and microwave, edge processors and other sensors, and devise a solution that more closely meet the needs of a specific customer or group of customers. Because we have already developed the core technology platform for our general-purpose products, we can create application-specific solutions quickly and efficiently.</w:t>
      </w:r>
    </w:p>
    <w:p>
      <w:pPr>
        <w:spacing w:after="0" w:line="17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produce and market a broad range of ICs and products and operate in one reportable segment based on the aggregation of our operating segments. The ICs sold by each of our operating segments are manufactured using similar semiconductor processes, package manufacturing processes and raw materials in either our own production facilities or by third-party wafer fabricators and package manufacturers.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3: Reasonable Country of Origin Inquiry</w:t>
      </w:r>
    </w:p>
    <w:p>
      <w:pPr>
        <w:spacing w:after="0" w:line="121"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Analog Devices engaged with our relevant suppliers to identify SORs in our supply chain. We define relevant suppliers as those who supply materials to Analog Devices that are known to contain any or all of the conflict minerals, where such conflict minerals are necessary to the functionality and/or production of our products. We reach out to our relevant suppliers to request conflict minerals sourcing information using the Responsible Minerals Initiative (RMI)’s Conflict Minerals Reporting Template (RMI CMRT). Information provided by our relevant suppliers is reviewed for completeness and reasonableness, based on our knowledge of the supplier. Further supplier engagement, as necessary, is undertaken for any additional actions regarding their submission, including but not limited to follow-up and escalation on the identified SORs.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Due Diligence Framework</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Analog Devices’ due diligence measures are designed to conform, in all material respects, with the internationally recognized due diligence framework set forth in the Organisation for Economic Co-operation and Development (the OECD) Due Diligence Guidance for Responsible Supply Chains of Minerals from Conflict-Affected and High-Risk Areas: Third Edition (OECD 2016) (the OECD Framework), including related supplements for each of the conflict minerals. Below is a description of our due diligence measures pursuant to the OECD Framework:</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Step 1. Establish a strong company management system</w:t>
      </w:r>
    </w:p>
    <w:p>
      <w:pPr>
        <w:spacing w:after="0" w:line="131" w:lineRule="exact"/>
        <w:rPr>
          <w:sz w:val="20"/>
          <w:szCs w:val="20"/>
          <w:color w:val="auto"/>
        </w:rPr>
      </w:pPr>
    </w:p>
    <w:p>
      <w:pPr>
        <w:ind w:left="1424" w:right="280" w:hanging="322"/>
        <w:spacing w:after="0" w:line="263" w:lineRule="auto"/>
        <w:tabs>
          <w:tab w:leader="none" w:pos="1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Analog Devices has adopted a policy regarding conflict minerals (Conflict Minerals Policy). The Conflict Minerals Policy is publicly available on our website and is a key component of our conflict minerals program. The Conflict Minerals Policy reflects ADI’s commitment to ethical practices and compliance with applicable laws and regulations.</w:t>
      </w:r>
    </w:p>
    <w:p>
      <w:pPr>
        <w:spacing w:after="0" w:line="89" w:lineRule="exact"/>
        <w:rPr>
          <w:rFonts w:ascii="Arial" w:cs="Arial" w:eastAsia="Arial" w:hAnsi="Arial"/>
          <w:sz w:val="18"/>
          <w:szCs w:val="18"/>
          <w:color w:val="auto"/>
        </w:rPr>
      </w:pPr>
    </w:p>
    <w:p>
      <w:pPr>
        <w:ind w:left="1424" w:hanging="322"/>
        <w:spacing w:after="0" w:line="287" w:lineRule="auto"/>
        <w:tabs>
          <w:tab w:leader="none" w:pos="1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internal team supported by representatives from different internal groups is tasked to implement our Conflict Minerals Policy and oversee ADI’s conflict minerals program (Conflict Minerals Oversight Committee). The Director of Quality, Environmental Product Compliance, is the assigned team leader who reports through the quality organization to the Vice President, Quality Engineering.</w:t>
      </w:r>
    </w:p>
    <w:p>
      <w:pPr>
        <w:spacing w:after="0" w:line="2" w:lineRule="exact"/>
        <w:rPr>
          <w:rFonts w:ascii="Arial" w:cs="Arial" w:eastAsia="Arial" w:hAnsi="Arial"/>
          <w:sz w:val="16"/>
          <w:szCs w:val="16"/>
          <w:color w:val="auto"/>
        </w:rPr>
      </w:pPr>
    </w:p>
    <w:p>
      <w:pPr>
        <w:ind w:left="1424"/>
        <w:spacing w:after="0"/>
        <w:rPr>
          <w:rFonts w:ascii="Arial" w:cs="Arial" w:eastAsia="Arial" w:hAnsi="Arial"/>
          <w:sz w:val="16"/>
          <w:szCs w:val="16"/>
          <w:color w:val="auto"/>
        </w:rPr>
      </w:pPr>
      <w:r>
        <w:rPr>
          <w:rFonts w:ascii="Arial" w:cs="Arial" w:eastAsia="Arial" w:hAnsi="Arial"/>
          <w:sz w:val="18"/>
          <w:szCs w:val="18"/>
          <w:color w:val="auto"/>
        </w:rPr>
        <w:t>The Conflict Minerals Oversight Committee reviews our conflict minerals program on a semiannual basis.</w:t>
      </w:r>
    </w:p>
    <w:p>
      <w:pPr>
        <w:spacing w:after="0" w:line="116" w:lineRule="exact"/>
        <w:rPr>
          <w:rFonts w:ascii="Arial" w:cs="Arial" w:eastAsia="Arial" w:hAnsi="Arial"/>
          <w:sz w:val="16"/>
          <w:szCs w:val="16"/>
          <w:color w:val="auto"/>
        </w:rPr>
      </w:pPr>
    </w:p>
    <w:p>
      <w:pPr>
        <w:ind w:left="1424" w:right="60" w:hanging="322"/>
        <w:spacing w:after="0" w:line="292" w:lineRule="auto"/>
        <w:tabs>
          <w:tab w:leader="none" w:pos="1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adopted a process for identifying suppliers, SORs, or recyclers and scrap supplier sources of conflict minerals within the supply chain. ADI leverages the RMI CMRT to gather information regarding SORs from our first-tier suppliers. We also utilized the RMI and its Responsible Minerals Assurance Process (RMAP) to trace the mine of origin of the conflict minerals when such information was available. The RMI conducts independent audits of smelters and refineries to ensure that all certified smelters and refineries are Conformant</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or actively engaged in the RMAP identification of upstream actors in the supply chain.</w:t>
      </w:r>
    </w:p>
    <w:p>
      <w:pPr>
        <w:ind w:left="1424" w:right="160" w:hanging="322"/>
        <w:spacing w:after="0" w:line="258" w:lineRule="auto"/>
        <w:tabs>
          <w:tab w:leader="none" w:pos="1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our direct suppliers to have policies and procedures in place that are in compliance with our Conflict Minerals Policy to enable transparency and facilitate our compliance with applicable programs and rules.</w:t>
      </w:r>
    </w:p>
    <w:p>
      <w:pPr>
        <w:spacing w:after="0" w:line="92" w:lineRule="exact"/>
        <w:rPr>
          <w:rFonts w:ascii="Arial" w:cs="Arial" w:eastAsia="Arial" w:hAnsi="Arial"/>
          <w:sz w:val="18"/>
          <w:szCs w:val="18"/>
          <w:color w:val="auto"/>
        </w:rPr>
      </w:pPr>
    </w:p>
    <w:p>
      <w:pPr>
        <w:ind w:left="1424" w:right="80" w:hanging="322"/>
        <w:spacing w:after="0" w:line="277" w:lineRule="auto"/>
        <w:tabs>
          <w:tab w:leader="none" w:pos="1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participating member of the Responsible Business Alliance and the RMI, ADI utilizes these industry resources to support early risk awareness of issues that may impact SOR status.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Step 2. Identify and assess risks in the supply chain</w:t>
      </w:r>
    </w:p>
    <w:p>
      <w:pPr>
        <w:spacing w:after="0" w:line="117" w:lineRule="exact"/>
        <w:rPr>
          <w:sz w:val="20"/>
          <w:szCs w:val="20"/>
          <w:color w:val="auto"/>
        </w:rPr>
      </w:pPr>
    </w:p>
    <w:p>
      <w:pPr>
        <w:ind w:left="984" w:right="20"/>
        <w:spacing w:after="0" w:line="255" w:lineRule="auto"/>
        <w:rPr>
          <w:sz w:val="20"/>
          <w:szCs w:val="20"/>
          <w:color w:val="auto"/>
        </w:rPr>
      </w:pPr>
      <w:r>
        <w:rPr>
          <w:rFonts w:ascii="Arial" w:cs="Arial" w:eastAsia="Arial" w:hAnsi="Arial"/>
          <w:sz w:val="18"/>
          <w:szCs w:val="18"/>
          <w:color w:val="auto"/>
        </w:rPr>
        <w:t>The OECD Framework for managing risk is largely directed towards the upstream portion of the supply chain (SORs and mines of origin). As a downstream company in the supply chain, ADI participates in the RMAP under the RMI to identify and review the due diligence process of SORs in our supply chain. The RMI assesses and audits whether SORs adhere to RMAP standards, which meet the requirements of the OECD Framework. Compliant SORs are then designated as Conformant and listed as such on the RMI website. We request suppliers provide information regarding SORs in our supply chain by using the RMI CMRT. We review supplier responses to identify areas for further follow-up and key risks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444" w:right="460" w:hanging="444"/>
        <w:spacing w:after="0" w:line="219" w:lineRule="auto"/>
        <w:tabs>
          <w:tab w:leader="none" w:pos="44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“Conformant” means that a smelter has successfully completed an assessment against the applicable RMAP standard or an equivalent cross-recognized assessment. Included smelters and refiners were not necessarily Conformant for all or part of 2022 and may not continue to be Conformant for any future period.</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86" w:right="45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Step 3. Design and implement a strategy to respond to identified risks</w:t>
      </w:r>
    </w:p>
    <w:p>
      <w:pPr>
        <w:spacing w:after="0" w:line="117"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We encourage suppliers who are sourcing from non-Conformant SORs to move towards using Conformant SORs (as identified via the RMI and other industry-developed third-party audit mechanisms). We contact SORs directly to support participation in the RMI and respond to the RMI’s requests for information as it relates to SOR operational changes, audit requirements or SOR status. If a supplier fails to remedy the risks identified by review of SORs reported to ADI, and subsequent supplier or SOR engagement cannot yield resolution, the supplier status will be escalated for review by the Conflict Minerals Oversight Committee to take measures up to and including termination of our relationship with the supplier, if warranted.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Step 4. Carry out independent third-party audit of SOR’s due diligence practices</w:t>
      </w:r>
    </w:p>
    <w:p>
      <w:pPr>
        <w:spacing w:after="0" w:line="117"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We rely on industry efforts, including the RMI, to conduct third-party audits of eligible SORs against the RMAP standards, which meet the OECD Framework for due diligence practices. As a member of the RMI, we utilize information from these RMAP audits as well as other recognized industry audits of SORs to validate SOR conformance.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Step 5.</w:t>
      </w:r>
    </w:p>
    <w:p>
      <w:pPr>
        <w:spacing w:after="0" w:line="117" w:lineRule="exact"/>
        <w:rPr>
          <w:sz w:val="20"/>
          <w:szCs w:val="20"/>
          <w:color w:val="auto"/>
        </w:rPr>
      </w:pPr>
    </w:p>
    <w:p>
      <w:pPr>
        <w:ind w:left="980" w:right="400"/>
        <w:spacing w:after="0" w:line="277" w:lineRule="auto"/>
        <w:rPr>
          <w:sz w:val="20"/>
          <w:szCs w:val="20"/>
          <w:color w:val="auto"/>
        </w:rPr>
      </w:pPr>
      <w:r>
        <w:rPr>
          <w:rFonts w:ascii="Arial" w:cs="Arial" w:eastAsia="Arial" w:hAnsi="Arial"/>
          <w:sz w:val="18"/>
          <w:szCs w:val="18"/>
          <w:color w:val="auto"/>
        </w:rPr>
        <w:t>Annually submit a Form SD and Conflict Minerals Report to the U.S. Securities and Exchange Commission (SEC), which reports the results of our due diligence. This report has been filed with the SEC and is available on our website.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Due Diligence Results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Tracing the conflict minerals we use in our SORs and country of origin of each such mineral is a complex endeavor, but an important aspect of responsible sourcing. To help establish and maintain our supply chain compliance sourcing program, we have followed currently established industry guidelines such as those developed by the RMI under the OECD Framework, which enables companies to source minerals from SORs that have been subjected to a rigorous, independent third-party audit.</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 implement our RCOI survey process, we adopted the RMI’s industry approach and leveraged the RMI CMRT to gather information from our first-tier suppliers to help us trace the origin of necessary conflict minerals used in our products by identifying SORs, recyclers and scrap supplier sources of conflict minerals. We also utilized the RMI and its RMAP to trace the mine of origin of conflict minerals when such information was available. The RMI conducts independent audits of SORs to ensure that all certified SORs are Conformant or actively engaged in the RMAP.</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responses from our suppliers listed 336 entities as SORs of conflict minerals in their supply chains. A recognized responsible minerals assurance process verified 218 of these entities as Conformant by the RMI. The following is a summary as of April 3, 2023 of SORs used by our suppliers by mineral type:</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Known SORs Used</w:t>
            </w:r>
          </w:p>
        </w:tc>
        <w:tc>
          <w:tcPr>
            <w:tcW w:w="2180" w:type="dxa"/>
            <w:vAlign w:val="bottom"/>
            <w:gridSpan w:val="3"/>
          </w:tcPr>
          <w:p>
            <w:pPr>
              <w:ind w:left="1000"/>
              <w:spacing w:after="0"/>
              <w:rPr>
                <w:sz w:val="20"/>
                <w:szCs w:val="20"/>
                <w:color w:val="auto"/>
              </w:rPr>
            </w:pPr>
            <w:r>
              <w:rPr>
                <w:rFonts w:ascii="Arial" w:cs="Arial" w:eastAsia="Arial" w:hAnsi="Arial"/>
                <w:sz w:val="14"/>
                <w:szCs w:val="14"/>
                <w:b w:val="1"/>
                <w:bCs w:val="1"/>
                <w:color w:val="auto"/>
                <w:w w:val="95"/>
              </w:rPr>
              <w:t>Conformant SORs</w:t>
            </w: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9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Tantalum</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Tungsten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Other Matters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the information provided by our suppliers through December 31, 2022, we believe that the facilities that may have been used to process conflict minerals in our products include SORs listed in Annex I below.</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 armed group in the Covered Countries. Based on information provided by our suppliers and from the RCOI data from the RMI, we believe that the origin of the conflict minerals contained in our products may include the countries listed in Annex II below as well as recycled and scrap sources.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Analog Devices will undertake the following steps during the next compliance period to continue to improve the due diligence conducted and to further mitigate the risk that our necessary conflict minerals benefit armed groups:</w:t>
      </w:r>
    </w:p>
    <w:p>
      <w:pPr>
        <w:spacing w:after="0" w:line="76" w:lineRule="exact"/>
        <w:rPr>
          <w:sz w:val="20"/>
          <w:szCs w:val="20"/>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participate in industry initiatives, such as the RMI. We participate actively in the RMI’s plenary sessions.</w:t>
      </w:r>
    </w:p>
    <w:p>
      <w:pPr>
        <w:spacing w:after="0" w:line="130" w:lineRule="exact"/>
        <w:rPr>
          <w:rFonts w:ascii="Arial" w:cs="Arial" w:eastAsia="Arial" w:hAnsi="Arial"/>
          <w:sz w:val="18"/>
          <w:szCs w:val="18"/>
          <w:color w:val="auto"/>
        </w:rPr>
      </w:pPr>
    </w:p>
    <w:p>
      <w:pPr>
        <w:ind w:left="1420" w:right="340" w:hanging="322"/>
        <w:spacing w:after="0" w:line="342" w:lineRule="auto"/>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contact SORs identified as a result of the RCOI process and request their participation in obtaining a “conformant” designation from an industry program such as the RMAP program or equivalent if they have not already done so.</w:t>
      </w:r>
    </w:p>
    <w:p>
      <w:pPr>
        <w:spacing w:after="0" w:line="29" w:lineRule="exact"/>
        <w:rPr>
          <w:rFonts w:ascii="Arial" w:cs="Arial" w:eastAsia="Arial" w:hAnsi="Arial"/>
          <w:sz w:val="16"/>
          <w:szCs w:val="16"/>
          <w:color w:val="auto"/>
        </w:rPr>
      </w:pPr>
    </w:p>
    <w:p>
      <w:pPr>
        <w:ind w:left="1420" w:hanging="322"/>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Strengthen our alternate sourcing strategy to transition out suppliers who fail to comply with our conflict minerals requirements.</w:t>
      </w:r>
    </w:p>
    <w:p>
      <w:pPr>
        <w:spacing w:after="0" w:line="153" w:lineRule="exact"/>
        <w:rPr>
          <w:rFonts w:ascii="Arial" w:cs="Arial" w:eastAsia="Arial" w:hAnsi="Arial"/>
          <w:sz w:val="16"/>
          <w:szCs w:val="16"/>
          <w:color w:val="auto"/>
        </w:rPr>
      </w:pPr>
    </w:p>
    <w:p>
      <w:pPr>
        <w:ind w:left="1420" w:right="220" w:hanging="32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Collaborate with our procurement team by providing them with resources that will guide them in choosing the material suppliers containing any or all of the conflict minerals.</w:t>
      </w:r>
    </w:p>
    <w:p>
      <w:pPr>
        <w:spacing w:after="0" w:line="75"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Explore the use of an automated system for the conflict minerals program.</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actions or performance. Analog Devices assumes no obligation to revise or update any forward-looking statements for any reason, except as required by law.</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490"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ANNEX I </w:t>
      </w:r>
      <w:r>
        <w:rPr>
          <w:rFonts w:ascii="Arial" w:cs="Arial" w:eastAsia="Arial" w:hAnsi="Arial"/>
          <w:sz w:val="26"/>
          <w:szCs w:val="26"/>
          <w:b w:val="1"/>
          <w:bCs w:val="1"/>
          <w:color w:val="auto"/>
          <w:vertAlign w:val="superscript"/>
        </w:rPr>
        <w:t>(</w:t>
      </w:r>
      <w:r>
        <w:rPr>
          <w:rFonts w:ascii="Arial" w:cs="Arial" w:eastAsia="Arial" w:hAnsi="Arial"/>
          <w:sz w:val="26"/>
          <w:szCs w:val="26"/>
          <w:color w:val="auto"/>
          <w:vertAlign w:val="superscript"/>
        </w:rPr>
        <w:t>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rPr>
              <w:t>Country</w:t>
            </w:r>
          </w:p>
        </w:tc>
      </w:tr>
      <w:tr>
        <w:trPr>
          <w:trHeight w:val="153"/>
        </w:trPr>
        <w:tc>
          <w:tcPr>
            <w:tcW w:w="620" w:type="dxa"/>
            <w:vAlign w:val="bottom"/>
          </w:tcPr>
          <w:p>
            <w:pPr>
              <w:spacing w:after="0" w:line="153" w:lineRule="exact"/>
              <w:rPr>
                <w:sz w:val="20"/>
                <w:szCs w:val="20"/>
                <w:color w:val="auto"/>
              </w:rPr>
            </w:pPr>
            <w:r>
              <w:rPr>
                <w:rFonts w:ascii="Arial" w:cs="Arial" w:eastAsia="Arial" w:hAnsi="Arial"/>
                <w:sz w:val="14"/>
                <w:szCs w:val="14"/>
                <w:color w:val="auto"/>
              </w:rPr>
              <w:t>Metal</w:t>
            </w:r>
          </w:p>
        </w:tc>
        <w:tc>
          <w:tcPr>
            <w:tcW w:w="5280" w:type="dxa"/>
            <w:vAlign w:val="bottom"/>
          </w:tcPr>
          <w:p>
            <w:pPr>
              <w:ind w:left="260"/>
              <w:spacing w:after="0" w:line="153" w:lineRule="exact"/>
              <w:rPr>
                <w:sz w:val="20"/>
                <w:szCs w:val="20"/>
                <w:color w:val="auto"/>
              </w:rPr>
            </w:pPr>
            <w:r>
              <w:rPr>
                <w:rFonts w:ascii="Arial" w:cs="Arial" w:eastAsia="Arial" w:hAnsi="Arial"/>
                <w:sz w:val="14"/>
                <w:szCs w:val="14"/>
                <w:color w:val="auto"/>
              </w:rPr>
              <w:t>Standard Smelter Name</w:t>
            </w:r>
          </w:p>
        </w:tc>
        <w:tc>
          <w:tcPr>
            <w:tcW w:w="2640" w:type="dxa"/>
            <w:vAlign w:val="bottom"/>
          </w:tcPr>
          <w:p>
            <w:pPr>
              <w:ind w:left="160"/>
              <w:spacing w:after="0" w:line="153" w:lineRule="exact"/>
              <w:rPr>
                <w:sz w:val="20"/>
                <w:szCs w:val="20"/>
                <w:color w:val="auto"/>
              </w:rPr>
            </w:pPr>
            <w:r>
              <w:rPr>
                <w:rFonts w:ascii="Arial" w:cs="Arial" w:eastAsia="Arial" w:hAnsi="Arial"/>
                <w:sz w:val="14"/>
                <w:szCs w:val="14"/>
                <w:color w:val="auto"/>
              </w:rPr>
              <w:t>Location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Advanced Chemical Company*</w:t>
            </w:r>
          </w:p>
        </w:tc>
        <w:tc>
          <w:tcPr>
            <w:tcW w:w="2640" w:type="dxa"/>
            <w:vAlign w:val="bottom"/>
          </w:tcPr>
          <w:p>
            <w:pPr>
              <w:ind w:left="16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Aida Chemical Industries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Agosi AG*</w:t>
            </w:r>
          </w:p>
        </w:tc>
        <w:tc>
          <w:tcPr>
            <w:tcW w:w="264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Almalyk Mining and Metallurgical Complex (AMMC)*</w:t>
            </w:r>
          </w:p>
        </w:tc>
        <w:tc>
          <w:tcPr>
            <w:tcW w:w="2640" w:type="dxa"/>
            <w:vAlign w:val="bottom"/>
          </w:tcPr>
          <w:p>
            <w:pPr>
              <w:ind w:left="160"/>
              <w:spacing w:after="0"/>
              <w:rPr>
                <w:sz w:val="20"/>
                <w:szCs w:val="20"/>
                <w:color w:val="auto"/>
              </w:rPr>
            </w:pPr>
            <w:r>
              <w:rPr>
                <w:rFonts w:ascii="Arial" w:cs="Arial" w:eastAsia="Arial" w:hAnsi="Arial"/>
                <w:sz w:val="18"/>
                <w:szCs w:val="18"/>
                <w:color w:val="auto"/>
              </w:rPr>
              <w:t>UZBEKISTAN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AngloGold Ashanti Corrego do Sitio Mineracao*</w:t>
            </w:r>
          </w:p>
        </w:tc>
        <w:tc>
          <w:tcPr>
            <w:tcW w:w="2640" w:type="dxa"/>
            <w:vAlign w:val="bottom"/>
          </w:tcPr>
          <w:p>
            <w:pPr>
              <w:ind w:left="160"/>
              <w:spacing w:after="0"/>
              <w:rPr>
                <w:sz w:val="20"/>
                <w:szCs w:val="20"/>
                <w:color w:val="auto"/>
              </w:rPr>
            </w:pPr>
            <w:r>
              <w:rPr>
                <w:rFonts w:ascii="Arial" w:cs="Arial" w:eastAsia="Arial" w:hAnsi="Arial"/>
                <w:sz w:val="18"/>
                <w:szCs w:val="18"/>
                <w:color w:val="auto"/>
              </w:rPr>
              <w:t>BRAZIL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Argor-Heraeus S.A.*</w:t>
            </w:r>
          </w:p>
        </w:tc>
        <w:tc>
          <w:tcPr>
            <w:tcW w:w="2640" w:type="dxa"/>
            <w:vAlign w:val="bottom"/>
          </w:tcPr>
          <w:p>
            <w:pPr>
              <w:ind w:left="160"/>
              <w:spacing w:after="0"/>
              <w:rPr>
                <w:sz w:val="20"/>
                <w:szCs w:val="20"/>
                <w:color w:val="auto"/>
              </w:rPr>
            </w:pPr>
            <w:r>
              <w:rPr>
                <w:rFonts w:ascii="Arial" w:cs="Arial" w:eastAsia="Arial" w:hAnsi="Arial"/>
                <w:sz w:val="18"/>
                <w:szCs w:val="18"/>
                <w:color w:val="auto"/>
              </w:rPr>
              <w:t>SWITZERLAND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Asahi Pretec Corp.*</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Asaka Riken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Atasay Kuyumculuk Sanayi Ve Ticaret A.S.</w:t>
            </w:r>
          </w:p>
        </w:tc>
        <w:tc>
          <w:tcPr>
            <w:tcW w:w="2640" w:type="dxa"/>
            <w:vAlign w:val="bottom"/>
          </w:tcPr>
          <w:p>
            <w:pPr>
              <w:ind w:left="160"/>
              <w:spacing w:after="0"/>
              <w:rPr>
                <w:sz w:val="20"/>
                <w:szCs w:val="20"/>
                <w:color w:val="auto"/>
              </w:rPr>
            </w:pPr>
            <w:r>
              <w:rPr>
                <w:rFonts w:ascii="Arial" w:cs="Arial" w:eastAsia="Arial" w:hAnsi="Arial"/>
                <w:sz w:val="18"/>
                <w:szCs w:val="18"/>
                <w:color w:val="auto"/>
              </w:rPr>
              <w:t>TURKEY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Aurubis AG*</w:t>
            </w:r>
          </w:p>
        </w:tc>
        <w:tc>
          <w:tcPr>
            <w:tcW w:w="264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Bangko Sentral ng Pilipinas (Central Bank of the Philippines)*</w:t>
            </w:r>
          </w:p>
        </w:tc>
        <w:tc>
          <w:tcPr>
            <w:tcW w:w="2640" w:type="dxa"/>
            <w:vAlign w:val="bottom"/>
          </w:tcPr>
          <w:p>
            <w:pPr>
              <w:ind w:left="160"/>
              <w:spacing w:after="0"/>
              <w:rPr>
                <w:sz w:val="20"/>
                <w:szCs w:val="20"/>
                <w:color w:val="auto"/>
              </w:rPr>
            </w:pPr>
            <w:r>
              <w:rPr>
                <w:rFonts w:ascii="Arial" w:cs="Arial" w:eastAsia="Arial" w:hAnsi="Arial"/>
                <w:sz w:val="18"/>
                <w:szCs w:val="18"/>
                <w:color w:val="auto"/>
              </w:rPr>
              <w:t>PHILIPPINES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Boliden AB*</w:t>
            </w:r>
          </w:p>
        </w:tc>
        <w:tc>
          <w:tcPr>
            <w:tcW w:w="2640" w:type="dxa"/>
            <w:vAlign w:val="bottom"/>
          </w:tcPr>
          <w:p>
            <w:pPr>
              <w:ind w:left="160"/>
              <w:spacing w:after="0"/>
              <w:rPr>
                <w:sz w:val="20"/>
                <w:szCs w:val="20"/>
                <w:color w:val="auto"/>
              </w:rPr>
            </w:pPr>
            <w:r>
              <w:rPr>
                <w:rFonts w:ascii="Arial" w:cs="Arial" w:eastAsia="Arial" w:hAnsi="Arial"/>
                <w:sz w:val="18"/>
                <w:szCs w:val="18"/>
                <w:color w:val="auto"/>
              </w:rPr>
              <w:t>SWEDEN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C. Hafner GmbH + Co. KG*</w:t>
            </w:r>
          </w:p>
        </w:tc>
        <w:tc>
          <w:tcPr>
            <w:tcW w:w="264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Caridad</w:t>
            </w:r>
          </w:p>
        </w:tc>
        <w:tc>
          <w:tcPr>
            <w:tcW w:w="2640" w:type="dxa"/>
            <w:vAlign w:val="bottom"/>
          </w:tcPr>
          <w:p>
            <w:pPr>
              <w:ind w:left="160"/>
              <w:spacing w:after="0"/>
              <w:rPr>
                <w:sz w:val="20"/>
                <w:szCs w:val="20"/>
                <w:color w:val="auto"/>
              </w:rPr>
            </w:pPr>
            <w:r>
              <w:rPr>
                <w:rFonts w:ascii="Arial" w:cs="Arial" w:eastAsia="Arial" w:hAnsi="Arial"/>
                <w:sz w:val="18"/>
                <w:szCs w:val="18"/>
                <w:color w:val="auto"/>
              </w:rPr>
              <w:t>MEXICO</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CCR Refinery - Glencore Canada Corporation*</w:t>
            </w:r>
          </w:p>
        </w:tc>
        <w:tc>
          <w:tcPr>
            <w:tcW w:w="2640" w:type="dxa"/>
            <w:vAlign w:val="bottom"/>
          </w:tcPr>
          <w:p>
            <w:pPr>
              <w:ind w:left="160"/>
              <w:spacing w:after="0"/>
              <w:rPr>
                <w:sz w:val="20"/>
                <w:szCs w:val="20"/>
                <w:color w:val="auto"/>
              </w:rPr>
            </w:pPr>
            <w:r>
              <w:rPr>
                <w:rFonts w:ascii="Arial" w:cs="Arial" w:eastAsia="Arial" w:hAnsi="Arial"/>
                <w:sz w:val="18"/>
                <w:szCs w:val="18"/>
                <w:color w:val="auto"/>
              </w:rPr>
              <w:t>CANADA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Cendres + Metaux S.A.</w:t>
            </w:r>
          </w:p>
        </w:tc>
        <w:tc>
          <w:tcPr>
            <w:tcW w:w="2640" w:type="dxa"/>
            <w:vAlign w:val="bottom"/>
          </w:tcPr>
          <w:p>
            <w:pPr>
              <w:ind w:left="160"/>
              <w:spacing w:after="0"/>
              <w:rPr>
                <w:sz w:val="20"/>
                <w:szCs w:val="20"/>
                <w:color w:val="auto"/>
              </w:rPr>
            </w:pPr>
            <w:r>
              <w:rPr>
                <w:rFonts w:ascii="Arial" w:cs="Arial" w:eastAsia="Arial" w:hAnsi="Arial"/>
                <w:sz w:val="18"/>
                <w:szCs w:val="18"/>
                <w:color w:val="auto"/>
              </w:rPr>
              <w:t>SWITZERLAND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Yunnan Copper Industry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Chimet S.p.A.*</w:t>
            </w:r>
          </w:p>
        </w:tc>
        <w:tc>
          <w:tcPr>
            <w:tcW w:w="2640" w:type="dxa"/>
            <w:vAlign w:val="bottom"/>
          </w:tcPr>
          <w:p>
            <w:pPr>
              <w:ind w:left="160"/>
              <w:spacing w:after="0"/>
              <w:rPr>
                <w:sz w:val="20"/>
                <w:szCs w:val="20"/>
                <w:color w:val="auto"/>
              </w:rPr>
            </w:pPr>
            <w:r>
              <w:rPr>
                <w:rFonts w:ascii="Arial" w:cs="Arial" w:eastAsia="Arial" w:hAnsi="Arial"/>
                <w:sz w:val="18"/>
                <w:szCs w:val="18"/>
                <w:color w:val="auto"/>
              </w:rPr>
              <w:t>ITALY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Chugai Mining*</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Daye Non-Ferrous Metals Mining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DSC (Do Sung Corporation)*</w:t>
            </w:r>
          </w:p>
        </w:tc>
        <w:tc>
          <w:tcPr>
            <w:tcW w:w="2640" w:type="dxa"/>
            <w:vAlign w:val="bottom"/>
          </w:tcPr>
          <w:p>
            <w:pPr>
              <w:ind w:left="16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Dowa*</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Eco-System Recycling Co., Ltd. East Plant*</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JSC Novosibirsk Refinery</w:t>
            </w:r>
          </w:p>
        </w:tc>
        <w:tc>
          <w:tcPr>
            <w:tcW w:w="2640" w:type="dxa"/>
            <w:vAlign w:val="bottom"/>
          </w:tcPr>
          <w:p>
            <w:pPr>
              <w:ind w:left="160"/>
              <w:spacing w:after="0"/>
              <w:rPr>
                <w:sz w:val="20"/>
                <w:szCs w:val="20"/>
                <w:color w:val="auto"/>
              </w:rPr>
            </w:pPr>
            <w:r>
              <w:rPr>
                <w:rFonts w:ascii="Arial" w:cs="Arial" w:eastAsia="Arial" w:hAnsi="Arial"/>
                <w:sz w:val="18"/>
                <w:szCs w:val="18"/>
                <w:color w:val="auto"/>
              </w:rPr>
              <w:t>RUSSIAN FEDERATION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Refinery of Seemine Gold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Guoda Safina High-Tech Environmental Refinery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Hangzhou Fuchunjiang Smelting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LT Metal Ltd.*</w:t>
            </w:r>
          </w:p>
        </w:tc>
        <w:tc>
          <w:tcPr>
            <w:tcW w:w="2640" w:type="dxa"/>
            <w:vAlign w:val="bottom"/>
          </w:tcPr>
          <w:p>
            <w:pPr>
              <w:ind w:left="16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Heimerle + Meule GmbH*</w:t>
            </w:r>
          </w:p>
        </w:tc>
        <w:tc>
          <w:tcPr>
            <w:tcW w:w="264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Heraeus Metals Hong Kong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Heraeus Germany GmbH Co. KG*</w:t>
            </w:r>
          </w:p>
        </w:tc>
        <w:tc>
          <w:tcPr>
            <w:tcW w:w="264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Hunan Chenzhou Mining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Hunan Guiyang yinxing Nonferrous Smelting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HwaSeong CJ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w w:val="95"/>
              </w:rPr>
              <w:t>Inner Mongolia Qiankun Gold and Silver Refinery Share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Ishifuku Metal Industry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Istanbul Gold Refinery*</w:t>
            </w:r>
          </w:p>
        </w:tc>
        <w:tc>
          <w:tcPr>
            <w:tcW w:w="2640" w:type="dxa"/>
            <w:vAlign w:val="bottom"/>
          </w:tcPr>
          <w:p>
            <w:pPr>
              <w:ind w:left="160"/>
              <w:spacing w:after="0"/>
              <w:rPr>
                <w:sz w:val="20"/>
                <w:szCs w:val="20"/>
                <w:color w:val="auto"/>
              </w:rPr>
            </w:pPr>
            <w:r>
              <w:rPr>
                <w:rFonts w:ascii="Arial" w:cs="Arial" w:eastAsia="Arial" w:hAnsi="Arial"/>
                <w:sz w:val="18"/>
                <w:szCs w:val="18"/>
                <w:color w:val="auto"/>
              </w:rPr>
              <w:t>TURKEY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Japan Mint*</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Jiangxi Copper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Asahi Refining USA Inc.*</w:t>
            </w:r>
          </w:p>
        </w:tc>
        <w:tc>
          <w:tcPr>
            <w:tcW w:w="2640" w:type="dxa"/>
            <w:vAlign w:val="bottom"/>
          </w:tcPr>
          <w:p>
            <w:pPr>
              <w:ind w:left="16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Asahi Refining Canada Ltd.*</w:t>
            </w:r>
          </w:p>
        </w:tc>
        <w:tc>
          <w:tcPr>
            <w:tcW w:w="2640" w:type="dxa"/>
            <w:vAlign w:val="bottom"/>
          </w:tcPr>
          <w:p>
            <w:pPr>
              <w:ind w:left="160"/>
              <w:spacing w:after="0"/>
              <w:rPr>
                <w:sz w:val="20"/>
                <w:szCs w:val="20"/>
                <w:color w:val="auto"/>
              </w:rPr>
            </w:pPr>
            <w:r>
              <w:rPr>
                <w:rFonts w:ascii="Arial" w:cs="Arial" w:eastAsia="Arial" w:hAnsi="Arial"/>
                <w:sz w:val="18"/>
                <w:szCs w:val="18"/>
                <w:color w:val="auto"/>
              </w:rPr>
              <w:t>CANADA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JSC Ekaterinburg Non-Ferrous Metal Processing Plant</w:t>
            </w:r>
          </w:p>
        </w:tc>
        <w:tc>
          <w:tcPr>
            <w:tcW w:w="2640" w:type="dxa"/>
            <w:vAlign w:val="bottom"/>
          </w:tcPr>
          <w:p>
            <w:pPr>
              <w:ind w:left="160"/>
              <w:spacing w:after="0"/>
              <w:rPr>
                <w:sz w:val="20"/>
                <w:szCs w:val="20"/>
                <w:color w:val="auto"/>
              </w:rPr>
            </w:pPr>
            <w:r>
              <w:rPr>
                <w:rFonts w:ascii="Arial" w:cs="Arial" w:eastAsia="Arial" w:hAnsi="Arial"/>
                <w:sz w:val="18"/>
                <w:szCs w:val="18"/>
                <w:color w:val="auto"/>
              </w:rPr>
              <w:t>RUSSIAN FEDERATION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JSC Uralelectromed</w:t>
            </w:r>
          </w:p>
        </w:tc>
        <w:tc>
          <w:tcPr>
            <w:tcW w:w="2640" w:type="dxa"/>
            <w:vAlign w:val="bottom"/>
          </w:tcPr>
          <w:p>
            <w:pPr>
              <w:ind w:left="160"/>
              <w:spacing w:after="0"/>
              <w:rPr>
                <w:sz w:val="20"/>
                <w:szCs w:val="20"/>
                <w:color w:val="auto"/>
              </w:rPr>
            </w:pPr>
            <w:r>
              <w:rPr>
                <w:rFonts w:ascii="Arial" w:cs="Arial" w:eastAsia="Arial" w:hAnsi="Arial"/>
                <w:sz w:val="18"/>
                <w:szCs w:val="18"/>
                <w:color w:val="auto"/>
              </w:rPr>
              <w:t>RUSSIAN FEDERATION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280" w:type="dxa"/>
            <w:vAlign w:val="bottom"/>
          </w:tcPr>
          <w:p>
            <w:pPr>
              <w:ind w:left="260"/>
              <w:spacing w:after="0"/>
              <w:rPr>
                <w:sz w:val="20"/>
                <w:szCs w:val="20"/>
                <w:color w:val="auto"/>
              </w:rPr>
            </w:pPr>
            <w:r>
              <w:rPr>
                <w:rFonts w:ascii="Arial" w:cs="Arial" w:eastAsia="Arial" w:hAnsi="Arial"/>
                <w:sz w:val="18"/>
                <w:szCs w:val="18"/>
                <w:color w:val="auto"/>
              </w:rPr>
              <w:t>JX Nippon Mining &amp; Metals Co., Ltd.*</w:t>
            </w:r>
          </w:p>
        </w:tc>
        <w:tc>
          <w:tcPr>
            <w:tcW w:w="2640" w:type="dxa"/>
            <w:vAlign w:val="bottom"/>
          </w:tcPr>
          <w:p>
            <w:pPr>
              <w:ind w:left="160"/>
              <w:spacing w:after="0"/>
              <w:rPr>
                <w:sz w:val="20"/>
                <w:szCs w:val="20"/>
                <w:color w:val="auto"/>
              </w:rPr>
            </w:pPr>
            <w:r>
              <w:rPr>
                <w:rFonts w:ascii="Arial" w:cs="Arial" w:eastAsia="Arial" w:hAnsi="Arial"/>
                <w:sz w:val="18"/>
                <w:szCs w:val="18"/>
                <w:color w:val="auto"/>
              </w:rPr>
              <w:t>JAPAN</w:t>
            </w:r>
          </w:p>
        </w:tc>
      </w:tr>
      <w:tr>
        <w:trPr>
          <w:trHeight w:val="365"/>
        </w:trPr>
        <w:tc>
          <w:tcPr>
            <w:tcW w:w="620" w:type="dxa"/>
            <w:vAlign w:val="bottom"/>
          </w:tcPr>
          <w:p>
            <w:pPr>
              <w:spacing w:after="0"/>
              <w:rPr>
                <w:sz w:val="24"/>
                <w:szCs w:val="24"/>
                <w:color w:val="auto"/>
              </w:rPr>
            </w:pPr>
          </w:p>
        </w:tc>
        <w:tc>
          <w:tcPr>
            <w:tcW w:w="5280" w:type="dxa"/>
            <w:vAlign w:val="bottom"/>
          </w:tcPr>
          <w:p>
            <w:pPr>
              <w:ind w:left="4840"/>
              <w:spacing w:after="0"/>
              <w:rPr>
                <w:sz w:val="20"/>
                <w:szCs w:val="20"/>
                <w:color w:val="auto"/>
              </w:rPr>
            </w:pPr>
            <w:r>
              <w:rPr>
                <w:rFonts w:ascii="Arial" w:cs="Arial" w:eastAsia="Arial" w:hAnsi="Arial"/>
                <w:sz w:val="18"/>
                <w:szCs w:val="18"/>
                <w:color w:val="auto"/>
              </w:rPr>
              <w:t>5</w:t>
            </w:r>
          </w:p>
        </w:tc>
        <w:tc>
          <w:tcPr>
            <w:tcW w:w="2640" w:type="dxa"/>
            <w:vAlign w:val="bottom"/>
          </w:tcPr>
          <w:p>
            <w:pPr>
              <w:spacing w:after="0"/>
              <w:rPr>
                <w:sz w:val="24"/>
                <w:szCs w:val="24"/>
                <w:color w:val="auto"/>
              </w:rPr>
            </w:pPr>
          </w:p>
        </w:tc>
      </w:tr>
    </w:tbl>
    <w:p>
      <w:pPr>
        <w:sectPr>
          <w:pgSz w:w="11900" w:h="16838" w:orient="portrait"/>
          <w:cols w:equalWidth="0" w:num="1">
            <w:col w:w="10019"/>
          </w:cols>
          <w:pgMar w:left="440" w:top="486"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Kazakhmys Smelting LLC</w:t>
            </w:r>
          </w:p>
        </w:tc>
        <w:tc>
          <w:tcPr>
            <w:tcW w:w="2680" w:type="dxa"/>
            <w:vAlign w:val="bottom"/>
          </w:tcPr>
          <w:p>
            <w:pPr>
              <w:ind w:left="120"/>
              <w:spacing w:after="0"/>
              <w:rPr>
                <w:sz w:val="20"/>
                <w:szCs w:val="20"/>
                <w:color w:val="auto"/>
              </w:rPr>
            </w:pPr>
            <w:r>
              <w:rPr>
                <w:rFonts w:ascii="Arial" w:cs="Arial" w:eastAsia="Arial" w:hAnsi="Arial"/>
                <w:sz w:val="18"/>
                <w:szCs w:val="18"/>
                <w:color w:val="auto"/>
              </w:rPr>
              <w:t>KAZAKHSTAN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Kazzinc*</w:t>
            </w:r>
          </w:p>
        </w:tc>
        <w:tc>
          <w:tcPr>
            <w:tcW w:w="2680" w:type="dxa"/>
            <w:vAlign w:val="bottom"/>
          </w:tcPr>
          <w:p>
            <w:pPr>
              <w:ind w:left="120"/>
              <w:spacing w:after="0"/>
              <w:rPr>
                <w:sz w:val="20"/>
                <w:szCs w:val="20"/>
                <w:color w:val="auto"/>
              </w:rPr>
            </w:pPr>
            <w:r>
              <w:rPr>
                <w:rFonts w:ascii="Arial" w:cs="Arial" w:eastAsia="Arial" w:hAnsi="Arial"/>
                <w:sz w:val="18"/>
                <w:szCs w:val="18"/>
                <w:color w:val="auto"/>
              </w:rPr>
              <w:t>KAZAKHSTAN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Kennecott Utah Copper LLC*</w:t>
            </w:r>
          </w:p>
        </w:tc>
        <w:tc>
          <w:tcPr>
            <w:tcW w:w="2680" w:type="dxa"/>
            <w:vAlign w:val="bottom"/>
          </w:tcPr>
          <w:p>
            <w:pPr>
              <w:ind w:left="12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Kojima Chemicals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Kyrgyzaltyn JSC</w:t>
            </w:r>
          </w:p>
        </w:tc>
        <w:tc>
          <w:tcPr>
            <w:tcW w:w="2680" w:type="dxa"/>
            <w:vAlign w:val="bottom"/>
          </w:tcPr>
          <w:p>
            <w:pPr>
              <w:ind w:left="120"/>
              <w:spacing w:after="0"/>
              <w:rPr>
                <w:sz w:val="20"/>
                <w:szCs w:val="20"/>
                <w:color w:val="auto"/>
              </w:rPr>
            </w:pPr>
            <w:r>
              <w:rPr>
                <w:rFonts w:ascii="Arial" w:cs="Arial" w:eastAsia="Arial" w:hAnsi="Arial"/>
                <w:sz w:val="18"/>
                <w:szCs w:val="18"/>
                <w:color w:val="auto"/>
              </w:rPr>
              <w:t>KYRGYZSTAN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L’azurde Company For Jewelry</w:t>
            </w:r>
          </w:p>
        </w:tc>
        <w:tc>
          <w:tcPr>
            <w:tcW w:w="2680" w:type="dxa"/>
            <w:vAlign w:val="bottom"/>
          </w:tcPr>
          <w:p>
            <w:pPr>
              <w:ind w:left="120"/>
              <w:spacing w:after="0"/>
              <w:rPr>
                <w:sz w:val="20"/>
                <w:szCs w:val="20"/>
                <w:color w:val="auto"/>
              </w:rPr>
            </w:pPr>
            <w:r>
              <w:rPr>
                <w:rFonts w:ascii="Arial" w:cs="Arial" w:eastAsia="Arial" w:hAnsi="Arial"/>
                <w:sz w:val="18"/>
                <w:szCs w:val="18"/>
                <w:color w:val="auto"/>
              </w:rPr>
              <w:t>SAUDI ARABIA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Lingbao Gold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Lingbao Jinyuan Tonghui Refinery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LS-NIKKO Copper Inc.*</w:t>
            </w:r>
          </w:p>
        </w:tc>
        <w:tc>
          <w:tcPr>
            <w:tcW w:w="2680" w:type="dxa"/>
            <w:vAlign w:val="bottom"/>
          </w:tcPr>
          <w:p>
            <w:pPr>
              <w:ind w:left="12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Luoyang Zijin Yinhui Gold Refinery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Materion*</w:t>
            </w:r>
          </w:p>
        </w:tc>
        <w:tc>
          <w:tcPr>
            <w:tcW w:w="2680" w:type="dxa"/>
            <w:vAlign w:val="bottom"/>
          </w:tcPr>
          <w:p>
            <w:pPr>
              <w:ind w:left="12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Matsuda Sangyo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Metalor Technologies (Suzhou)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Metalor Technologies (Hong Kong)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Metalor Technologies (Singapore) Pte., Ltd.*</w:t>
            </w:r>
          </w:p>
        </w:tc>
        <w:tc>
          <w:tcPr>
            <w:tcW w:w="2680" w:type="dxa"/>
            <w:vAlign w:val="bottom"/>
          </w:tcPr>
          <w:p>
            <w:pPr>
              <w:ind w:left="120"/>
              <w:spacing w:after="0"/>
              <w:rPr>
                <w:sz w:val="20"/>
                <w:szCs w:val="20"/>
                <w:color w:val="auto"/>
              </w:rPr>
            </w:pPr>
            <w:r>
              <w:rPr>
                <w:rFonts w:ascii="Arial" w:cs="Arial" w:eastAsia="Arial" w:hAnsi="Arial"/>
                <w:sz w:val="18"/>
                <w:szCs w:val="18"/>
                <w:color w:val="auto"/>
              </w:rPr>
              <w:t>SINGAPORE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Metalor Technologies S.A.*</w:t>
            </w:r>
          </w:p>
        </w:tc>
        <w:tc>
          <w:tcPr>
            <w:tcW w:w="2680" w:type="dxa"/>
            <w:vAlign w:val="bottom"/>
          </w:tcPr>
          <w:p>
            <w:pPr>
              <w:ind w:left="120"/>
              <w:spacing w:after="0"/>
              <w:rPr>
                <w:sz w:val="20"/>
                <w:szCs w:val="20"/>
                <w:color w:val="auto"/>
              </w:rPr>
            </w:pPr>
            <w:r>
              <w:rPr>
                <w:rFonts w:ascii="Arial" w:cs="Arial" w:eastAsia="Arial" w:hAnsi="Arial"/>
                <w:sz w:val="18"/>
                <w:szCs w:val="18"/>
                <w:color w:val="auto"/>
              </w:rPr>
              <w:t>SWITZERLAND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Metalor USA Refining Corporation*</w:t>
            </w:r>
          </w:p>
        </w:tc>
        <w:tc>
          <w:tcPr>
            <w:tcW w:w="2680" w:type="dxa"/>
            <w:vAlign w:val="bottom"/>
          </w:tcPr>
          <w:p>
            <w:pPr>
              <w:ind w:left="12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Metalurgica Met-Mex Penoles S.A. De C.V.*</w:t>
            </w:r>
          </w:p>
        </w:tc>
        <w:tc>
          <w:tcPr>
            <w:tcW w:w="2680" w:type="dxa"/>
            <w:vAlign w:val="bottom"/>
          </w:tcPr>
          <w:p>
            <w:pPr>
              <w:ind w:left="120"/>
              <w:spacing w:after="0"/>
              <w:rPr>
                <w:sz w:val="20"/>
                <w:szCs w:val="20"/>
                <w:color w:val="auto"/>
              </w:rPr>
            </w:pPr>
            <w:r>
              <w:rPr>
                <w:rFonts w:ascii="Arial" w:cs="Arial" w:eastAsia="Arial" w:hAnsi="Arial"/>
                <w:sz w:val="18"/>
                <w:szCs w:val="18"/>
                <w:color w:val="auto"/>
              </w:rPr>
              <w:t>MEXICO</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Mitsubishi Materials Corporation*</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Mitsui Mining and Smelting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Moscow Special Alloys Processing Plant</w:t>
            </w:r>
          </w:p>
        </w:tc>
        <w:tc>
          <w:tcPr>
            <w:tcW w:w="2680" w:type="dxa"/>
            <w:vAlign w:val="bottom"/>
          </w:tcPr>
          <w:p>
            <w:pPr>
              <w:ind w:left="120"/>
              <w:spacing w:after="0"/>
              <w:rPr>
                <w:sz w:val="20"/>
                <w:szCs w:val="20"/>
                <w:color w:val="auto"/>
              </w:rPr>
            </w:pPr>
            <w:r>
              <w:rPr>
                <w:rFonts w:ascii="Arial" w:cs="Arial" w:eastAsia="Arial" w:hAnsi="Arial"/>
                <w:sz w:val="18"/>
                <w:szCs w:val="18"/>
                <w:color w:val="auto"/>
              </w:rPr>
              <w:t>RUSSIAN FEDERATION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Nadir Metal Rafineri San. Ve Tic. A.S.*</w:t>
            </w:r>
          </w:p>
        </w:tc>
        <w:tc>
          <w:tcPr>
            <w:tcW w:w="2680" w:type="dxa"/>
            <w:vAlign w:val="bottom"/>
          </w:tcPr>
          <w:p>
            <w:pPr>
              <w:ind w:left="120"/>
              <w:spacing w:after="0"/>
              <w:rPr>
                <w:sz w:val="20"/>
                <w:szCs w:val="20"/>
                <w:color w:val="auto"/>
              </w:rPr>
            </w:pPr>
            <w:r>
              <w:rPr>
                <w:rFonts w:ascii="Arial" w:cs="Arial" w:eastAsia="Arial" w:hAnsi="Arial"/>
                <w:sz w:val="18"/>
                <w:szCs w:val="18"/>
                <w:color w:val="auto"/>
              </w:rPr>
              <w:t>TURKEY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Navoi Mining and Metallurgical Combinat*</w:t>
            </w:r>
          </w:p>
        </w:tc>
        <w:tc>
          <w:tcPr>
            <w:tcW w:w="2680" w:type="dxa"/>
            <w:vAlign w:val="bottom"/>
          </w:tcPr>
          <w:p>
            <w:pPr>
              <w:ind w:left="120"/>
              <w:spacing w:after="0"/>
              <w:rPr>
                <w:sz w:val="20"/>
                <w:szCs w:val="20"/>
                <w:color w:val="auto"/>
              </w:rPr>
            </w:pPr>
            <w:r>
              <w:rPr>
                <w:rFonts w:ascii="Arial" w:cs="Arial" w:eastAsia="Arial" w:hAnsi="Arial"/>
                <w:sz w:val="18"/>
                <w:szCs w:val="18"/>
                <w:color w:val="auto"/>
              </w:rPr>
              <w:t>UZBEKISTAN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Nihon Material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Ohura Precious Metal Industry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OJSC “The Gulidov Krasnoyarsk Non-Ferrous Metals Plant” (OJSC</w:t>
            </w:r>
          </w:p>
        </w:tc>
        <w:tc>
          <w:tcPr>
            <w:tcW w:w="26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Krastsvetmet)</w:t>
            </w:r>
          </w:p>
        </w:tc>
        <w:tc>
          <w:tcPr>
            <w:tcW w:w="2680" w:type="dxa"/>
            <w:vAlign w:val="bottom"/>
          </w:tcPr>
          <w:p>
            <w:pPr>
              <w:ind w:left="120"/>
              <w:spacing w:after="0"/>
              <w:rPr>
                <w:sz w:val="20"/>
                <w:szCs w:val="20"/>
                <w:color w:val="auto"/>
              </w:rPr>
            </w:pPr>
            <w:r>
              <w:rPr>
                <w:rFonts w:ascii="Arial" w:cs="Arial" w:eastAsia="Arial" w:hAnsi="Arial"/>
                <w:sz w:val="18"/>
                <w:szCs w:val="18"/>
                <w:color w:val="auto"/>
              </w:rPr>
              <w:t>RUSSIAN FEDERATION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MKS PAMP SA*</w:t>
            </w:r>
          </w:p>
        </w:tc>
        <w:tc>
          <w:tcPr>
            <w:tcW w:w="2680" w:type="dxa"/>
            <w:vAlign w:val="bottom"/>
          </w:tcPr>
          <w:p>
            <w:pPr>
              <w:ind w:left="120"/>
              <w:spacing w:after="0"/>
              <w:rPr>
                <w:sz w:val="20"/>
                <w:szCs w:val="20"/>
                <w:color w:val="auto"/>
              </w:rPr>
            </w:pPr>
            <w:r>
              <w:rPr>
                <w:rFonts w:ascii="Arial" w:cs="Arial" w:eastAsia="Arial" w:hAnsi="Arial"/>
                <w:sz w:val="18"/>
                <w:szCs w:val="18"/>
                <w:color w:val="auto"/>
              </w:rPr>
              <w:t>SWITZERLAND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Penglai Penggang Gold Industry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Prioksky Plant of Non-Ferrous Metals</w:t>
            </w:r>
          </w:p>
        </w:tc>
        <w:tc>
          <w:tcPr>
            <w:tcW w:w="2680" w:type="dxa"/>
            <w:vAlign w:val="bottom"/>
          </w:tcPr>
          <w:p>
            <w:pPr>
              <w:ind w:left="120"/>
              <w:spacing w:after="0"/>
              <w:rPr>
                <w:sz w:val="20"/>
                <w:szCs w:val="20"/>
                <w:color w:val="auto"/>
              </w:rPr>
            </w:pPr>
            <w:r>
              <w:rPr>
                <w:rFonts w:ascii="Arial" w:cs="Arial" w:eastAsia="Arial" w:hAnsi="Arial"/>
                <w:sz w:val="18"/>
                <w:szCs w:val="18"/>
                <w:color w:val="auto"/>
              </w:rPr>
              <w:t>RUSSIAN FEDERATION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PT Aneka Tambang (Persero) Tbk*</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PX Precinox S.A.*</w:t>
            </w:r>
          </w:p>
        </w:tc>
        <w:tc>
          <w:tcPr>
            <w:tcW w:w="2680" w:type="dxa"/>
            <w:vAlign w:val="bottom"/>
          </w:tcPr>
          <w:p>
            <w:pPr>
              <w:ind w:left="120"/>
              <w:spacing w:after="0"/>
              <w:rPr>
                <w:sz w:val="20"/>
                <w:szCs w:val="20"/>
                <w:color w:val="auto"/>
              </w:rPr>
            </w:pPr>
            <w:r>
              <w:rPr>
                <w:rFonts w:ascii="Arial" w:cs="Arial" w:eastAsia="Arial" w:hAnsi="Arial"/>
                <w:sz w:val="18"/>
                <w:szCs w:val="18"/>
                <w:color w:val="auto"/>
              </w:rPr>
              <w:t>SWITZERLAND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Rand Refinery (Pty) Ltd.*</w:t>
            </w:r>
          </w:p>
        </w:tc>
        <w:tc>
          <w:tcPr>
            <w:tcW w:w="2680" w:type="dxa"/>
            <w:vAlign w:val="bottom"/>
          </w:tcPr>
          <w:p>
            <w:pPr>
              <w:ind w:left="120"/>
              <w:spacing w:after="0"/>
              <w:rPr>
                <w:sz w:val="20"/>
                <w:szCs w:val="20"/>
                <w:color w:val="auto"/>
              </w:rPr>
            </w:pPr>
            <w:r>
              <w:rPr>
                <w:rFonts w:ascii="Arial" w:cs="Arial" w:eastAsia="Arial" w:hAnsi="Arial"/>
                <w:sz w:val="18"/>
                <w:szCs w:val="18"/>
                <w:color w:val="auto"/>
              </w:rPr>
              <w:t>SOUTH AFRICA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Royal Canadian Mint*</w:t>
            </w:r>
          </w:p>
        </w:tc>
        <w:tc>
          <w:tcPr>
            <w:tcW w:w="2680" w:type="dxa"/>
            <w:vAlign w:val="bottom"/>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Sabin Metal Corp.</w:t>
            </w:r>
          </w:p>
        </w:tc>
        <w:tc>
          <w:tcPr>
            <w:tcW w:w="2680" w:type="dxa"/>
            <w:vAlign w:val="bottom"/>
          </w:tcPr>
          <w:p>
            <w:pPr>
              <w:ind w:left="12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Samduck Precious Metals</w:t>
            </w:r>
          </w:p>
        </w:tc>
        <w:tc>
          <w:tcPr>
            <w:tcW w:w="2680" w:type="dxa"/>
            <w:vAlign w:val="bottom"/>
          </w:tcPr>
          <w:p>
            <w:pPr>
              <w:ind w:left="12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Samwon Metals Corp.</w:t>
            </w:r>
          </w:p>
        </w:tc>
        <w:tc>
          <w:tcPr>
            <w:tcW w:w="2680" w:type="dxa"/>
            <w:vAlign w:val="bottom"/>
          </w:tcPr>
          <w:p>
            <w:pPr>
              <w:ind w:left="12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SEMPSA Joyeria Plateria S.A.*</w:t>
            </w:r>
          </w:p>
        </w:tc>
        <w:tc>
          <w:tcPr>
            <w:tcW w:w="2680" w:type="dxa"/>
            <w:vAlign w:val="bottom"/>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Shandong Tiancheng Biological Gold Industrial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Shandong Zhaojin Gold &amp; Silver Refinery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Sichuan Tianze Precious Metals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SOE Shyolkovsky Factory of Secondary Precious Metals</w:t>
            </w:r>
          </w:p>
        </w:tc>
        <w:tc>
          <w:tcPr>
            <w:tcW w:w="2680" w:type="dxa"/>
            <w:vAlign w:val="bottom"/>
          </w:tcPr>
          <w:p>
            <w:pPr>
              <w:ind w:left="120"/>
              <w:spacing w:after="0"/>
              <w:rPr>
                <w:sz w:val="20"/>
                <w:szCs w:val="20"/>
                <w:color w:val="auto"/>
              </w:rPr>
            </w:pPr>
            <w:r>
              <w:rPr>
                <w:rFonts w:ascii="Arial" w:cs="Arial" w:eastAsia="Arial" w:hAnsi="Arial"/>
                <w:sz w:val="18"/>
                <w:szCs w:val="18"/>
                <w:color w:val="auto"/>
              </w:rPr>
              <w:t>RUSSIAN FEDERATION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Solar Applied Materials Technology Corp.*</w:t>
            </w:r>
          </w:p>
        </w:tc>
        <w:tc>
          <w:tcPr>
            <w:tcW w:w="2680" w:type="dxa"/>
            <w:vAlign w:val="bottom"/>
          </w:tcPr>
          <w:p>
            <w:pPr>
              <w:ind w:left="120"/>
              <w:spacing w:after="0"/>
              <w:rPr>
                <w:sz w:val="20"/>
                <w:szCs w:val="20"/>
                <w:color w:val="auto"/>
              </w:rPr>
            </w:pPr>
            <w:r>
              <w:rPr>
                <w:rFonts w:ascii="Arial" w:cs="Arial" w:eastAsia="Arial" w:hAnsi="Arial"/>
                <w:sz w:val="18"/>
                <w:szCs w:val="18"/>
                <w:color w:val="auto"/>
                <w:w w:val="95"/>
              </w:rPr>
              <w:t>TAIWAN, PROVINCE OF 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Sumitomo Metal Mining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Super Dragon Technology Co., Ltd.</w:t>
            </w:r>
          </w:p>
        </w:tc>
        <w:tc>
          <w:tcPr>
            <w:tcW w:w="2680" w:type="dxa"/>
            <w:vAlign w:val="bottom"/>
          </w:tcPr>
          <w:p>
            <w:pPr>
              <w:ind w:left="120"/>
              <w:spacing w:after="0"/>
              <w:rPr>
                <w:sz w:val="20"/>
                <w:szCs w:val="20"/>
                <w:color w:val="auto"/>
              </w:rPr>
            </w:pPr>
            <w:r>
              <w:rPr>
                <w:rFonts w:ascii="Arial" w:cs="Arial" w:eastAsia="Arial" w:hAnsi="Arial"/>
                <w:sz w:val="18"/>
                <w:szCs w:val="18"/>
                <w:color w:val="auto"/>
                <w:w w:val="95"/>
              </w:rPr>
              <w:t>TAIWAN, PROVINCE OF 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Tanaka Kikinzoku Kogyo K.K.*</w:t>
            </w:r>
          </w:p>
        </w:tc>
        <w:tc>
          <w:tcPr>
            <w:tcW w:w="268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320" w:type="dxa"/>
            <w:vAlign w:val="bottom"/>
          </w:tcPr>
          <w:p>
            <w:pPr>
              <w:ind w:left="260"/>
              <w:spacing w:after="0"/>
              <w:rPr>
                <w:sz w:val="20"/>
                <w:szCs w:val="20"/>
                <w:color w:val="auto"/>
              </w:rPr>
            </w:pPr>
            <w:r>
              <w:rPr>
                <w:rFonts w:ascii="Arial" w:cs="Arial" w:eastAsia="Arial" w:hAnsi="Arial"/>
                <w:sz w:val="18"/>
                <w:szCs w:val="18"/>
                <w:color w:val="auto"/>
              </w:rPr>
              <w:t>Great Wall Precious Metals Co., Ltd. of CBPM</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365"/>
        </w:trPr>
        <w:tc>
          <w:tcPr>
            <w:tcW w:w="620" w:type="dxa"/>
            <w:vAlign w:val="bottom"/>
          </w:tcPr>
          <w:p>
            <w:pPr>
              <w:spacing w:after="0"/>
              <w:rPr>
                <w:sz w:val="24"/>
                <w:szCs w:val="24"/>
                <w:color w:val="auto"/>
              </w:rPr>
            </w:pPr>
          </w:p>
        </w:tc>
        <w:tc>
          <w:tcPr>
            <w:tcW w:w="5320" w:type="dxa"/>
            <w:vAlign w:val="bottom"/>
          </w:tcPr>
          <w:p>
            <w:pPr>
              <w:ind w:left="4840"/>
              <w:spacing w:after="0"/>
              <w:rPr>
                <w:sz w:val="20"/>
                <w:szCs w:val="20"/>
                <w:color w:val="auto"/>
              </w:rPr>
            </w:pPr>
            <w:r>
              <w:rPr>
                <w:rFonts w:ascii="Arial" w:cs="Arial" w:eastAsia="Arial" w:hAnsi="Arial"/>
                <w:sz w:val="18"/>
                <w:szCs w:val="18"/>
                <w:color w:val="auto"/>
              </w:rPr>
              <w:t>6</w:t>
            </w:r>
          </w:p>
        </w:tc>
        <w:tc>
          <w:tcPr>
            <w:tcW w:w="2680" w:type="dxa"/>
            <w:vAlign w:val="bottom"/>
          </w:tcPr>
          <w:p>
            <w:pPr>
              <w:spacing w:after="0"/>
              <w:rPr>
                <w:sz w:val="24"/>
                <w:szCs w:val="24"/>
                <w:color w:val="auto"/>
              </w:rPr>
            </w:pPr>
          </w:p>
        </w:tc>
      </w:tr>
    </w:tbl>
    <w:p>
      <w:pPr>
        <w:sectPr>
          <w:pgSz w:w="11900" w:h="16838" w:orient="portrait"/>
          <w:cols w:equalWidth="0" w:num="1">
            <w:col w:w="10019"/>
          </w:cols>
          <w:pgMar w:left="440" w:top="490"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Shandong Gold Smelting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Tokuriki Honten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Tongling Nonferrous Metals Group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Torecom*</w:t>
            </w:r>
          </w:p>
        </w:tc>
        <w:tc>
          <w:tcPr>
            <w:tcW w:w="2820" w:type="dxa"/>
            <w:vAlign w:val="bottom"/>
          </w:tcPr>
          <w:p>
            <w:pPr>
              <w:ind w:left="26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Umicore S.A. Business Unit Precious Metals Refining*</w:t>
            </w:r>
          </w:p>
        </w:tc>
        <w:tc>
          <w:tcPr>
            <w:tcW w:w="2820" w:type="dxa"/>
            <w:vAlign w:val="bottom"/>
          </w:tcPr>
          <w:p>
            <w:pPr>
              <w:ind w:left="260"/>
              <w:spacing w:after="0"/>
              <w:rPr>
                <w:sz w:val="20"/>
                <w:szCs w:val="20"/>
                <w:color w:val="auto"/>
              </w:rPr>
            </w:pPr>
            <w:r>
              <w:rPr>
                <w:rFonts w:ascii="Arial" w:cs="Arial" w:eastAsia="Arial" w:hAnsi="Arial"/>
                <w:sz w:val="18"/>
                <w:szCs w:val="18"/>
                <w:color w:val="auto"/>
              </w:rPr>
              <w:t>BELGIUM</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United Precious Metal Refining, Inc.*</w:t>
            </w:r>
          </w:p>
        </w:tc>
        <w:tc>
          <w:tcPr>
            <w:tcW w:w="2820" w:type="dxa"/>
            <w:vAlign w:val="bottom"/>
          </w:tcPr>
          <w:p>
            <w:pPr>
              <w:ind w:left="26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Valcambi S.A.*</w:t>
            </w:r>
          </w:p>
        </w:tc>
        <w:tc>
          <w:tcPr>
            <w:tcW w:w="2820" w:type="dxa"/>
            <w:vAlign w:val="bottom"/>
          </w:tcPr>
          <w:p>
            <w:pPr>
              <w:ind w:left="260"/>
              <w:spacing w:after="0"/>
              <w:rPr>
                <w:sz w:val="20"/>
                <w:szCs w:val="20"/>
                <w:color w:val="auto"/>
              </w:rPr>
            </w:pPr>
            <w:r>
              <w:rPr>
                <w:rFonts w:ascii="Arial" w:cs="Arial" w:eastAsia="Arial" w:hAnsi="Arial"/>
                <w:sz w:val="18"/>
                <w:szCs w:val="18"/>
                <w:color w:val="auto"/>
              </w:rPr>
              <w:t>SWITZERLAND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Western Australian Mint (T/a The Perth Mint)*</w:t>
            </w:r>
          </w:p>
        </w:tc>
        <w:tc>
          <w:tcPr>
            <w:tcW w:w="2820" w:type="dxa"/>
            <w:vAlign w:val="bottom"/>
          </w:tcPr>
          <w:p>
            <w:pPr>
              <w:ind w:left="260"/>
              <w:spacing w:after="0"/>
              <w:rPr>
                <w:sz w:val="20"/>
                <w:szCs w:val="20"/>
                <w:color w:val="auto"/>
              </w:rPr>
            </w:pPr>
            <w:r>
              <w:rPr>
                <w:rFonts w:ascii="Arial" w:cs="Arial" w:eastAsia="Arial" w:hAnsi="Arial"/>
                <w:sz w:val="18"/>
                <w:szCs w:val="18"/>
                <w:color w:val="auto"/>
              </w:rPr>
              <w:t>AUSTRALIA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Yamakin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Yokohama Metal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JAPAN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Zhongyuan Gold Smelter of Zhongjin Gold Corporation*</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Gold Refinery of Zijin Mining Group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Morris and Watson</w:t>
            </w:r>
          </w:p>
        </w:tc>
        <w:tc>
          <w:tcPr>
            <w:tcW w:w="2820" w:type="dxa"/>
            <w:vAlign w:val="bottom"/>
          </w:tcPr>
          <w:p>
            <w:pPr>
              <w:ind w:left="260"/>
              <w:spacing w:after="0"/>
              <w:rPr>
                <w:sz w:val="20"/>
                <w:szCs w:val="20"/>
                <w:color w:val="auto"/>
              </w:rPr>
            </w:pPr>
            <w:r>
              <w:rPr>
                <w:rFonts w:ascii="Arial" w:cs="Arial" w:eastAsia="Arial" w:hAnsi="Arial"/>
                <w:sz w:val="18"/>
                <w:szCs w:val="18"/>
                <w:color w:val="auto"/>
              </w:rPr>
              <w:t>NEW ZEALAND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SAFINA A.S.*</w:t>
            </w:r>
          </w:p>
        </w:tc>
        <w:tc>
          <w:tcPr>
            <w:tcW w:w="2820" w:type="dxa"/>
            <w:vAlign w:val="bottom"/>
          </w:tcPr>
          <w:p>
            <w:pPr>
              <w:ind w:left="260"/>
              <w:spacing w:after="0"/>
              <w:rPr>
                <w:sz w:val="20"/>
                <w:szCs w:val="20"/>
                <w:color w:val="auto"/>
              </w:rPr>
            </w:pPr>
            <w:r>
              <w:rPr>
                <w:rFonts w:ascii="Arial" w:cs="Arial" w:eastAsia="Arial" w:hAnsi="Arial"/>
                <w:sz w:val="18"/>
                <w:szCs w:val="18"/>
                <w:color w:val="auto"/>
              </w:rPr>
              <w:t>CZECHIA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Guangdong Jinding Gold Limited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Umicore Precious Metals Thailand</w:t>
            </w:r>
          </w:p>
        </w:tc>
        <w:tc>
          <w:tcPr>
            <w:tcW w:w="2820" w:type="dxa"/>
            <w:vAlign w:val="bottom"/>
          </w:tcPr>
          <w:p>
            <w:pPr>
              <w:ind w:left="260"/>
              <w:spacing w:after="0"/>
              <w:rPr>
                <w:sz w:val="20"/>
                <w:szCs w:val="20"/>
                <w:color w:val="auto"/>
              </w:rPr>
            </w:pPr>
            <w:r>
              <w:rPr>
                <w:rFonts w:ascii="Arial" w:cs="Arial" w:eastAsia="Arial" w:hAnsi="Arial"/>
                <w:sz w:val="18"/>
                <w:szCs w:val="18"/>
                <w:color w:val="auto"/>
              </w:rPr>
              <w:t>THAILAND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Geib Refining Corporation*</w:t>
            </w:r>
          </w:p>
        </w:tc>
        <w:tc>
          <w:tcPr>
            <w:tcW w:w="2820" w:type="dxa"/>
            <w:vAlign w:val="bottom"/>
          </w:tcPr>
          <w:p>
            <w:pPr>
              <w:ind w:left="26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MMTC-PAMP India Pvt., Ltd.*</w:t>
            </w:r>
          </w:p>
        </w:tc>
        <w:tc>
          <w:tcPr>
            <w:tcW w:w="2820" w:type="dxa"/>
            <w:vAlign w:val="bottom"/>
          </w:tcPr>
          <w:p>
            <w:pPr>
              <w:ind w:left="260"/>
              <w:spacing w:after="0"/>
              <w:rPr>
                <w:sz w:val="20"/>
                <w:szCs w:val="20"/>
                <w:color w:val="auto"/>
              </w:rPr>
            </w:pPr>
            <w:r>
              <w:rPr>
                <w:rFonts w:ascii="Arial" w:cs="Arial" w:eastAsia="Arial" w:hAnsi="Arial"/>
                <w:sz w:val="18"/>
                <w:szCs w:val="18"/>
                <w:color w:val="auto"/>
              </w:rPr>
              <w:t>INDIA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KGHM Polska Miedz Spolka Akcyjna*</w:t>
            </w:r>
          </w:p>
        </w:tc>
        <w:tc>
          <w:tcPr>
            <w:tcW w:w="2820" w:type="dxa"/>
            <w:vAlign w:val="bottom"/>
          </w:tcPr>
          <w:p>
            <w:pPr>
              <w:ind w:left="260"/>
              <w:spacing w:after="0"/>
              <w:rPr>
                <w:sz w:val="20"/>
                <w:szCs w:val="20"/>
                <w:color w:val="auto"/>
              </w:rPr>
            </w:pPr>
            <w:r>
              <w:rPr>
                <w:rFonts w:ascii="Arial" w:cs="Arial" w:eastAsia="Arial" w:hAnsi="Arial"/>
                <w:sz w:val="18"/>
                <w:szCs w:val="18"/>
                <w:color w:val="auto"/>
              </w:rPr>
              <w:t>POLAND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Fidelity Printers and Refiners Ltd.</w:t>
            </w:r>
          </w:p>
        </w:tc>
        <w:tc>
          <w:tcPr>
            <w:tcW w:w="2820" w:type="dxa"/>
            <w:vAlign w:val="bottom"/>
          </w:tcPr>
          <w:p>
            <w:pPr>
              <w:ind w:left="260"/>
              <w:spacing w:after="0"/>
              <w:rPr>
                <w:sz w:val="20"/>
                <w:szCs w:val="20"/>
                <w:color w:val="auto"/>
              </w:rPr>
            </w:pPr>
            <w:r>
              <w:rPr>
                <w:rFonts w:ascii="Arial" w:cs="Arial" w:eastAsia="Arial" w:hAnsi="Arial"/>
                <w:sz w:val="18"/>
                <w:szCs w:val="18"/>
                <w:color w:val="auto"/>
              </w:rPr>
              <w:t>ZIMBABWE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Singway Technology Co., Ltd.</w:t>
            </w:r>
          </w:p>
        </w:tc>
        <w:tc>
          <w:tcPr>
            <w:tcW w:w="2820" w:type="dxa"/>
            <w:vAlign w:val="bottom"/>
          </w:tcPr>
          <w:p>
            <w:pPr>
              <w:ind w:left="260"/>
              <w:spacing w:after="0"/>
              <w:rPr>
                <w:sz w:val="20"/>
                <w:szCs w:val="20"/>
                <w:color w:val="auto"/>
              </w:rPr>
            </w:pPr>
            <w:r>
              <w:rPr>
                <w:rFonts w:ascii="Arial" w:cs="Arial" w:eastAsia="Arial" w:hAnsi="Arial"/>
                <w:sz w:val="18"/>
                <w:szCs w:val="18"/>
                <w:color w:val="auto"/>
                <w:w w:val="95"/>
              </w:rPr>
              <w:t>TAIWAN, PROVINCE OF 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Shandong Humon Smelting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Shenzhen Zhonghenglong Real Industry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Al Etihad Gold Refinery DMCC*</w:t>
            </w:r>
          </w:p>
        </w:tc>
        <w:tc>
          <w:tcPr>
            <w:tcW w:w="2820" w:type="dxa"/>
            <w:vAlign w:val="bottom"/>
          </w:tcPr>
          <w:p>
            <w:pPr>
              <w:ind w:left="260"/>
              <w:spacing w:after="0"/>
              <w:rPr>
                <w:sz w:val="20"/>
                <w:szCs w:val="20"/>
                <w:color w:val="auto"/>
              </w:rPr>
            </w:pPr>
            <w:r>
              <w:rPr>
                <w:rFonts w:ascii="Arial" w:cs="Arial" w:eastAsia="Arial" w:hAnsi="Arial"/>
                <w:sz w:val="18"/>
                <w:szCs w:val="18"/>
                <w:color w:val="auto"/>
              </w:rPr>
              <w:t>UNITED ARAB EMIRATES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Emirates Gold DMCC*</w:t>
            </w:r>
          </w:p>
        </w:tc>
        <w:tc>
          <w:tcPr>
            <w:tcW w:w="2820" w:type="dxa"/>
            <w:vAlign w:val="bottom"/>
          </w:tcPr>
          <w:p>
            <w:pPr>
              <w:ind w:left="260"/>
              <w:spacing w:after="0"/>
              <w:rPr>
                <w:sz w:val="20"/>
                <w:szCs w:val="20"/>
                <w:color w:val="auto"/>
              </w:rPr>
            </w:pPr>
            <w:r>
              <w:rPr>
                <w:rFonts w:ascii="Arial" w:cs="Arial" w:eastAsia="Arial" w:hAnsi="Arial"/>
                <w:sz w:val="18"/>
                <w:szCs w:val="18"/>
                <w:color w:val="auto"/>
              </w:rPr>
              <w:t>UNITED ARAB EMIRATES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International Precious Metal Refiners</w:t>
            </w:r>
          </w:p>
        </w:tc>
        <w:tc>
          <w:tcPr>
            <w:tcW w:w="2820" w:type="dxa"/>
            <w:vAlign w:val="bottom"/>
          </w:tcPr>
          <w:p>
            <w:pPr>
              <w:ind w:left="260"/>
              <w:spacing w:after="0"/>
              <w:rPr>
                <w:sz w:val="20"/>
                <w:szCs w:val="20"/>
                <w:color w:val="auto"/>
              </w:rPr>
            </w:pPr>
            <w:r>
              <w:rPr>
                <w:rFonts w:ascii="Arial" w:cs="Arial" w:eastAsia="Arial" w:hAnsi="Arial"/>
                <w:sz w:val="18"/>
                <w:szCs w:val="18"/>
                <w:color w:val="auto"/>
              </w:rPr>
              <w:t>UNITED ARAB EMIRATES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Kaloti Precious Metals</w:t>
            </w:r>
          </w:p>
        </w:tc>
        <w:tc>
          <w:tcPr>
            <w:tcW w:w="2820" w:type="dxa"/>
            <w:vAlign w:val="bottom"/>
          </w:tcPr>
          <w:p>
            <w:pPr>
              <w:ind w:left="260"/>
              <w:spacing w:after="0"/>
              <w:rPr>
                <w:sz w:val="20"/>
                <w:szCs w:val="20"/>
                <w:color w:val="auto"/>
              </w:rPr>
            </w:pPr>
            <w:r>
              <w:rPr>
                <w:rFonts w:ascii="Arial" w:cs="Arial" w:eastAsia="Arial" w:hAnsi="Arial"/>
                <w:sz w:val="18"/>
                <w:szCs w:val="18"/>
                <w:color w:val="auto"/>
              </w:rPr>
              <w:t>UNITED ARAB EMIRATES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Sudan Gold Refinery</w:t>
            </w:r>
          </w:p>
        </w:tc>
        <w:tc>
          <w:tcPr>
            <w:tcW w:w="2820" w:type="dxa"/>
            <w:vAlign w:val="bottom"/>
          </w:tcPr>
          <w:p>
            <w:pPr>
              <w:ind w:left="260"/>
              <w:spacing w:after="0"/>
              <w:rPr>
                <w:sz w:val="20"/>
                <w:szCs w:val="20"/>
                <w:color w:val="auto"/>
              </w:rPr>
            </w:pPr>
            <w:r>
              <w:rPr>
                <w:rFonts w:ascii="Arial" w:cs="Arial" w:eastAsia="Arial" w:hAnsi="Arial"/>
                <w:sz w:val="18"/>
                <w:szCs w:val="18"/>
                <w:color w:val="auto"/>
              </w:rPr>
              <w:t>SUDAN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T.C.A S.p.A*</w:t>
            </w:r>
          </w:p>
        </w:tc>
        <w:tc>
          <w:tcPr>
            <w:tcW w:w="2820" w:type="dxa"/>
            <w:vAlign w:val="bottom"/>
          </w:tcPr>
          <w:p>
            <w:pPr>
              <w:ind w:left="260"/>
              <w:spacing w:after="0"/>
              <w:rPr>
                <w:sz w:val="20"/>
                <w:szCs w:val="20"/>
                <w:color w:val="auto"/>
              </w:rPr>
            </w:pPr>
            <w:r>
              <w:rPr>
                <w:rFonts w:ascii="Arial" w:cs="Arial" w:eastAsia="Arial" w:hAnsi="Arial"/>
                <w:sz w:val="18"/>
                <w:szCs w:val="18"/>
                <w:color w:val="auto"/>
              </w:rPr>
              <w:t>ITALY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REMONDIS PMR B.V.*</w:t>
            </w:r>
          </w:p>
        </w:tc>
        <w:tc>
          <w:tcPr>
            <w:tcW w:w="2820" w:type="dxa"/>
            <w:vAlign w:val="bottom"/>
          </w:tcPr>
          <w:p>
            <w:pPr>
              <w:ind w:left="260"/>
              <w:spacing w:after="0"/>
              <w:rPr>
                <w:sz w:val="20"/>
                <w:szCs w:val="20"/>
                <w:color w:val="auto"/>
              </w:rPr>
            </w:pPr>
            <w:r>
              <w:rPr>
                <w:rFonts w:ascii="Arial" w:cs="Arial" w:eastAsia="Arial" w:hAnsi="Arial"/>
                <w:sz w:val="18"/>
                <w:szCs w:val="18"/>
                <w:color w:val="auto"/>
              </w:rPr>
              <w:t>NETHERLANDS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Fujairah Gold FZC</w:t>
            </w:r>
          </w:p>
        </w:tc>
        <w:tc>
          <w:tcPr>
            <w:tcW w:w="2820" w:type="dxa"/>
            <w:vAlign w:val="bottom"/>
          </w:tcPr>
          <w:p>
            <w:pPr>
              <w:ind w:left="260"/>
              <w:spacing w:after="0"/>
              <w:rPr>
                <w:sz w:val="20"/>
                <w:szCs w:val="20"/>
                <w:color w:val="auto"/>
              </w:rPr>
            </w:pPr>
            <w:r>
              <w:rPr>
                <w:rFonts w:ascii="Arial" w:cs="Arial" w:eastAsia="Arial" w:hAnsi="Arial"/>
                <w:sz w:val="18"/>
                <w:szCs w:val="18"/>
                <w:color w:val="auto"/>
              </w:rPr>
              <w:t>UNITED ARAB EMIRATES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Industrial Refining Company</w:t>
            </w:r>
          </w:p>
        </w:tc>
        <w:tc>
          <w:tcPr>
            <w:tcW w:w="2820" w:type="dxa"/>
            <w:vAlign w:val="bottom"/>
          </w:tcPr>
          <w:p>
            <w:pPr>
              <w:ind w:left="260"/>
              <w:spacing w:after="0"/>
              <w:rPr>
                <w:sz w:val="20"/>
                <w:szCs w:val="20"/>
                <w:color w:val="auto"/>
              </w:rPr>
            </w:pPr>
            <w:r>
              <w:rPr>
                <w:rFonts w:ascii="Arial" w:cs="Arial" w:eastAsia="Arial" w:hAnsi="Arial"/>
                <w:sz w:val="18"/>
                <w:szCs w:val="18"/>
                <w:color w:val="auto"/>
              </w:rPr>
              <w:t>BELGIUM</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Shirpur Gold Refinery Ltd.</w:t>
            </w:r>
          </w:p>
        </w:tc>
        <w:tc>
          <w:tcPr>
            <w:tcW w:w="2820" w:type="dxa"/>
            <w:vAlign w:val="bottom"/>
          </w:tcPr>
          <w:p>
            <w:pPr>
              <w:ind w:left="260"/>
              <w:spacing w:after="0"/>
              <w:rPr>
                <w:sz w:val="20"/>
                <w:szCs w:val="20"/>
                <w:color w:val="auto"/>
              </w:rPr>
            </w:pPr>
            <w:r>
              <w:rPr>
                <w:rFonts w:ascii="Arial" w:cs="Arial" w:eastAsia="Arial" w:hAnsi="Arial"/>
                <w:sz w:val="18"/>
                <w:szCs w:val="18"/>
                <w:color w:val="auto"/>
              </w:rPr>
              <w:t>INDIA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Korea Zinc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KOREA, REPUBLIC OF</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Marsam Metals</w:t>
            </w:r>
          </w:p>
        </w:tc>
        <w:tc>
          <w:tcPr>
            <w:tcW w:w="2820" w:type="dxa"/>
            <w:vAlign w:val="bottom"/>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TOO Tau-Ken-Altyn*</w:t>
            </w:r>
          </w:p>
        </w:tc>
        <w:tc>
          <w:tcPr>
            <w:tcW w:w="2820" w:type="dxa"/>
            <w:vAlign w:val="bottom"/>
          </w:tcPr>
          <w:p>
            <w:pPr>
              <w:ind w:left="260"/>
              <w:spacing w:after="0"/>
              <w:rPr>
                <w:sz w:val="20"/>
                <w:szCs w:val="20"/>
                <w:color w:val="auto"/>
              </w:rPr>
            </w:pPr>
            <w:r>
              <w:rPr>
                <w:rFonts w:ascii="Arial" w:cs="Arial" w:eastAsia="Arial" w:hAnsi="Arial"/>
                <w:sz w:val="18"/>
                <w:szCs w:val="18"/>
                <w:color w:val="auto"/>
              </w:rPr>
              <w:t>KAZAKHSTAN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Abington Reldan Metals, LLC*</w:t>
            </w:r>
          </w:p>
        </w:tc>
        <w:tc>
          <w:tcPr>
            <w:tcW w:w="2820" w:type="dxa"/>
            <w:vAlign w:val="bottom"/>
          </w:tcPr>
          <w:p>
            <w:pPr>
              <w:ind w:left="260"/>
              <w:spacing w:after="0"/>
              <w:rPr>
                <w:sz w:val="20"/>
                <w:szCs w:val="20"/>
                <w:color w:val="auto"/>
              </w:rPr>
            </w:pPr>
            <w:r>
              <w:rPr>
                <w:rFonts w:ascii="Arial" w:cs="Arial" w:eastAsia="Arial" w:hAnsi="Arial"/>
                <w:sz w:val="18"/>
                <w:szCs w:val="18"/>
                <w:color w:val="auto"/>
                <w:w w:val="98"/>
              </w:rPr>
              <w:t>UNITED STATES OF AMERICA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Shenzhen CuiLu Gold Co., Ltd.</w:t>
            </w:r>
          </w:p>
        </w:tc>
        <w:tc>
          <w:tcPr>
            <w:tcW w:w="2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Albino Mountinho Lda.</w:t>
            </w:r>
          </w:p>
        </w:tc>
        <w:tc>
          <w:tcPr>
            <w:tcW w:w="2820" w:type="dxa"/>
            <w:vAlign w:val="bottom"/>
          </w:tcPr>
          <w:p>
            <w:pPr>
              <w:ind w:left="260"/>
              <w:spacing w:after="0"/>
              <w:rPr>
                <w:sz w:val="20"/>
                <w:szCs w:val="20"/>
                <w:color w:val="auto"/>
              </w:rPr>
            </w:pPr>
            <w:r>
              <w:rPr>
                <w:rFonts w:ascii="Arial" w:cs="Arial" w:eastAsia="Arial" w:hAnsi="Arial"/>
                <w:sz w:val="18"/>
                <w:szCs w:val="18"/>
                <w:color w:val="auto"/>
              </w:rPr>
              <w:t>PORTUGAL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SAAMP*</w:t>
            </w:r>
          </w:p>
        </w:tc>
        <w:tc>
          <w:tcPr>
            <w:tcW w:w="2820" w:type="dxa"/>
            <w:vAlign w:val="bottom"/>
          </w:tcPr>
          <w:p>
            <w:pPr>
              <w:ind w:left="260"/>
              <w:spacing w:after="0"/>
              <w:rPr>
                <w:sz w:val="20"/>
                <w:szCs w:val="20"/>
                <w:color w:val="auto"/>
              </w:rPr>
            </w:pPr>
            <w:r>
              <w:rPr>
                <w:rFonts w:ascii="Arial" w:cs="Arial" w:eastAsia="Arial" w:hAnsi="Arial"/>
                <w:sz w:val="18"/>
                <w:szCs w:val="18"/>
                <w:color w:val="auto"/>
              </w:rPr>
              <w:t>FRANCE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L’Orfebre S.A.*</w:t>
            </w:r>
          </w:p>
        </w:tc>
        <w:tc>
          <w:tcPr>
            <w:tcW w:w="2820" w:type="dxa"/>
            <w:vAlign w:val="bottom"/>
          </w:tcPr>
          <w:p>
            <w:pPr>
              <w:ind w:left="260"/>
              <w:spacing w:after="0"/>
              <w:rPr>
                <w:sz w:val="20"/>
                <w:szCs w:val="20"/>
                <w:color w:val="auto"/>
              </w:rPr>
            </w:pPr>
            <w:r>
              <w:rPr>
                <w:rFonts w:ascii="Arial" w:cs="Arial" w:eastAsia="Arial" w:hAnsi="Arial"/>
                <w:sz w:val="18"/>
                <w:szCs w:val="18"/>
                <w:color w:val="auto"/>
              </w:rPr>
              <w:t>ANDORRA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8853 S.p.A.</w:t>
            </w:r>
          </w:p>
        </w:tc>
        <w:tc>
          <w:tcPr>
            <w:tcW w:w="2820" w:type="dxa"/>
            <w:vAlign w:val="bottom"/>
          </w:tcPr>
          <w:p>
            <w:pPr>
              <w:ind w:left="260"/>
              <w:spacing w:after="0"/>
              <w:rPr>
                <w:sz w:val="20"/>
                <w:szCs w:val="20"/>
                <w:color w:val="auto"/>
              </w:rPr>
            </w:pPr>
            <w:r>
              <w:rPr>
                <w:rFonts w:ascii="Arial" w:cs="Arial" w:eastAsia="Arial" w:hAnsi="Arial"/>
                <w:sz w:val="18"/>
                <w:szCs w:val="18"/>
                <w:color w:val="auto"/>
              </w:rPr>
              <w:t>ITALY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Italpreziosi*</w:t>
            </w:r>
          </w:p>
        </w:tc>
        <w:tc>
          <w:tcPr>
            <w:tcW w:w="2820" w:type="dxa"/>
            <w:vAlign w:val="bottom"/>
          </w:tcPr>
          <w:p>
            <w:pPr>
              <w:ind w:left="260"/>
              <w:spacing w:after="0"/>
              <w:rPr>
                <w:sz w:val="20"/>
                <w:szCs w:val="20"/>
                <w:color w:val="auto"/>
              </w:rPr>
            </w:pPr>
            <w:r>
              <w:rPr>
                <w:rFonts w:ascii="Arial" w:cs="Arial" w:eastAsia="Arial" w:hAnsi="Arial"/>
                <w:sz w:val="18"/>
                <w:szCs w:val="18"/>
                <w:color w:val="auto"/>
              </w:rPr>
              <w:t>ITALY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WIELAND Edelmetalle GmbH*</w:t>
            </w:r>
          </w:p>
        </w:tc>
        <w:tc>
          <w:tcPr>
            <w:tcW w:w="282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w w:val="95"/>
              </w:rPr>
              <w:t>Ogussa Osterreichische Gold- und Silber-Scheideanstalt GmbH*</w:t>
            </w:r>
          </w:p>
        </w:tc>
        <w:tc>
          <w:tcPr>
            <w:tcW w:w="2820" w:type="dxa"/>
            <w:vAlign w:val="bottom"/>
          </w:tcPr>
          <w:p>
            <w:pPr>
              <w:ind w:left="260"/>
              <w:spacing w:after="0"/>
              <w:rPr>
                <w:sz w:val="20"/>
                <w:szCs w:val="20"/>
                <w:color w:val="auto"/>
              </w:rPr>
            </w:pPr>
            <w:r>
              <w:rPr>
                <w:rFonts w:ascii="Arial" w:cs="Arial" w:eastAsia="Arial" w:hAnsi="Arial"/>
                <w:sz w:val="18"/>
                <w:szCs w:val="18"/>
                <w:color w:val="auto"/>
              </w:rPr>
              <w:t>AUSTRIA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AU Traders and Refiners</w:t>
            </w:r>
          </w:p>
        </w:tc>
        <w:tc>
          <w:tcPr>
            <w:tcW w:w="2820" w:type="dxa"/>
            <w:vAlign w:val="bottom"/>
          </w:tcPr>
          <w:p>
            <w:pPr>
              <w:ind w:left="260"/>
              <w:spacing w:after="0"/>
              <w:rPr>
                <w:sz w:val="20"/>
                <w:szCs w:val="20"/>
                <w:color w:val="auto"/>
              </w:rPr>
            </w:pPr>
            <w:r>
              <w:rPr>
                <w:rFonts w:ascii="Arial" w:cs="Arial" w:eastAsia="Arial" w:hAnsi="Arial"/>
                <w:sz w:val="18"/>
                <w:szCs w:val="18"/>
                <w:color w:val="auto"/>
              </w:rPr>
              <w:t>SOUTH AFRICA</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260"/>
              <w:spacing w:after="0"/>
              <w:rPr>
                <w:sz w:val="20"/>
                <w:szCs w:val="20"/>
                <w:color w:val="auto"/>
              </w:rPr>
            </w:pPr>
            <w:r>
              <w:rPr>
                <w:rFonts w:ascii="Arial" w:cs="Arial" w:eastAsia="Arial" w:hAnsi="Arial"/>
                <w:sz w:val="18"/>
                <w:szCs w:val="18"/>
                <w:color w:val="auto"/>
              </w:rPr>
              <w:t>GGC Gujrat Gold Centre Pvt. Ltd.**</w:t>
            </w:r>
          </w:p>
        </w:tc>
        <w:tc>
          <w:tcPr>
            <w:tcW w:w="2820" w:type="dxa"/>
            <w:vAlign w:val="bottom"/>
          </w:tcPr>
          <w:p>
            <w:pPr>
              <w:ind w:left="260"/>
              <w:spacing w:after="0"/>
              <w:rPr>
                <w:sz w:val="20"/>
                <w:szCs w:val="20"/>
                <w:color w:val="auto"/>
              </w:rPr>
            </w:pPr>
            <w:r>
              <w:rPr>
                <w:rFonts w:ascii="Arial" w:cs="Arial" w:eastAsia="Arial" w:hAnsi="Arial"/>
                <w:sz w:val="18"/>
                <w:szCs w:val="18"/>
                <w:color w:val="auto"/>
              </w:rPr>
              <w:t>INDIA</w:t>
            </w:r>
          </w:p>
        </w:tc>
      </w:tr>
      <w:tr>
        <w:trPr>
          <w:trHeight w:val="365"/>
        </w:trPr>
        <w:tc>
          <w:tcPr>
            <w:tcW w:w="620" w:type="dxa"/>
            <w:vAlign w:val="bottom"/>
          </w:tcPr>
          <w:p>
            <w:pPr>
              <w:spacing w:after="0"/>
              <w:rPr>
                <w:sz w:val="24"/>
                <w:szCs w:val="24"/>
                <w:color w:val="auto"/>
              </w:rPr>
            </w:pPr>
          </w:p>
        </w:tc>
        <w:tc>
          <w:tcPr>
            <w:tcW w:w="5180" w:type="dxa"/>
            <w:vAlign w:val="bottom"/>
          </w:tcPr>
          <w:p>
            <w:pPr>
              <w:ind w:left="4840"/>
              <w:spacing w:after="0"/>
              <w:rPr>
                <w:sz w:val="20"/>
                <w:szCs w:val="20"/>
                <w:color w:val="auto"/>
              </w:rPr>
            </w:pPr>
            <w:r>
              <w:rPr>
                <w:rFonts w:ascii="Arial" w:cs="Arial" w:eastAsia="Arial" w:hAnsi="Arial"/>
                <w:sz w:val="18"/>
                <w:szCs w:val="18"/>
                <w:color w:val="auto"/>
              </w:rPr>
              <w:t>7</w:t>
            </w:r>
          </w:p>
        </w:tc>
        <w:tc>
          <w:tcPr>
            <w:tcW w:w="2820" w:type="dxa"/>
            <w:vAlign w:val="bottom"/>
          </w:tcPr>
          <w:p>
            <w:pPr>
              <w:spacing w:after="0"/>
              <w:rPr>
                <w:sz w:val="24"/>
                <w:szCs w:val="24"/>
                <w:color w:val="auto"/>
              </w:rPr>
            </w:pPr>
          </w:p>
        </w:tc>
      </w:tr>
    </w:tbl>
    <w:p>
      <w:pPr>
        <w:sectPr>
          <w:pgSz w:w="11900" w:h="16838" w:orient="portrait"/>
          <w:cols w:equalWidth="0" w:num="1">
            <w:col w:w="10019"/>
          </w:cols>
          <w:pgMar w:left="440" w:top="490"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Sai Refinery</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Modeltech Sdn Bhd</w:t>
            </w:r>
          </w:p>
        </w:tc>
        <w:tc>
          <w:tcPr>
            <w:tcW w:w="2580" w:type="dxa"/>
            <w:vAlign w:val="bottom"/>
          </w:tcPr>
          <w:p>
            <w:pPr>
              <w:ind w:left="100"/>
              <w:spacing w:after="0"/>
              <w:rPr>
                <w:sz w:val="20"/>
                <w:szCs w:val="20"/>
                <w:color w:val="auto"/>
              </w:rPr>
            </w:pPr>
            <w:r>
              <w:rPr>
                <w:rFonts w:ascii="Arial" w:cs="Arial" w:eastAsia="Arial" w:hAnsi="Arial"/>
                <w:sz w:val="18"/>
                <w:szCs w:val="18"/>
                <w:color w:val="auto"/>
              </w:rPr>
              <w:t>MALAYSIA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Bangalore Refinery*</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Kyshtym Copper-Electrolytic Plant ZAO</w:t>
            </w:r>
          </w:p>
        </w:tc>
        <w:tc>
          <w:tcPr>
            <w:tcW w:w="2580" w:type="dxa"/>
            <w:vAlign w:val="bottom"/>
          </w:tcPr>
          <w:p>
            <w:pPr>
              <w:ind w:left="10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Degussa Sonne / Mond Goldhandel GmbH</w:t>
            </w:r>
          </w:p>
        </w:tc>
        <w:tc>
          <w:tcPr>
            <w:tcW w:w="258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Pease &amp; Curren</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JALAN &amp; Company</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SungEel HiMetal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KOREA, REPUBLIC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Planta Recuperadora de Metales SpA*</w:t>
            </w:r>
          </w:p>
        </w:tc>
        <w:tc>
          <w:tcPr>
            <w:tcW w:w="2580" w:type="dxa"/>
            <w:vAlign w:val="bottom"/>
          </w:tcPr>
          <w:p>
            <w:pPr>
              <w:ind w:left="100"/>
              <w:spacing w:after="0"/>
              <w:rPr>
                <w:sz w:val="20"/>
                <w:szCs w:val="20"/>
                <w:color w:val="auto"/>
              </w:rPr>
            </w:pPr>
            <w:r>
              <w:rPr>
                <w:rFonts w:ascii="Arial" w:cs="Arial" w:eastAsia="Arial" w:hAnsi="Arial"/>
                <w:sz w:val="18"/>
                <w:szCs w:val="18"/>
                <w:color w:val="auto"/>
              </w:rPr>
              <w:t>CHILE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ABC Refinery Pty Ltd.</w:t>
            </w:r>
          </w:p>
        </w:tc>
        <w:tc>
          <w:tcPr>
            <w:tcW w:w="2580" w:type="dxa"/>
            <w:vAlign w:val="bottom"/>
          </w:tcPr>
          <w:p>
            <w:pPr>
              <w:ind w:left="100"/>
              <w:spacing w:after="0"/>
              <w:rPr>
                <w:sz w:val="20"/>
                <w:szCs w:val="20"/>
                <w:color w:val="auto"/>
              </w:rPr>
            </w:pPr>
            <w:r>
              <w:rPr>
                <w:rFonts w:ascii="Arial" w:cs="Arial" w:eastAsia="Arial" w:hAnsi="Arial"/>
                <w:sz w:val="18"/>
                <w:szCs w:val="18"/>
                <w:color w:val="auto"/>
              </w:rPr>
              <w:t>AUSTRALIA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Safimet S.p.A</w:t>
            </w:r>
          </w:p>
        </w:tc>
        <w:tc>
          <w:tcPr>
            <w:tcW w:w="2580" w:type="dxa"/>
            <w:vAlign w:val="bottom"/>
          </w:tcPr>
          <w:p>
            <w:pPr>
              <w:ind w:left="100"/>
              <w:spacing w:after="0"/>
              <w:rPr>
                <w:sz w:val="20"/>
                <w:szCs w:val="20"/>
                <w:color w:val="auto"/>
              </w:rPr>
            </w:pPr>
            <w:r>
              <w:rPr>
                <w:rFonts w:ascii="Arial" w:cs="Arial" w:eastAsia="Arial" w:hAnsi="Arial"/>
                <w:sz w:val="18"/>
                <w:szCs w:val="18"/>
                <w:color w:val="auto"/>
              </w:rPr>
              <w:t>ITALY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w w:val="90"/>
              </w:rPr>
              <w:t>State Research Institute Center for Physical Sciences and Technology</w:t>
            </w:r>
          </w:p>
        </w:tc>
        <w:tc>
          <w:tcPr>
            <w:tcW w:w="2580" w:type="dxa"/>
            <w:vAlign w:val="bottom"/>
          </w:tcPr>
          <w:p>
            <w:pPr>
              <w:ind w:left="100"/>
              <w:spacing w:after="0"/>
              <w:rPr>
                <w:sz w:val="20"/>
                <w:szCs w:val="20"/>
                <w:color w:val="auto"/>
              </w:rPr>
            </w:pPr>
            <w:r>
              <w:rPr>
                <w:rFonts w:ascii="Arial" w:cs="Arial" w:eastAsia="Arial" w:hAnsi="Arial"/>
                <w:sz w:val="18"/>
                <w:szCs w:val="18"/>
                <w:color w:val="auto"/>
              </w:rPr>
              <w:t>LITHUANIA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African Gold Refinery</w:t>
            </w:r>
          </w:p>
        </w:tc>
        <w:tc>
          <w:tcPr>
            <w:tcW w:w="2580" w:type="dxa"/>
            <w:vAlign w:val="bottom"/>
          </w:tcPr>
          <w:p>
            <w:pPr>
              <w:ind w:left="100"/>
              <w:spacing w:after="0"/>
              <w:rPr>
                <w:sz w:val="20"/>
                <w:szCs w:val="20"/>
                <w:color w:val="auto"/>
              </w:rPr>
            </w:pPr>
            <w:r>
              <w:rPr>
                <w:rFonts w:ascii="Arial" w:cs="Arial" w:eastAsia="Arial" w:hAnsi="Arial"/>
                <w:sz w:val="18"/>
                <w:szCs w:val="18"/>
                <w:color w:val="auto"/>
              </w:rPr>
              <w:t>UGANDA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Gold Coast Refinery</w:t>
            </w:r>
          </w:p>
        </w:tc>
        <w:tc>
          <w:tcPr>
            <w:tcW w:w="2580" w:type="dxa"/>
            <w:vAlign w:val="bottom"/>
          </w:tcPr>
          <w:p>
            <w:pPr>
              <w:ind w:left="100"/>
              <w:spacing w:after="0"/>
              <w:rPr>
                <w:sz w:val="20"/>
                <w:szCs w:val="20"/>
                <w:color w:val="auto"/>
              </w:rPr>
            </w:pPr>
            <w:r>
              <w:rPr>
                <w:rFonts w:ascii="Arial" w:cs="Arial" w:eastAsia="Arial" w:hAnsi="Arial"/>
                <w:sz w:val="18"/>
                <w:szCs w:val="18"/>
                <w:color w:val="auto"/>
              </w:rPr>
              <w:t>GHANA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NH Recytech Company*</w:t>
            </w:r>
          </w:p>
        </w:tc>
        <w:tc>
          <w:tcPr>
            <w:tcW w:w="2580" w:type="dxa"/>
            <w:vAlign w:val="bottom"/>
          </w:tcPr>
          <w:p>
            <w:pPr>
              <w:ind w:left="100"/>
              <w:spacing w:after="0"/>
              <w:rPr>
                <w:sz w:val="20"/>
                <w:szCs w:val="20"/>
                <w:color w:val="auto"/>
              </w:rPr>
            </w:pPr>
            <w:r>
              <w:rPr>
                <w:rFonts w:ascii="Arial" w:cs="Arial" w:eastAsia="Arial" w:hAnsi="Arial"/>
                <w:sz w:val="18"/>
                <w:szCs w:val="18"/>
                <w:color w:val="auto"/>
              </w:rPr>
              <w:t>KOREA, REPUBLIC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QG Refining, LLC</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Dijllah Gold Refinery FZC</w:t>
            </w:r>
          </w:p>
        </w:tc>
        <w:tc>
          <w:tcPr>
            <w:tcW w:w="2580" w:type="dxa"/>
            <w:vAlign w:val="bottom"/>
          </w:tcPr>
          <w:p>
            <w:pPr>
              <w:ind w:left="100"/>
              <w:spacing w:after="0"/>
              <w:rPr>
                <w:sz w:val="20"/>
                <w:szCs w:val="20"/>
                <w:color w:val="auto"/>
              </w:rPr>
            </w:pPr>
            <w:r>
              <w:rPr>
                <w:rFonts w:ascii="Arial" w:cs="Arial" w:eastAsia="Arial" w:hAnsi="Arial"/>
                <w:sz w:val="18"/>
                <w:szCs w:val="18"/>
                <w:color w:val="auto"/>
              </w:rPr>
              <w:t>UNITED ARAB EMIRATES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CGR Metalloys Pvt Ltd.</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Sovereign Metals</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C.I Metales Procesados Industriales SAS**</w:t>
            </w:r>
          </w:p>
        </w:tc>
        <w:tc>
          <w:tcPr>
            <w:tcW w:w="2580" w:type="dxa"/>
            <w:vAlign w:val="bottom"/>
          </w:tcPr>
          <w:p>
            <w:pPr>
              <w:ind w:left="100"/>
              <w:spacing w:after="0"/>
              <w:rPr>
                <w:sz w:val="20"/>
                <w:szCs w:val="20"/>
                <w:color w:val="auto"/>
              </w:rPr>
            </w:pPr>
            <w:r>
              <w:rPr>
                <w:rFonts w:ascii="Arial" w:cs="Arial" w:eastAsia="Arial" w:hAnsi="Arial"/>
                <w:sz w:val="18"/>
                <w:szCs w:val="18"/>
                <w:color w:val="auto"/>
              </w:rPr>
              <w:t>COLOMBIA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Eco-System Recycling Co., Ltd. North Plant*</w:t>
            </w:r>
          </w:p>
        </w:tc>
        <w:tc>
          <w:tcPr>
            <w:tcW w:w="258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Augmont Enterprises Private Limited**</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Kundan Care Products Ltd.</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1)</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2)</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3)</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4)</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K.A. Rasmussen</w:t>
            </w:r>
          </w:p>
        </w:tc>
        <w:tc>
          <w:tcPr>
            <w:tcW w:w="2580" w:type="dxa"/>
            <w:vAlign w:val="bottom"/>
          </w:tcPr>
          <w:p>
            <w:pPr>
              <w:ind w:left="100"/>
              <w:spacing w:after="0"/>
              <w:rPr>
                <w:sz w:val="20"/>
                <w:szCs w:val="20"/>
                <w:color w:val="auto"/>
              </w:rPr>
            </w:pPr>
            <w:r>
              <w:rPr>
                <w:rFonts w:ascii="Arial" w:cs="Arial" w:eastAsia="Arial" w:hAnsi="Arial"/>
                <w:sz w:val="18"/>
                <w:szCs w:val="18"/>
                <w:color w:val="auto"/>
              </w:rPr>
              <w:t>NORWAY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Alexy Metals**</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Sancus ZFS (L’Orfebre, SA)**</w:t>
            </w:r>
          </w:p>
        </w:tc>
        <w:tc>
          <w:tcPr>
            <w:tcW w:w="2580" w:type="dxa"/>
            <w:vAlign w:val="bottom"/>
          </w:tcPr>
          <w:p>
            <w:pPr>
              <w:ind w:left="100"/>
              <w:spacing w:after="0"/>
              <w:rPr>
                <w:sz w:val="20"/>
                <w:szCs w:val="20"/>
                <w:color w:val="auto"/>
              </w:rPr>
            </w:pPr>
            <w:r>
              <w:rPr>
                <w:rFonts w:ascii="Arial" w:cs="Arial" w:eastAsia="Arial" w:hAnsi="Arial"/>
                <w:sz w:val="18"/>
                <w:szCs w:val="18"/>
                <w:color w:val="auto"/>
              </w:rPr>
              <w:t>COLOMBIA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Sellem Industries Ltd.</w:t>
            </w:r>
          </w:p>
        </w:tc>
        <w:tc>
          <w:tcPr>
            <w:tcW w:w="2580" w:type="dxa"/>
            <w:vAlign w:val="bottom"/>
          </w:tcPr>
          <w:p>
            <w:pPr>
              <w:ind w:left="100"/>
              <w:spacing w:after="0"/>
              <w:rPr>
                <w:sz w:val="20"/>
                <w:szCs w:val="20"/>
                <w:color w:val="auto"/>
              </w:rPr>
            </w:pPr>
            <w:r>
              <w:rPr>
                <w:rFonts w:ascii="Arial" w:cs="Arial" w:eastAsia="Arial" w:hAnsi="Arial"/>
                <w:sz w:val="18"/>
                <w:szCs w:val="18"/>
                <w:color w:val="auto"/>
              </w:rPr>
              <w:t>MAURITANIA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MD Overseas</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Metallix Refining Inc.</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Metal Concentrators SA (Pty) Ltd.*</w:t>
            </w:r>
          </w:p>
        </w:tc>
        <w:tc>
          <w:tcPr>
            <w:tcW w:w="2580" w:type="dxa"/>
            <w:vAlign w:val="bottom"/>
          </w:tcPr>
          <w:p>
            <w:pPr>
              <w:ind w:left="100"/>
              <w:spacing w:after="0"/>
              <w:rPr>
                <w:sz w:val="20"/>
                <w:szCs w:val="20"/>
                <w:color w:val="auto"/>
              </w:rPr>
            </w:pPr>
            <w:r>
              <w:rPr>
                <w:rFonts w:ascii="Arial" w:cs="Arial" w:eastAsia="Arial" w:hAnsi="Arial"/>
                <w:sz w:val="18"/>
                <w:szCs w:val="18"/>
                <w:color w:val="auto"/>
              </w:rPr>
              <w:t>SOUTH AFRICA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WEEEREFINING**</w:t>
            </w:r>
          </w:p>
        </w:tc>
        <w:tc>
          <w:tcPr>
            <w:tcW w:w="258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180" w:type="dxa"/>
            <w:vAlign w:val="bottom"/>
          </w:tcPr>
          <w:p>
            <w:pPr>
              <w:ind w:left="100"/>
              <w:spacing w:after="0"/>
              <w:rPr>
                <w:sz w:val="20"/>
                <w:szCs w:val="20"/>
                <w:color w:val="auto"/>
              </w:rPr>
            </w:pPr>
            <w:r>
              <w:rPr>
                <w:rFonts w:ascii="Arial" w:cs="Arial" w:eastAsia="Arial" w:hAnsi="Arial"/>
                <w:sz w:val="18"/>
                <w:szCs w:val="18"/>
                <w:color w:val="auto"/>
              </w:rPr>
              <w:t>Dongwu Gold Group</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Changsha South Tantalum Niobium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F&amp;X Electro-Materials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XIMEI RESOURCES (GUANGDONG) LIMITED*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JiuJiang JinXin Nonferrous Metals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Jiujiang Tanbre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AMG Brasil*</w:t>
            </w:r>
          </w:p>
        </w:tc>
        <w:tc>
          <w:tcPr>
            <w:tcW w:w="2580" w:type="dxa"/>
            <w:vAlign w:val="bottom"/>
          </w:tcPr>
          <w:p>
            <w:pPr>
              <w:ind w:left="10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Metallurgical Products India Pvt., Ltd.*</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Mineracao Taboca S.A.*</w:t>
            </w:r>
          </w:p>
        </w:tc>
        <w:tc>
          <w:tcPr>
            <w:tcW w:w="2580" w:type="dxa"/>
            <w:vAlign w:val="bottom"/>
          </w:tcPr>
          <w:p>
            <w:pPr>
              <w:ind w:left="10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Mitsui Mining and Smelting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180" w:type="dxa"/>
            <w:vAlign w:val="bottom"/>
          </w:tcPr>
          <w:p>
            <w:pPr>
              <w:ind w:left="100"/>
              <w:spacing w:after="0"/>
              <w:rPr>
                <w:sz w:val="20"/>
                <w:szCs w:val="20"/>
                <w:color w:val="auto"/>
              </w:rPr>
            </w:pPr>
            <w:r>
              <w:rPr>
                <w:rFonts w:ascii="Arial" w:cs="Arial" w:eastAsia="Arial" w:hAnsi="Arial"/>
                <w:sz w:val="18"/>
                <w:szCs w:val="18"/>
                <w:color w:val="auto"/>
              </w:rPr>
              <w:t>NPM Silmet AS*</w:t>
            </w:r>
          </w:p>
        </w:tc>
        <w:tc>
          <w:tcPr>
            <w:tcW w:w="2580" w:type="dxa"/>
            <w:vAlign w:val="bottom"/>
          </w:tcPr>
          <w:p>
            <w:pPr>
              <w:ind w:left="100"/>
              <w:spacing w:after="0"/>
              <w:rPr>
                <w:sz w:val="20"/>
                <w:szCs w:val="20"/>
                <w:color w:val="auto"/>
              </w:rPr>
            </w:pPr>
            <w:r>
              <w:rPr>
                <w:rFonts w:ascii="Arial" w:cs="Arial" w:eastAsia="Arial" w:hAnsi="Arial"/>
                <w:sz w:val="18"/>
                <w:szCs w:val="18"/>
                <w:color w:val="auto"/>
              </w:rPr>
              <w:t>ESTONIA</w:t>
            </w:r>
          </w:p>
        </w:tc>
      </w:tr>
      <w:tr>
        <w:trPr>
          <w:trHeight w:val="365"/>
        </w:trPr>
        <w:tc>
          <w:tcPr>
            <w:tcW w:w="780" w:type="dxa"/>
            <w:vAlign w:val="bottom"/>
          </w:tcPr>
          <w:p>
            <w:pPr>
              <w:spacing w:after="0"/>
              <w:rPr>
                <w:sz w:val="24"/>
                <w:szCs w:val="24"/>
                <w:color w:val="auto"/>
              </w:rPr>
            </w:pPr>
          </w:p>
        </w:tc>
        <w:tc>
          <w:tcPr>
            <w:tcW w:w="5180" w:type="dxa"/>
            <w:vAlign w:val="bottom"/>
          </w:tcPr>
          <w:p>
            <w:pPr>
              <w:ind w:left="4680"/>
              <w:spacing w:after="0"/>
              <w:rPr>
                <w:sz w:val="20"/>
                <w:szCs w:val="20"/>
                <w:color w:val="auto"/>
              </w:rPr>
            </w:pPr>
            <w:r>
              <w:rPr>
                <w:rFonts w:ascii="Arial" w:cs="Arial" w:eastAsia="Arial" w:hAnsi="Arial"/>
                <w:sz w:val="18"/>
                <w:szCs w:val="18"/>
                <w:color w:val="auto"/>
              </w:rPr>
              <w:t>8</w:t>
            </w:r>
          </w:p>
        </w:tc>
        <w:tc>
          <w:tcPr>
            <w:tcW w:w="2580" w:type="dxa"/>
            <w:vAlign w:val="bottom"/>
          </w:tcPr>
          <w:p>
            <w:pPr>
              <w:spacing w:after="0"/>
              <w:rPr>
                <w:sz w:val="24"/>
                <w:szCs w:val="24"/>
                <w:color w:val="auto"/>
              </w:rPr>
            </w:pPr>
          </w:p>
        </w:tc>
      </w:tr>
    </w:tbl>
    <w:p>
      <w:pPr>
        <w:sectPr>
          <w:pgSz w:w="11900" w:h="16838" w:orient="portrait"/>
          <w:cols w:equalWidth="0" w:num="1">
            <w:col w:w="10019"/>
          </w:cols>
          <w:pgMar w:left="440" w:top="490" w:right="1440"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Ningxia Orient Tantalum Industry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QuantumClean*</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Yanling Jincheng Tantalum &amp; Niobium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Solikamsk Magnesium Works OAO</w:t>
            </w:r>
          </w:p>
        </w:tc>
        <w:tc>
          <w:tcPr>
            <w:tcW w:w="3940" w:type="dxa"/>
            <w:vAlign w:val="bottom"/>
          </w:tcPr>
          <w:p>
            <w:pPr>
              <w:ind w:left="78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Taki Chemical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Telex Metals*</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Ulba Metallurgical Plant JSC*</w:t>
            </w:r>
          </w:p>
        </w:tc>
        <w:tc>
          <w:tcPr>
            <w:tcW w:w="3940" w:type="dxa"/>
            <w:vAlign w:val="bottom"/>
          </w:tcPr>
          <w:p>
            <w:pPr>
              <w:ind w:left="780"/>
              <w:spacing w:after="0"/>
              <w:rPr>
                <w:sz w:val="20"/>
                <w:szCs w:val="20"/>
                <w:color w:val="auto"/>
              </w:rPr>
            </w:pPr>
            <w:r>
              <w:rPr>
                <w:rFonts w:ascii="Arial" w:cs="Arial" w:eastAsia="Arial" w:hAnsi="Arial"/>
                <w:sz w:val="18"/>
                <w:szCs w:val="18"/>
                <w:color w:val="auto"/>
              </w:rPr>
              <w:t>KAZAKHSTAN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Hengyang King Xing Lifeng New Materials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D Block Metals, LLC*</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FIR Metals &amp; Resource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Jiujiang Zhongao Tantalum &amp; Niobium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XinXing HaoRong Electronic Material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Jiangxi Dinghai Tantalum &amp; Niobium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KEMET de Mexico*</w:t>
            </w:r>
          </w:p>
        </w:tc>
        <w:tc>
          <w:tcPr>
            <w:tcW w:w="3940" w:type="dxa"/>
            <w:vAlign w:val="bottom"/>
          </w:tcPr>
          <w:p>
            <w:pPr>
              <w:ind w:left="780"/>
              <w:spacing w:after="0"/>
              <w:rPr>
                <w:sz w:val="20"/>
                <w:szCs w:val="20"/>
                <w:color w:val="auto"/>
              </w:rPr>
            </w:pPr>
            <w:r>
              <w:rPr>
                <w:rFonts w:ascii="Arial" w:cs="Arial" w:eastAsia="Arial" w:hAnsi="Arial"/>
                <w:sz w:val="18"/>
                <w:szCs w:val="18"/>
                <w:color w:val="auto"/>
              </w:rPr>
              <w:t>MEXICO</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TANIOBIS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THAILAND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TANIOBIS GmbH*</w:t>
            </w:r>
          </w:p>
        </w:tc>
        <w:tc>
          <w:tcPr>
            <w:tcW w:w="394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Materion Newton Inc.*</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TANIOBIS Japan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TANIOBIS Smelting GmbH &amp; Co. KG*</w:t>
            </w:r>
          </w:p>
        </w:tc>
        <w:tc>
          <w:tcPr>
            <w:tcW w:w="394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Global Advanced Metals Boyertown*</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Global Advanced Metals Aizu*</w:t>
            </w:r>
          </w:p>
        </w:tc>
        <w:tc>
          <w:tcPr>
            <w:tcW w:w="3940" w:type="dxa"/>
            <w:vAlign w:val="bottom"/>
          </w:tcPr>
          <w:p>
            <w:pPr>
              <w:ind w:left="78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Resind Industria e Comercio Ltda.*</w:t>
            </w:r>
          </w:p>
        </w:tc>
        <w:tc>
          <w:tcPr>
            <w:tcW w:w="3940" w:type="dxa"/>
            <w:vAlign w:val="bottom"/>
          </w:tcPr>
          <w:p>
            <w:pPr>
              <w:ind w:left="78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rPr>
              <w:t>Jiangxi Tuohong New Raw Material*</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500" w:type="dxa"/>
            <w:vAlign w:val="bottom"/>
          </w:tcPr>
          <w:p>
            <w:pPr>
              <w:ind w:left="100"/>
              <w:spacing w:after="0"/>
              <w:rPr>
                <w:sz w:val="20"/>
                <w:szCs w:val="20"/>
                <w:color w:val="auto"/>
              </w:rPr>
            </w:pPr>
            <w:r>
              <w:rPr>
                <w:rFonts w:ascii="Arial" w:cs="Arial" w:eastAsia="Arial" w:hAnsi="Arial"/>
                <w:sz w:val="18"/>
                <w:szCs w:val="18"/>
                <w:color w:val="auto"/>
                <w:w w:val="95"/>
              </w:rPr>
              <w:t>RFH Yancheng Jinye New Material Technology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Chenzhou Yunxiang Mining and Metallurgy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Alpha*</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PT Aries Kencana Sejahtera*</w:t>
            </w:r>
          </w:p>
        </w:tc>
        <w:tc>
          <w:tcPr>
            <w:tcW w:w="3940" w:type="dxa"/>
            <w:vAlign w:val="bottom"/>
          </w:tcPr>
          <w:p>
            <w:pPr>
              <w:ind w:left="78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PT Premium Tin Indonesia*</w:t>
            </w:r>
          </w:p>
        </w:tc>
        <w:tc>
          <w:tcPr>
            <w:tcW w:w="3940" w:type="dxa"/>
            <w:vAlign w:val="bottom"/>
          </w:tcPr>
          <w:p>
            <w:pPr>
              <w:ind w:left="78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Dowa*</w:t>
            </w:r>
          </w:p>
        </w:tc>
        <w:tc>
          <w:tcPr>
            <w:tcW w:w="3940" w:type="dxa"/>
            <w:vAlign w:val="bottom"/>
          </w:tcPr>
          <w:p>
            <w:pPr>
              <w:ind w:left="78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EM Vinto*</w:t>
            </w:r>
          </w:p>
        </w:tc>
        <w:tc>
          <w:tcPr>
            <w:tcW w:w="3940" w:type="dxa"/>
            <w:vAlign w:val="bottom"/>
          </w:tcPr>
          <w:p>
            <w:pPr>
              <w:ind w:left="780"/>
              <w:spacing w:after="0"/>
              <w:rPr>
                <w:sz w:val="20"/>
                <w:szCs w:val="20"/>
                <w:color w:val="auto"/>
              </w:rPr>
            </w:pPr>
            <w:r>
              <w:rPr>
                <w:rFonts w:ascii="Arial" w:cs="Arial" w:eastAsia="Arial" w:hAnsi="Arial"/>
                <w:sz w:val="18"/>
                <w:szCs w:val="18"/>
                <w:color w:val="auto"/>
                <w:w w:val="97"/>
              </w:rPr>
              <w:t>BOLIVIA (PLURINATIONAL STATE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Estanho de Rondonia S.A.*</w:t>
            </w:r>
          </w:p>
        </w:tc>
        <w:tc>
          <w:tcPr>
            <w:tcW w:w="3940" w:type="dxa"/>
            <w:vAlign w:val="bottom"/>
          </w:tcPr>
          <w:p>
            <w:pPr>
              <w:ind w:left="78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Fenix Metals*</w:t>
            </w:r>
          </w:p>
        </w:tc>
        <w:tc>
          <w:tcPr>
            <w:tcW w:w="3940" w:type="dxa"/>
            <w:vAlign w:val="bottom"/>
          </w:tcPr>
          <w:p>
            <w:pPr>
              <w:ind w:left="780"/>
              <w:spacing w:after="0"/>
              <w:rPr>
                <w:sz w:val="20"/>
                <w:szCs w:val="20"/>
                <w:color w:val="auto"/>
              </w:rPr>
            </w:pPr>
            <w:r>
              <w:rPr>
                <w:rFonts w:ascii="Arial" w:cs="Arial" w:eastAsia="Arial" w:hAnsi="Arial"/>
                <w:sz w:val="18"/>
                <w:szCs w:val="18"/>
                <w:color w:val="auto"/>
              </w:rPr>
              <w:t>POLAND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Gejiu Non-Ferrous Metal Processing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Gejiu Zili Mining And Metallurgy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Gejiu Kai Meng Industry and Trade LLC</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China Tin Group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Malaysia Smelting Corporation (MSC)*</w:t>
            </w:r>
          </w:p>
        </w:tc>
        <w:tc>
          <w:tcPr>
            <w:tcW w:w="3940" w:type="dxa"/>
            <w:vAlign w:val="bottom"/>
          </w:tcPr>
          <w:p>
            <w:pPr>
              <w:ind w:left="780"/>
              <w:spacing w:after="0"/>
              <w:rPr>
                <w:sz w:val="20"/>
                <w:szCs w:val="20"/>
                <w:color w:val="auto"/>
              </w:rPr>
            </w:pPr>
            <w:r>
              <w:rPr>
                <w:rFonts w:ascii="Arial" w:cs="Arial" w:eastAsia="Arial" w:hAnsi="Arial"/>
                <w:sz w:val="18"/>
                <w:szCs w:val="18"/>
                <w:color w:val="auto"/>
              </w:rPr>
              <w:t>MALAYSIA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Metallic Resources, Inc.*</w:t>
            </w:r>
          </w:p>
        </w:tc>
        <w:tc>
          <w:tcPr>
            <w:tcW w:w="3940" w:type="dxa"/>
            <w:vAlign w:val="bottom"/>
          </w:tcPr>
          <w:p>
            <w:pPr>
              <w:ind w:left="78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Mineracao Taboca S.A.*</w:t>
            </w:r>
          </w:p>
        </w:tc>
        <w:tc>
          <w:tcPr>
            <w:tcW w:w="3940" w:type="dxa"/>
            <w:vAlign w:val="bottom"/>
          </w:tcPr>
          <w:p>
            <w:pPr>
              <w:ind w:left="78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Minsur*</w:t>
            </w:r>
          </w:p>
        </w:tc>
        <w:tc>
          <w:tcPr>
            <w:tcW w:w="3940" w:type="dxa"/>
            <w:vAlign w:val="bottom"/>
          </w:tcPr>
          <w:p>
            <w:pPr>
              <w:ind w:left="780"/>
              <w:spacing w:after="0"/>
              <w:rPr>
                <w:sz w:val="20"/>
                <w:szCs w:val="20"/>
                <w:color w:val="auto"/>
              </w:rPr>
            </w:pPr>
            <w:r>
              <w:rPr>
                <w:rFonts w:ascii="Arial" w:cs="Arial" w:eastAsia="Arial" w:hAnsi="Arial"/>
                <w:sz w:val="18"/>
                <w:szCs w:val="18"/>
                <w:color w:val="auto"/>
              </w:rPr>
              <w:t>PERU</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Mitsubishi Materials Corporation*</w:t>
            </w:r>
          </w:p>
        </w:tc>
        <w:tc>
          <w:tcPr>
            <w:tcW w:w="3940" w:type="dxa"/>
            <w:vAlign w:val="bottom"/>
          </w:tcPr>
          <w:p>
            <w:pPr>
              <w:ind w:left="78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Jiangxi New Nanshan Technology Ltd.*</w:t>
            </w:r>
          </w:p>
        </w:tc>
        <w:tc>
          <w:tcPr>
            <w:tcW w:w="394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Novosibirsk Tin Combine</w:t>
            </w:r>
          </w:p>
        </w:tc>
        <w:tc>
          <w:tcPr>
            <w:tcW w:w="3940" w:type="dxa"/>
            <w:vAlign w:val="bottom"/>
          </w:tcPr>
          <w:p>
            <w:pPr>
              <w:ind w:left="78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O.M. Manufacturing (Thailand) Co., Ltd.*</w:t>
            </w:r>
          </w:p>
        </w:tc>
        <w:tc>
          <w:tcPr>
            <w:tcW w:w="3940" w:type="dxa"/>
            <w:vAlign w:val="bottom"/>
          </w:tcPr>
          <w:p>
            <w:pPr>
              <w:ind w:left="780"/>
              <w:spacing w:after="0"/>
              <w:rPr>
                <w:sz w:val="20"/>
                <w:szCs w:val="20"/>
                <w:color w:val="auto"/>
              </w:rPr>
            </w:pPr>
            <w:r>
              <w:rPr>
                <w:rFonts w:ascii="Arial" w:cs="Arial" w:eastAsia="Arial" w:hAnsi="Arial"/>
                <w:sz w:val="18"/>
                <w:szCs w:val="18"/>
                <w:color w:val="auto"/>
              </w:rPr>
              <w:t>THAILAND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Operaciones Metalurgicas S.A.*</w:t>
            </w:r>
          </w:p>
        </w:tc>
        <w:tc>
          <w:tcPr>
            <w:tcW w:w="3940" w:type="dxa"/>
            <w:vAlign w:val="bottom"/>
          </w:tcPr>
          <w:p>
            <w:pPr>
              <w:ind w:left="780"/>
              <w:spacing w:after="0"/>
              <w:rPr>
                <w:sz w:val="20"/>
                <w:szCs w:val="20"/>
                <w:color w:val="auto"/>
              </w:rPr>
            </w:pPr>
            <w:r>
              <w:rPr>
                <w:rFonts w:ascii="Arial" w:cs="Arial" w:eastAsia="Arial" w:hAnsi="Arial"/>
                <w:sz w:val="18"/>
                <w:szCs w:val="18"/>
                <w:color w:val="auto"/>
                <w:w w:val="97"/>
              </w:rPr>
              <w:t>BOLIVIA (PLURINATIONAL STATE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PT Artha Cipta Langgeng*</w:t>
            </w:r>
          </w:p>
        </w:tc>
        <w:tc>
          <w:tcPr>
            <w:tcW w:w="3940" w:type="dxa"/>
            <w:vAlign w:val="bottom"/>
          </w:tcPr>
          <w:p>
            <w:pPr>
              <w:ind w:left="780"/>
              <w:spacing w:after="0"/>
              <w:rPr>
                <w:sz w:val="20"/>
                <w:szCs w:val="20"/>
                <w:color w:val="auto"/>
              </w:rPr>
            </w:pPr>
            <w:r>
              <w:rPr>
                <w:rFonts w:ascii="Arial" w:cs="Arial" w:eastAsia="Arial" w:hAnsi="Arial"/>
                <w:sz w:val="18"/>
                <w:szCs w:val="18"/>
                <w:color w:val="auto"/>
              </w:rPr>
              <w:t>INDONESIA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500" w:type="dxa"/>
            <w:vAlign w:val="bottom"/>
          </w:tcPr>
          <w:p>
            <w:pPr>
              <w:ind w:left="100"/>
              <w:spacing w:after="0"/>
              <w:rPr>
                <w:sz w:val="20"/>
                <w:szCs w:val="20"/>
                <w:color w:val="auto"/>
              </w:rPr>
            </w:pPr>
            <w:r>
              <w:rPr>
                <w:rFonts w:ascii="Arial" w:cs="Arial" w:eastAsia="Arial" w:hAnsi="Arial"/>
                <w:sz w:val="18"/>
                <w:szCs w:val="18"/>
                <w:color w:val="auto"/>
              </w:rPr>
              <w:t>PT Babel Inti Perkasa*</w:t>
            </w:r>
          </w:p>
        </w:tc>
        <w:tc>
          <w:tcPr>
            <w:tcW w:w="3940" w:type="dxa"/>
            <w:vAlign w:val="bottom"/>
          </w:tcPr>
          <w:p>
            <w:pPr>
              <w:ind w:left="780"/>
              <w:spacing w:after="0"/>
              <w:rPr>
                <w:sz w:val="20"/>
                <w:szCs w:val="20"/>
                <w:color w:val="auto"/>
              </w:rPr>
            </w:pPr>
            <w:r>
              <w:rPr>
                <w:rFonts w:ascii="Arial" w:cs="Arial" w:eastAsia="Arial" w:hAnsi="Arial"/>
                <w:sz w:val="18"/>
                <w:szCs w:val="18"/>
                <w:color w:val="auto"/>
              </w:rPr>
              <w:t>INDONESIA</w:t>
            </w:r>
          </w:p>
        </w:tc>
      </w:tr>
      <w:tr>
        <w:trPr>
          <w:trHeight w:val="365"/>
        </w:trPr>
        <w:tc>
          <w:tcPr>
            <w:tcW w:w="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019"/>
          </w:cols>
          <w:pgMar w:left="440" w:top="490" w:right="1440"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Babel Surya Alam Lestari*</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Bangka Tin Industry</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Belitung Industri Sejahtera**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Bukit Timah*</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Mitra Stania Prima*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Panca Mega Persada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Prima Timah Utama*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Refined Bangka Tin*</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Sariwiguna Binasentosa*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Stanindo Inti Perkasa*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Timah Tbk Kundur*</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Timah Tbk Mentok*</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Timah Nusantara**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Tinindo Inter Nusa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Tommy Utama*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Rui Da Hung*</w:t>
            </w:r>
          </w:p>
        </w:tc>
        <w:tc>
          <w:tcPr>
            <w:tcW w:w="2680" w:type="dxa"/>
            <w:vAlign w:val="bottom"/>
          </w:tcPr>
          <w:p>
            <w:pPr>
              <w:ind w:left="120"/>
              <w:spacing w:after="0"/>
              <w:rPr>
                <w:sz w:val="20"/>
                <w:szCs w:val="20"/>
                <w:color w:val="auto"/>
              </w:rPr>
            </w:pPr>
            <w:r>
              <w:rPr>
                <w:rFonts w:ascii="Arial" w:cs="Arial" w:eastAsia="Arial" w:hAnsi="Arial"/>
                <w:sz w:val="18"/>
                <w:szCs w:val="18"/>
                <w:color w:val="auto"/>
                <w:w w:val="95"/>
              </w:rPr>
              <w:t>TAIWAN, PROVINCE OF CHINA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Thaisarco*</w:t>
            </w:r>
          </w:p>
        </w:tc>
        <w:tc>
          <w:tcPr>
            <w:tcW w:w="2680" w:type="dxa"/>
            <w:vAlign w:val="bottom"/>
          </w:tcPr>
          <w:p>
            <w:pPr>
              <w:ind w:left="120"/>
              <w:spacing w:after="0"/>
              <w:rPr>
                <w:sz w:val="20"/>
                <w:szCs w:val="20"/>
                <w:color w:val="auto"/>
              </w:rPr>
            </w:pPr>
            <w:r>
              <w:rPr>
                <w:rFonts w:ascii="Arial" w:cs="Arial" w:eastAsia="Arial" w:hAnsi="Arial"/>
                <w:sz w:val="18"/>
                <w:szCs w:val="18"/>
                <w:color w:val="auto"/>
              </w:rPr>
              <w:t>THAILAND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Gejiu Yunxin Nonferrous Electrolysis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VQB Mineral and Trading Group JSC</w:t>
            </w:r>
          </w:p>
        </w:tc>
        <w:tc>
          <w:tcPr>
            <w:tcW w:w="2680" w:type="dxa"/>
            <w:vAlign w:val="bottom"/>
          </w:tcPr>
          <w:p>
            <w:pPr>
              <w:ind w:left="120"/>
              <w:spacing w:after="0"/>
              <w:rPr>
                <w:sz w:val="20"/>
                <w:szCs w:val="20"/>
                <w:color w:val="auto"/>
              </w:rPr>
            </w:pPr>
            <w:r>
              <w:rPr>
                <w:rFonts w:ascii="Arial" w:cs="Arial" w:eastAsia="Arial" w:hAnsi="Arial"/>
                <w:sz w:val="18"/>
                <w:szCs w:val="18"/>
                <w:color w:val="auto"/>
              </w:rPr>
              <w:t>VIETNAM</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White Solder Metalurgia e Mineracao Ltda.*</w:t>
            </w:r>
          </w:p>
        </w:tc>
        <w:tc>
          <w:tcPr>
            <w:tcW w:w="2680" w:type="dxa"/>
            <w:vAlign w:val="bottom"/>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Yunnan Chengfeng Non-ferrous Metals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Tin Smelting Branch of Yunnan Tin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CV Venus Inti Perkasa*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Magnu’s Minerais Metais e Ligas Ltda.*</w:t>
            </w:r>
          </w:p>
        </w:tc>
        <w:tc>
          <w:tcPr>
            <w:tcW w:w="2680" w:type="dxa"/>
            <w:vAlign w:val="bottom"/>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Tirus Putra Mandiri</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Melt Metais e Ligas S.A.</w:t>
            </w:r>
          </w:p>
        </w:tc>
        <w:tc>
          <w:tcPr>
            <w:tcW w:w="2680" w:type="dxa"/>
            <w:vAlign w:val="bottom"/>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ATD Makmur Mandiri Jaya*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O.M. Manufacturing Philippines, Inc.*</w:t>
            </w:r>
          </w:p>
        </w:tc>
        <w:tc>
          <w:tcPr>
            <w:tcW w:w="2680" w:type="dxa"/>
            <w:vAlign w:val="bottom"/>
          </w:tcPr>
          <w:p>
            <w:pPr>
              <w:ind w:left="120"/>
              <w:spacing w:after="0"/>
              <w:rPr>
                <w:sz w:val="20"/>
                <w:szCs w:val="20"/>
                <w:color w:val="auto"/>
              </w:rPr>
            </w:pPr>
            <w:r>
              <w:rPr>
                <w:rFonts w:ascii="Arial" w:cs="Arial" w:eastAsia="Arial" w:hAnsi="Arial"/>
                <w:sz w:val="18"/>
                <w:szCs w:val="18"/>
                <w:color w:val="auto"/>
              </w:rPr>
              <w:t>PHILIPPINES</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CV Ayi Jaya*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w w:val="95"/>
              </w:rPr>
              <w:t>Electro-Mechanical Facility of the Cao Bang Minerals &amp; Metallurgy</w:t>
            </w:r>
          </w:p>
        </w:tc>
        <w:tc>
          <w:tcPr>
            <w:tcW w:w="26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rPr>
              <w:t>Joint Stock Company</w:t>
            </w:r>
          </w:p>
        </w:tc>
        <w:tc>
          <w:tcPr>
            <w:tcW w:w="2680" w:type="dxa"/>
            <w:vAlign w:val="bottom"/>
          </w:tcPr>
          <w:p>
            <w:pPr>
              <w:ind w:left="120"/>
              <w:spacing w:after="0"/>
              <w:rPr>
                <w:sz w:val="20"/>
                <w:szCs w:val="20"/>
                <w:color w:val="auto"/>
              </w:rPr>
            </w:pPr>
            <w:r>
              <w:rPr>
                <w:rFonts w:ascii="Arial" w:cs="Arial" w:eastAsia="Arial" w:hAnsi="Arial"/>
                <w:sz w:val="18"/>
                <w:szCs w:val="18"/>
                <w:color w:val="auto"/>
              </w:rPr>
              <w:t>VIETNAM</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Nghe Tinh Non-Ferrous Metals Joint Stock Company</w:t>
            </w:r>
          </w:p>
        </w:tc>
        <w:tc>
          <w:tcPr>
            <w:tcW w:w="2680" w:type="dxa"/>
            <w:vAlign w:val="bottom"/>
          </w:tcPr>
          <w:p>
            <w:pPr>
              <w:ind w:left="120"/>
              <w:spacing w:after="0"/>
              <w:rPr>
                <w:sz w:val="20"/>
                <w:szCs w:val="20"/>
                <w:color w:val="auto"/>
              </w:rPr>
            </w:pPr>
            <w:r>
              <w:rPr>
                <w:rFonts w:ascii="Arial" w:cs="Arial" w:eastAsia="Arial" w:hAnsi="Arial"/>
                <w:sz w:val="18"/>
                <w:szCs w:val="18"/>
                <w:color w:val="auto"/>
              </w:rPr>
              <w:t>VIETNAM</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Tuyen Quang Non-Ferrous Metals Joint Stock Company</w:t>
            </w:r>
          </w:p>
        </w:tc>
        <w:tc>
          <w:tcPr>
            <w:tcW w:w="2680" w:type="dxa"/>
            <w:vAlign w:val="bottom"/>
          </w:tcPr>
          <w:p>
            <w:pPr>
              <w:ind w:left="120"/>
              <w:spacing w:after="0"/>
              <w:rPr>
                <w:sz w:val="20"/>
                <w:szCs w:val="20"/>
                <w:color w:val="auto"/>
              </w:rPr>
            </w:pPr>
            <w:r>
              <w:rPr>
                <w:rFonts w:ascii="Arial" w:cs="Arial" w:eastAsia="Arial" w:hAnsi="Arial"/>
                <w:sz w:val="18"/>
                <w:szCs w:val="18"/>
                <w:color w:val="auto"/>
              </w:rPr>
              <w:t>VIETNAM</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Rajehan Ariq*</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Cipta Persada Mulia*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An Vinh Joint Stock Mineral Processing Company</w:t>
            </w:r>
          </w:p>
        </w:tc>
        <w:tc>
          <w:tcPr>
            <w:tcW w:w="2680" w:type="dxa"/>
            <w:vAlign w:val="bottom"/>
          </w:tcPr>
          <w:p>
            <w:pPr>
              <w:ind w:left="120"/>
              <w:spacing w:after="0"/>
              <w:rPr>
                <w:sz w:val="20"/>
                <w:szCs w:val="20"/>
                <w:color w:val="auto"/>
              </w:rPr>
            </w:pPr>
            <w:r>
              <w:rPr>
                <w:rFonts w:ascii="Arial" w:cs="Arial" w:eastAsia="Arial" w:hAnsi="Arial"/>
                <w:sz w:val="18"/>
                <w:szCs w:val="18"/>
                <w:color w:val="auto"/>
              </w:rPr>
              <w:t>VIETNAM</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Resind Industria e Comercio Ltda.*</w:t>
            </w:r>
          </w:p>
        </w:tc>
        <w:tc>
          <w:tcPr>
            <w:tcW w:w="2680" w:type="dxa"/>
            <w:vAlign w:val="bottom"/>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Super Ligas**</w:t>
            </w:r>
          </w:p>
        </w:tc>
        <w:tc>
          <w:tcPr>
            <w:tcW w:w="2680" w:type="dxa"/>
            <w:vAlign w:val="bottom"/>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Aurubis Berango*</w:t>
            </w:r>
          </w:p>
        </w:tc>
        <w:tc>
          <w:tcPr>
            <w:tcW w:w="2680" w:type="dxa"/>
            <w:vAlign w:val="bottom"/>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Bangka Prima Tin*</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Sukses Inti Makmur*</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Menara Cipta Mulia*</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Modeltech Sdn Bhd</w:t>
            </w:r>
          </w:p>
        </w:tc>
        <w:tc>
          <w:tcPr>
            <w:tcW w:w="2680" w:type="dxa"/>
            <w:vAlign w:val="bottom"/>
          </w:tcPr>
          <w:p>
            <w:pPr>
              <w:ind w:left="120"/>
              <w:spacing w:after="0"/>
              <w:rPr>
                <w:sz w:val="20"/>
                <w:szCs w:val="20"/>
                <w:color w:val="auto"/>
              </w:rPr>
            </w:pPr>
            <w:r>
              <w:rPr>
                <w:rFonts w:ascii="Arial" w:cs="Arial" w:eastAsia="Arial" w:hAnsi="Arial"/>
                <w:sz w:val="18"/>
                <w:szCs w:val="18"/>
                <w:color w:val="auto"/>
              </w:rPr>
              <w:t>MALAYSIA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Guangdong Hanhe Non-Ferrous Metal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Chifeng Dajingzi Tin Industry Co., Ltd.*</w:t>
            </w:r>
          </w:p>
        </w:tc>
        <w:tc>
          <w:tcPr>
            <w:tcW w:w="268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PT Bangka Serumpun*</w:t>
            </w:r>
          </w:p>
        </w:tc>
        <w:tc>
          <w:tcPr>
            <w:tcW w:w="2680" w:type="dxa"/>
            <w:vAlign w:val="bottom"/>
          </w:tcPr>
          <w:p>
            <w:pPr>
              <w:ind w:left="120"/>
              <w:spacing w:after="0"/>
              <w:rPr>
                <w:sz w:val="20"/>
                <w:szCs w:val="20"/>
                <w:color w:val="auto"/>
              </w:rPr>
            </w:pPr>
            <w:r>
              <w:rPr>
                <w:rFonts w:ascii="Arial" w:cs="Arial" w:eastAsia="Arial" w:hAnsi="Arial"/>
                <w:sz w:val="18"/>
                <w:szCs w:val="18"/>
                <w:color w:val="auto"/>
              </w:rPr>
              <w:t>INDONESIA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Tin</w:t>
            </w:r>
          </w:p>
        </w:tc>
        <w:tc>
          <w:tcPr>
            <w:tcW w:w="5380" w:type="dxa"/>
            <w:vAlign w:val="bottom"/>
          </w:tcPr>
          <w:p>
            <w:pPr>
              <w:ind w:left="320"/>
              <w:spacing w:after="0"/>
              <w:rPr>
                <w:sz w:val="20"/>
                <w:szCs w:val="20"/>
                <w:color w:val="auto"/>
              </w:rPr>
            </w:pPr>
            <w:r>
              <w:rPr>
                <w:rFonts w:ascii="Arial" w:cs="Arial" w:eastAsia="Arial" w:hAnsi="Arial"/>
                <w:sz w:val="18"/>
                <w:szCs w:val="18"/>
                <w:color w:val="auto"/>
              </w:rPr>
              <w:t>Pongpipat Company Limited</w:t>
            </w:r>
          </w:p>
        </w:tc>
        <w:tc>
          <w:tcPr>
            <w:tcW w:w="2680" w:type="dxa"/>
            <w:vAlign w:val="bottom"/>
          </w:tcPr>
          <w:p>
            <w:pPr>
              <w:ind w:left="120"/>
              <w:spacing w:after="0"/>
              <w:rPr>
                <w:sz w:val="20"/>
                <w:szCs w:val="20"/>
                <w:color w:val="auto"/>
              </w:rPr>
            </w:pPr>
            <w:r>
              <w:rPr>
                <w:rFonts w:ascii="Arial" w:cs="Arial" w:eastAsia="Arial" w:hAnsi="Arial"/>
                <w:sz w:val="18"/>
                <w:szCs w:val="18"/>
                <w:color w:val="auto"/>
              </w:rPr>
              <w:t>MYANMAR</w:t>
            </w:r>
          </w:p>
        </w:tc>
      </w:tr>
      <w:tr>
        <w:trPr>
          <w:trHeight w:val="365"/>
        </w:trPr>
        <w:tc>
          <w:tcPr>
            <w:tcW w:w="560" w:type="dxa"/>
            <w:vAlign w:val="bottom"/>
          </w:tcPr>
          <w:p>
            <w:pPr>
              <w:spacing w:after="0"/>
              <w:rPr>
                <w:sz w:val="24"/>
                <w:szCs w:val="24"/>
                <w:color w:val="auto"/>
              </w:rPr>
            </w:pPr>
          </w:p>
        </w:tc>
        <w:tc>
          <w:tcPr>
            <w:tcW w:w="5380" w:type="dxa"/>
            <w:vAlign w:val="bottom"/>
          </w:tcPr>
          <w:p>
            <w:pPr>
              <w:ind w:left="4860"/>
              <w:spacing w:after="0"/>
              <w:rPr>
                <w:sz w:val="20"/>
                <w:szCs w:val="20"/>
                <w:color w:val="auto"/>
              </w:rPr>
            </w:pPr>
            <w:r>
              <w:rPr>
                <w:rFonts w:ascii="Arial" w:cs="Arial" w:eastAsia="Arial" w:hAnsi="Arial"/>
                <w:sz w:val="18"/>
                <w:szCs w:val="18"/>
                <w:color w:val="auto"/>
              </w:rPr>
              <w:t>10</w:t>
            </w:r>
          </w:p>
        </w:tc>
        <w:tc>
          <w:tcPr>
            <w:tcW w:w="2680" w:type="dxa"/>
            <w:vAlign w:val="bottom"/>
          </w:tcPr>
          <w:p>
            <w:pPr>
              <w:spacing w:after="0"/>
              <w:rPr>
                <w:sz w:val="24"/>
                <w:szCs w:val="24"/>
                <w:color w:val="auto"/>
              </w:rPr>
            </w:pPr>
          </w:p>
        </w:tc>
      </w:tr>
    </w:tbl>
    <w:p>
      <w:pPr>
        <w:sectPr>
          <w:pgSz w:w="11900" w:h="16838" w:orient="portrait"/>
          <w:cols w:equalWidth="0" w:num="1">
            <w:col w:w="10019"/>
          </w:cols>
          <w:pgMar w:left="440" w:top="490" w:right="144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Tin Technology &amp; Refining*</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Dongguan CiEXPO Environmental Engineering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PT Rajawali Rimba Perkasa*</w:t>
            </w:r>
          </w:p>
        </w:tc>
        <w:tc>
          <w:tcPr>
            <w:tcW w:w="2580" w:type="dxa"/>
            <w:vAlign w:val="bottom"/>
          </w:tcPr>
          <w:p>
            <w:pPr>
              <w:ind w:left="1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Luna Smelter, Ltd.*</w:t>
            </w:r>
          </w:p>
        </w:tc>
        <w:tc>
          <w:tcPr>
            <w:tcW w:w="2580" w:type="dxa"/>
            <w:vAlign w:val="bottom"/>
          </w:tcPr>
          <w:p>
            <w:pPr>
              <w:ind w:left="100"/>
              <w:spacing w:after="0"/>
              <w:rPr>
                <w:sz w:val="20"/>
                <w:szCs w:val="20"/>
                <w:color w:val="auto"/>
              </w:rPr>
            </w:pPr>
            <w:r>
              <w:rPr>
                <w:rFonts w:ascii="Arial" w:cs="Arial" w:eastAsia="Arial" w:hAnsi="Arial"/>
                <w:sz w:val="18"/>
                <w:szCs w:val="18"/>
                <w:color w:val="auto"/>
              </w:rPr>
              <w:t>RWANDA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Yunnan Yunfan Non-ferrous Metals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Precious Minerals and Smelting Limited</w:t>
            </w:r>
          </w:p>
        </w:tc>
        <w:tc>
          <w:tcPr>
            <w:tcW w:w="25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Gejiu City Fuxiang Industry and Trade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PT Mitra Sukses Globalindo*</w:t>
            </w:r>
          </w:p>
        </w:tc>
        <w:tc>
          <w:tcPr>
            <w:tcW w:w="2580" w:type="dxa"/>
            <w:vAlign w:val="bottom"/>
          </w:tcPr>
          <w:p>
            <w:pPr>
              <w:ind w:left="1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w w:val="92"/>
              </w:rPr>
              <w:t>CRM Fundicao De Metais E Comercio De Equipamentos Eletronicos</w:t>
            </w:r>
          </w:p>
        </w:tc>
        <w:tc>
          <w:tcPr>
            <w:tcW w:w="25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Do Brasil Ltda*</w:t>
            </w:r>
          </w:p>
        </w:tc>
        <w:tc>
          <w:tcPr>
            <w:tcW w:w="2580" w:type="dxa"/>
            <w:vAlign w:val="bottom"/>
          </w:tcPr>
          <w:p>
            <w:pPr>
              <w:ind w:left="10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CRM Synergies*</w:t>
            </w:r>
          </w:p>
        </w:tc>
        <w:tc>
          <w:tcPr>
            <w:tcW w:w="2580" w:type="dxa"/>
            <w:vAlign w:val="bottom"/>
          </w:tcPr>
          <w:p>
            <w:pPr>
              <w:ind w:left="100"/>
              <w:spacing w:after="0"/>
              <w:rPr>
                <w:sz w:val="20"/>
                <w:szCs w:val="20"/>
                <w:color w:val="auto"/>
              </w:rPr>
            </w:pPr>
            <w:r>
              <w:rPr>
                <w:rFonts w:ascii="Arial" w:cs="Arial" w:eastAsia="Arial" w:hAnsi="Arial"/>
                <w:sz w:val="18"/>
                <w:szCs w:val="18"/>
                <w:color w:val="auto"/>
              </w:rPr>
              <w:t>SPAIN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Fabrica Auricchio Industria e Comercio Ltda.*</w:t>
            </w:r>
          </w:p>
        </w:tc>
        <w:tc>
          <w:tcPr>
            <w:tcW w:w="2580" w:type="dxa"/>
            <w:vAlign w:val="bottom"/>
          </w:tcPr>
          <w:p>
            <w:pPr>
              <w:ind w:left="10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120"/>
              <w:spacing w:after="0"/>
              <w:rPr>
                <w:sz w:val="20"/>
                <w:szCs w:val="20"/>
                <w:color w:val="auto"/>
              </w:rPr>
            </w:pPr>
            <w:r>
              <w:rPr>
                <w:rFonts w:ascii="Arial" w:cs="Arial" w:eastAsia="Arial" w:hAnsi="Arial"/>
                <w:sz w:val="18"/>
                <w:szCs w:val="18"/>
                <w:color w:val="auto"/>
              </w:rPr>
              <w:t>PT Putera Sarana Shakti (PT PSS)*</w:t>
            </w:r>
          </w:p>
        </w:tc>
        <w:tc>
          <w:tcPr>
            <w:tcW w:w="2580" w:type="dxa"/>
            <w:vAlign w:val="bottom"/>
          </w:tcPr>
          <w:p>
            <w:pPr>
              <w:ind w:left="100"/>
              <w:spacing w:after="0"/>
              <w:rPr>
                <w:sz w:val="20"/>
                <w:szCs w:val="20"/>
                <w:color w:val="auto"/>
              </w:rPr>
            </w:pPr>
            <w:r>
              <w:rPr>
                <w:rFonts w:ascii="Arial" w:cs="Arial" w:eastAsia="Arial" w:hAnsi="Arial"/>
                <w:sz w:val="18"/>
                <w:szCs w:val="18"/>
                <w:color w:val="auto"/>
              </w:rPr>
              <w:t>INDONESIA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A.L.M.T. Corp.*</w:t>
            </w:r>
          </w:p>
        </w:tc>
        <w:tc>
          <w:tcPr>
            <w:tcW w:w="258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Kennametal Huntsville*</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Guangdong Xianglu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Chongyi Zhangyuan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CNMC (Guangxi) PGMA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Global Tungsten &amp; Powders LLC*</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Hunan Chenzhou Mining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Hunan Jintai New Material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Japan New Metals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Kennametal Fallon*</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Wolfram Bergbau und Hutten AG*</w:t>
            </w:r>
          </w:p>
        </w:tc>
        <w:tc>
          <w:tcPr>
            <w:tcW w:w="2580" w:type="dxa"/>
            <w:vAlign w:val="bottom"/>
          </w:tcPr>
          <w:p>
            <w:pPr>
              <w:ind w:left="100"/>
              <w:spacing w:after="0"/>
              <w:rPr>
                <w:sz w:val="20"/>
                <w:szCs w:val="20"/>
                <w:color w:val="auto"/>
              </w:rPr>
            </w:pPr>
            <w:r>
              <w:rPr>
                <w:rFonts w:ascii="Arial" w:cs="Arial" w:eastAsia="Arial" w:hAnsi="Arial"/>
                <w:sz w:val="18"/>
                <w:szCs w:val="18"/>
                <w:color w:val="auto"/>
              </w:rPr>
              <w:t>AUSTRIA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Xiamen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Jiangxi Minmetals Gao’an Non-ferrous Metals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Ganzhou Jiangwu Ferrotungsten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Jiangxi Yaosheng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Jiangxi Tonggu Non-ferrous Metallurgical &amp; Chemical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Malipo Haiyu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Xiamen Tungsten (H.C.)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Jiangxi Gan Bei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Ganzhou Seadragon W &amp; Mo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Asia Tungsten Products Vietnam Ltd.*</w:t>
            </w:r>
          </w:p>
        </w:tc>
        <w:tc>
          <w:tcPr>
            <w:tcW w:w="2580" w:type="dxa"/>
            <w:vAlign w:val="bottom"/>
          </w:tcPr>
          <w:p>
            <w:pPr>
              <w:ind w:left="100"/>
              <w:spacing w:after="0"/>
              <w:rPr>
                <w:sz w:val="20"/>
                <w:szCs w:val="20"/>
                <w:color w:val="auto"/>
              </w:rPr>
            </w:pPr>
            <w:r>
              <w:rPr>
                <w:rFonts w:ascii="Arial" w:cs="Arial" w:eastAsia="Arial" w:hAnsi="Arial"/>
                <w:sz w:val="18"/>
                <w:szCs w:val="18"/>
                <w:color w:val="auto"/>
              </w:rPr>
              <w:t>VIETNAM</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w w:val="92"/>
              </w:rPr>
              <w:t>Hunan Shizhuyuan Nonferrous Metals Co., Ltd. Chenzhou Tungsten</w:t>
            </w:r>
          </w:p>
        </w:tc>
        <w:tc>
          <w:tcPr>
            <w:tcW w:w="25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Products Branch*</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H.C. Starck Tungsten GmbH*</w:t>
            </w:r>
          </w:p>
        </w:tc>
        <w:tc>
          <w:tcPr>
            <w:tcW w:w="258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TANIOBIS Smelting GmbH &amp; Co. KG*</w:t>
            </w:r>
          </w:p>
        </w:tc>
        <w:tc>
          <w:tcPr>
            <w:tcW w:w="258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Masan High-Tech Materials*</w:t>
            </w:r>
          </w:p>
        </w:tc>
        <w:tc>
          <w:tcPr>
            <w:tcW w:w="2580" w:type="dxa"/>
            <w:vAlign w:val="bottom"/>
          </w:tcPr>
          <w:p>
            <w:pPr>
              <w:ind w:left="100"/>
              <w:spacing w:after="0"/>
              <w:rPr>
                <w:sz w:val="20"/>
                <w:szCs w:val="20"/>
                <w:color w:val="auto"/>
              </w:rPr>
            </w:pPr>
            <w:r>
              <w:rPr>
                <w:rFonts w:ascii="Arial" w:cs="Arial" w:eastAsia="Arial" w:hAnsi="Arial"/>
                <w:sz w:val="18"/>
                <w:szCs w:val="18"/>
                <w:color w:val="auto"/>
              </w:rPr>
              <w:t>VIETNAM</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Niagara Refining LLC*</w:t>
            </w:r>
          </w:p>
        </w:tc>
        <w:tc>
          <w:tcPr>
            <w:tcW w:w="2580" w:type="dxa"/>
            <w:vAlign w:val="bottom"/>
          </w:tcPr>
          <w:p>
            <w:pPr>
              <w:ind w:left="100"/>
              <w:spacing w:after="0"/>
              <w:rPr>
                <w:sz w:val="20"/>
                <w:szCs w:val="20"/>
                <w:color w:val="auto"/>
              </w:rPr>
            </w:pPr>
            <w:r>
              <w:rPr>
                <w:rFonts w:ascii="Arial" w:cs="Arial" w:eastAsia="Arial" w:hAnsi="Arial"/>
                <w:sz w:val="18"/>
                <w:szCs w:val="18"/>
                <w:color w:val="auto"/>
                <w:w w:val="94"/>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China Molybdenum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Ganzhou Haichuang Tungsten Co., Ltd.*</w:t>
            </w:r>
          </w:p>
        </w:tc>
        <w:tc>
          <w:tcPr>
            <w:tcW w:w="25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Hydrometallurg, JSC</w:t>
            </w:r>
          </w:p>
        </w:tc>
        <w:tc>
          <w:tcPr>
            <w:tcW w:w="2580" w:type="dxa"/>
            <w:vAlign w:val="bottom"/>
          </w:tcPr>
          <w:p>
            <w:pPr>
              <w:ind w:left="100"/>
              <w:spacing w:after="0"/>
              <w:rPr>
                <w:sz w:val="20"/>
                <w:szCs w:val="20"/>
                <w:color w:val="auto"/>
              </w:rPr>
            </w:pPr>
            <w:r>
              <w:rPr>
                <w:rFonts w:ascii="Arial" w:cs="Arial" w:eastAsia="Arial" w:hAnsi="Arial"/>
                <w:sz w:val="18"/>
                <w:szCs w:val="18"/>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Unecha Refractory metals plant</w:t>
            </w:r>
          </w:p>
        </w:tc>
        <w:tc>
          <w:tcPr>
            <w:tcW w:w="2580" w:type="dxa"/>
            <w:vAlign w:val="bottom"/>
          </w:tcPr>
          <w:p>
            <w:pPr>
              <w:ind w:left="100"/>
              <w:spacing w:after="0"/>
              <w:rPr>
                <w:sz w:val="20"/>
                <w:szCs w:val="20"/>
                <w:color w:val="auto"/>
              </w:rPr>
            </w:pPr>
            <w:r>
              <w:rPr>
                <w:rFonts w:ascii="Arial" w:cs="Arial" w:eastAsia="Arial" w:hAnsi="Arial"/>
                <w:sz w:val="18"/>
                <w:szCs w:val="18"/>
                <w:color w:val="auto"/>
              </w:rPr>
              <w:t>RUSSIAN FEDERATION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5200" w:type="dxa"/>
            <w:vAlign w:val="bottom"/>
          </w:tcPr>
          <w:p>
            <w:pPr>
              <w:ind w:left="120"/>
              <w:spacing w:after="0"/>
              <w:rPr>
                <w:sz w:val="20"/>
                <w:szCs w:val="20"/>
                <w:color w:val="auto"/>
              </w:rPr>
            </w:pPr>
            <w:r>
              <w:rPr>
                <w:rFonts w:ascii="Arial" w:cs="Arial" w:eastAsia="Arial" w:hAnsi="Arial"/>
                <w:sz w:val="18"/>
                <w:szCs w:val="18"/>
                <w:color w:val="auto"/>
              </w:rPr>
              <w:t>Philippine Chuangxin Industrial Co., Inc.*</w:t>
            </w:r>
          </w:p>
        </w:tc>
        <w:tc>
          <w:tcPr>
            <w:tcW w:w="2580" w:type="dxa"/>
            <w:vAlign w:val="bottom"/>
          </w:tcPr>
          <w:p>
            <w:pPr>
              <w:ind w:left="100"/>
              <w:spacing w:after="0"/>
              <w:rPr>
                <w:sz w:val="20"/>
                <w:szCs w:val="20"/>
                <w:color w:val="auto"/>
              </w:rPr>
            </w:pPr>
            <w:r>
              <w:rPr>
                <w:rFonts w:ascii="Arial" w:cs="Arial" w:eastAsia="Arial" w:hAnsi="Arial"/>
                <w:sz w:val="18"/>
                <w:szCs w:val="18"/>
                <w:color w:val="auto"/>
              </w:rPr>
              <w:t>PHILIPPINES</w:t>
            </w:r>
          </w:p>
        </w:tc>
      </w:tr>
      <w:tr>
        <w:trPr>
          <w:trHeight w:val="365"/>
        </w:trPr>
        <w:tc>
          <w:tcPr>
            <w:tcW w:w="760" w:type="dxa"/>
            <w:vAlign w:val="bottom"/>
          </w:tcPr>
          <w:p>
            <w:pPr>
              <w:spacing w:after="0"/>
              <w:rPr>
                <w:sz w:val="24"/>
                <w:szCs w:val="24"/>
                <w:color w:val="auto"/>
              </w:rPr>
            </w:pPr>
          </w:p>
        </w:tc>
        <w:tc>
          <w:tcPr>
            <w:tcW w:w="5200" w:type="dxa"/>
            <w:vAlign w:val="bottom"/>
          </w:tcPr>
          <w:p>
            <w:pPr>
              <w:ind w:left="4660"/>
              <w:spacing w:after="0"/>
              <w:rPr>
                <w:sz w:val="20"/>
                <w:szCs w:val="20"/>
                <w:color w:val="auto"/>
              </w:rPr>
            </w:pPr>
            <w:r>
              <w:rPr>
                <w:rFonts w:ascii="Arial" w:cs="Arial" w:eastAsia="Arial" w:hAnsi="Arial"/>
                <w:sz w:val="18"/>
                <w:szCs w:val="18"/>
                <w:color w:val="auto"/>
              </w:rPr>
              <w:t>11</w:t>
            </w:r>
          </w:p>
        </w:tc>
        <w:tc>
          <w:tcPr>
            <w:tcW w:w="2580" w:type="dxa"/>
            <w:vAlign w:val="bottom"/>
          </w:tcPr>
          <w:p>
            <w:pPr>
              <w:spacing w:after="0"/>
              <w:rPr>
                <w:sz w:val="24"/>
                <w:szCs w:val="24"/>
                <w:color w:val="auto"/>
              </w:rPr>
            </w:pPr>
          </w:p>
        </w:tc>
      </w:tr>
    </w:tbl>
    <w:p>
      <w:pPr>
        <w:sectPr>
          <w:pgSz w:w="11900" w:h="16838" w:orient="portrait"/>
          <w:cols w:equalWidth="0" w:num="1">
            <w:col w:w="10019"/>
          </w:cols>
          <w:pgMar w:left="440" w:top="490" w:right="1440"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ACL Metais Eireli</w:t>
            </w:r>
          </w:p>
        </w:tc>
        <w:tc>
          <w:tcPr>
            <w:tcW w:w="3000" w:type="dxa"/>
            <w:vAlign w:val="bottom"/>
          </w:tcPr>
          <w:p>
            <w:pPr>
              <w:ind w:left="44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Moliren Ltd.</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Fujian Ganmin RareMetal Co., Ltd.*</w:t>
            </w:r>
          </w:p>
        </w:tc>
        <w:tc>
          <w:tcPr>
            <w:tcW w:w="30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Lianyou Metals Co., Ltd.*</w:t>
            </w:r>
          </w:p>
        </w:tc>
        <w:tc>
          <w:tcPr>
            <w:tcW w:w="3000" w:type="dxa"/>
            <w:vAlign w:val="bottom"/>
          </w:tcPr>
          <w:p>
            <w:pPr>
              <w:ind w:left="440"/>
              <w:spacing w:after="0"/>
              <w:rPr>
                <w:sz w:val="20"/>
                <w:szCs w:val="20"/>
                <w:color w:val="auto"/>
              </w:rPr>
            </w:pPr>
            <w:r>
              <w:rPr>
                <w:rFonts w:ascii="Arial" w:cs="Arial" w:eastAsia="Arial" w:hAnsi="Arial"/>
                <w:sz w:val="18"/>
                <w:szCs w:val="18"/>
                <w:color w:val="auto"/>
                <w:w w:val="95"/>
              </w:rPr>
              <w:t>TAIWAN, PROVINCE OF 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JSC “Kirovgrad Hard Alloys Plant”</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NPP Tyazhmetprom LLC</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Hubei Green Tungsten Co., Ltd.*</w:t>
            </w:r>
          </w:p>
        </w:tc>
        <w:tc>
          <w:tcPr>
            <w:tcW w:w="30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w w:val="99"/>
              </w:rPr>
              <w:t>Albasteel Industria e Comercio de Ligas Para Fundicao Ltd.</w:t>
            </w:r>
          </w:p>
        </w:tc>
        <w:tc>
          <w:tcPr>
            <w:tcW w:w="3000" w:type="dxa"/>
            <w:vAlign w:val="bottom"/>
          </w:tcPr>
          <w:p>
            <w:pPr>
              <w:ind w:left="44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Cronimet Brasil Ltda*</w:t>
            </w:r>
          </w:p>
        </w:tc>
        <w:tc>
          <w:tcPr>
            <w:tcW w:w="3000" w:type="dxa"/>
            <w:vAlign w:val="bottom"/>
          </w:tcPr>
          <w:p>
            <w:pPr>
              <w:ind w:left="440"/>
              <w:spacing w:after="0"/>
              <w:rPr>
                <w:sz w:val="20"/>
                <w:szCs w:val="20"/>
                <w:color w:val="auto"/>
              </w:rPr>
            </w:pPr>
            <w:r>
              <w:rPr>
                <w:rFonts w:ascii="Arial" w:cs="Arial" w:eastAsia="Arial" w:hAnsi="Arial"/>
                <w:sz w:val="18"/>
                <w:szCs w:val="18"/>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Artek LLC</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Fujian Xinlu Tungsten Co., Ltd.*</w:t>
            </w:r>
          </w:p>
        </w:tc>
        <w:tc>
          <w:tcPr>
            <w:tcW w:w="30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OOO “Technolom” 2</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OOO “Technolom” 1</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860" w:type="dxa"/>
            <w:vAlign w:val="bottom"/>
          </w:tcPr>
          <w:p>
            <w:pPr>
              <w:ind w:left="120"/>
              <w:spacing w:after="0"/>
              <w:rPr>
                <w:sz w:val="20"/>
                <w:szCs w:val="20"/>
                <w:color w:val="auto"/>
              </w:rPr>
            </w:pPr>
            <w:r>
              <w:rPr>
                <w:rFonts w:ascii="Arial" w:cs="Arial" w:eastAsia="Arial" w:hAnsi="Arial"/>
                <w:sz w:val="18"/>
                <w:szCs w:val="18"/>
                <w:color w:val="auto"/>
              </w:rPr>
              <w:t>LLC Vostok</w:t>
            </w:r>
          </w:p>
        </w:tc>
        <w:tc>
          <w:tcPr>
            <w:tcW w:w="3000" w:type="dxa"/>
            <w:vAlign w:val="bottom"/>
          </w:tcPr>
          <w:p>
            <w:pPr>
              <w:ind w:left="440"/>
              <w:spacing w:after="0"/>
              <w:rPr>
                <w:sz w:val="20"/>
                <w:szCs w:val="20"/>
                <w:color w:val="auto"/>
              </w:rPr>
            </w:pPr>
            <w:r>
              <w:rPr>
                <w:rFonts w:ascii="Arial" w:cs="Arial" w:eastAsia="Arial" w:hAnsi="Arial"/>
                <w:sz w:val="18"/>
                <w:szCs w:val="18"/>
                <w:color w:val="auto"/>
              </w:rPr>
              <w:t>RUSSIAN FEDERATION</w:t>
            </w:r>
          </w:p>
        </w:tc>
      </w:tr>
    </w:tbl>
    <w:p>
      <w:pPr>
        <w:spacing w:after="0" w:line="229" w:lineRule="exact"/>
        <w:rPr>
          <w:sz w:val="20"/>
          <w:szCs w:val="20"/>
          <w:color w:val="auto"/>
        </w:rPr>
      </w:pPr>
    </w:p>
    <w:p>
      <w:pPr>
        <w:ind w:left="4" w:right="3800" w:hanging="4"/>
        <w:spacing w:after="0" w:line="342" w:lineRule="auto"/>
        <w:tabs>
          <w:tab w:leader="none" w:pos="444" w:val="left"/>
        </w:tabs>
        <w:numPr>
          <w:ilvl w:val="0"/>
          <w:numId w:val="6"/>
        </w:numPr>
        <w:rPr>
          <w:rFonts w:ascii="Arial" w:cs="Arial" w:eastAsia="Arial" w:hAnsi="Arial"/>
          <w:sz w:val="16"/>
          <w:szCs w:val="16"/>
          <w:color w:val="auto"/>
        </w:rPr>
      </w:pPr>
      <w:r>
        <w:rPr>
          <w:rFonts w:ascii="Arial" w:cs="Arial" w:eastAsia="Arial" w:hAnsi="Arial"/>
          <w:sz w:val="16"/>
          <w:szCs w:val="16"/>
          <w:color w:val="auto"/>
        </w:rPr>
        <w:t>Smelter name included in the RMAP Conformant Smelters and Refiners as of April 3, 2023. ** Smelter name included in the RMI Active Smelters and Refiners List as of April 3, 2023.</w:t>
      </w:r>
    </w:p>
    <w:p>
      <w:pPr>
        <w:spacing w:after="0" w:line="151"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note the following in connection with the information contained in the foregoing list:</w:t>
      </w:r>
    </w:p>
    <w:p>
      <w:pPr>
        <w:spacing w:after="0" w:line="130" w:lineRule="exact"/>
        <w:rPr>
          <w:rFonts w:ascii="Arial" w:cs="Arial" w:eastAsia="Arial" w:hAnsi="Arial"/>
          <w:sz w:val="18"/>
          <w:szCs w:val="18"/>
          <w:color w:val="auto"/>
        </w:rPr>
      </w:pPr>
    </w:p>
    <w:p>
      <w:pPr>
        <w:ind w:left="984" w:right="160" w:hanging="544"/>
        <w:spacing w:after="0" w:line="257" w:lineRule="auto"/>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SORs listed above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 Additionally, not all of our suppliers responded to our inquiries.</w:t>
      </w:r>
    </w:p>
    <w:p>
      <w:pPr>
        <w:spacing w:after="0" w:line="93" w:lineRule="exact"/>
        <w:rPr>
          <w:rFonts w:ascii="Arial" w:cs="Arial" w:eastAsia="Arial" w:hAnsi="Arial"/>
          <w:sz w:val="18"/>
          <w:szCs w:val="18"/>
          <w:color w:val="auto"/>
        </w:rPr>
      </w:pPr>
    </w:p>
    <w:p>
      <w:pPr>
        <w:ind w:left="984" w:hanging="544"/>
        <w:spacing w:after="0" w:line="277" w:lineRule="auto"/>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compliance status and country location reflected in the list is based solely on information made available by the RMI to its members, without independent verification by us.</w:t>
      </w:r>
    </w:p>
    <w:p>
      <w:pPr>
        <w:spacing w:after="0" w:line="75" w:lineRule="exact"/>
        <w:rPr>
          <w:rFonts w:ascii="Arial" w:cs="Arial" w:eastAsia="Arial" w:hAnsi="Arial"/>
          <w:sz w:val="18"/>
          <w:szCs w:val="18"/>
          <w:color w:val="auto"/>
        </w:rPr>
      </w:pPr>
    </w:p>
    <w:p>
      <w:pPr>
        <w:ind w:left="984" w:right="280" w:hanging="544"/>
        <w:spacing w:after="0" w:line="277" w:lineRule="auto"/>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Country Location is the location of the smelter or refiner and is based solely on information made publicly available by RMI, without independent verification by us.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ANNEX II</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Algeria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Andorra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Angola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Antigua and Barbuda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Azerbaijan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Bahamas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Bahrain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Bangladesh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Barbados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Belarus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Benin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Bolivia (Plurinational State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Bosnia and Herzegovina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Botswana</w:t>
      </w:r>
    </w:p>
    <w:p>
      <w:pPr>
        <w:spacing w:after="0" w:line="14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4"/>
          </w:cols>
          <w:pgMar w:left="436" w:top="490" w:right="5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Burkina Faso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Burundi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Cambodia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Chinese Taipei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Congo, Democratic Republic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Côte d’Ivoire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Curacao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Cyprus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Eritrea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Fiji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French Guiana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Guinea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Ivory Coast (Côte d’Ivoire)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Jamaica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Kuwait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Kyrgyzstan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Lao People’s Democratic Republic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ectPr>
          <w:pgSz w:w="11900" w:h="16838" w:orient="portrait"/>
          <w:cols w:equalWidth="0" w:num="1">
            <w:col w:w="10019"/>
          </w:cols>
          <w:pgMar w:left="440" w:top="490" w:right="1440" w:bottom="1440" w:gutter="0" w:footer="0" w:header="0"/>
        </w:sectPr>
      </w:pP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19"/>
          </w:cols>
          <w:pgMar w:left="440" w:top="49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Liberia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Liechtenstein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Mauritania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Mongolia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Myanmar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Papua New Guinea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Rwanda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Kitts and Nevis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Sint Maarten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 Vincent and Grenadines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Suriname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Tajikistan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Trinidad and Tobago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ectPr>
          <w:pgSz w:w="11900" w:h="16838" w:orient="portrait"/>
          <w:cols w:equalWidth="0" w:num="1">
            <w:col w:w="10019"/>
          </w:cols>
          <w:pgMar w:left="440" w:top="490" w:right="1440" w:bottom="1440" w:gutter="0" w:footer="0" w:header="0"/>
        </w:sectPr>
      </w:pP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19"/>
          </w:cols>
          <w:pgMar w:left="440" w:top="490"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Turks and Caicos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of Great Britain and Northern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Uzbekistan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sectPr>
      <w:pgSz w:w="11900" w:h="16838" w:orient="portrait"/>
      <w:cols w:equalWidth="0" w:num="1">
        <w:col w:w="10019"/>
      </w:cols>
      <w:pgMar w:left="4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2023-05-25T06:23:31Z</dcterms:created>
  <dcterms:modified xsi:type="dcterms:W3CDTF">2023-05-25T06:23:31Z</dcterms:modified>
</cp:coreProperties>
</file>