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81768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817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SEIF MARGARET K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6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General Counsel, Secretary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3" w:space="720"/>
            <w:col w:w="3487"/>
          </w:cols>
          <w:pgMar w:left="240" w:top="224" w:right="139" w:bottom="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TECHNOLOGY WAY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0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6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05/15/2014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39.79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11,368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05/15/2014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37.52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12,368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05/15/2014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31.62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13,368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05/15/2014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19.57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14,368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05/15/2014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50.92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10,368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5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8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37.52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05/15/2014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4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01/04/2021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5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7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14,848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8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01/05/2010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19.57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05/15/2014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4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01/05/2019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5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7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8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01/05/2011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31.62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05/15/2014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4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01/05/2020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5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9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8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39.79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05/15/2014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4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03/15/2022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5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7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26,940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shares were disposed of in an open market sale pursuant to a 10b5-1 trading plan adopted by the Reporting Person in accordance with Rule 10b5-1 of the Securities Exchange Act of 1934, as amended.</w:t>
      </w:r>
    </w:p>
    <w:p>
      <w:pPr>
        <w:spacing w:after="0" w:line="6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in equal installments on the first, second, third, fourth and fifth anniversaries of the original grant date, which was January 4, 2011.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vested in equal installments on the first, second, third, fourth and fifth anniversaries of the original grant date, which was January 5, 2009.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in equal installments on the first, second, third, fourth and fifth anniversaries of the original grant date, which was January 5, 2010.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in equal installments on the first, second, third, fourth and fifth anniversaries of the original grant date, which was March 15, 2012.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Kevin P. Lanouette, Assistant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05/16/2014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-8255</wp:posOffset>
            </wp:positionV>
            <wp:extent cx="19513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13252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4333240</wp:posOffset>
            </wp:positionH>
            <wp:positionV relativeFrom="paragraph">
              <wp:posOffset>-8255</wp:posOffset>
            </wp:positionV>
            <wp:extent cx="3898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99" w:firstLine="6"/>
        <w:spacing w:after="0" w:line="318" w:lineRule="auto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3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6591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2019-12-18T09:11:03Z</dcterms:created>
  <dcterms:modified xsi:type="dcterms:W3CDTF">2019-12-18T09:11:03Z</dcterms:modified>
</cp:coreProperties>
</file>