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546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462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FISHMAN JERALD</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03/01/2012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PRESIDENT &amp; CEO</w:t>
      </w:r>
    </w:p>
    <w:p>
      <w:pPr>
        <w:spacing w:after="0" w:line="414" w:lineRule="exact"/>
        <w:rPr>
          <w:sz w:val="24"/>
          <w:szCs w:val="24"/>
          <w:color w:val="auto"/>
        </w:rPr>
      </w:pPr>
    </w:p>
    <w:p>
      <w:pPr>
        <w:sectPr>
          <w:pgSz w:w="11900" w:h="16838" w:orient="portrait"/>
          <w:cols w:equalWidth="0" w:num="3">
            <w:col w:w="3360" w:space="720"/>
            <w:col w:w="3257" w:space="720"/>
            <w:col w:w="3463"/>
          </w:cols>
          <w:pgMar w:left="240" w:top="224" w:right="139" w:bottom="1073"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NORWOOD</w:t>
            </w:r>
          </w:p>
        </w:tc>
        <w:tc>
          <w:tcPr>
            <w:tcW w:w="1020" w:type="dxa"/>
            <w:vAlign w:val="bottom"/>
          </w:tcPr>
          <w:p>
            <w:pPr>
              <w:ind w:left="200"/>
              <w:spacing w:after="0"/>
              <w:rPr>
                <w:sz w:val="20"/>
                <w:szCs w:val="20"/>
                <w:color w:val="auto"/>
              </w:rPr>
            </w:pPr>
            <w:r>
              <w:rPr>
                <w:rFonts w:ascii="Arial" w:cs="Arial" w:eastAsia="Arial" w:hAnsi="Arial"/>
                <w:sz w:val="17"/>
                <w:szCs w:val="17"/>
                <w:color w:val="0000FF"/>
              </w:rPr>
              <w:t>MA</w:t>
            </w:r>
          </w:p>
        </w:tc>
        <w:tc>
          <w:tcPr>
            <w:tcW w:w="1700" w:type="dxa"/>
            <w:vAlign w:val="bottom"/>
          </w:tcPr>
          <w:p>
            <w:pPr>
              <w:ind w:left="460"/>
              <w:spacing w:after="0"/>
              <w:rPr>
                <w:sz w:val="20"/>
                <w:szCs w:val="20"/>
                <w:color w:val="auto"/>
              </w:rPr>
            </w:pPr>
            <w:r>
              <w:rPr>
                <w:rFonts w:ascii="Arial" w:cs="Arial" w:eastAsia="Arial" w:hAnsi="Arial"/>
                <w:sz w:val="17"/>
                <w:szCs w:val="17"/>
                <w:color w:val="0000FF"/>
              </w:rPr>
              <w:t>02062-9106</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0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680"/>
              <w:spacing w:after="0" w:line="132"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9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03/01/2012</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center"/>
              <w:ind w:right="357"/>
              <w:spacing w:after="0"/>
              <w:rPr>
                <w:sz w:val="20"/>
                <w:szCs w:val="20"/>
                <w:color w:val="auto"/>
              </w:rPr>
            </w:pPr>
            <w:r>
              <w:rPr>
                <w:rFonts w:ascii="Arial" w:cs="Arial" w:eastAsia="Arial" w:hAnsi="Arial"/>
                <w:sz w:val="13"/>
                <w:szCs w:val="13"/>
                <w:color w:val="0000FF"/>
              </w:rPr>
              <w:t>M</w:t>
            </w:r>
          </w:p>
        </w:tc>
        <w:tc>
          <w:tcPr>
            <w:tcW w:w="660" w:type="dxa"/>
            <w:vAlign w:val="bottom"/>
          </w:tcPr>
          <w:p>
            <w:pPr>
              <w:ind w:left="100"/>
              <w:spacing w:after="0"/>
              <w:rPr>
                <w:sz w:val="20"/>
                <w:szCs w:val="20"/>
                <w:color w:val="auto"/>
              </w:rPr>
            </w:pPr>
            <w:r>
              <w:rPr>
                <w:rFonts w:ascii="Arial" w:cs="Arial" w:eastAsia="Arial" w:hAnsi="Arial"/>
                <w:sz w:val="17"/>
                <w:szCs w:val="17"/>
                <w:color w:val="0000FF"/>
              </w:rPr>
              <w:t>15,000</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19.89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299"/>
              <w:spacing w:after="0"/>
              <w:rPr>
                <w:sz w:val="20"/>
                <w:szCs w:val="20"/>
                <w:color w:val="auto"/>
              </w:rPr>
            </w:pPr>
            <w:r>
              <w:rPr>
                <w:rFonts w:ascii="Arial" w:cs="Arial" w:eastAsia="Arial" w:hAnsi="Arial"/>
                <w:sz w:val="17"/>
                <w:szCs w:val="17"/>
                <w:color w:val="0000FF"/>
              </w:rPr>
              <w:t>436,348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03/01/2012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57"/>
              <w:spacing w:after="0"/>
              <w:rPr>
                <w:sz w:val="20"/>
                <w:szCs w:val="20"/>
                <w:color w:val="auto"/>
              </w:rPr>
            </w:pPr>
            <w:r>
              <w:rPr>
                <w:rFonts w:ascii="Arial" w:cs="Arial" w:eastAsia="Arial" w:hAnsi="Arial"/>
                <w:sz w:val="13"/>
                <w:szCs w:val="13"/>
                <w:color w:val="0000FF"/>
                <w:w w:val="91"/>
              </w:rPr>
              <w:t>S</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15,000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39.104</w:t>
            </w:r>
            <w:r>
              <w:rPr>
                <w:rFonts w:ascii="Arial" w:cs="Arial" w:eastAsia="Arial" w:hAnsi="Arial"/>
                <w:sz w:val="21"/>
                <w:szCs w:val="21"/>
                <w:color w:val="008000"/>
                <w:w w:val="89"/>
                <w:vertAlign w:val="superscript"/>
              </w:rPr>
              <w:t>(1)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421,348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03/02/2012</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center"/>
              <w:ind w:right="357"/>
              <w:spacing w:after="0"/>
              <w:rPr>
                <w:sz w:val="20"/>
                <w:szCs w:val="20"/>
                <w:color w:val="auto"/>
              </w:rPr>
            </w:pPr>
            <w:r>
              <w:rPr>
                <w:rFonts w:ascii="Arial" w:cs="Arial" w:eastAsia="Arial" w:hAnsi="Arial"/>
                <w:sz w:val="13"/>
                <w:szCs w:val="13"/>
                <w:color w:val="0000FF"/>
              </w:rPr>
              <w:t>M</w:t>
            </w:r>
          </w:p>
        </w:tc>
        <w:tc>
          <w:tcPr>
            <w:tcW w:w="660" w:type="dxa"/>
            <w:vAlign w:val="bottom"/>
          </w:tcPr>
          <w:p>
            <w:pPr>
              <w:ind w:left="100"/>
              <w:spacing w:after="0"/>
              <w:rPr>
                <w:sz w:val="20"/>
                <w:szCs w:val="20"/>
                <w:color w:val="auto"/>
              </w:rPr>
            </w:pPr>
            <w:r>
              <w:rPr>
                <w:rFonts w:ascii="Arial" w:cs="Arial" w:eastAsia="Arial" w:hAnsi="Arial"/>
                <w:sz w:val="17"/>
                <w:szCs w:val="17"/>
                <w:color w:val="0000FF"/>
              </w:rPr>
              <w:t>10,000</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19.89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299"/>
              <w:spacing w:after="0"/>
              <w:rPr>
                <w:sz w:val="20"/>
                <w:szCs w:val="20"/>
                <w:color w:val="auto"/>
              </w:rPr>
            </w:pPr>
            <w:r>
              <w:rPr>
                <w:rFonts w:ascii="Arial" w:cs="Arial" w:eastAsia="Arial" w:hAnsi="Arial"/>
                <w:sz w:val="17"/>
                <w:szCs w:val="17"/>
                <w:color w:val="0000FF"/>
              </w:rPr>
              <w:t>431,348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03/02/2012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57"/>
              <w:spacing w:after="0"/>
              <w:rPr>
                <w:sz w:val="20"/>
                <w:szCs w:val="20"/>
                <w:color w:val="auto"/>
              </w:rPr>
            </w:pPr>
            <w:r>
              <w:rPr>
                <w:rFonts w:ascii="Arial" w:cs="Arial" w:eastAsia="Arial" w:hAnsi="Arial"/>
                <w:sz w:val="13"/>
                <w:szCs w:val="13"/>
                <w:color w:val="0000FF"/>
                <w:w w:val="91"/>
              </w:rPr>
              <w:t>S</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10,000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39.1925</w:t>
            </w:r>
            <w:r>
              <w:rPr>
                <w:rFonts w:ascii="Arial" w:cs="Arial" w:eastAsia="Arial" w:hAnsi="Arial"/>
                <w:sz w:val="21"/>
                <w:szCs w:val="21"/>
                <w:color w:val="008000"/>
                <w:w w:val="88"/>
                <w:vertAlign w:val="superscript"/>
              </w:rPr>
              <w:t>(2)</w:t>
            </w:r>
          </w:p>
        </w:tc>
        <w:tc>
          <w:tcPr>
            <w:tcW w:w="126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421,348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60" w:type="dxa"/>
            <w:vAlign w:val="bottom"/>
          </w:tcPr>
          <w:p>
            <w:pPr>
              <w:spacing w:after="0"/>
              <w:rPr>
                <w:sz w:val="11"/>
                <w:szCs w:val="11"/>
                <w:color w:val="auto"/>
              </w:rPr>
            </w:pPr>
          </w:p>
        </w:tc>
        <w:tc>
          <w:tcPr>
            <w:tcW w:w="1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vMerge w:val="restart"/>
          </w:tcPr>
          <w:p>
            <w:pPr>
              <w:jc w:val="center"/>
              <w:ind w:left="53"/>
              <w:spacing w:after="0"/>
              <w:rPr>
                <w:sz w:val="20"/>
                <w:szCs w:val="20"/>
                <w:color w:val="auto"/>
              </w:rPr>
            </w:pPr>
            <w:r>
              <w:rPr>
                <w:rFonts w:ascii="Arial" w:cs="Arial" w:eastAsia="Arial" w:hAnsi="Arial"/>
                <w:sz w:val="13"/>
                <w:szCs w:val="13"/>
                <w:color w:val="0000FF"/>
                <w:w w:val="93"/>
              </w:rPr>
              <w:t>Comm</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gridSpan w:val="2"/>
            <w:vMerge w:val="restart"/>
          </w:tcPr>
          <w:p>
            <w:pPr>
              <w:ind w:left="20"/>
              <w:spacing w:after="0" w:line="211" w:lineRule="exact"/>
              <w:rPr>
                <w:sz w:val="20"/>
                <w:szCs w:val="20"/>
                <w:color w:val="auto"/>
              </w:rPr>
            </w:pPr>
            <w:r>
              <w:rPr>
                <w:rFonts w:ascii="Arial" w:cs="Arial" w:eastAsia="Arial" w:hAnsi="Arial"/>
                <w:sz w:val="13"/>
                <w:szCs w:val="13"/>
                <w:color w:val="0000FF"/>
              </w:rPr>
              <w:t>09/24/2004</w:t>
            </w:r>
            <w:r>
              <w:rPr>
                <w:rFonts w:ascii="Arial" w:cs="Arial" w:eastAsia="Arial" w:hAnsi="Arial"/>
                <w:sz w:val="21"/>
                <w:szCs w:val="21"/>
                <w:color w:val="008000"/>
                <w:vertAlign w:val="superscript"/>
              </w:rPr>
              <w:t>(3)</w:t>
            </w: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19.89</w:t>
            </w:r>
          </w:p>
        </w:tc>
        <w:tc>
          <w:tcPr>
            <w:tcW w:w="1100" w:type="dxa"/>
            <w:vAlign w:val="bottom"/>
            <w:vMerge w:val="restart"/>
          </w:tcPr>
          <w:p>
            <w:pPr>
              <w:jc w:val="right"/>
              <w:ind w:right="178"/>
              <w:spacing w:after="0" w:line="146" w:lineRule="exact"/>
              <w:rPr>
                <w:sz w:val="20"/>
                <w:szCs w:val="20"/>
                <w:color w:val="auto"/>
              </w:rPr>
            </w:pPr>
            <w:r>
              <w:rPr>
                <w:rFonts w:ascii="Arial" w:cs="Arial" w:eastAsia="Arial" w:hAnsi="Arial"/>
                <w:sz w:val="13"/>
                <w:szCs w:val="13"/>
                <w:color w:val="0000FF"/>
              </w:rPr>
              <w:t>03/01/2012</w:t>
            </w:r>
          </w:p>
        </w:tc>
        <w:tc>
          <w:tcPr>
            <w:tcW w:w="1120" w:type="dxa"/>
            <w:vAlign w:val="bottom"/>
          </w:tcPr>
          <w:p>
            <w:pPr>
              <w:spacing w:after="0"/>
              <w:rPr>
                <w:sz w:val="6"/>
                <w:szCs w:val="6"/>
                <w:color w:val="auto"/>
              </w:rPr>
            </w:pPr>
          </w:p>
        </w:tc>
        <w:tc>
          <w:tcPr>
            <w:tcW w:w="6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6"/>
                <w:szCs w:val="6"/>
                <w:color w:val="auto"/>
              </w:rPr>
            </w:pPr>
          </w:p>
        </w:tc>
        <w:tc>
          <w:tcPr>
            <w:tcW w:w="860" w:type="dxa"/>
            <w:vAlign w:val="bottom"/>
            <w:vMerge w:val="restart"/>
          </w:tcPr>
          <w:p>
            <w:pPr>
              <w:ind w:left="380"/>
              <w:spacing w:after="0" w:line="146" w:lineRule="exact"/>
              <w:rPr>
                <w:sz w:val="20"/>
                <w:szCs w:val="20"/>
                <w:color w:val="auto"/>
              </w:rPr>
            </w:pPr>
            <w:r>
              <w:rPr>
                <w:rFonts w:ascii="Arial" w:cs="Arial" w:eastAsia="Arial" w:hAnsi="Arial"/>
                <w:sz w:val="13"/>
                <w:szCs w:val="13"/>
                <w:color w:val="0000FF"/>
              </w:rPr>
              <w:t>15,000</w:t>
            </w:r>
          </w:p>
        </w:tc>
        <w:tc>
          <w:tcPr>
            <w:tcW w:w="900" w:type="dxa"/>
            <w:vAlign w:val="bottom"/>
            <w:gridSpan w:val="2"/>
            <w:vMerge w:val="continue"/>
          </w:tcPr>
          <w:p>
            <w:pPr>
              <w:spacing w:after="0"/>
              <w:rPr>
                <w:sz w:val="6"/>
                <w:szCs w:val="6"/>
                <w:color w:val="auto"/>
              </w:rPr>
            </w:pPr>
          </w:p>
        </w:tc>
        <w:tc>
          <w:tcPr>
            <w:tcW w:w="660" w:type="dxa"/>
            <w:vAlign w:val="bottom"/>
            <w:vMerge w:val="restart"/>
          </w:tcPr>
          <w:p>
            <w:pPr>
              <w:spacing w:after="0" w:line="146" w:lineRule="exact"/>
              <w:rPr>
                <w:sz w:val="20"/>
                <w:szCs w:val="20"/>
                <w:color w:val="auto"/>
              </w:rPr>
            </w:pPr>
            <w:r>
              <w:rPr>
                <w:rFonts w:ascii="Arial" w:cs="Arial" w:eastAsia="Arial" w:hAnsi="Arial"/>
                <w:sz w:val="13"/>
                <w:szCs w:val="13"/>
                <w:color w:val="0000FF"/>
                <w:w w:val="98"/>
              </w:rPr>
              <w:t>09/24/2012</w:t>
            </w: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w w:val="90"/>
              </w:rPr>
              <w:t>Stock-$.16-</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restart"/>
          </w:tcPr>
          <w:p>
            <w:pPr>
              <w:jc w:val="right"/>
              <w:ind w:right="12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145,000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vMerge w:val="restart"/>
          </w:tcPr>
          <w:p>
            <w:pPr>
              <w:jc w:val="center"/>
              <w:ind w:left="53"/>
              <w:spacing w:after="0"/>
              <w:rPr>
                <w:sz w:val="20"/>
                <w:szCs w:val="20"/>
                <w:color w:val="auto"/>
              </w:rPr>
            </w:pPr>
            <w:r>
              <w:rPr>
                <w:rFonts w:ascii="Arial" w:cs="Arial" w:eastAsia="Arial" w:hAnsi="Arial"/>
                <w:sz w:val="13"/>
                <w:szCs w:val="13"/>
                <w:color w:val="0000FF"/>
                <w:w w:val="90"/>
              </w:rPr>
              <w:t>2/3 value</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vMerge w:val="restart"/>
          </w:tcPr>
          <w:p>
            <w:pPr>
              <w:jc w:val="center"/>
              <w:ind w:left="53"/>
              <w:spacing w:after="0"/>
              <w:rPr>
                <w:sz w:val="20"/>
                <w:szCs w:val="20"/>
                <w:color w:val="auto"/>
              </w:rPr>
            </w:pPr>
            <w:r>
              <w:rPr>
                <w:rFonts w:ascii="Arial" w:cs="Arial" w:eastAsia="Arial" w:hAnsi="Arial"/>
                <w:sz w:val="13"/>
                <w:szCs w:val="13"/>
                <w:color w:val="0000FF"/>
                <w:w w:val="93"/>
              </w:rPr>
              <w:t>Comm</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gridSpan w:val="2"/>
            <w:vMerge w:val="restart"/>
          </w:tcPr>
          <w:p>
            <w:pPr>
              <w:ind w:left="20"/>
              <w:spacing w:after="0" w:line="211" w:lineRule="exact"/>
              <w:rPr>
                <w:sz w:val="20"/>
                <w:szCs w:val="20"/>
                <w:color w:val="auto"/>
              </w:rPr>
            </w:pPr>
            <w:r>
              <w:rPr>
                <w:rFonts w:ascii="Arial" w:cs="Arial" w:eastAsia="Arial" w:hAnsi="Arial"/>
                <w:sz w:val="13"/>
                <w:szCs w:val="13"/>
                <w:color w:val="0000FF"/>
              </w:rPr>
              <w:t>09/24/2004</w:t>
            </w:r>
            <w:r>
              <w:rPr>
                <w:rFonts w:ascii="Arial" w:cs="Arial" w:eastAsia="Arial" w:hAnsi="Arial"/>
                <w:sz w:val="21"/>
                <w:szCs w:val="21"/>
                <w:color w:val="008000"/>
                <w:vertAlign w:val="superscript"/>
              </w:rPr>
              <w:t>(3)</w:t>
            </w: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2"/>
              </w:rPr>
              <w:t>10,000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19.89</w:t>
            </w:r>
          </w:p>
        </w:tc>
        <w:tc>
          <w:tcPr>
            <w:tcW w:w="1100" w:type="dxa"/>
            <w:vAlign w:val="bottom"/>
            <w:vMerge w:val="restart"/>
          </w:tcPr>
          <w:p>
            <w:pPr>
              <w:jc w:val="right"/>
              <w:ind w:right="178"/>
              <w:spacing w:after="0" w:line="146" w:lineRule="exact"/>
              <w:rPr>
                <w:sz w:val="20"/>
                <w:szCs w:val="20"/>
                <w:color w:val="auto"/>
              </w:rPr>
            </w:pPr>
            <w:r>
              <w:rPr>
                <w:rFonts w:ascii="Arial" w:cs="Arial" w:eastAsia="Arial" w:hAnsi="Arial"/>
                <w:sz w:val="13"/>
                <w:szCs w:val="13"/>
                <w:color w:val="0000FF"/>
              </w:rPr>
              <w:t>03/02/2012</w:t>
            </w:r>
          </w:p>
        </w:tc>
        <w:tc>
          <w:tcPr>
            <w:tcW w:w="1120" w:type="dxa"/>
            <w:vAlign w:val="bottom"/>
          </w:tcPr>
          <w:p>
            <w:pPr>
              <w:spacing w:after="0"/>
              <w:rPr>
                <w:sz w:val="6"/>
                <w:szCs w:val="6"/>
                <w:color w:val="auto"/>
              </w:rPr>
            </w:pPr>
          </w:p>
        </w:tc>
        <w:tc>
          <w:tcPr>
            <w:tcW w:w="6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6"/>
                <w:szCs w:val="6"/>
                <w:color w:val="auto"/>
              </w:rPr>
            </w:pPr>
          </w:p>
        </w:tc>
        <w:tc>
          <w:tcPr>
            <w:tcW w:w="860" w:type="dxa"/>
            <w:vAlign w:val="bottom"/>
            <w:vMerge w:val="restart"/>
          </w:tcPr>
          <w:p>
            <w:pPr>
              <w:ind w:left="380"/>
              <w:spacing w:after="0" w:line="146" w:lineRule="exact"/>
              <w:rPr>
                <w:sz w:val="20"/>
                <w:szCs w:val="20"/>
                <w:color w:val="auto"/>
              </w:rPr>
            </w:pPr>
            <w:r>
              <w:rPr>
                <w:rFonts w:ascii="Arial" w:cs="Arial" w:eastAsia="Arial" w:hAnsi="Arial"/>
                <w:sz w:val="13"/>
                <w:szCs w:val="13"/>
                <w:color w:val="0000FF"/>
              </w:rPr>
              <w:t>10,000</w:t>
            </w:r>
          </w:p>
        </w:tc>
        <w:tc>
          <w:tcPr>
            <w:tcW w:w="900" w:type="dxa"/>
            <w:vAlign w:val="bottom"/>
            <w:gridSpan w:val="2"/>
            <w:vMerge w:val="continue"/>
          </w:tcPr>
          <w:p>
            <w:pPr>
              <w:spacing w:after="0"/>
              <w:rPr>
                <w:sz w:val="6"/>
                <w:szCs w:val="6"/>
                <w:color w:val="auto"/>
              </w:rPr>
            </w:pPr>
          </w:p>
        </w:tc>
        <w:tc>
          <w:tcPr>
            <w:tcW w:w="660" w:type="dxa"/>
            <w:vAlign w:val="bottom"/>
            <w:vMerge w:val="restart"/>
          </w:tcPr>
          <w:p>
            <w:pPr>
              <w:spacing w:after="0" w:line="146" w:lineRule="exact"/>
              <w:rPr>
                <w:sz w:val="20"/>
                <w:szCs w:val="20"/>
                <w:color w:val="auto"/>
              </w:rPr>
            </w:pPr>
            <w:r>
              <w:rPr>
                <w:rFonts w:ascii="Arial" w:cs="Arial" w:eastAsia="Arial" w:hAnsi="Arial"/>
                <w:sz w:val="13"/>
                <w:szCs w:val="13"/>
                <w:color w:val="0000FF"/>
                <w:w w:val="98"/>
              </w:rPr>
              <w:t>09/24/2012</w:t>
            </w: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w w:val="90"/>
              </w:rPr>
              <w:t>Stock-$.16-</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restart"/>
          </w:tcPr>
          <w:p>
            <w:pPr>
              <w:jc w:val="right"/>
              <w:ind w:right="12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135,000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vMerge w:val="restart"/>
          </w:tcPr>
          <w:p>
            <w:pPr>
              <w:jc w:val="center"/>
              <w:ind w:left="53"/>
              <w:spacing w:after="0"/>
              <w:rPr>
                <w:sz w:val="20"/>
                <w:szCs w:val="20"/>
                <w:color w:val="auto"/>
              </w:rPr>
            </w:pPr>
            <w:r>
              <w:rPr>
                <w:rFonts w:ascii="Arial" w:cs="Arial" w:eastAsia="Arial" w:hAnsi="Arial"/>
                <w:sz w:val="13"/>
                <w:szCs w:val="13"/>
                <w:color w:val="0000FF"/>
                <w:w w:val="90"/>
              </w:rPr>
              <w:t>2/3 value</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5"/>
        <w:spacing w:after="0" w:line="325"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were disposed of in multiple transactions on March 1, 2012 at actual sales prices ranging from $39.090 to $39.111 per share. The price reported reflects the weighted average sale price for the transactions. The reporting person undertakes to provide upon request by SEC staff, the issuer or a security holder of the issuer, full information regarding the number of shares sold at each separate price.</w:t>
      </w:r>
    </w:p>
    <w:p>
      <w:pPr>
        <w:ind w:left="40" w:right="540" w:firstLine="5"/>
        <w:spacing w:after="0" w:line="325"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were disposed of in multiple transactions on March 2, 2012 at actual sales prices ranging from $39.135 to $39.250 per share. The price reported reflects the weighted average sale price for the transactions. The reporting person undertakes to provide upon request by SEC staff, the issuer or a security holder of the issuer, full information regarding the number of shares sold at each separate price.</w:t>
      </w: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vested in equal installments on the second, third, fourth and fifth anniversaries of the original grant date. The option was fully vested as of September 24, 2007 in accordance with its terms.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6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48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2019-12-18T08:24:44Z</dcterms:created>
  <dcterms:modified xsi:type="dcterms:W3CDTF">2019-12-18T08:24:44Z</dcterms:modified>
</cp:coreProperties>
</file>