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38" w:lineRule="auto"/>
        <w:rPr>
          <w:sz w:val="20"/>
          <w:szCs w:val="20"/>
          <w:color w:val="auto"/>
        </w:rPr>
      </w:pPr>
      <w:r>
        <w:rPr>
          <w:rFonts w:ascii="Courier New" w:cs="Courier New" w:eastAsia="Courier New" w:hAnsi="Courier New"/>
          <w:sz w:val="18"/>
          <w:szCs w:val="18"/>
          <w:color w:val="auto"/>
        </w:rPr>
        <w:t>(Mark One)</w:t>
      </w:r>
    </w:p>
    <w:p>
      <w:pPr>
        <w:spacing w:after="0" w:line="5" w:lineRule="exact"/>
        <w:rPr>
          <w:sz w:val="24"/>
          <w:szCs w:val="24"/>
          <w:color w:val="auto"/>
        </w:rPr>
      </w:pPr>
    </w:p>
    <w:p>
      <w:pPr>
        <w:ind w:left="1280" w:right="3039" w:hanging="1061"/>
        <w:spacing w:after="0" w:line="235" w:lineRule="auto"/>
        <w:tabs>
          <w:tab w:leader="none" w:pos="-9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]QUARTERLY REPORT PURSUANT TO SECTION 13 OR 15 (d) OF THE SECURITIES EXCHANGE ACT OF 1934</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quarterly period ended July 31, 1999</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jc w:val="center"/>
        <w:ind w:left="1160" w:right="3039" w:hanging="941"/>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 (d) OF THE SECURITIES EXCHANGE ACT OF 1934</w:t>
      </w:r>
    </w:p>
    <w:p>
      <w:pPr>
        <w:spacing w:after="0" w:line="208"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For the Transition period from_______________ to ________________</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No. 1-7819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04-2348234</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980" w:space="720"/>
            <w:col w:w="4519"/>
          </w:cols>
          <w:pgMar w:left="240" w:top="244" w:right="1440" w:bottom="1440" w:gutter="0" w:footer="0" w:header="0"/>
          <w:type w:val="continuous"/>
        </w:sectPr>
      </w:pPr>
    </w:p>
    <w:p>
      <w:pPr>
        <w:spacing w:after="0" w:line="226" w:lineRule="exact"/>
        <w:rPr>
          <w:sz w:val="24"/>
          <w:szCs w:val="24"/>
          <w:color w:val="auto"/>
        </w:rPr>
      </w:pPr>
    </w:p>
    <w:p>
      <w:pPr>
        <w:ind w:right="1700" w:firstLine="211"/>
        <w:spacing w:after="0" w:line="290" w:lineRule="auto"/>
        <w:rPr>
          <w:sz w:val="20"/>
          <w:szCs w:val="20"/>
          <w:color w:val="auto"/>
        </w:rPr>
      </w:pPr>
      <w:r>
        <w:rPr>
          <w:rFonts w:ascii="Courier New" w:cs="Courier New" w:eastAsia="Courier New" w:hAnsi="Courier New"/>
          <w:sz w:val="16"/>
          <w:szCs w:val="16"/>
          <w:color w:val="auto"/>
        </w:rPr>
        <w:t>One Technology Way, Norwood, MA (Address of principal executive offices)</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02062-9106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920" w:space="720"/>
            <w:col w:w="3579"/>
          </w:cols>
          <w:pgMar w:left="240" w:top="244" w:right="1440" w:bottom="1440" w:gutter="0" w:footer="0" w:header="0"/>
          <w:type w:val="continuous"/>
        </w:sectPr>
      </w:pPr>
    </w:p>
    <w:p>
      <w:pPr>
        <w:spacing w:after="0" w:line="167"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(781) 329-4700</w:t>
      </w:r>
    </w:p>
    <w:p>
      <w:pPr>
        <w:ind w:left="1700"/>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[X] NO [ ]</w:t>
      </w:r>
    </w:p>
    <w:p>
      <w:pPr>
        <w:spacing w:after="0" w:line="209" w:lineRule="exact"/>
        <w:rPr>
          <w:sz w:val="24"/>
          <w:szCs w:val="24"/>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number of shares outstanding of each of the issuer's classes of Common Stock as of August 27, 1999 was 174,459,082 shares of Common Stock.</w:t>
      </w:r>
    </w:p>
    <w:p>
      <w:pPr>
        <w:sectPr>
          <w:pgSz w:w="11900" w:h="16838" w:orient="portrait"/>
          <w:cols w:equalWidth="0" w:num="1">
            <w:col w:w="10219"/>
          </w:cols>
          <w:pgMar w:left="240" w:top="244"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280" w:type="dxa"/>
            <w:vAlign w:val="bottom"/>
          </w:tcPr>
          <w:p>
            <w:pPr>
              <w:ind w:left="320"/>
              <w:spacing w:after="0"/>
              <w:rPr>
                <w:sz w:val="20"/>
                <w:szCs w:val="20"/>
                <w:color w:val="auto"/>
              </w:rPr>
            </w:pPr>
            <w:r>
              <w:rPr>
                <w:rFonts w:ascii="Courier New" w:cs="Courier New" w:eastAsia="Courier New" w:hAnsi="Courier New"/>
                <w:sz w:val="18"/>
                <w:szCs w:val="18"/>
                <w:color w:val="auto"/>
              </w:rPr>
              <w:t>2</w:t>
            </w:r>
          </w:p>
        </w:tc>
        <w:tc>
          <w:tcPr>
            <w:tcW w:w="4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08"/>
        </w:trPr>
        <w:tc>
          <w:tcPr>
            <w:tcW w:w="1280" w:type="dxa"/>
            <w:vAlign w:val="bottom"/>
          </w:tcPr>
          <w:p>
            <w:pPr>
              <w:spacing w:after="0"/>
              <w:rPr>
                <w:sz w:val="24"/>
                <w:szCs w:val="24"/>
                <w:color w:val="auto"/>
              </w:rPr>
            </w:pPr>
          </w:p>
        </w:tc>
        <w:tc>
          <w:tcPr>
            <w:tcW w:w="4160" w:type="dxa"/>
            <w:vAlign w:val="bottom"/>
          </w:tcPr>
          <w:p>
            <w:pPr>
              <w:ind w:left="2620"/>
              <w:spacing w:after="0"/>
              <w:rPr>
                <w:sz w:val="20"/>
                <w:szCs w:val="20"/>
                <w:color w:val="auto"/>
              </w:rPr>
            </w:pPr>
            <w:r>
              <w:rPr>
                <w:rFonts w:ascii="Courier New" w:cs="Courier New" w:eastAsia="Courier New" w:hAnsi="Courier New"/>
                <w:sz w:val="18"/>
                <w:szCs w:val="18"/>
                <w:color w:val="auto"/>
              </w:rPr>
              <w:t>PART I</w:t>
            </w:r>
          </w:p>
        </w:tc>
        <w:tc>
          <w:tcPr>
            <w:tcW w:w="13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4160" w:type="dxa"/>
            <w:vAlign w:val="bottom"/>
          </w:tcPr>
          <w:p>
            <w:pPr>
              <w:ind w:left="1880"/>
              <w:spacing w:after="0" w:line="203" w:lineRule="exact"/>
              <w:rPr>
                <w:sz w:val="20"/>
                <w:szCs w:val="20"/>
                <w:color w:val="auto"/>
              </w:rPr>
            </w:pPr>
            <w:r>
              <w:rPr>
                <w:rFonts w:ascii="Courier New" w:cs="Courier New" w:eastAsia="Courier New" w:hAnsi="Courier New"/>
                <w:sz w:val="18"/>
                <w:szCs w:val="18"/>
                <w:color w:val="auto"/>
                <w:w w:val="99"/>
              </w:rPr>
              <w:t>FINANCIAL INFORMATION</w:t>
            </w: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810"/>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4160" w:type="dxa"/>
            <w:vAlign w:val="bottom"/>
          </w:tcPr>
          <w:p>
            <w:pPr>
              <w:spacing w:after="0"/>
              <w:rPr>
                <w:sz w:val="20"/>
                <w:szCs w:val="20"/>
                <w:color w:val="auto"/>
              </w:rPr>
            </w:pPr>
            <w:r>
              <w:rPr>
                <w:rFonts w:ascii="Courier New" w:cs="Courier New" w:eastAsia="Courier New" w:hAnsi="Courier New"/>
                <w:sz w:val="18"/>
                <w:szCs w:val="18"/>
                <w:color w:val="auto"/>
              </w:rPr>
              <w:t>FINANCIAL STATEMENTS</w:t>
            </w:r>
          </w:p>
        </w:tc>
        <w:tc>
          <w:tcPr>
            <w:tcW w:w="13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05"/>
        </w:trPr>
        <w:tc>
          <w:tcPr>
            <w:tcW w:w="5440" w:type="dxa"/>
            <w:vAlign w:val="bottom"/>
            <w:gridSpan w:val="2"/>
          </w:tcPr>
          <w:p>
            <w:pPr>
              <w:spacing w:after="0"/>
              <w:rPr>
                <w:sz w:val="20"/>
                <w:szCs w:val="20"/>
                <w:color w:val="auto"/>
              </w:rPr>
            </w:pPr>
            <w:r>
              <w:rPr>
                <w:rFonts w:ascii="Courier New" w:cs="Courier New" w:eastAsia="Courier New" w:hAnsi="Courier New"/>
                <w:sz w:val="18"/>
                <w:szCs w:val="18"/>
                <w:color w:val="auto"/>
              </w:rPr>
              <w:t>ANALOG DEVICES, INC.</w:t>
            </w:r>
          </w:p>
        </w:tc>
        <w:tc>
          <w:tcPr>
            <w:tcW w:w="13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INCOME</w:t>
            </w: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4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(thousands except per share amounts)</w:t>
            </w: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2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0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12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300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4"/>
                <w:szCs w:val="24"/>
                <w:color w:val="auto"/>
              </w:rPr>
            </w:pPr>
          </w:p>
        </w:tc>
        <w:tc>
          <w:tcPr>
            <w:tcW w:w="54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July 31, 1999</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August 1, 1998*</w:t>
            </w:r>
          </w:p>
        </w:tc>
      </w:tr>
      <w:tr>
        <w:trPr>
          <w:trHeight w:val="203"/>
        </w:trPr>
        <w:tc>
          <w:tcPr>
            <w:tcW w:w="1280" w:type="dxa"/>
            <w:vAlign w:val="bottom"/>
          </w:tcPr>
          <w:p>
            <w:pPr>
              <w:spacing w:after="0"/>
              <w:rPr>
                <w:sz w:val="17"/>
                <w:szCs w:val="17"/>
                <w:color w:val="auto"/>
              </w:rPr>
            </w:pPr>
          </w:p>
        </w:tc>
        <w:tc>
          <w:tcPr>
            <w:tcW w:w="5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41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9"/>
              </w:rPr>
              <w:t>$378,776</w:t>
            </w:r>
          </w:p>
        </w:tc>
        <w:tc>
          <w:tcPr>
            <w:tcW w:w="17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$295,700</w:t>
            </w:r>
          </w:p>
        </w:tc>
      </w:tr>
      <w:tr>
        <w:trPr>
          <w:trHeight w:val="405"/>
        </w:trPr>
        <w:tc>
          <w:tcPr>
            <w:tcW w:w="5440" w:type="dxa"/>
            <w:vAlign w:val="bottom"/>
            <w:gridSpan w:val="2"/>
          </w:tcPr>
          <w:p>
            <w:pPr>
              <w:spacing w:after="0"/>
              <w:rPr>
                <w:sz w:val="20"/>
                <w:szCs w:val="20"/>
                <w:color w:val="auto"/>
              </w:rPr>
            </w:pPr>
            <w:r>
              <w:rPr>
                <w:rFonts w:ascii="Courier New" w:cs="Courier New" w:eastAsia="Courier New" w:hAnsi="Courier New"/>
                <w:sz w:val="18"/>
                <w:szCs w:val="18"/>
                <w:color w:val="auto"/>
              </w:rPr>
              <w:t>Cost of sales</w:t>
            </w:r>
          </w:p>
        </w:tc>
        <w:tc>
          <w:tcPr>
            <w:tcW w:w="13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190,481</w:t>
            </w:r>
          </w:p>
        </w:tc>
        <w:tc>
          <w:tcPr>
            <w:tcW w:w="17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161,815</w:t>
            </w:r>
          </w:p>
        </w:tc>
      </w:tr>
      <w:tr>
        <w:trPr>
          <w:trHeight w:val="203"/>
        </w:trPr>
        <w:tc>
          <w:tcPr>
            <w:tcW w:w="12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Gross margin</w:t>
            </w:r>
          </w:p>
        </w:tc>
        <w:tc>
          <w:tcPr>
            <w:tcW w:w="41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188,295</w:t>
            </w:r>
          </w:p>
        </w:tc>
        <w:tc>
          <w:tcPr>
            <w:tcW w:w="17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133,885</w:t>
            </w:r>
          </w:p>
        </w:tc>
      </w:tr>
      <w:tr>
        <w:trPr>
          <w:trHeight w:val="405"/>
        </w:trPr>
        <w:tc>
          <w:tcPr>
            <w:tcW w:w="5440" w:type="dxa"/>
            <w:vAlign w:val="bottom"/>
            <w:gridSpan w:val="2"/>
          </w:tcPr>
          <w:p>
            <w:pPr>
              <w:spacing w:after="0"/>
              <w:rPr>
                <w:sz w:val="20"/>
                <w:szCs w:val="20"/>
                <w:color w:val="auto"/>
              </w:rPr>
            </w:pPr>
            <w:r>
              <w:rPr>
                <w:rFonts w:ascii="Courier New" w:cs="Courier New" w:eastAsia="Courier New" w:hAnsi="Courier New"/>
                <w:sz w:val="18"/>
                <w:szCs w:val="18"/>
                <w:color w:val="auto"/>
              </w:rPr>
              <w:t>Operating expenses:</w:t>
            </w:r>
          </w:p>
        </w:tc>
        <w:tc>
          <w:tcPr>
            <w:tcW w:w="13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5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67,142</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55,088</w:t>
            </w:r>
          </w:p>
        </w:tc>
      </w:tr>
      <w:tr>
        <w:trPr>
          <w:trHeight w:val="203"/>
        </w:trPr>
        <w:tc>
          <w:tcPr>
            <w:tcW w:w="5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w:t>
            </w: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54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54,589</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48,202</w:t>
            </w:r>
          </w:p>
        </w:tc>
      </w:tr>
      <w:tr>
        <w:trPr>
          <w:trHeight w:val="203"/>
        </w:trPr>
        <w:tc>
          <w:tcPr>
            <w:tcW w:w="5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17,000</w:t>
            </w:r>
          </w:p>
        </w:tc>
      </w:tr>
      <w:tr>
        <w:trPr>
          <w:trHeight w:val="203"/>
        </w:trPr>
        <w:tc>
          <w:tcPr>
            <w:tcW w:w="12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gridSpan w:val="2"/>
          </w:tcPr>
          <w:p>
            <w:pPr>
              <w:spacing w:after="0"/>
              <w:rPr>
                <w:sz w:val="20"/>
                <w:szCs w:val="20"/>
                <w:color w:val="auto"/>
              </w:rPr>
            </w:pPr>
            <w:r>
              <w:rPr>
                <w:rFonts w:ascii="Courier New" w:cs="Courier New" w:eastAsia="Courier New" w:hAnsi="Courier New"/>
                <w:sz w:val="18"/>
                <w:szCs w:val="18"/>
                <w:color w:val="auto"/>
              </w:rPr>
              <w:t>Operating income</w:t>
            </w:r>
          </w:p>
        </w:tc>
        <w:tc>
          <w:tcPr>
            <w:tcW w:w="13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66,564</w:t>
            </w:r>
          </w:p>
        </w:tc>
        <w:tc>
          <w:tcPr>
            <w:tcW w:w="17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13,595</w:t>
            </w:r>
          </w:p>
        </w:tc>
      </w:tr>
      <w:tr>
        <w:trPr>
          <w:trHeight w:val="405"/>
        </w:trPr>
        <w:tc>
          <w:tcPr>
            <w:tcW w:w="5440" w:type="dxa"/>
            <w:vAlign w:val="bottom"/>
            <w:gridSpan w:val="2"/>
          </w:tcPr>
          <w:p>
            <w:pPr>
              <w:spacing w:after="0"/>
              <w:rPr>
                <w:sz w:val="20"/>
                <w:szCs w:val="20"/>
                <w:color w:val="auto"/>
              </w:rPr>
            </w:pPr>
            <w:r>
              <w:rPr>
                <w:rFonts w:ascii="Courier New" w:cs="Courier New" w:eastAsia="Courier New" w:hAnsi="Courier New"/>
                <w:sz w:val="18"/>
                <w:szCs w:val="18"/>
                <w:color w:val="auto"/>
              </w:rPr>
              <w:t>Equity in loss of WaferTech</w:t>
            </w:r>
          </w:p>
        </w:tc>
        <w:tc>
          <w:tcPr>
            <w:tcW w:w="13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3,560</w:t>
            </w:r>
          </w:p>
        </w:tc>
      </w:tr>
      <w:tr>
        <w:trPr>
          <w:trHeight w:val="405"/>
        </w:trPr>
        <w:tc>
          <w:tcPr>
            <w:tcW w:w="5440" w:type="dxa"/>
            <w:vAlign w:val="bottom"/>
            <w:gridSpan w:val="2"/>
          </w:tcPr>
          <w:p>
            <w:pPr>
              <w:spacing w:after="0"/>
              <w:rPr>
                <w:sz w:val="20"/>
                <w:szCs w:val="20"/>
                <w:color w:val="auto"/>
              </w:rPr>
            </w:pPr>
            <w:r>
              <w:rPr>
                <w:rFonts w:ascii="Courier New" w:cs="Courier New" w:eastAsia="Courier New" w:hAnsi="Courier New"/>
                <w:sz w:val="18"/>
                <w:szCs w:val="18"/>
                <w:color w:val="auto"/>
              </w:rPr>
              <w:t>Interest and other expense, net</w:t>
            </w: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(5,280)</w:t>
            </w:r>
          </w:p>
        </w:tc>
        <w:tc>
          <w:tcPr>
            <w:tcW w:w="1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(794)</w:t>
            </w:r>
          </w:p>
        </w:tc>
      </w:tr>
      <w:tr>
        <w:trPr>
          <w:trHeight w:val="203"/>
        </w:trPr>
        <w:tc>
          <w:tcPr>
            <w:tcW w:w="12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gridSpan w:val="2"/>
          </w:tcPr>
          <w:p>
            <w:pPr>
              <w:spacing w:after="0"/>
              <w:rPr>
                <w:sz w:val="20"/>
                <w:szCs w:val="20"/>
                <w:color w:val="auto"/>
              </w:rPr>
            </w:pPr>
            <w:r>
              <w:rPr>
                <w:rFonts w:ascii="Courier New" w:cs="Courier New" w:eastAsia="Courier New" w:hAnsi="Courier New"/>
                <w:sz w:val="18"/>
                <w:szCs w:val="18"/>
                <w:color w:val="auto"/>
              </w:rPr>
              <w:t>Income before income taxes</w:t>
            </w:r>
          </w:p>
        </w:tc>
        <w:tc>
          <w:tcPr>
            <w:tcW w:w="13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71,844</w:t>
            </w:r>
          </w:p>
        </w:tc>
        <w:tc>
          <w:tcPr>
            <w:tcW w:w="17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10,829</w:t>
            </w:r>
          </w:p>
        </w:tc>
      </w:tr>
      <w:tr>
        <w:trPr>
          <w:trHeight w:val="405"/>
        </w:trPr>
        <w:tc>
          <w:tcPr>
            <w:tcW w:w="5440" w:type="dxa"/>
            <w:vAlign w:val="bottom"/>
            <w:gridSpan w:val="2"/>
          </w:tcPr>
          <w:p>
            <w:pPr>
              <w:spacing w:after="0"/>
              <w:rPr>
                <w:sz w:val="20"/>
                <w:szCs w:val="20"/>
                <w:color w:val="auto"/>
              </w:rPr>
            </w:pPr>
            <w:r>
              <w:rPr>
                <w:rFonts w:ascii="Courier New" w:cs="Courier New" w:eastAsia="Courier New" w:hAnsi="Courier New"/>
                <w:sz w:val="18"/>
                <w:szCs w:val="18"/>
                <w:color w:val="auto"/>
              </w:rPr>
              <w:t>Provision for income taxes</w:t>
            </w:r>
          </w:p>
        </w:tc>
        <w:tc>
          <w:tcPr>
            <w:tcW w:w="13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17,243</w:t>
            </w:r>
          </w:p>
        </w:tc>
        <w:tc>
          <w:tcPr>
            <w:tcW w:w="17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1,721</w:t>
            </w:r>
          </w:p>
        </w:tc>
      </w:tr>
      <w:tr>
        <w:trPr>
          <w:trHeight w:val="203"/>
        </w:trPr>
        <w:tc>
          <w:tcPr>
            <w:tcW w:w="12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160" w:type="dxa"/>
            <w:vAlign w:val="bottom"/>
          </w:tcPr>
          <w:p>
            <w:pPr>
              <w:spacing w:after="0"/>
              <w:rPr>
                <w:sz w:val="24"/>
                <w:szCs w:val="24"/>
                <w:color w:val="auto"/>
              </w:rPr>
            </w:pPr>
          </w:p>
        </w:tc>
        <w:tc>
          <w:tcPr>
            <w:tcW w:w="130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9"/>
              </w:rPr>
              <w:t>$ 54,601</w:t>
            </w:r>
          </w:p>
        </w:tc>
        <w:tc>
          <w:tcPr>
            <w:tcW w:w="17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9,108</w:t>
            </w:r>
          </w:p>
        </w:tc>
      </w:tr>
      <w:tr>
        <w:trPr>
          <w:trHeight w:val="203"/>
        </w:trPr>
        <w:tc>
          <w:tcPr>
            <w:tcW w:w="12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gridSpan w:val="2"/>
          </w:tcPr>
          <w:p>
            <w:pPr>
              <w:spacing w:after="0"/>
              <w:rPr>
                <w:sz w:val="20"/>
                <w:szCs w:val="20"/>
                <w:color w:val="auto"/>
              </w:rPr>
            </w:pPr>
            <w:r>
              <w:rPr>
                <w:rFonts w:ascii="Courier New" w:cs="Courier New" w:eastAsia="Courier New" w:hAnsi="Courier New"/>
                <w:sz w:val="18"/>
                <w:szCs w:val="18"/>
                <w:color w:val="auto"/>
              </w:rPr>
              <w:t>Shares used to compute earnings per share - basic</w:t>
            </w:r>
          </w:p>
        </w:tc>
        <w:tc>
          <w:tcPr>
            <w:tcW w:w="13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172,710</w:t>
            </w:r>
          </w:p>
        </w:tc>
        <w:tc>
          <w:tcPr>
            <w:tcW w:w="17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162,451</w:t>
            </w:r>
          </w:p>
        </w:tc>
      </w:tr>
      <w:tr>
        <w:trPr>
          <w:trHeight w:val="203"/>
        </w:trPr>
        <w:tc>
          <w:tcPr>
            <w:tcW w:w="12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Shares used to compute earnings per share - diluted</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183,480</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178,546</w:t>
            </w:r>
          </w:p>
        </w:tc>
      </w:tr>
      <w:tr>
        <w:trPr>
          <w:trHeight w:val="203"/>
        </w:trPr>
        <w:tc>
          <w:tcPr>
            <w:tcW w:w="12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gridSpan w:val="2"/>
          </w:tcPr>
          <w:p>
            <w:pPr>
              <w:spacing w:after="0"/>
              <w:rPr>
                <w:sz w:val="20"/>
                <w:szCs w:val="20"/>
                <w:color w:val="auto"/>
              </w:rPr>
            </w:pPr>
            <w:r>
              <w:rPr>
                <w:rFonts w:ascii="Courier New" w:cs="Courier New" w:eastAsia="Courier New" w:hAnsi="Courier New"/>
                <w:sz w:val="18"/>
                <w:szCs w:val="18"/>
                <w:color w:val="auto"/>
              </w:rPr>
              <w:t>Earnings per share - basic</w:t>
            </w:r>
          </w:p>
        </w:tc>
        <w:tc>
          <w:tcPr>
            <w:tcW w:w="13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$0.32</w:t>
            </w:r>
          </w:p>
        </w:tc>
        <w:tc>
          <w:tcPr>
            <w:tcW w:w="17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$0.05</w:t>
            </w:r>
          </w:p>
        </w:tc>
      </w:tr>
      <w:tr>
        <w:trPr>
          <w:trHeight w:val="203"/>
        </w:trPr>
        <w:tc>
          <w:tcPr>
            <w:tcW w:w="12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Earnings per share - diluted</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$0.30</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$0.06</w:t>
            </w:r>
          </w:p>
        </w:tc>
      </w:tr>
      <w:tr>
        <w:trPr>
          <w:trHeight w:val="203"/>
        </w:trPr>
        <w:tc>
          <w:tcPr>
            <w:tcW w:w="12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*Restated to reflect change in accounting principle.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5060" w:type="dxa"/>
            <w:vAlign w:val="bottom"/>
          </w:tcPr>
          <w:p>
            <w:pPr>
              <w:ind w:left="320"/>
              <w:spacing w:after="0"/>
              <w:rPr>
                <w:sz w:val="20"/>
                <w:szCs w:val="20"/>
                <w:color w:val="auto"/>
              </w:rPr>
            </w:pPr>
            <w:r>
              <w:rPr>
                <w:rFonts w:ascii="Courier New" w:cs="Courier New" w:eastAsia="Courier New" w:hAnsi="Courier New"/>
                <w:sz w:val="18"/>
                <w:szCs w:val="18"/>
                <w:color w:val="auto"/>
              </w:rPr>
              <w:t>3</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608"/>
        </w:trPr>
        <w:tc>
          <w:tcPr>
            <w:tcW w:w="506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1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INCOME</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 except per share amounts)</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5060" w:type="dxa"/>
            <w:vAlign w:val="bottom"/>
          </w:tcPr>
          <w:p>
            <w:pPr>
              <w:spacing w:after="0"/>
              <w:rPr>
                <w:sz w:val="24"/>
                <w:szCs w:val="24"/>
                <w:color w:val="auto"/>
              </w:rPr>
            </w:pPr>
          </w:p>
        </w:tc>
        <w:tc>
          <w:tcPr>
            <w:tcW w:w="338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5060" w:type="dxa"/>
            <w:vAlign w:val="bottom"/>
          </w:tcPr>
          <w:p>
            <w:pPr>
              <w:spacing w:after="0"/>
              <w:rPr>
                <w:sz w:val="17"/>
                <w:szCs w:val="17"/>
                <w:color w:val="auto"/>
              </w:rPr>
            </w:pPr>
          </w:p>
        </w:tc>
        <w:tc>
          <w:tcPr>
            <w:tcW w:w="33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4"/>
                <w:szCs w:val="24"/>
                <w:color w:val="auto"/>
              </w:rPr>
            </w:pP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July 31, 1999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August 1, 1998*</w:t>
            </w:r>
          </w:p>
        </w:tc>
      </w:tr>
      <w:tr>
        <w:trPr>
          <w:trHeight w:val="203"/>
        </w:trPr>
        <w:tc>
          <w:tcPr>
            <w:tcW w:w="5060" w:type="dxa"/>
            <w:vAlign w:val="bottom"/>
          </w:tcPr>
          <w:p>
            <w:pPr>
              <w:spacing w:after="0"/>
              <w:rPr>
                <w:sz w:val="17"/>
                <w:szCs w:val="17"/>
                <w:color w:val="auto"/>
              </w:rPr>
            </w:pP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$1,019,343</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$932,921</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529,721</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477,140</w:t>
            </w:r>
          </w:p>
        </w:tc>
      </w:tr>
      <w:tr>
        <w:trPr>
          <w:trHeight w:val="203"/>
        </w:trPr>
        <w:tc>
          <w:tcPr>
            <w:tcW w:w="506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489,622</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455,781</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181,625</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166,253</w:t>
            </w: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In-process research and development write-off</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5,140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w:t>
            </w: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149,937</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160,862</w:t>
            </w: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Restructuring charge</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17,000</w:t>
            </w: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Gain on sale of business, net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(13,100)</w:t>
            </w:r>
          </w:p>
        </w:tc>
      </w:tr>
      <w:tr>
        <w:trPr>
          <w:trHeight w:val="203"/>
        </w:trPr>
        <w:tc>
          <w:tcPr>
            <w:tcW w:w="506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152,920</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124,766</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Equity in loss of WaferTech</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1,149</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7,065</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Interest and other expense, net</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(8,138)</w:t>
            </w: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(1,780)</w:t>
            </w:r>
          </w:p>
        </w:tc>
      </w:tr>
      <w:tr>
        <w:trPr>
          <w:trHeight w:val="203"/>
        </w:trPr>
        <w:tc>
          <w:tcPr>
            <w:tcW w:w="506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159,909</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119,481</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36,308</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26,329</w:t>
            </w:r>
          </w:p>
        </w:tc>
      </w:tr>
      <w:tr>
        <w:trPr>
          <w:trHeight w:val="203"/>
        </w:trPr>
        <w:tc>
          <w:tcPr>
            <w:tcW w:w="506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w w:val="97"/>
              </w:rPr>
              <w:t>Net income before cumulative effect of change in</w:t>
            </w:r>
          </w:p>
        </w:tc>
        <w:tc>
          <w:tcPr>
            <w:tcW w:w="1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123,601</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93,152</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Cumulative effect of change in accounting</w:t>
            </w:r>
          </w:p>
        </w:tc>
        <w:tc>
          <w:tcPr>
            <w:tcW w:w="1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principle, net of $20 million of income taxes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(37,080)</w:t>
            </w:r>
          </w:p>
        </w:tc>
      </w:tr>
      <w:tr>
        <w:trPr>
          <w:trHeight w:val="203"/>
        </w:trPr>
        <w:tc>
          <w:tcPr>
            <w:tcW w:w="506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w w:val="99"/>
              </w:rPr>
              <w:t>Net income after cumulative effect of change in</w:t>
            </w:r>
          </w:p>
        </w:tc>
        <w:tc>
          <w:tcPr>
            <w:tcW w:w="1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5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123,601</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$ 56,072</w:t>
            </w:r>
          </w:p>
        </w:tc>
      </w:tr>
      <w:tr>
        <w:trPr>
          <w:trHeight w:val="203"/>
        </w:trPr>
        <w:tc>
          <w:tcPr>
            <w:tcW w:w="506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5440" w:type="dxa"/>
            <w:vAlign w:val="bottom"/>
          </w:tcPr>
          <w:p>
            <w:pPr>
              <w:ind w:left="320"/>
              <w:spacing w:after="0"/>
              <w:rPr>
                <w:sz w:val="20"/>
                <w:szCs w:val="20"/>
                <w:color w:val="auto"/>
              </w:rPr>
            </w:pPr>
            <w:r>
              <w:rPr>
                <w:rFonts w:ascii="Courier New" w:cs="Courier New" w:eastAsia="Courier New" w:hAnsi="Courier New"/>
                <w:sz w:val="18"/>
                <w:szCs w:val="18"/>
                <w:color w:val="auto"/>
              </w:rPr>
              <w:t>4</w:t>
            </w: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08"/>
        </w:trPr>
        <w:tc>
          <w:tcPr>
            <w:tcW w:w="544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13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6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INCOME (Continued)</w:t>
            </w:r>
          </w:p>
        </w:tc>
        <w:tc>
          <w:tcPr>
            <w:tcW w:w="1700" w:type="dxa"/>
            <w:vAlign w:val="bottom"/>
          </w:tcPr>
          <w:p>
            <w:pPr>
              <w:spacing w:after="0"/>
              <w:rPr>
                <w:sz w:val="17"/>
                <w:szCs w:val="17"/>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 except per share amounts)</w:t>
            </w: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5440" w:type="dxa"/>
            <w:vAlign w:val="bottom"/>
          </w:tcPr>
          <w:p>
            <w:pPr>
              <w:spacing w:after="0"/>
              <w:rPr>
                <w:sz w:val="24"/>
                <w:szCs w:val="24"/>
                <w:color w:val="auto"/>
              </w:rPr>
            </w:pPr>
          </w:p>
        </w:tc>
        <w:tc>
          <w:tcPr>
            <w:tcW w:w="300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5440" w:type="dxa"/>
            <w:vAlign w:val="bottom"/>
          </w:tcPr>
          <w:p>
            <w:pPr>
              <w:spacing w:after="0"/>
              <w:rPr>
                <w:sz w:val="17"/>
                <w:szCs w:val="17"/>
                <w:color w:val="auto"/>
              </w:rPr>
            </w:pPr>
          </w:p>
        </w:tc>
        <w:tc>
          <w:tcPr>
            <w:tcW w:w="30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gridSpan w:val="2"/>
          </w:tcPr>
          <w:p>
            <w:pPr>
              <w:ind w:left="5280"/>
              <w:spacing w:after="0"/>
              <w:rPr>
                <w:sz w:val="20"/>
                <w:szCs w:val="20"/>
                <w:color w:val="auto"/>
              </w:rPr>
            </w:pPr>
            <w:r>
              <w:rPr>
                <w:rFonts w:ascii="Courier New" w:cs="Courier New" w:eastAsia="Courier New" w:hAnsi="Courier New"/>
                <w:sz w:val="18"/>
                <w:szCs w:val="18"/>
                <w:color w:val="auto"/>
              </w:rPr>
              <w:t>July 31, 1999</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August 1, 1998*</w:t>
            </w:r>
          </w:p>
        </w:tc>
      </w:tr>
      <w:tr>
        <w:trPr>
          <w:trHeight w:val="203"/>
        </w:trPr>
        <w:tc>
          <w:tcPr>
            <w:tcW w:w="6740" w:type="dxa"/>
            <w:vAlign w:val="bottom"/>
            <w:gridSpan w:val="2"/>
          </w:tcPr>
          <w:p>
            <w:pPr>
              <w:ind w:left="528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440" w:type="dxa"/>
            <w:vAlign w:val="bottom"/>
          </w:tcPr>
          <w:p>
            <w:pPr>
              <w:spacing w:after="0"/>
              <w:rPr>
                <w:sz w:val="20"/>
                <w:szCs w:val="20"/>
                <w:color w:val="auto"/>
              </w:rPr>
            </w:pPr>
            <w:r>
              <w:rPr>
                <w:rFonts w:ascii="Courier New" w:cs="Courier New" w:eastAsia="Courier New" w:hAnsi="Courier New"/>
                <w:sz w:val="18"/>
                <w:szCs w:val="18"/>
                <w:color w:val="auto"/>
              </w:rPr>
              <w:t>Shares used to compute earnings per share - basic</w:t>
            </w:r>
          </w:p>
        </w:tc>
        <w:tc>
          <w:tcPr>
            <w:tcW w:w="13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166,431</w:t>
            </w:r>
          </w:p>
        </w:tc>
        <w:tc>
          <w:tcPr>
            <w:tcW w:w="17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161,866</w:t>
            </w:r>
          </w:p>
        </w:tc>
      </w:tr>
      <w:tr>
        <w:trPr>
          <w:trHeight w:val="203"/>
        </w:trPr>
        <w:tc>
          <w:tcPr>
            <w:tcW w:w="544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Shares used to compute earnings per share - diluted</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180,345</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178,706</w:t>
            </w:r>
          </w:p>
        </w:tc>
      </w:tr>
      <w:tr>
        <w:trPr>
          <w:trHeight w:val="203"/>
        </w:trPr>
        <w:tc>
          <w:tcPr>
            <w:tcW w:w="544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Earnings per share before cumulative effect of</w:t>
            </w:r>
          </w:p>
        </w:tc>
        <w:tc>
          <w:tcPr>
            <w:tcW w:w="13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change in accounting principle</w:t>
            </w: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Earnings per share - basic</w:t>
            </w:r>
          </w:p>
        </w:tc>
        <w:tc>
          <w:tcPr>
            <w:tcW w:w="13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$0.74</w:t>
            </w:r>
          </w:p>
        </w:tc>
        <w:tc>
          <w:tcPr>
            <w:tcW w:w="17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$0.58</w:t>
            </w:r>
          </w:p>
        </w:tc>
      </w:tr>
      <w:tr>
        <w:trPr>
          <w:trHeight w:val="203"/>
        </w:trPr>
        <w:tc>
          <w:tcPr>
            <w:tcW w:w="544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 diluted</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$0.70</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$0.55</w:t>
            </w:r>
          </w:p>
        </w:tc>
      </w:tr>
      <w:tr>
        <w:trPr>
          <w:trHeight w:val="203"/>
        </w:trPr>
        <w:tc>
          <w:tcPr>
            <w:tcW w:w="544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Earnings per share after cumulative effect of</w:t>
            </w:r>
          </w:p>
        </w:tc>
        <w:tc>
          <w:tcPr>
            <w:tcW w:w="13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change in accounting principle</w:t>
            </w: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Earnings per share - basic</w:t>
            </w:r>
          </w:p>
        </w:tc>
        <w:tc>
          <w:tcPr>
            <w:tcW w:w="13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$0.74</w:t>
            </w:r>
          </w:p>
        </w:tc>
        <w:tc>
          <w:tcPr>
            <w:tcW w:w="17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$0.35</w:t>
            </w:r>
          </w:p>
        </w:tc>
      </w:tr>
      <w:tr>
        <w:trPr>
          <w:trHeight w:val="203"/>
        </w:trPr>
        <w:tc>
          <w:tcPr>
            <w:tcW w:w="544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 - diluted</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$0.70</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$0.34</w:t>
            </w:r>
          </w:p>
        </w:tc>
      </w:tr>
      <w:tr>
        <w:trPr>
          <w:trHeight w:val="203"/>
        </w:trPr>
        <w:tc>
          <w:tcPr>
            <w:tcW w:w="5440" w:type="dxa"/>
            <w:vAlign w:val="bottom"/>
          </w:tcPr>
          <w:p>
            <w:pPr>
              <w:spacing w:after="0"/>
              <w:rPr>
                <w:sz w:val="17"/>
                <w:szCs w:val="17"/>
                <w:color w:val="auto"/>
              </w:rPr>
            </w:pP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*Restated to reflect change in accounting principle.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28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1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810"/>
        </w:trPr>
        <w:tc>
          <w:tcPr>
            <w:tcW w:w="328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1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4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CONDENSED CONSOLIDATED BALANCE SHEETS</w:t>
            </w:r>
          </w:p>
        </w:tc>
        <w:tc>
          <w:tcPr>
            <w:tcW w:w="1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w:t>
            </w:r>
          </w:p>
        </w:tc>
        <w:tc>
          <w:tcPr>
            <w:tcW w:w="1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08"/>
        </w:trPr>
        <w:tc>
          <w:tcPr>
            <w:tcW w:w="32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July 31, 1999</w:t>
            </w:r>
          </w:p>
        </w:tc>
        <w:tc>
          <w:tcPr>
            <w:tcW w:w="1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October 31, 1998</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August 1, 1998*</w:t>
            </w:r>
          </w:p>
        </w:tc>
      </w:tr>
      <w:tr>
        <w:trPr>
          <w:trHeight w:val="203"/>
        </w:trPr>
        <w:tc>
          <w:tcPr>
            <w:tcW w:w="328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405,627</w:t>
            </w:r>
          </w:p>
        </w:tc>
        <w:tc>
          <w:tcPr>
            <w:tcW w:w="18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263,331</w:t>
            </w:r>
          </w:p>
        </w:tc>
        <w:tc>
          <w:tcPr>
            <w:tcW w:w="17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261,705</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231,505</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41,575</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38,792</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251,691</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207,361</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224,434</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Raw materials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13,909</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25,624</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27,714</w:t>
            </w: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Work in process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155,096</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142,139</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135,091</w:t>
            </w: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Finished goods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86,580</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107,313</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109,565</w:t>
            </w:r>
          </w:p>
        </w:tc>
      </w:tr>
      <w:tr>
        <w:trPr>
          <w:trHeight w:val="203"/>
        </w:trPr>
        <w:tc>
          <w:tcPr>
            <w:tcW w:w="3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255,585</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275,076</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272,370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95,000</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98,148</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91,381</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9,827</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18,038</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18,233</w:t>
            </w:r>
          </w:p>
        </w:tc>
      </w:tr>
      <w:tr>
        <w:trPr>
          <w:trHeight w:val="203"/>
        </w:trPr>
        <w:tc>
          <w:tcPr>
            <w:tcW w:w="3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1,249,235</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903,529</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906,915</w:t>
            </w:r>
          </w:p>
        </w:tc>
      </w:tr>
      <w:tr>
        <w:trPr>
          <w:trHeight w:val="203"/>
        </w:trPr>
        <w:tc>
          <w:tcPr>
            <w:tcW w:w="3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w:t>
            </w:r>
          </w:p>
        </w:tc>
        <w:tc>
          <w:tcPr>
            <w:tcW w:w="15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cost:</w:t>
            </w:r>
          </w:p>
        </w:tc>
        <w:tc>
          <w:tcPr>
            <w:tcW w:w="1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Land and buildings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162,840</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158,792</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158,729</w:t>
            </w: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1,066,595</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1,034,619</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1,034,437</w:t>
            </w: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 equipment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73,627</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70,576</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65,444</w:t>
            </w: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106,685</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103,482</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100,265</w:t>
            </w:r>
          </w:p>
        </w:tc>
      </w:tr>
      <w:tr>
        <w:trPr>
          <w:trHeight w:val="203"/>
        </w:trPr>
        <w:tc>
          <w:tcPr>
            <w:tcW w:w="3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1,409,747</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1,367,469</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1,358,875</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763,423</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664,038</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644,907</w:t>
            </w:r>
          </w:p>
        </w:tc>
      </w:tr>
      <w:tr>
        <w:trPr>
          <w:trHeight w:val="203"/>
        </w:trPr>
        <w:tc>
          <w:tcPr>
            <w:tcW w:w="3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property, plant and</w:t>
            </w:r>
          </w:p>
        </w:tc>
        <w:tc>
          <w:tcPr>
            <w:tcW w:w="1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3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646,324</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703,431</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713,968</w:t>
            </w:r>
          </w:p>
        </w:tc>
      </w:tr>
      <w:tr>
        <w:trPr>
          <w:trHeight w:val="203"/>
        </w:trPr>
        <w:tc>
          <w:tcPr>
            <w:tcW w:w="3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104,297</w:t>
            </w:r>
          </w:p>
        </w:tc>
        <w:tc>
          <w:tcPr>
            <w:tcW w:w="18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187,224</w:t>
            </w:r>
          </w:p>
        </w:tc>
        <w:tc>
          <w:tcPr>
            <w:tcW w:w="17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190,051</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29,619</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15,815</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16,525</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46,702</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51,731</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51,720</w:t>
            </w:r>
          </w:p>
        </w:tc>
      </w:tr>
      <w:tr>
        <w:trPr>
          <w:trHeight w:val="203"/>
        </w:trPr>
        <w:tc>
          <w:tcPr>
            <w:tcW w:w="3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other assets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180,618</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254,770</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258,296</w:t>
            </w:r>
          </w:p>
        </w:tc>
      </w:tr>
      <w:tr>
        <w:trPr>
          <w:trHeight w:val="203"/>
        </w:trPr>
        <w:tc>
          <w:tcPr>
            <w:tcW w:w="3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$2,076,177</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$1,861,730</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$1,879,179</w:t>
            </w:r>
          </w:p>
        </w:tc>
      </w:tr>
      <w:tr>
        <w:trPr>
          <w:trHeight w:val="203"/>
        </w:trPr>
        <w:tc>
          <w:tcPr>
            <w:tcW w:w="32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CONDENSED CONSOLIDATED BALANCE SHEETS</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Liabilities and Stockholders'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w:t>
            </w: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July 31, 1999</w:t>
            </w:r>
          </w:p>
        </w:tc>
        <w:tc>
          <w:tcPr>
            <w:tcW w:w="1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October 31, 1998</w:t>
            </w:r>
          </w:p>
        </w:tc>
        <w:tc>
          <w:tcPr>
            <w:tcW w:w="1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August 1, 1998*</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1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900" w:type="dxa"/>
            <w:vAlign w:val="bottom"/>
          </w:tcPr>
          <w:p>
            <w:pPr>
              <w:spacing w:after="0"/>
              <w:rPr>
                <w:sz w:val="20"/>
                <w:szCs w:val="20"/>
                <w:color w:val="auto"/>
              </w:rPr>
            </w:pPr>
            <w:r>
              <w:rPr>
                <w:rFonts w:ascii="Courier New" w:cs="Courier New" w:eastAsia="Courier New" w:hAnsi="Courier New"/>
                <w:sz w:val="18"/>
                <w:szCs w:val="18"/>
                <w:color w:val="auto"/>
              </w:rPr>
              <w:t>Short-term borrowings and current</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portion of long-term debt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2,606</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1,922</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Obligations under capital leases</w:t>
            </w:r>
          </w:p>
        </w:tc>
        <w:tc>
          <w:tcPr>
            <w:tcW w:w="2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14,607</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14,266</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12,065</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2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88,115</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59,115</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64,379</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on shipments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distributors</w:t>
            </w:r>
          </w:p>
        </w:tc>
        <w:tc>
          <w:tcPr>
            <w:tcW w:w="2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103,763</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113,784</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129,277</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61,582</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53,595</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63,647</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2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87,119</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79,906</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80,837</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357,792</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320,859</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352,127</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22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80,000</w:t>
            </w:r>
          </w:p>
        </w:tc>
        <w:tc>
          <w:tcPr>
            <w:tcW w:w="520" w:type="dxa"/>
            <w:vAlign w:val="bottom"/>
          </w:tcPr>
          <w:p>
            <w:pPr>
              <w:spacing w:after="0"/>
              <w:rPr>
                <w:sz w:val="24"/>
                <w:szCs w:val="24"/>
                <w:color w:val="auto"/>
              </w:rPr>
            </w:pP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309,985</w:t>
            </w:r>
          </w:p>
        </w:tc>
        <w:tc>
          <w:tcPr>
            <w:tcW w:w="42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309,985</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obligations under</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leases</w:t>
            </w:r>
          </w:p>
        </w:tc>
        <w:tc>
          <w:tcPr>
            <w:tcW w:w="2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19,842</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30,773</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29,831</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38,000</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31,789</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24,499</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2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61,458</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39,935</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38,511</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non-current liabilities</w:t>
            </w:r>
          </w:p>
        </w:tc>
        <w:tc>
          <w:tcPr>
            <w:tcW w:w="2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199,300</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412,482</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402,826</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Preferred stock, $1.00 par value,</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471,934 shares authorized,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 outstanding</w:t>
            </w:r>
          </w:p>
        </w:tc>
        <w:tc>
          <w:tcPr>
            <w:tcW w:w="2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Common stock, $.16 2/3 par value,</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600,000,000 shares authorized,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177,481,502 shares issued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(164,092,719 in October 1998 and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163,927,212 in August 1998)</w:t>
            </w:r>
          </w:p>
        </w:tc>
        <w:tc>
          <w:tcPr>
            <w:tcW w:w="2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29,581</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27,349</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27,322</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2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501,609</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248,970</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232,437</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1,038,110</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913,992</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887,656</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Cumulative translation adjustment</w:t>
            </w:r>
          </w:p>
        </w:tc>
        <w:tc>
          <w:tcPr>
            <w:tcW w:w="2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7,425</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6,025</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6,925</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1,576,725</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1,196,336</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1,154,340</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Less 3,133,179 shares in treasury,</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at cost (3,782,763 in October 1998</w:t>
            </w: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1,309,917 in August 1998)</w:t>
            </w:r>
          </w:p>
        </w:tc>
        <w:tc>
          <w:tcPr>
            <w:tcW w:w="2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57,640</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67,947</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30,114</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2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1,519,085</w:t>
            </w:r>
          </w:p>
        </w:tc>
        <w:tc>
          <w:tcPr>
            <w:tcW w:w="52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1,128,389</w:t>
            </w:r>
          </w:p>
        </w:tc>
        <w:tc>
          <w:tcPr>
            <w:tcW w:w="4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1,124,226</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$2,076,177</w:t>
            </w: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$1,861,730</w:t>
            </w: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$1,879,179</w:t>
            </w:r>
          </w:p>
        </w:tc>
      </w:tr>
      <w:tr>
        <w:trPr>
          <w:trHeight w:val="203"/>
        </w:trPr>
        <w:tc>
          <w:tcPr>
            <w:tcW w:w="390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*Restated to reflect change in accounting principle.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5540" w:type="dxa"/>
            <w:vAlign w:val="bottom"/>
          </w:tcPr>
          <w:p>
            <w:pPr>
              <w:ind w:left="320"/>
              <w:spacing w:after="0"/>
              <w:rPr>
                <w:sz w:val="20"/>
                <w:szCs w:val="20"/>
                <w:color w:val="auto"/>
              </w:rPr>
            </w:pPr>
            <w:r>
              <w:rPr>
                <w:rFonts w:ascii="Courier New" w:cs="Courier New" w:eastAsia="Courier New" w:hAnsi="Courier New"/>
                <w:sz w:val="18"/>
                <w:szCs w:val="18"/>
                <w:color w:val="auto"/>
              </w:rPr>
              <w:t>7</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08"/>
        </w:trPr>
        <w:tc>
          <w:tcPr>
            <w:tcW w:w="554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CASH FLOWS</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w:t>
            </w:r>
          </w:p>
        </w:tc>
        <w:tc>
          <w:tcPr>
            <w:tcW w:w="290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Nine Months Ended</w:t>
            </w:r>
          </w:p>
        </w:tc>
      </w:tr>
      <w:tr>
        <w:trPr>
          <w:trHeight w:val="203"/>
        </w:trPr>
        <w:tc>
          <w:tcPr>
            <w:tcW w:w="5540" w:type="dxa"/>
            <w:vAlign w:val="bottom"/>
          </w:tcPr>
          <w:p>
            <w:pPr>
              <w:spacing w:after="0"/>
              <w:rPr>
                <w:sz w:val="17"/>
                <w:szCs w:val="17"/>
                <w:color w:val="auto"/>
              </w:rPr>
            </w:pPr>
          </w:p>
        </w:tc>
        <w:tc>
          <w:tcPr>
            <w:tcW w:w="290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00" w:type="dxa"/>
            <w:vAlign w:val="bottom"/>
            <w:gridSpan w:val="2"/>
          </w:tcPr>
          <w:p>
            <w:pPr>
              <w:ind w:left="5160"/>
              <w:spacing w:after="0"/>
              <w:rPr>
                <w:sz w:val="20"/>
                <w:szCs w:val="20"/>
                <w:color w:val="auto"/>
              </w:rPr>
            </w:pPr>
            <w:r>
              <w:rPr>
                <w:rFonts w:ascii="Courier New" w:cs="Courier New" w:eastAsia="Courier New" w:hAnsi="Courier New"/>
                <w:sz w:val="18"/>
                <w:szCs w:val="18"/>
                <w:color w:val="auto"/>
              </w:rPr>
              <w:t>July 31, 1999</w:t>
            </w:r>
          </w:p>
        </w:tc>
        <w:tc>
          <w:tcPr>
            <w:tcW w:w="1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August 1,1998*</w:t>
            </w:r>
          </w:p>
        </w:tc>
      </w:tr>
      <w:tr>
        <w:trPr>
          <w:trHeight w:val="203"/>
        </w:trPr>
        <w:tc>
          <w:tcPr>
            <w:tcW w:w="68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OPERATIONS Cash flows from operations:</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$ 123,601</w:t>
            </w:r>
          </w:p>
        </w:tc>
        <w:tc>
          <w:tcPr>
            <w:tcW w:w="4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$ 56,072</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net cash provided by operations:</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Cumulative effect of change in accounting</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principle, net of $20 million of income taxes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37,080</w:t>
            </w: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106,827</w:t>
            </w:r>
          </w:p>
        </w:tc>
        <w:tc>
          <w:tcPr>
            <w:tcW w:w="4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93,310</w:t>
            </w: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Non-cash portion of restructuring charge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Write-off of acquired in-process R&amp;D</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5,140</w:t>
            </w:r>
          </w:p>
        </w:tc>
        <w:tc>
          <w:tcPr>
            <w:tcW w:w="4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Equity in loss of WaferTech, net of dividends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1,149</w:t>
            </w:r>
          </w:p>
        </w:tc>
        <w:tc>
          <w:tcPr>
            <w:tcW w:w="4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8,192</w:t>
            </w: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6,225</w:t>
            </w:r>
          </w:p>
        </w:tc>
        <w:tc>
          <w:tcPr>
            <w:tcW w:w="4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3,754</w:t>
            </w: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non-cash expense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3,127</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(1,192)</w:t>
            </w: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17,887</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(8,889)</w:t>
            </w:r>
          </w:p>
        </w:tc>
      </w:tr>
      <w:tr>
        <w:trPr>
          <w:trHeight w:val="203"/>
        </w:trPr>
        <w:tc>
          <w:tcPr>
            <w:tcW w:w="554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140,355</w:t>
            </w:r>
          </w:p>
        </w:tc>
        <w:tc>
          <w:tcPr>
            <w:tcW w:w="4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142,255</w:t>
            </w:r>
          </w:p>
        </w:tc>
      </w:tr>
      <w:tr>
        <w:trPr>
          <w:trHeight w:val="203"/>
        </w:trPr>
        <w:tc>
          <w:tcPr>
            <w:tcW w:w="554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operations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263,956</w:t>
            </w:r>
          </w:p>
        </w:tc>
        <w:tc>
          <w:tcPr>
            <w:tcW w:w="4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198,327</w:t>
            </w:r>
          </w:p>
        </w:tc>
      </w:tr>
      <w:tr>
        <w:trPr>
          <w:trHeight w:val="203"/>
        </w:trPr>
        <w:tc>
          <w:tcPr>
            <w:tcW w:w="554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INVESTMENTS Cash flows from investments:</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 of short-term investments</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available for sale</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(356,918)</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(111,735)</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available for sale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166,988</w:t>
            </w:r>
          </w:p>
        </w:tc>
        <w:tc>
          <w:tcPr>
            <w:tcW w:w="4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123,949</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Change in long-term investments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105,501</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(64,318)</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Additions to property, plant and equipment, net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(46,451)</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(143,986)</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for acquisitions, net of cash acquired</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(20,019)</w:t>
            </w:r>
          </w:p>
        </w:tc>
        <w:tc>
          <w:tcPr>
            <w:tcW w:w="4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Decrease (increase) in other assets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5,040</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(2,142)</w:t>
            </w:r>
          </w:p>
        </w:tc>
      </w:tr>
      <w:tr>
        <w:trPr>
          <w:trHeight w:val="203"/>
        </w:trPr>
        <w:tc>
          <w:tcPr>
            <w:tcW w:w="554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investments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(145,859)</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(198,232)</w:t>
            </w:r>
          </w:p>
        </w:tc>
      </w:tr>
      <w:tr>
        <w:trPr>
          <w:trHeight w:val="203"/>
        </w:trPr>
        <w:tc>
          <w:tcPr>
            <w:tcW w:w="554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employee stock plans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31,444</w:t>
            </w:r>
          </w:p>
        </w:tc>
        <w:tc>
          <w:tcPr>
            <w:tcW w:w="4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22,507</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capital lease obligations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(10,591)</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(8,688)</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increase in variable rate borrowings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2,265</w:t>
            </w:r>
          </w:p>
        </w:tc>
        <w:tc>
          <w:tcPr>
            <w:tcW w:w="4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1,920</w:t>
            </w: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Repurchase of common stock</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(44,717)</w:t>
            </w:r>
          </w:p>
        </w:tc>
      </w:tr>
      <w:tr>
        <w:trPr>
          <w:trHeight w:val="203"/>
        </w:trPr>
        <w:tc>
          <w:tcPr>
            <w:tcW w:w="554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by) financing activities</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23,118</w:t>
            </w:r>
          </w:p>
        </w:tc>
        <w:tc>
          <w:tcPr>
            <w:tcW w:w="4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(28,978)</w:t>
            </w:r>
          </w:p>
        </w:tc>
      </w:tr>
      <w:tr>
        <w:trPr>
          <w:trHeight w:val="203"/>
        </w:trPr>
        <w:tc>
          <w:tcPr>
            <w:tcW w:w="554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changes on cash</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1,081</w:t>
            </w:r>
          </w:p>
        </w:tc>
        <w:tc>
          <w:tcPr>
            <w:tcW w:w="4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987</w:t>
            </w:r>
          </w:p>
        </w:tc>
      </w:tr>
      <w:tr>
        <w:trPr>
          <w:trHeight w:val="203"/>
        </w:trPr>
        <w:tc>
          <w:tcPr>
            <w:tcW w:w="554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w w:val="98"/>
              </w:rPr>
              <w:t>Net increase (decrease) in cash and cash equivalents</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142,296</w:t>
            </w:r>
          </w:p>
        </w:tc>
        <w:tc>
          <w:tcPr>
            <w:tcW w:w="48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(27,896)</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263,331</w:t>
            </w:r>
          </w:p>
        </w:tc>
        <w:tc>
          <w:tcPr>
            <w:tcW w:w="48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289,601</w:t>
            </w:r>
          </w:p>
        </w:tc>
      </w:tr>
      <w:tr>
        <w:trPr>
          <w:trHeight w:val="203"/>
        </w:trPr>
        <w:tc>
          <w:tcPr>
            <w:tcW w:w="554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$ 405,627</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$ 261,705</w:t>
            </w:r>
          </w:p>
        </w:tc>
      </w:tr>
      <w:tr>
        <w:trPr>
          <w:trHeight w:val="203"/>
        </w:trPr>
        <w:tc>
          <w:tcPr>
            <w:tcW w:w="554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540" w:type="dxa"/>
            <w:vAlign w:val="bottom"/>
          </w:tcPr>
          <w:p>
            <w:pPr>
              <w:spacing w:after="0"/>
              <w:rPr>
                <w:sz w:val="20"/>
                <w:szCs w:val="20"/>
                <w:color w:val="auto"/>
              </w:rPr>
            </w:pPr>
            <w:r>
              <w:rPr>
                <w:rFonts w:ascii="Courier New" w:cs="Courier New" w:eastAsia="Courier New" w:hAnsi="Courier New"/>
                <w:sz w:val="18"/>
                <w:szCs w:val="18"/>
                <w:color w:val="auto"/>
              </w:rPr>
              <w:t>SUPPLEMENTAL INFORMATION Non-cash disclosure:</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Conversion of 3 1/2% Subordinated Notes</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 common stock</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$ 229,952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554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46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Restated to reflect change in accounting principle. See accompanying notes.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w:t>
      </w:r>
    </w:p>
    <w:p>
      <w:pPr>
        <w:spacing w:after="0"/>
        <w:rPr>
          <w:sz w:val="20"/>
          <w:szCs w:val="20"/>
          <w:color w:val="auto"/>
        </w:rPr>
      </w:pPr>
      <w:r>
        <w:rPr>
          <w:rFonts w:ascii="Courier New" w:cs="Courier New" w:eastAsia="Courier New" w:hAnsi="Courier New"/>
          <w:sz w:val="18"/>
          <w:szCs w:val="18"/>
          <w:color w:val="auto"/>
        </w:rPr>
        <w:t>July 31, 1999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Note 1 - In the opinion of management, the information furnished in the accompanying financial statements reflects all adjustments which are necessary to fairly state the results for this interim period and should be read in conjunction with the Company's Annual Report to Stockholders on Form 10-K for the fiscal year ended October 31, 1998, (1998 Annual Report).</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Note 2 - Certain amounts reported in the previous year have been reclassified to conform to the 1999 presentation.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Investments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first quarter of fiscal 1999 Analog Devices Inc., (the Company), completed the sale of approximately 78% of its equity ownership in WaferTech, LLC, its joint venture with Taiwan Semiconductor Manufacturing Company and other investors. As a result of this sale, the Company's equity ownership in WaferTech was reduced from 18% to 4%. The Company sold 78% of its investment to other WaferTech partners and received $105 million in cash, which was equal to the carrying value of the 14% equity ownership at October 31, 1998.</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Comprehensive Income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first quarter of fiscal 1999 the Company adopted Statement of Financial Accounting Standards No. 130, "Reporting Comprehensive Income", (FAS 130). FAS 130 establishes new rules for the reporting and display of comprehensive income and its components. Components of comprehensive income include net income and certain transactions that have generally been reported in the consolidated statement of shareholders' equity. FAS 130 requires that these transactions be included with net income and presented separately as comprehensive income in the financial statements. The adoption of this Statement had no impact on the Company's net income or shareholders' equity and, during the periods presented, the Company had no material transactions other than net income that should be reported as comprehensive income.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 Earnings Per Share</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future issues of common stock relating to stock option programs and convertible debt financing. In calculating diluted earnings per share, the dilutive effect of stock options is computed using the average market price for the period. The following table sets forth the computation of basic and diluted earnings per share:</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5640" w:type="dxa"/>
            <w:vAlign w:val="bottom"/>
          </w:tcPr>
          <w:p>
            <w:pPr>
              <w:ind w:left="320"/>
              <w:spacing w:after="0"/>
              <w:rPr>
                <w:sz w:val="20"/>
                <w:szCs w:val="20"/>
                <w:color w:val="auto"/>
              </w:rPr>
            </w:pPr>
            <w:r>
              <w:rPr>
                <w:rFonts w:ascii="Courier New" w:cs="Courier New" w:eastAsia="Courier New" w:hAnsi="Courier New"/>
                <w:sz w:val="18"/>
                <w:szCs w:val="18"/>
                <w:color w:val="auto"/>
              </w:rPr>
              <w:t>9</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10"/>
        </w:trPr>
        <w:tc>
          <w:tcPr>
            <w:tcW w:w="5640" w:type="dxa"/>
            <w:vAlign w:val="bottom"/>
          </w:tcPr>
          <w:p>
            <w:pPr>
              <w:spacing w:after="0"/>
              <w:rPr>
                <w:sz w:val="20"/>
                <w:szCs w:val="20"/>
                <w:color w:val="auto"/>
              </w:rPr>
            </w:pPr>
            <w:r>
              <w:rPr>
                <w:rFonts w:ascii="Courier New" w:cs="Courier New" w:eastAsia="Courier New" w:hAnsi="Courier New"/>
                <w:sz w:val="18"/>
                <w:szCs w:val="18"/>
                <w:color w:val="auto"/>
              </w:rPr>
              <w:t>Note 5 - Earnings Per Share (continued)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08"/>
        </w:trPr>
        <w:tc>
          <w:tcPr>
            <w:tcW w:w="5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w w:val="96"/>
              </w:rPr>
              <w:t>Three Months Ended</w:t>
            </w:r>
          </w:p>
        </w:tc>
      </w:tr>
      <w:tr>
        <w:trPr>
          <w:trHeight w:val="203"/>
        </w:trPr>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674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July 31, 1999</w:t>
            </w:r>
          </w:p>
        </w:tc>
        <w:tc>
          <w:tcPr>
            <w:tcW w:w="1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August 1, 1998*</w:t>
            </w:r>
          </w:p>
        </w:tc>
      </w:tr>
      <w:tr>
        <w:trPr>
          <w:trHeight w:val="203"/>
        </w:trPr>
        <w:tc>
          <w:tcPr>
            <w:tcW w:w="6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Basic:</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5640" w:type="dxa"/>
            <w:vAlign w:val="bottom"/>
          </w:tcPr>
          <w:p>
            <w:pPr>
              <w:ind w:left="120"/>
              <w:spacing w:after="0"/>
              <w:rPr>
                <w:sz w:val="20"/>
                <w:szCs w:val="20"/>
                <w:color w:val="auto"/>
              </w:rPr>
            </w:pPr>
            <w:r>
              <w:rPr>
                <w:rFonts w:ascii="Courier New" w:cs="Courier New" w:eastAsia="Courier New" w:hAnsi="Courier New"/>
                <w:sz w:val="18"/>
                <w:szCs w:val="18"/>
                <w:color w:val="auto"/>
              </w:rPr>
              <w:t>Net income</w:t>
            </w:r>
          </w:p>
        </w:tc>
        <w:tc>
          <w:tcPr>
            <w:tcW w:w="11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$ 54,601</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9,108</w:t>
            </w:r>
          </w:p>
        </w:tc>
      </w:tr>
      <w:tr>
        <w:trPr>
          <w:trHeight w:val="203"/>
        </w:trPr>
        <w:tc>
          <w:tcPr>
            <w:tcW w:w="5640" w:type="dxa"/>
            <w:vAlign w:val="bottom"/>
          </w:tcPr>
          <w:p>
            <w:pPr>
              <w:spacing w:after="0"/>
              <w:rPr>
                <w:sz w:val="17"/>
                <w:szCs w:val="17"/>
                <w:color w:val="auto"/>
              </w:rPr>
            </w:pP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ind w:left="120"/>
              <w:spacing w:after="0"/>
              <w:rPr>
                <w:sz w:val="20"/>
                <w:szCs w:val="20"/>
                <w:color w:val="auto"/>
              </w:rPr>
            </w:pPr>
            <w:r>
              <w:rPr>
                <w:rFonts w:ascii="Courier New" w:cs="Courier New" w:eastAsia="Courier New" w:hAnsi="Courier New"/>
                <w:sz w:val="18"/>
                <w:szCs w:val="18"/>
                <w:color w:val="auto"/>
              </w:rPr>
              <w:t>Weighted shares outstanding</w:t>
            </w:r>
          </w:p>
        </w:tc>
        <w:tc>
          <w:tcPr>
            <w:tcW w:w="1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172,710</w:t>
            </w:r>
          </w:p>
        </w:tc>
        <w:tc>
          <w:tcPr>
            <w:tcW w:w="64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162,451</w:t>
            </w:r>
          </w:p>
        </w:tc>
      </w:tr>
      <w:tr>
        <w:trPr>
          <w:trHeight w:val="203"/>
        </w:trPr>
        <w:tc>
          <w:tcPr>
            <w:tcW w:w="5640" w:type="dxa"/>
            <w:vAlign w:val="bottom"/>
          </w:tcPr>
          <w:p>
            <w:pPr>
              <w:spacing w:after="0"/>
              <w:rPr>
                <w:sz w:val="17"/>
                <w:szCs w:val="17"/>
                <w:color w:val="auto"/>
              </w:rPr>
            </w:pP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ind w:left="120"/>
              <w:spacing w:after="0"/>
              <w:rPr>
                <w:sz w:val="20"/>
                <w:szCs w:val="20"/>
                <w:color w:val="auto"/>
              </w:rPr>
            </w:pPr>
            <w:r>
              <w:rPr>
                <w:rFonts w:ascii="Courier New" w:cs="Courier New" w:eastAsia="Courier New" w:hAnsi="Courier New"/>
                <w:sz w:val="18"/>
                <w:szCs w:val="18"/>
                <w:color w:val="auto"/>
              </w:rPr>
              <w:t>Earnings per share</w:t>
            </w:r>
          </w:p>
        </w:tc>
        <w:tc>
          <w:tcPr>
            <w:tcW w:w="1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$0.32</w:t>
            </w:r>
          </w:p>
        </w:tc>
        <w:tc>
          <w:tcPr>
            <w:tcW w:w="64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$0.05</w:t>
            </w:r>
          </w:p>
        </w:tc>
      </w:tr>
      <w:tr>
        <w:trPr>
          <w:trHeight w:val="203"/>
        </w:trPr>
        <w:tc>
          <w:tcPr>
            <w:tcW w:w="5640" w:type="dxa"/>
            <w:vAlign w:val="bottom"/>
          </w:tcPr>
          <w:p>
            <w:pPr>
              <w:spacing w:after="0"/>
              <w:rPr>
                <w:sz w:val="17"/>
                <w:szCs w:val="17"/>
                <w:color w:val="auto"/>
              </w:rPr>
            </w:pP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Diluted: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$ 54,601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9,108</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1,411</w:t>
            </w:r>
          </w:p>
        </w:tc>
      </w:tr>
      <w:tr>
        <w:trPr>
          <w:trHeight w:val="203"/>
        </w:trPr>
        <w:tc>
          <w:tcPr>
            <w:tcW w:w="5640" w:type="dxa"/>
            <w:vAlign w:val="bottom"/>
          </w:tcPr>
          <w:p>
            <w:pPr>
              <w:spacing w:after="0"/>
              <w:rPr>
                <w:sz w:val="17"/>
                <w:szCs w:val="17"/>
                <w:color w:val="auto"/>
              </w:rPr>
            </w:pP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ind w:left="120"/>
              <w:spacing w:after="0"/>
              <w:rPr>
                <w:sz w:val="20"/>
                <w:szCs w:val="20"/>
                <w:color w:val="auto"/>
              </w:rPr>
            </w:pPr>
            <w:r>
              <w:rPr>
                <w:rFonts w:ascii="Courier New" w:cs="Courier New" w:eastAsia="Courier New" w:hAnsi="Courier New"/>
                <w:sz w:val="18"/>
                <w:szCs w:val="18"/>
                <w:color w:val="auto"/>
              </w:rPr>
              <w:t>Earnings available for common stock</w:t>
            </w:r>
          </w:p>
        </w:tc>
        <w:tc>
          <w:tcPr>
            <w:tcW w:w="11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$ 54,601</w:t>
            </w:r>
          </w:p>
        </w:tc>
        <w:tc>
          <w:tcPr>
            <w:tcW w:w="17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$ 10,519</w:t>
            </w:r>
          </w:p>
        </w:tc>
      </w:tr>
      <w:tr>
        <w:trPr>
          <w:trHeight w:val="203"/>
        </w:trPr>
        <w:tc>
          <w:tcPr>
            <w:tcW w:w="5640" w:type="dxa"/>
            <w:vAlign w:val="bottom"/>
          </w:tcPr>
          <w:p>
            <w:pPr>
              <w:spacing w:after="0"/>
              <w:rPr>
                <w:sz w:val="17"/>
                <w:szCs w:val="17"/>
                <w:color w:val="auto"/>
              </w:rPr>
            </w:pP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ind w:left="120"/>
              <w:spacing w:after="0"/>
              <w:rPr>
                <w:sz w:val="20"/>
                <w:szCs w:val="20"/>
                <w:color w:val="auto"/>
              </w:rPr>
            </w:pPr>
            <w:r>
              <w:rPr>
                <w:rFonts w:ascii="Courier New" w:cs="Courier New" w:eastAsia="Courier New" w:hAnsi="Courier New"/>
                <w:sz w:val="18"/>
                <w:szCs w:val="18"/>
                <w:color w:val="auto"/>
              </w:rPr>
              <w:t>Weighted shares outstanding</w:t>
            </w:r>
          </w:p>
        </w:tc>
        <w:tc>
          <w:tcPr>
            <w:tcW w:w="1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172,710</w:t>
            </w:r>
          </w:p>
        </w:tc>
        <w:tc>
          <w:tcPr>
            <w:tcW w:w="64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162,451</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Assumed exercise of common stock equivalents</w:t>
            </w: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10,770</w:t>
            </w:r>
          </w:p>
        </w:tc>
        <w:tc>
          <w:tcPr>
            <w:tcW w:w="6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5,111</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10,984</w:t>
            </w:r>
          </w:p>
        </w:tc>
      </w:tr>
      <w:tr>
        <w:trPr>
          <w:trHeight w:val="203"/>
        </w:trPr>
        <w:tc>
          <w:tcPr>
            <w:tcW w:w="5640" w:type="dxa"/>
            <w:vAlign w:val="bottom"/>
          </w:tcPr>
          <w:p>
            <w:pPr>
              <w:spacing w:after="0"/>
              <w:rPr>
                <w:sz w:val="17"/>
                <w:szCs w:val="17"/>
                <w:color w:val="auto"/>
              </w:rPr>
            </w:pP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Weighted average common and common equivalent shares</w:t>
            </w: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183,480</w:t>
            </w:r>
          </w:p>
        </w:tc>
        <w:tc>
          <w:tcPr>
            <w:tcW w:w="6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178,546</w:t>
            </w:r>
          </w:p>
        </w:tc>
      </w:tr>
      <w:tr>
        <w:trPr>
          <w:trHeight w:val="203"/>
        </w:trPr>
        <w:tc>
          <w:tcPr>
            <w:tcW w:w="5640" w:type="dxa"/>
            <w:vAlign w:val="bottom"/>
          </w:tcPr>
          <w:p>
            <w:pPr>
              <w:spacing w:after="0"/>
              <w:rPr>
                <w:sz w:val="17"/>
                <w:szCs w:val="17"/>
                <w:color w:val="auto"/>
              </w:rPr>
            </w:pP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ind w:left="120"/>
              <w:spacing w:after="0"/>
              <w:rPr>
                <w:sz w:val="20"/>
                <w:szCs w:val="20"/>
                <w:color w:val="auto"/>
              </w:rPr>
            </w:pPr>
            <w:r>
              <w:rPr>
                <w:rFonts w:ascii="Courier New" w:cs="Courier New" w:eastAsia="Courier New" w:hAnsi="Courier New"/>
                <w:sz w:val="18"/>
                <w:szCs w:val="18"/>
                <w:color w:val="auto"/>
              </w:rPr>
              <w:t>Earnings per share</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0.30</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0.06</w:t>
            </w:r>
          </w:p>
        </w:tc>
      </w:tr>
      <w:tr>
        <w:trPr>
          <w:trHeight w:val="203"/>
        </w:trPr>
        <w:tc>
          <w:tcPr>
            <w:tcW w:w="5640" w:type="dxa"/>
            <w:vAlign w:val="bottom"/>
          </w:tcPr>
          <w:p>
            <w:pPr>
              <w:spacing w:after="0"/>
              <w:rPr>
                <w:sz w:val="17"/>
                <w:szCs w:val="17"/>
                <w:color w:val="auto"/>
              </w:rPr>
            </w:pP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July 31, 1999</w:t>
            </w:r>
          </w:p>
        </w:tc>
        <w:tc>
          <w:tcPr>
            <w:tcW w:w="1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August 1, 1998*</w:t>
            </w:r>
          </w:p>
        </w:tc>
      </w:tr>
      <w:tr>
        <w:trPr>
          <w:trHeight w:val="203"/>
        </w:trPr>
        <w:tc>
          <w:tcPr>
            <w:tcW w:w="67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before cumulative effect of change in</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$123,601</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$ 93,152</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Cumulative effect of change in accounting principle</w:t>
            </w: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(37,080)</w:t>
            </w:r>
          </w:p>
        </w:tc>
      </w:tr>
      <w:tr>
        <w:trPr>
          <w:trHeight w:val="203"/>
        </w:trPr>
        <w:tc>
          <w:tcPr>
            <w:tcW w:w="5640" w:type="dxa"/>
            <w:vAlign w:val="bottom"/>
          </w:tcPr>
          <w:p>
            <w:pPr>
              <w:spacing w:after="0"/>
              <w:rPr>
                <w:sz w:val="17"/>
                <w:szCs w:val="17"/>
                <w:color w:val="auto"/>
              </w:rPr>
            </w:pP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$123,601</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$ 56,072</w:t>
            </w:r>
          </w:p>
        </w:tc>
      </w:tr>
      <w:tr>
        <w:trPr>
          <w:trHeight w:val="203"/>
        </w:trPr>
        <w:tc>
          <w:tcPr>
            <w:tcW w:w="5640" w:type="dxa"/>
            <w:vAlign w:val="bottom"/>
          </w:tcPr>
          <w:p>
            <w:pPr>
              <w:spacing w:after="0"/>
              <w:rPr>
                <w:sz w:val="17"/>
                <w:szCs w:val="17"/>
                <w:color w:val="auto"/>
              </w:rPr>
            </w:pP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ind w:left="220"/>
              <w:spacing w:after="0"/>
              <w:rPr>
                <w:sz w:val="20"/>
                <w:szCs w:val="20"/>
                <w:color w:val="auto"/>
              </w:rPr>
            </w:pPr>
            <w:r>
              <w:rPr>
                <w:rFonts w:ascii="Courier New" w:cs="Courier New" w:eastAsia="Courier New" w:hAnsi="Courier New"/>
                <w:sz w:val="18"/>
                <w:szCs w:val="18"/>
                <w:color w:val="auto"/>
              </w:rPr>
              <w:t>Weighted shares outstanding</w:t>
            </w:r>
          </w:p>
        </w:tc>
        <w:tc>
          <w:tcPr>
            <w:tcW w:w="1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166,431</w:t>
            </w:r>
          </w:p>
        </w:tc>
        <w:tc>
          <w:tcPr>
            <w:tcW w:w="64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161,866</w:t>
            </w:r>
          </w:p>
        </w:tc>
      </w:tr>
      <w:tr>
        <w:trPr>
          <w:trHeight w:val="203"/>
        </w:trPr>
        <w:tc>
          <w:tcPr>
            <w:tcW w:w="5640" w:type="dxa"/>
            <w:vAlign w:val="bottom"/>
          </w:tcPr>
          <w:p>
            <w:pPr>
              <w:spacing w:after="0"/>
              <w:rPr>
                <w:sz w:val="17"/>
                <w:szCs w:val="17"/>
                <w:color w:val="auto"/>
              </w:rPr>
            </w:pP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ind w:left="220"/>
              <w:spacing w:after="0"/>
              <w:rPr>
                <w:sz w:val="20"/>
                <w:szCs w:val="20"/>
                <w:color w:val="auto"/>
              </w:rPr>
            </w:pPr>
            <w:r>
              <w:rPr>
                <w:rFonts w:ascii="Courier New" w:cs="Courier New" w:eastAsia="Courier New" w:hAnsi="Courier New"/>
                <w:sz w:val="18"/>
                <w:szCs w:val="18"/>
                <w:color w:val="auto"/>
              </w:rPr>
              <w:t>Earnings per share:</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before cumulative effect of change in</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$0.74</w:t>
            </w:r>
          </w:p>
        </w:tc>
        <w:tc>
          <w:tcPr>
            <w:tcW w:w="6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$0.58</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Cumulative effect of change in accounting principle</w:t>
            </w:r>
          </w:p>
        </w:tc>
        <w:tc>
          <w:tcPr>
            <w:tcW w:w="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(0.23)</w:t>
            </w:r>
          </w:p>
        </w:tc>
      </w:tr>
      <w:tr>
        <w:trPr>
          <w:trHeight w:val="203"/>
        </w:trPr>
        <w:tc>
          <w:tcPr>
            <w:tcW w:w="5640" w:type="dxa"/>
            <w:vAlign w:val="bottom"/>
          </w:tcPr>
          <w:p>
            <w:pPr>
              <w:spacing w:after="0"/>
              <w:rPr>
                <w:sz w:val="17"/>
                <w:szCs w:val="17"/>
                <w:color w:val="auto"/>
              </w:rPr>
            </w:pP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0.74</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0.35</w:t>
            </w:r>
          </w:p>
        </w:tc>
      </w:tr>
      <w:tr>
        <w:trPr>
          <w:trHeight w:val="203"/>
        </w:trPr>
        <w:tc>
          <w:tcPr>
            <w:tcW w:w="5640" w:type="dxa"/>
            <w:vAlign w:val="bottom"/>
          </w:tcPr>
          <w:p>
            <w:pPr>
              <w:spacing w:after="0"/>
              <w:rPr>
                <w:sz w:val="17"/>
                <w:szCs w:val="17"/>
                <w:color w:val="auto"/>
              </w:rPr>
            </w:pPr>
          </w:p>
        </w:tc>
        <w:tc>
          <w:tcPr>
            <w:tcW w:w="1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5640" w:type="dxa"/>
            <w:vAlign w:val="bottom"/>
          </w:tcPr>
          <w:p>
            <w:pPr>
              <w:ind w:left="320"/>
              <w:spacing w:after="0"/>
              <w:rPr>
                <w:sz w:val="20"/>
                <w:szCs w:val="20"/>
                <w:color w:val="auto"/>
              </w:rPr>
            </w:pPr>
            <w:r>
              <w:rPr>
                <w:rFonts w:ascii="Courier New" w:cs="Courier New" w:eastAsia="Courier New" w:hAnsi="Courier New"/>
                <w:sz w:val="18"/>
                <w:szCs w:val="18"/>
                <w:color w:val="auto"/>
              </w:rPr>
              <w:t>10</w:t>
            </w: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608"/>
        </w:trPr>
        <w:tc>
          <w:tcPr>
            <w:tcW w:w="5640" w:type="dxa"/>
            <w:vAlign w:val="bottom"/>
          </w:tcPr>
          <w:p>
            <w:pPr>
              <w:spacing w:after="0"/>
              <w:rPr>
                <w:sz w:val="20"/>
                <w:szCs w:val="20"/>
                <w:color w:val="auto"/>
              </w:rPr>
            </w:pPr>
            <w:r>
              <w:rPr>
                <w:rFonts w:ascii="Courier New" w:cs="Courier New" w:eastAsia="Courier New" w:hAnsi="Courier New"/>
                <w:sz w:val="18"/>
                <w:szCs w:val="18"/>
                <w:color w:val="auto"/>
              </w:rPr>
              <w:t>Note 5 - Earnings Per Share (continued)</w:t>
            </w: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08"/>
        </w:trPr>
        <w:tc>
          <w:tcPr>
            <w:tcW w:w="5640" w:type="dxa"/>
            <w:vAlign w:val="bottom"/>
          </w:tcPr>
          <w:p>
            <w:pPr>
              <w:spacing w:after="0"/>
              <w:rPr>
                <w:sz w:val="24"/>
                <w:szCs w:val="24"/>
                <w:color w:val="auto"/>
              </w:rPr>
            </w:pPr>
          </w:p>
        </w:tc>
        <w:tc>
          <w:tcPr>
            <w:tcW w:w="280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5640" w:type="dxa"/>
            <w:vAlign w:val="bottom"/>
          </w:tcPr>
          <w:p>
            <w:pPr>
              <w:spacing w:after="0"/>
              <w:rPr>
                <w:sz w:val="17"/>
                <w:szCs w:val="17"/>
                <w:color w:val="auto"/>
              </w:rPr>
            </w:pPr>
          </w:p>
        </w:tc>
        <w:tc>
          <w:tcPr>
            <w:tcW w:w="280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gridSpan w:val="2"/>
          </w:tcPr>
          <w:p>
            <w:pPr>
              <w:ind w:left="5280"/>
              <w:spacing w:after="0"/>
              <w:rPr>
                <w:sz w:val="20"/>
                <w:szCs w:val="20"/>
                <w:color w:val="auto"/>
              </w:rPr>
            </w:pPr>
            <w:r>
              <w:rPr>
                <w:rFonts w:ascii="Courier New" w:cs="Courier New" w:eastAsia="Courier New" w:hAnsi="Courier New"/>
                <w:sz w:val="18"/>
                <w:szCs w:val="18"/>
                <w:color w:val="auto"/>
              </w:rPr>
              <w:t>July 31, 1999</w:t>
            </w:r>
          </w:p>
        </w:tc>
        <w:tc>
          <w:tcPr>
            <w:tcW w:w="1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August 1, 1998*</w:t>
            </w:r>
          </w:p>
        </w:tc>
      </w:tr>
      <w:tr>
        <w:trPr>
          <w:trHeight w:val="203"/>
        </w:trPr>
        <w:tc>
          <w:tcPr>
            <w:tcW w:w="6740" w:type="dxa"/>
            <w:vAlign w:val="bottom"/>
            <w:gridSpan w:val="2"/>
          </w:tcPr>
          <w:p>
            <w:pPr>
              <w:ind w:left="528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640" w:type="dxa"/>
            <w:vAlign w:val="bottom"/>
          </w:tcPr>
          <w:p>
            <w:pPr>
              <w:spacing w:after="0"/>
              <w:rPr>
                <w:sz w:val="20"/>
                <w:szCs w:val="20"/>
                <w:color w:val="auto"/>
              </w:rPr>
            </w:pPr>
            <w:r>
              <w:rPr>
                <w:rFonts w:ascii="Courier New" w:cs="Courier New" w:eastAsia="Courier New" w:hAnsi="Courier New"/>
                <w:sz w:val="18"/>
                <w:szCs w:val="18"/>
                <w:color w:val="auto"/>
              </w:rPr>
              <w:t>Diluted:</w:t>
            </w: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before cumulative effect of change in</w:t>
            </w: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$123,601</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$ 93,152</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1,906</w:t>
            </w:r>
          </w:p>
        </w:tc>
        <w:tc>
          <w:tcPr>
            <w:tcW w:w="7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4,275</w:t>
            </w:r>
          </w:p>
        </w:tc>
      </w:tr>
      <w:tr>
        <w:trPr>
          <w:trHeight w:val="203"/>
        </w:trPr>
        <w:tc>
          <w:tcPr>
            <w:tcW w:w="564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before cumulative effect of change in</w:t>
            </w: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accounting principle including the effect</w:t>
            </w: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dilutive securities</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125,507</w:t>
            </w:r>
          </w:p>
        </w:tc>
        <w:tc>
          <w:tcPr>
            <w:tcW w:w="7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97,427</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Cumulative effect of change in accounting principle</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(37,080)</w:t>
            </w:r>
          </w:p>
        </w:tc>
      </w:tr>
      <w:tr>
        <w:trPr>
          <w:trHeight w:val="203"/>
        </w:trPr>
        <w:tc>
          <w:tcPr>
            <w:tcW w:w="564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$125,507</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$ 60,347</w:t>
            </w:r>
          </w:p>
        </w:tc>
      </w:tr>
      <w:tr>
        <w:trPr>
          <w:trHeight w:val="203"/>
        </w:trPr>
        <w:tc>
          <w:tcPr>
            <w:tcW w:w="564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ind w:left="120"/>
              <w:spacing w:after="0"/>
              <w:rPr>
                <w:sz w:val="20"/>
                <w:szCs w:val="20"/>
                <w:color w:val="auto"/>
              </w:rPr>
            </w:pPr>
            <w:r>
              <w:rPr>
                <w:rFonts w:ascii="Courier New" w:cs="Courier New" w:eastAsia="Courier New" w:hAnsi="Courier New"/>
                <w:sz w:val="18"/>
                <w:szCs w:val="18"/>
                <w:color w:val="auto"/>
              </w:rPr>
              <w:t>Weighted shares outstanding</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166,431</w:t>
            </w:r>
          </w:p>
        </w:tc>
        <w:tc>
          <w:tcPr>
            <w:tcW w:w="74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161,866</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Assumed exercise of common stock equivalents</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13,914</w:t>
            </w:r>
          </w:p>
        </w:tc>
        <w:tc>
          <w:tcPr>
            <w:tcW w:w="7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5,856</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10,984</w:t>
            </w:r>
          </w:p>
        </w:tc>
      </w:tr>
      <w:tr>
        <w:trPr>
          <w:trHeight w:val="203"/>
        </w:trPr>
        <w:tc>
          <w:tcPr>
            <w:tcW w:w="564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Weighted average common and common equivalent shares</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180,345</w:t>
            </w:r>
          </w:p>
        </w:tc>
        <w:tc>
          <w:tcPr>
            <w:tcW w:w="7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178,706</w:t>
            </w:r>
          </w:p>
        </w:tc>
      </w:tr>
      <w:tr>
        <w:trPr>
          <w:trHeight w:val="203"/>
        </w:trPr>
        <w:tc>
          <w:tcPr>
            <w:tcW w:w="564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ind w:left="120"/>
              <w:spacing w:after="0"/>
              <w:rPr>
                <w:sz w:val="20"/>
                <w:szCs w:val="20"/>
                <w:color w:val="auto"/>
              </w:rPr>
            </w:pPr>
            <w:r>
              <w:rPr>
                <w:rFonts w:ascii="Courier New" w:cs="Courier New" w:eastAsia="Courier New" w:hAnsi="Courier New"/>
                <w:sz w:val="18"/>
                <w:szCs w:val="18"/>
                <w:color w:val="auto"/>
              </w:rPr>
              <w:t>Earnings per share:</w:t>
            </w: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before cumulative effect of change in</w:t>
            </w: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$0.70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0.55</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Cumulative effect of change in accounting principle</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(0.21)</w:t>
            </w:r>
          </w:p>
        </w:tc>
      </w:tr>
      <w:tr>
        <w:trPr>
          <w:trHeight w:val="203"/>
        </w:trPr>
        <w:tc>
          <w:tcPr>
            <w:tcW w:w="564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$0.70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0.34</w:t>
            </w:r>
          </w:p>
        </w:tc>
      </w:tr>
      <w:tr>
        <w:trPr>
          <w:trHeight w:val="203"/>
        </w:trPr>
        <w:tc>
          <w:tcPr>
            <w:tcW w:w="564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Restated to reflect change in accounting principle.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 Convertible Debt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of March 11, 1999 the Company had converted $229,967,000 of the $230 million principal amount of its 3 1/2% Convertible Subordinated Notes (Notes) due 2000 into an aggregate of 10,983,163 shares of the Company's common stock, and the remaining Notes were redeemed by a cash payment of $33,000. This conversion did not have an impact on diluted earnings per share.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7 - Acquisitions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During the second quarter of fiscal 1999, the Company acquired two DSP tools companies, White Mountain DSP, Inc. of Nashua, New Hampshire and Edinburgh Portable Compilers Limited, of Edinburgh, Scotland. The total cost of these acquisitions was approximately $21 million in cash and $2 million in common stock of the Company, with additional contingent cash consideration up to a maximum of $10 million to be paid if the acquired companies achieve certain revenue and operational objectives. These acquisitions were accounted for as purchases. The excess of the purchase price over the fair value of assets acquired was allocated to existing technology, workforce in place, and tradenames, which are being amortized over periods ranging from six to ten years and goodwill which is being written off on a straight line basis over ten years. In connection with these acquisitions, the Company recorded a charge of $5.1 million for the write-off of in-process research &amp; development.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information should be read in conjunction with the unaudited consolidated condensed financial statements and the notes thereto included in Item 1 of this Quarterly Report and the audited consolidated financial statements and notes thereto and Management's Analysis for the fiscal year ended October 31, 1998, contained in the Company's 1998 Annual Report.</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following discussion and analysis may contain forward-looking statements. Such statements are subject to certain risks and uncertainties, including those discussed below or in the Company's 1998 Annual Report, that could cause actual results to differ materially from the Company's expectations. Readers are cautioned not to place undue reliance on any forward-looking statements, as they reflect management's analysis only as of the date hereof. The Company undertakes no obligation to release the results of any revision to these forward-looking statements which may be made to reflect events or circumstances after the date hereof or to reflect the occurrence of unanticipated events.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sales for the third quarter of fiscal 1999 were $379 million, an increase of 28% from the third quarter of fiscal 1998. Net sales for the first three quarters of fiscal 1999 were $1,019 million, an increase of 9% from the comparable period of fiscal 1998. For the quarter and the nine months ended July 31, 1999 the growth was principally attributable to increased sales in both the OEM and distributor channels. Sales to OEM customers in the communications, computer and contract manufacturing markets increased more than 50% from the first three quarters of fiscal 1998. This increase was partially offset by a decline of more than 60% in automatic test equipment (ATE) revenue compared to the three quarters ended August 1, 1998.</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decline in ATE sales primarily impacted the North American OEM channel, causing sales to North American customers to decrease to 46% of total sales for the first three quarters of fiscal 1999, compared to 50% of total sales for the comparable period of fiscal 1998. Sales in Europe declined by 6% and sales in Japan rose 15% compared to the comparable nine months of fiscal 1998. Increased Southeast Asian sales for the quarter and nine-month period ended July 31, 1999 resulted primarily from increased sales of analog ICs and communications products.</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gross margin for the third quarter of fiscal 1999 was 49.7%, compared to 45.3% for the third quarter of fiscal 1998. The gross margin was 48.0% for the first three quarters of fiscal 1999 compared to 48.9% for the first three quarters of fiscal 1998. The increase in gross margin in the third quarter was primarily attributable to higher sales, tight control of internal manufacturing spending, along with reduced costs due to the restructuring programs initiated in fiscal 1998. The decrease in the gross margin for the nine-month period was mainly attributable to the lower production levels experienced in the first quarter of fiscal 1999 followed by a return to more customary levels during the second quarter of fiscal 1999.</w:t>
      </w: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Research and development (R&amp;D) expenses were $67 million and $182 million for the three months and nine months ended July 31, 1999, compared to $55 million and $166 million for the corresponding periods of fiscal 1998. As a percentage of sales R&amp;D spending decreased during the third quarter of fiscal 1999 to 17.7% from 18.6% in the third quarter of fiscal 1998 and for the nine-month period remained flat at 17.8% of sales. The quarter-to-quarter percentage decline resulted from the Company's continued efforts to reduce R&amp;D spending to a targeted range of 15% to 16% of sales. The Company believes that a continued commitment to research and development is essential in order to maintain product leadership with its existing products and to provide innovative new product offerings, and therefore expects to continue to make significant R&amp;D investments in the future.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2"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Selling, marketing, general and administrative (SMG&amp;A) expenses for the third quarter of fiscal 1999 were $55 million, an increase of $7 million from the $48 million reported for the third quarter of fiscal 1998. However, as a percentage of sales SMG&amp;A decreased from 16.3% for the third quarter of fiscal 1998 to</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14.4% for the third quarter of fiscal 1999. SMG&amp;A expenses for the nine months ended July 31, 1999 were $150 million, compared to $161 million for the nine months ended August 1, 1998. During the first half of fiscal 1998 the Company incurred a charge of $8 million related to collection difficulties the Company experienced with customers whose business and financing had been adversely affected by the Southeast Asia economic situation, as well as a charge of $6 million related to the realignment of the Company's sales and distribution organizations.</w:t>
      </w:r>
    </w:p>
    <w:p>
      <w:pPr>
        <w:spacing w:after="0" w:line="212"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 effective income tax rate increased to 24% for the third quarter and 23% for the first nine-month period of fiscal 1999 from 16% for the third quarter and</w:t>
      </w:r>
    </w:p>
    <w:p>
      <w:pPr>
        <w:ind w:right="1879"/>
        <w:spacing w:after="0" w:line="235" w:lineRule="auto"/>
        <w:rPr>
          <w:sz w:val="20"/>
          <w:szCs w:val="20"/>
          <w:color w:val="auto"/>
        </w:rPr>
      </w:pPr>
      <w:r>
        <w:rPr>
          <w:rFonts w:ascii="Courier New" w:cs="Courier New" w:eastAsia="Courier New" w:hAnsi="Courier New"/>
          <w:sz w:val="18"/>
          <w:szCs w:val="18"/>
          <w:color w:val="auto"/>
        </w:rPr>
        <w:t>22% for the first nine-month period of fiscal 1998 due to a shift in the mix of worldwide profits.</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the fourth quarter of fiscal 1998, the Company changed its accounting method for recognizing revenue on all shipments to international distributors and certain shipments to domestic distributors. The change was made with an effective date of November 2, 1997 (the beginning of fiscal 1998). While the Company has historically deferred revenue on most shipments made to domestic distributors until the products were resold by the distributors to end users, it recognized revenue on shipments to international distributors and certain shipments to domestic distributors upon shipment to the distributors, net of appropriate reserves for returns and allowances. As a result of this accounting change, revenue recognition on shipments to distributors worldwide is deferred until the products are resold to the end users. The Company believes that deferral of revenue on shipments to distributors and related gross margin until the product is shipped by the distributors is a more meaningful measurement of results of operations because it better conforms to the substance of the transaction considering the changing business environment in the international marketplace; is consistent with industry practice; and will, accordingly, better focus the entire organization on sales to end users and, therefore, is a preferable method of accounting. The cumulative effect in prior years of the change in accounting principle was a charge of approximately $37 million (net of $20 million of income taxes) or $0.21 per diluted share. The results of operations and cash flows for the period ended August 1, 1998 have been restated to reflect the accounting change.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At July 31, 1999, cash, cash equivalents and short-term investments totaled $637 million, an increase of $332 million from the fourth quarter of fiscal 1998 and $337 million from the third quarter of fiscal 1998. The increase in cash, cash equivalents and short-term investments was primarily due to operating cash inflows of $264 million, $105 million received in January 1999 related to the sale of the Company's investment in WaferTech and lower capital spending.</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Accounts receivable totaled $252 million at the end of the third quarter of fiscal 1999, an increase of $44 million from the fourth quarter of fiscal 1998 and $27 million from the third quarter of fiscal 1998 due to higher sales levels. The Company's days sales outstanding has improved from 63 at October 31, 1998 and 69 at August 1, 1998 to 60 at July 31, 1999.</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Inventories of $256 million at July 31, 1999 were $19 million lower than the end of the fourth quarter of fiscal 1998 and $17 million lower than the end of the third quarter of fiscal 1998. The decrease in inventory levels was a result of adjustments by the Company to its production rates to conform to lower levels of demand in the second half of fiscal 1998 and the resumption of sales growth in fiscal 1999.</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2"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first quarter of fiscal 1999 the Company completed the sale of approximately 78% of its equity ownership in WaferTech, LLC, its joint venture with Taiwan Semiconductor Manufacturing Company (TSMC) and other investors. As a result of this sale, the Company's equity ownership in WaferTech was reduced from 18% to 4%. The Company sold 78% of its investment to other WaferTech partners and received $105 million in cash, which was equal to the carrying value of the 14% equity ownership at October 31, 1998.</w:t>
      </w: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Net additions to property, plant and equipment of $46 million for the first nine months of fiscal 1999 were funded with a combination of cash on hand and cash generated from operations. Capital spending in the first nine months of fiscal 1999 was down substantially from the $144 million spent in the first nine months of fiscal 1998. The decrease in capital expenditures was attributable to the Company's efforts to constrain all spending, including capital expenditures, until sales growth resumed. The Company currently expects that total capital expenditures for fiscal 1999 will be approximately $85 million.</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July 31, 1999, the Company's principal sources of liquidity were $637 million of cash and cash equivalents and short-term investments. In addition, the Company has various lines of credit both in the U.S. and overseas, including a $60 million credit facility in the U.S., which expires in 2000, all of which were substantially unused at July 31, 1999.</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of March 11, 1999 the Company had converted $229,967,000 of the $230 million principal amount of its 3 1/2% Convertible Subordinated Notes (Notes) due 2000 into an aggregate of 10,983,163 shares of the Company's common stock, and the remaining Notes were redeemed by a cash payment of $33,000. As a result of this conversion, the Company's debt-to-equity ratio was reduced to 8% as compared to 31% in the prior year.</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believes that its existing sources of liquidity and cash expected to be generated from future operations, together with current and anticipated available long-term financing, will be sufficient to fund operations, capital expenditures and research and development efforts for the foreseeable future.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Which May Affect Future Results</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Company's future operating results are difficult to predict and may be affected by a number of factors including the timing of new product announcements or introductions by the Company and its competitors, competitive pricing pressures, fluctuations in manufacturing yields, adequate availability of wafers and manufacturing capacity, changes in product mix and economic conditions in the United States and international markets, and the advent and impact of the Year 2000. In addition, the semiconductor market has historically been cyclical and subject to significant economic downturns at various times. The Company's business is subject to rapid technological changes and there can be no assurance, depending on the mix of future business, that products stocked in inventory will not be rendered obsolete before they are shipped by the Company. As a result of these and other factors, there can be no assurance that the Company will not experience material fluctuations in future operating results on a quarterly or annual basis.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 continued ability to penetrate new markets such as the communications, computer and automotive segments of the electronics market, where the Company has limited experience and competition is intense. There can be no assurance that the markets being served by the Company will grow in the future; that the Company's existing and new products will meet the requirements of such markets; that the Company's products will achieve customer acceptance in such markets; that competitors will not force prices to an unacceptably low level or take market share from the Company; or that the Company can achieve or maintain profits in these markets. Also, some of the customers in these markets are less well established which could subject the Company to increased credit risk.</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such as those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pacing w:after="0" w:line="21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Company has substantially increased its manufacturing capacity through both expansion of its production facilities and increased access to third-party foundries. However, the Company cannot be sure that it will not encounter unanticipated production problems at either its own facilities or at third-party foundries, or that the increased capacity will be sufficient to satisfy demand for its products. The Company relies, and plans to continue to rely, on assembly and test subcontractors and on third-party wafer fabricators to supply most of its wafers that can be manufactured using industry-standard digital processes. Such reliance involves several risks, including reduced control over delivery schedules, manufacturing yields and costs. In addition, the Company's capacity additions resulted in a significant increase in operating expenses. If revenue levels do not increase to offset these additional expense levels, the Company's future operating results could be adversely affected. In addition, asset values could be impaired if the additional capacity is underutilized for an extended period of time. Also, non-compliance with "take or pay" covenants in certain of its supply agreements, could adversely impact operating results. The Company believes that other semiconductor manufacturers have expanded their production capacity over the past several years, and there can be no assurance that the expansion by the Company and its competitors will not lead to overcapacity in the Company's target markets, which could lead to price erosion that would adversely affect the Company's operating results.</w:t>
      </w:r>
    </w:p>
    <w:p>
      <w:pPr>
        <w:spacing w:after="0" w:line="39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For the first nine months of fiscal 1999, 54% of the Company's revenues were derived from customers in international markets. The Company has manufacturing facilities outside the U.S. in Ireland, the Philippines and Taiwan. The Company also has supply agreements that include "take or pay" covenants with suppliers located in Southeast Asia (SEA) and as part of these arrangements, the Company has $20 million on deposit as well as a $21 million investment in one of these suppliers. In addition, the Company's major partner in its joint venture, WaferTech, is TSMC, which is located in SEA. In addition to being exposed to the ongoing economic cycles in the semiconductor industry, the Company is also subject to the economic and political risks inherent in international operations, including the risks associated with the ongoing uncertainties in the economies in SEA. These risks include air transportation disruptions, expropriation, currency controls and changes in currency exchange rates, tax and tariff rates and freight rates. Although the Company engages in certain hedging transactions to reduce its exposure to currency exchange rate fluctuations, there can be no assurance that the Company's competitive position will not be adversely affected by changes in the exchange rate of the U.S. dollar against other currencies.</w:t>
      </w:r>
    </w:p>
    <w:p>
      <w:pPr>
        <w:sectPr>
          <w:pgSz w:w="11900" w:h="16838" w:orient="portrait"/>
          <w:cols w:equalWidth="0" w:num="1">
            <w:col w:w="10219"/>
          </w:cols>
          <w:pgMar w:left="240" w:top="312" w:right="1440" w:bottom="9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12" w:right="1440" w:bottom="987"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the Company's 1998 Annual Report for information concerning certain pending litigation involving the Company. An adverse outcome in such litigation, may, in certain cases, have a material adverse effect on the Company's consolidated financial position or on its consolidated results of operations or cash flows in the period in which the litigation is resolved.</w:t>
      </w:r>
    </w:p>
    <w:p>
      <w:pPr>
        <w:spacing w:after="0" w:line="38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Company's software applications have been updated to accommodate the new euro currency. System testing was completed during the fourth quarter of calendar 1998 and the euro functionality was implemented as planned on January 1, 1999. No major system-related issues were encountered and none are anticipated. The impact, either positive or negative, of the euro on the European economy generally and on the Company's operations in Europe in the future is unknown at this time.</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Because of these and other factors, past financial performance should not be considered an indicator of future performance. Investors should not use historical trends to anticipate future results and should be aware that the trading price of the Company's common stock may be subject to wide fluctuations in response to quarter-to-quarter variations in operating results, general conditions in the semiconductor industry, changes in earnings estimates and recommendations by analysts or other events.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Over the past five years the Company has made significant investments in new manufacturing, financial and operating hardware and software. These investments were made to support the growth of its operations; however, the by-product of this effort is that the Company now has year 2000, (Y2K), compliant hardware and software running on many of its major platforms.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has made the year 2000 issue a significant priority and a task force is engaged in an ongoing effort to reduce year 2000 related risks in the Company's systems and equipment. It is estimated that the aggregate cost of this project, which formally commenced at the beginning of fiscal 1998, will be approximately $10 million in total for fiscal 1998 and fiscal 1999. The task force's efforts are concentrated in six separate areas. The status of each area as of July 31, 1999 is summarized below.</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Centrally Managed Global Systems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Centrally managed global systems are the enterprise-wide, headquarters managed operational systems, which include customer service, customer order entry, work-in-progress (WIP) tracking, warehousing, production planning, and financial systems. These systems have been split into "mission critical" and "non-mission critical." Mission critical is defined as systems that can seriously impair the Company's ability to conduct its business. All mission critical applications have been tested and certified to be year 2000 compliant as of April 1, 1999. In addition, system integration testing was performed at our Disaster Recovery site in March 1999. Non-mission critical is defined as systems which would not cause serious impairment to the organization. The task force is continually reviewing and re-prioritizing the non-mission critical systems conversion efforts to ensure that appropriate items are receiving the proper attention. The Company retired its non-compliant mainframe in early 1999. Contingency planning to ensure business continuity into the millennium is expected to be completed in November 1999.</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12" w:right="1440" w:bottom="1440"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Design and Engineering Systems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Computer Aided Design (CAD) Council is leading a worldwide year 2000 compliance review of hardware and software related to design and engineering systems. The team has completed its analysis and the required updates to the CAD operating systems are 97% complete. All operating systems are expected to be fully Y2K compliant during the fourth quarter of fiscal 1999. Critical CAD application software packages have been vendor-certified as Y2K compliant. Most application package testing is complete and the installation of the required upgrades will be complete by the end of October 1999. The Company routinely completes full archives of all designs that are currently shipping or in development to enable the recovery of any design database needed for future derivative products. This archive system has been verified as Y2K compliant. The Company believes that if all design engineering systems are not compliant in time, this will result in inconvenience and inefficiencies rather than any significant risk to operations.</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Site Based Manufacturing Systems</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Manufacturing site managers have identified, tested and analyzed all critical manufacturing equipment. All manufacturing sites have completed their Y2K remedial actions. Year 2000 testing is being done to the latest vendor specifications and the Company used the suite of test programs provided by Sematech, a semiconductor research organization. Thus far, no crucial piece of equipment has been identified as having a Y2K compliance problem for which no solution exists. In all instances where a Y2K compliance issue has arisen, the Company has been able to develop a solution without having to replace the equipment. The Company does not foresee any manufacturing equipment-related obstacles which would prevent the continuation of operations in year 2000.</w:t>
      </w:r>
    </w:p>
    <w:p>
      <w:pPr>
        <w:spacing w:after="0" w:line="18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Personal Computers (PCs)</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Company has a PC Standards Committee comprised of participants from various Company locations. This committee has developed a hardware and software certification plan. This plan calls for year 2000 certification of PC Basic Input/Output System (BIOS), software applications and user files. The Company certified the BIOS on its 3,500 networked PCs in the first quarter of 1999 and less than 2% were found to be non-Y2K compliant. The Company will also issue a tool to assist users in analyzing their data files for potential year 2000 issues. In addition, a year 2000 "patch" has been applied to 100% of the desktops for the Microsoft Office Suite (Excel, Word and Access). All other business applications have been reviewed and have been upgraded. The Company does not foresee any material year 2000 issues in this area.</w:t>
      </w:r>
    </w:p>
    <w:p>
      <w:pPr>
        <w:spacing w:after="0" w:line="38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Facility Related Systems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Systems such as heating, sprinklers, elevators and card-key access are also being reviewed by site teams. Each team has a designated facilitator with representatives from each department participating. All of the teams have taken a thorough inventory of their sites' systems and the Company believes its mission critical items are 100% year 2000 compliant.</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Third Party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Corporate year 2000 task force is also reviewing third-party connectivity issues. The Company's EDI translator supplier, Harbinger, has been successfully tested for Y2K compliance. The EDI carrier, GEIS, has notified the Company that it is Y2K compliant. Other external service providers, primarily financial and human resource services, as well as outside vendors, have also been surveyed as to their state of readiness and most are already Y2K compliant. The Company identified 112 vital suppliers that could put the Company at risk should their service be interrupted. The Company verified their state of readiness and as of May 1999 did not identify any high risk suppliers. Contingency plans are underway to ensure that adequate supplies of critical raw materials and spare parts are in stock by December 31, 1999. In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12" w:right="1440" w:bottom="144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9"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addition, the Company tested its financial interface with its major financial services provider for Y2K compliance and the results were successful.</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currently believes that its most likely worst case year 2000 scenario would relate to problems with systems of third parties which could create the greatest risks with infrastructure, including water and sewer services, electricity, transportation, telecommunications and critical supplies of raw materials and spare parts. The Company is assessing various scenarios and contingency planning will continue through the balance of calendar 1999 as the Company completes the remedial work on its internal systems and assesses the state of readiness of its third-party suppliers.</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believes that the year 2000 issue will not pose significant operational problems. However, year 2000 issues could have a significant impact on the Company's operations and its financial results if modifications to internal systems and equipment cannot be completed on a timely basis, unforeseen needs or problems arise, or if the systems operated by third parties are not year 2000 compliant.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PART II - OTHER INFORMATION</w:t>
      </w:r>
    </w:p>
    <w:p>
      <w:pPr>
        <w:ind w:left="316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531"/>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w:t>
      </w:r>
    </w:p>
    <w:p>
      <w:pPr>
        <w:spacing w:after="0" w:line="4" w:lineRule="exact"/>
        <w:rPr>
          <w:rFonts w:ascii="Courier New" w:cs="Courier New" w:eastAsia="Courier New" w:hAnsi="Courier New"/>
          <w:sz w:val="18"/>
          <w:szCs w:val="18"/>
          <w:color w:val="auto"/>
        </w:rPr>
      </w:pPr>
    </w:p>
    <w:p>
      <w:pPr>
        <w:ind w:left="960" w:right="1779" w:hanging="531"/>
        <w:spacing w:after="0" w:line="235"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were no reports on Form 8-K filed for the three months ended July 31, 1999.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8"/>
          <w:szCs w:val="18"/>
          <w:color w:val="auto"/>
        </w:rPr>
        <w:t>Analog Devices, Inc.</w:t>
      </w:r>
    </w:p>
    <w:p>
      <w:pPr>
        <w:jc w:val="center"/>
        <w:ind w:left="620"/>
        <w:spacing w:after="0" w:line="238" w:lineRule="auto"/>
        <w:rPr>
          <w:sz w:val="20"/>
          <w:szCs w:val="20"/>
          <w:color w:val="auto"/>
        </w:rPr>
      </w:pPr>
      <w:r>
        <w:rPr>
          <w:rFonts w:ascii="Courier New" w:cs="Courier New" w:eastAsia="Courier New" w:hAnsi="Courier New"/>
          <w:sz w:val="18"/>
          <w:szCs w:val="18"/>
          <w:color w:val="auto"/>
        </w:rPr>
        <w:t>--------------------</w:t>
      </w:r>
    </w:p>
    <w:p>
      <w:pPr>
        <w:jc w:val="center"/>
        <w:ind w:left="62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14,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Jerald G. Fishman</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Jerald G. Fishman</w:t>
      </w:r>
    </w:p>
    <w:p>
      <w:pPr>
        <w:ind w:left="740"/>
        <w:spacing w:after="0" w:line="238" w:lineRule="auto"/>
        <w:rPr>
          <w:sz w:val="20"/>
          <w:szCs w:val="20"/>
          <w:color w:val="auto"/>
        </w:rPr>
      </w:pPr>
      <w:r>
        <w:rPr>
          <w:rFonts w:ascii="Courier New" w:cs="Courier New" w:eastAsia="Courier New" w:hAnsi="Courier New"/>
          <w:sz w:val="18"/>
          <w:szCs w:val="18"/>
          <w:color w:val="auto"/>
        </w:rPr>
        <w:t>President and</w:t>
      </w:r>
    </w:p>
    <w:p>
      <w:pPr>
        <w:ind w:left="740"/>
        <w:spacing w:after="0"/>
        <w:rPr>
          <w:sz w:val="20"/>
          <w:szCs w:val="20"/>
          <w:color w:val="auto"/>
        </w:rPr>
      </w:pPr>
      <w:r>
        <w:rPr>
          <w:rFonts w:ascii="Courier New" w:cs="Courier New" w:eastAsia="Courier New" w:hAnsi="Courier New"/>
          <w:sz w:val="18"/>
          <w:szCs w:val="18"/>
          <w:color w:val="auto"/>
        </w:rPr>
        <w:t>Chief Executive Officer</w:t>
      </w:r>
    </w:p>
    <w:p>
      <w:pPr>
        <w:spacing w:after="0" w:line="3"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3">
            <w:col w:w="540" w:space="200"/>
            <w:col w:w="3280" w:space="720"/>
            <w:col w:w="5479"/>
          </w:cols>
          <w:pgMar w:left="240" w:top="312"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14, 1999</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Joseph E. McDonough</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Joseph E. McDonough</w:t>
      </w:r>
    </w:p>
    <w:p>
      <w:pPr>
        <w:ind w:left="740"/>
        <w:spacing w:after="0" w:line="238" w:lineRule="auto"/>
        <w:rPr>
          <w:sz w:val="20"/>
          <w:szCs w:val="20"/>
          <w:color w:val="auto"/>
        </w:rPr>
      </w:pPr>
      <w:r>
        <w:rPr>
          <w:rFonts w:ascii="Courier New" w:cs="Courier New" w:eastAsia="Courier New" w:hAnsi="Courier New"/>
          <w:sz w:val="18"/>
          <w:szCs w:val="18"/>
          <w:color w:val="auto"/>
        </w:rPr>
        <w:t>Vice President-Finance</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and Chief Financial Officer</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(Principal Financial and</w:t>
      </w:r>
    </w:p>
    <w:p>
      <w:pPr>
        <w:ind w:left="740"/>
        <w:spacing w:after="0" w:line="238" w:lineRule="auto"/>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ectPr>
          <w:pgSz w:w="11900" w:h="16838" w:orient="portrait"/>
          <w:cols w:equalWidth="0" w:num="3">
            <w:col w:w="540" w:space="200"/>
            <w:col w:w="3280" w:space="720"/>
            <w:col w:w="547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12" w:right="1440" w:bottom="1440" w:gutter="0" w:footer="0" w:header="0"/>
          <w:type w:val="continuous"/>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jc w:val="right"/>
        <w:ind w:right="4939"/>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w:t>
      </w:r>
    </w:p>
    <w:p>
      <w:pPr>
        <w:spacing w:after="0" w:line="201" w:lineRule="exact"/>
        <w:rPr>
          <w:sz w:val="20"/>
          <w:szCs w:val="20"/>
          <w:color w:val="auto"/>
        </w:rPr>
      </w:pP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Financial Data Schedule</w:t>
      </w:r>
    </w:p>
    <w:p>
      <w:pPr>
        <w:sectPr>
          <w:pgSz w:w="11900" w:h="16838" w:orient="portrait"/>
          <w:cols w:equalWidth="0" w:num="1">
            <w:col w:w="10219"/>
          </w:cols>
          <w:pgMar w:left="240" w:top="312" w:right="1440" w:bottom="1440" w:gutter="0" w:footer="0" w:header="0"/>
        </w:sectPr>
      </w:pPr>
    </w:p>
    <w:bookmarkStart w:id="20" w:name="page21"/>
    <w:bookmarkEnd w:id="20"/>
    <w:p>
      <w:pPr>
        <w:ind w:left="120"/>
        <w:spacing w:after="0"/>
        <w:rPr>
          <w:sz w:val="20"/>
          <w:szCs w:val="20"/>
          <w:color w:val="auto"/>
        </w:rPr>
      </w:pPr>
      <w:r>
        <w:rPr>
          <w:rFonts w:ascii="Courier New" w:cs="Courier New" w:eastAsia="Courier New" w:hAnsi="Courier New"/>
          <w:sz w:val="18"/>
          <w:szCs w:val="18"/>
          <w:color w:val="auto"/>
        </w:rPr>
        <w:t>5</w:t>
      </w:r>
    </w:p>
    <w:p>
      <w:pPr>
        <w:ind w:left="120"/>
        <w:spacing w:after="0" w:line="238" w:lineRule="auto"/>
        <w:rPr>
          <w:sz w:val="20"/>
          <w:szCs w:val="20"/>
          <w:color w:val="auto"/>
        </w:rPr>
      </w:pPr>
      <w:r>
        <w:rPr>
          <w:rFonts w:ascii="Courier New" w:cs="Courier New" w:eastAsia="Courier New" w:hAnsi="Courier New"/>
          <w:sz w:val="18"/>
          <w:szCs w:val="18"/>
          <w:color w:val="auto"/>
        </w:rPr>
        <w:t>1,000</w:t>
      </w:r>
    </w:p>
    <w:p>
      <w:pPr>
        <w:ind w:left="120"/>
        <w:spacing w:after="0"/>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3-MOS</w:t>
      </w:r>
    </w:p>
    <w:p>
      <w:pPr>
        <w:ind w:left="2740"/>
        <w:spacing w:after="0" w:line="238" w:lineRule="auto"/>
        <w:rPr>
          <w:sz w:val="20"/>
          <w:szCs w:val="20"/>
          <w:color w:val="auto"/>
        </w:rPr>
      </w:pPr>
      <w:r>
        <w:rPr>
          <w:rFonts w:ascii="Courier New" w:cs="Courier New" w:eastAsia="Courier New" w:hAnsi="Courier New"/>
          <w:sz w:val="18"/>
          <w:szCs w:val="18"/>
          <w:color w:val="auto"/>
        </w:rPr>
        <w:t>OCT-30-1999</w:t>
      </w:r>
    </w:p>
    <w:p>
      <w:pPr>
        <w:ind w:left="3060"/>
        <w:spacing w:after="0"/>
        <w:rPr>
          <w:sz w:val="20"/>
          <w:szCs w:val="20"/>
          <w:color w:val="auto"/>
        </w:rPr>
      </w:pPr>
      <w:r>
        <w:rPr>
          <w:rFonts w:ascii="Courier New" w:cs="Courier New" w:eastAsia="Courier New" w:hAnsi="Courier New"/>
          <w:sz w:val="18"/>
          <w:szCs w:val="18"/>
          <w:color w:val="auto"/>
        </w:rPr>
        <w:t>MAY-02-1999</w:t>
      </w:r>
    </w:p>
    <w:p>
      <w:pPr>
        <w:ind w:left="3280"/>
        <w:spacing w:after="0" w:line="237" w:lineRule="auto"/>
        <w:rPr>
          <w:sz w:val="20"/>
          <w:szCs w:val="20"/>
          <w:color w:val="auto"/>
        </w:rPr>
      </w:pPr>
      <w:r>
        <w:rPr>
          <w:rFonts w:ascii="Courier New" w:cs="Courier New" w:eastAsia="Courier New" w:hAnsi="Courier New"/>
          <w:sz w:val="18"/>
          <w:szCs w:val="18"/>
          <w:color w:val="auto"/>
        </w:rPr>
        <w:t>JUL-31-1999</w:t>
      </w:r>
    </w:p>
    <w:p>
      <w:pPr>
        <w:ind w:left="4020"/>
        <w:spacing w:after="0" w:line="238" w:lineRule="auto"/>
        <w:rPr>
          <w:sz w:val="20"/>
          <w:szCs w:val="20"/>
          <w:color w:val="auto"/>
        </w:rPr>
      </w:pPr>
      <w:r>
        <w:rPr>
          <w:rFonts w:ascii="Courier New" w:cs="Courier New" w:eastAsia="Courier New" w:hAnsi="Courier New"/>
          <w:sz w:val="18"/>
          <w:szCs w:val="18"/>
          <w:color w:val="auto"/>
        </w:rPr>
        <w:t>1</w:t>
      </w:r>
    </w:p>
    <w:p>
      <w:pPr>
        <w:ind w:left="4320"/>
        <w:spacing w:after="0"/>
        <w:rPr>
          <w:sz w:val="20"/>
          <w:szCs w:val="20"/>
          <w:color w:val="auto"/>
        </w:rPr>
      </w:pPr>
      <w:r>
        <w:rPr>
          <w:rFonts w:ascii="Courier New" w:cs="Courier New" w:eastAsia="Courier New" w:hAnsi="Courier New"/>
          <w:sz w:val="18"/>
          <w:szCs w:val="18"/>
          <w:color w:val="auto"/>
        </w:rPr>
        <w:t>405,627</w:t>
      </w:r>
    </w:p>
    <w:p>
      <w:pPr>
        <w:ind w:left="3700"/>
        <w:spacing w:after="0" w:line="237" w:lineRule="auto"/>
        <w:rPr>
          <w:sz w:val="20"/>
          <w:szCs w:val="20"/>
          <w:color w:val="auto"/>
        </w:rPr>
      </w:pPr>
      <w:r>
        <w:rPr>
          <w:rFonts w:ascii="Courier New" w:cs="Courier New" w:eastAsia="Courier New" w:hAnsi="Courier New"/>
          <w:sz w:val="18"/>
          <w:szCs w:val="18"/>
          <w:color w:val="auto"/>
        </w:rPr>
        <w:t>231,505</w:t>
      </w:r>
    </w:p>
    <w:p>
      <w:pPr>
        <w:ind w:left="3580"/>
        <w:spacing w:after="0"/>
        <w:rPr>
          <w:sz w:val="20"/>
          <w:szCs w:val="20"/>
          <w:color w:val="auto"/>
        </w:rPr>
      </w:pPr>
      <w:r>
        <w:rPr>
          <w:rFonts w:ascii="Courier New" w:cs="Courier New" w:eastAsia="Courier New" w:hAnsi="Courier New"/>
          <w:sz w:val="18"/>
          <w:szCs w:val="18"/>
          <w:color w:val="auto"/>
        </w:rPr>
        <w:t>251,691</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3800"/>
        <w:spacing w:after="0"/>
        <w:rPr>
          <w:sz w:val="20"/>
          <w:szCs w:val="20"/>
          <w:color w:val="auto"/>
        </w:rPr>
      </w:pPr>
      <w:r>
        <w:rPr>
          <w:rFonts w:ascii="Courier New" w:cs="Courier New" w:eastAsia="Courier New" w:hAnsi="Courier New"/>
          <w:sz w:val="18"/>
          <w:szCs w:val="18"/>
          <w:color w:val="auto"/>
        </w:rPr>
        <w:t>255,585</w:t>
      </w:r>
    </w:p>
    <w:p>
      <w:pPr>
        <w:ind w:left="3060"/>
        <w:spacing w:after="0" w:line="237" w:lineRule="auto"/>
        <w:rPr>
          <w:sz w:val="20"/>
          <w:szCs w:val="20"/>
          <w:color w:val="auto"/>
        </w:rPr>
      </w:pPr>
      <w:r>
        <w:rPr>
          <w:rFonts w:ascii="Courier New" w:cs="Courier New" w:eastAsia="Courier New" w:hAnsi="Courier New"/>
          <w:sz w:val="18"/>
          <w:szCs w:val="18"/>
          <w:color w:val="auto"/>
        </w:rPr>
        <w:t>1,249,235</w:t>
      </w:r>
    </w:p>
    <w:p>
      <w:pPr>
        <w:ind w:left="4120"/>
        <w:spacing w:after="0" w:line="238" w:lineRule="auto"/>
        <w:rPr>
          <w:sz w:val="20"/>
          <w:szCs w:val="20"/>
          <w:color w:val="auto"/>
        </w:rPr>
      </w:pPr>
      <w:r>
        <w:rPr>
          <w:rFonts w:ascii="Courier New" w:cs="Courier New" w:eastAsia="Courier New" w:hAnsi="Courier New"/>
          <w:sz w:val="18"/>
          <w:szCs w:val="18"/>
          <w:color w:val="auto"/>
        </w:rPr>
        <w:t>1,409,747</w:t>
      </w:r>
    </w:p>
    <w:p>
      <w:pPr>
        <w:ind w:left="3480"/>
        <w:spacing w:after="0"/>
        <w:rPr>
          <w:sz w:val="20"/>
          <w:szCs w:val="20"/>
          <w:color w:val="auto"/>
        </w:rPr>
      </w:pPr>
      <w:r>
        <w:rPr>
          <w:rFonts w:ascii="Courier New" w:cs="Courier New" w:eastAsia="Courier New" w:hAnsi="Courier New"/>
          <w:sz w:val="18"/>
          <w:szCs w:val="18"/>
          <w:color w:val="auto"/>
        </w:rPr>
        <w:t>763,423</w:t>
      </w:r>
    </w:p>
    <w:p>
      <w:pPr>
        <w:ind w:left="3280"/>
        <w:spacing w:after="0" w:line="237" w:lineRule="auto"/>
        <w:rPr>
          <w:sz w:val="20"/>
          <w:szCs w:val="20"/>
          <w:color w:val="auto"/>
        </w:rPr>
      </w:pPr>
      <w:r>
        <w:rPr>
          <w:rFonts w:ascii="Courier New" w:cs="Courier New" w:eastAsia="Courier New" w:hAnsi="Courier New"/>
          <w:sz w:val="18"/>
          <w:szCs w:val="18"/>
          <w:color w:val="auto"/>
        </w:rPr>
        <w:t>2,076,177</w:t>
      </w:r>
    </w:p>
    <w:p>
      <w:pPr>
        <w:ind w:left="2740"/>
        <w:spacing w:after="0"/>
        <w:rPr>
          <w:sz w:val="20"/>
          <w:szCs w:val="20"/>
          <w:color w:val="auto"/>
        </w:rPr>
      </w:pPr>
      <w:r>
        <w:rPr>
          <w:rFonts w:ascii="Courier New" w:cs="Courier New" w:eastAsia="Courier New" w:hAnsi="Courier New"/>
          <w:sz w:val="18"/>
          <w:szCs w:val="18"/>
          <w:color w:val="auto"/>
        </w:rPr>
        <w:t>357,792</w:t>
      </w:r>
    </w:p>
    <w:p>
      <w:pPr>
        <w:ind w:left="4320"/>
        <w:spacing w:after="0" w:line="237" w:lineRule="auto"/>
        <w:rPr>
          <w:sz w:val="20"/>
          <w:szCs w:val="20"/>
          <w:color w:val="auto"/>
        </w:rPr>
      </w:pPr>
      <w:r>
        <w:rPr>
          <w:rFonts w:ascii="Courier New" w:cs="Courier New" w:eastAsia="Courier New" w:hAnsi="Courier New"/>
          <w:sz w:val="18"/>
          <w:szCs w:val="18"/>
          <w:color w:val="auto"/>
        </w:rPr>
        <w:t>80,000</w:t>
      </w:r>
    </w:p>
    <w:p>
      <w:pPr>
        <w:ind w:left="3380"/>
        <w:spacing w:after="0"/>
        <w:rPr>
          <w:sz w:val="20"/>
          <w:szCs w:val="20"/>
          <w:color w:val="auto"/>
        </w:rPr>
      </w:pPr>
      <w:r>
        <w:rPr>
          <w:rFonts w:ascii="Courier New" w:cs="Courier New" w:eastAsia="Courier New" w:hAnsi="Courier New"/>
          <w:sz w:val="18"/>
          <w:szCs w:val="18"/>
          <w:color w:val="auto"/>
        </w:rPr>
        <w:t>0</w:t>
      </w:r>
    </w:p>
    <w:p>
      <w:pPr>
        <w:ind w:left="4440"/>
        <w:spacing w:after="0" w:line="237" w:lineRule="auto"/>
        <w:rPr>
          <w:sz w:val="20"/>
          <w:szCs w:val="20"/>
          <w:color w:val="auto"/>
        </w:rPr>
      </w:pPr>
      <w:r>
        <w:rPr>
          <w:rFonts w:ascii="Courier New" w:cs="Courier New" w:eastAsia="Courier New" w:hAnsi="Courier New"/>
          <w:sz w:val="18"/>
          <w:szCs w:val="18"/>
          <w:color w:val="auto"/>
        </w:rPr>
        <w:t>0</w:t>
      </w:r>
    </w:p>
    <w:p>
      <w:pPr>
        <w:ind w:left="4220"/>
        <w:spacing w:after="0" w:line="238" w:lineRule="auto"/>
        <w:rPr>
          <w:sz w:val="20"/>
          <w:szCs w:val="20"/>
          <w:color w:val="auto"/>
        </w:rPr>
      </w:pPr>
      <w:r>
        <w:rPr>
          <w:rFonts w:ascii="Courier New" w:cs="Courier New" w:eastAsia="Courier New" w:hAnsi="Courier New"/>
          <w:sz w:val="18"/>
          <w:szCs w:val="18"/>
          <w:color w:val="auto"/>
        </w:rPr>
        <w:t>29,581</w:t>
      </w:r>
    </w:p>
    <w:p>
      <w:pPr>
        <w:ind w:left="3700"/>
        <w:spacing w:after="0"/>
        <w:rPr>
          <w:sz w:val="20"/>
          <w:szCs w:val="20"/>
          <w:color w:val="auto"/>
        </w:rPr>
      </w:pPr>
      <w:r>
        <w:rPr>
          <w:rFonts w:ascii="Courier New" w:cs="Courier New" w:eastAsia="Courier New" w:hAnsi="Courier New"/>
          <w:sz w:val="18"/>
          <w:szCs w:val="18"/>
          <w:color w:val="auto"/>
        </w:rPr>
        <w:t>1,489,504</w:t>
      </w:r>
    </w:p>
    <w:p>
      <w:pPr>
        <w:ind w:left="1800"/>
        <w:spacing w:after="0" w:line="237" w:lineRule="auto"/>
        <w:rPr>
          <w:sz w:val="20"/>
          <w:szCs w:val="20"/>
          <w:color w:val="auto"/>
        </w:rPr>
      </w:pPr>
      <w:r>
        <w:rPr>
          <w:rFonts w:ascii="Courier New" w:cs="Courier New" w:eastAsia="Courier New" w:hAnsi="Courier New"/>
          <w:sz w:val="18"/>
          <w:szCs w:val="18"/>
          <w:color w:val="auto"/>
        </w:rPr>
        <w:t>2,076,177</w:t>
      </w:r>
    </w:p>
    <w:p>
      <w:pPr>
        <w:ind w:left="4220"/>
        <w:spacing w:after="0"/>
        <w:rPr>
          <w:sz w:val="20"/>
          <w:szCs w:val="20"/>
          <w:color w:val="auto"/>
        </w:rPr>
      </w:pPr>
      <w:r>
        <w:rPr>
          <w:rFonts w:ascii="Courier New" w:cs="Courier New" w:eastAsia="Courier New" w:hAnsi="Courier New"/>
          <w:sz w:val="18"/>
          <w:szCs w:val="18"/>
          <w:color w:val="auto"/>
        </w:rPr>
        <w:t>378,776</w:t>
      </w:r>
    </w:p>
    <w:p>
      <w:pPr>
        <w:ind w:left="3280"/>
        <w:spacing w:after="0" w:line="237" w:lineRule="auto"/>
        <w:rPr>
          <w:sz w:val="20"/>
          <w:szCs w:val="20"/>
          <w:color w:val="auto"/>
        </w:rPr>
      </w:pPr>
      <w:r>
        <w:rPr>
          <w:rFonts w:ascii="Courier New" w:cs="Courier New" w:eastAsia="Courier New" w:hAnsi="Courier New"/>
          <w:sz w:val="18"/>
          <w:szCs w:val="18"/>
          <w:color w:val="auto"/>
        </w:rPr>
        <w:t>378,776</w:t>
      </w:r>
    </w:p>
    <w:p>
      <w:pPr>
        <w:jc w:val="right"/>
        <w:ind w:right="5059"/>
        <w:spacing w:after="0"/>
        <w:rPr>
          <w:sz w:val="20"/>
          <w:szCs w:val="20"/>
          <w:color w:val="auto"/>
        </w:rPr>
      </w:pPr>
      <w:r>
        <w:rPr>
          <w:rFonts w:ascii="Courier New" w:cs="Courier New" w:eastAsia="Courier New" w:hAnsi="Courier New"/>
          <w:sz w:val="18"/>
          <w:szCs w:val="18"/>
          <w:color w:val="auto"/>
        </w:rPr>
        <w:t>190,481</w:t>
      </w:r>
    </w:p>
    <w:p>
      <w:pPr>
        <w:ind w:left="3580"/>
        <w:spacing w:after="0" w:line="237" w:lineRule="auto"/>
        <w:rPr>
          <w:sz w:val="20"/>
          <w:szCs w:val="20"/>
          <w:color w:val="auto"/>
        </w:rPr>
      </w:pPr>
      <w:r>
        <w:rPr>
          <w:rFonts w:ascii="Courier New" w:cs="Courier New" w:eastAsia="Courier New" w:hAnsi="Courier New"/>
          <w:sz w:val="18"/>
          <w:szCs w:val="18"/>
          <w:color w:val="auto"/>
        </w:rPr>
        <w:t>190,481</w:t>
      </w:r>
    </w:p>
    <w:p>
      <w:pPr>
        <w:ind w:left="3280"/>
        <w:spacing w:after="0"/>
        <w:rPr>
          <w:sz w:val="20"/>
          <w:szCs w:val="20"/>
          <w:color w:val="auto"/>
        </w:rPr>
      </w:pPr>
      <w:r>
        <w:rPr>
          <w:rFonts w:ascii="Courier New" w:cs="Courier New" w:eastAsia="Courier New" w:hAnsi="Courier New"/>
          <w:sz w:val="18"/>
          <w:szCs w:val="18"/>
          <w:color w:val="auto"/>
        </w:rPr>
        <w:t>121,731</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3280"/>
        <w:spacing w:after="0" w:line="238" w:lineRule="auto"/>
        <w:rPr>
          <w:sz w:val="20"/>
          <w:szCs w:val="20"/>
          <w:color w:val="auto"/>
        </w:rPr>
      </w:pPr>
      <w:r>
        <w:rPr>
          <w:rFonts w:ascii="Courier New" w:cs="Courier New" w:eastAsia="Courier New" w:hAnsi="Courier New"/>
          <w:sz w:val="18"/>
          <w:szCs w:val="18"/>
          <w:color w:val="auto"/>
        </w:rPr>
        <w:t>1,044</w:t>
      </w:r>
    </w:p>
    <w:p>
      <w:pPr>
        <w:ind w:left="3480"/>
        <w:spacing w:after="0"/>
        <w:rPr>
          <w:sz w:val="20"/>
          <w:szCs w:val="20"/>
          <w:color w:val="auto"/>
        </w:rPr>
      </w:pPr>
      <w:r>
        <w:rPr>
          <w:rFonts w:ascii="Courier New" w:cs="Courier New" w:eastAsia="Courier New" w:hAnsi="Courier New"/>
          <w:sz w:val="18"/>
          <w:szCs w:val="18"/>
          <w:color w:val="auto"/>
        </w:rPr>
        <w:t>71,844</w:t>
      </w:r>
    </w:p>
    <w:p>
      <w:pPr>
        <w:ind w:left="3800"/>
        <w:spacing w:after="0" w:line="237" w:lineRule="auto"/>
        <w:rPr>
          <w:sz w:val="20"/>
          <w:szCs w:val="20"/>
          <w:color w:val="auto"/>
        </w:rPr>
      </w:pPr>
      <w:r>
        <w:rPr>
          <w:rFonts w:ascii="Courier New" w:cs="Courier New" w:eastAsia="Courier New" w:hAnsi="Courier New"/>
          <w:sz w:val="18"/>
          <w:szCs w:val="18"/>
          <w:color w:val="auto"/>
        </w:rPr>
        <w:t>17,243</w:t>
      </w:r>
    </w:p>
    <w:p>
      <w:pPr>
        <w:ind w:left="3060"/>
        <w:spacing w:after="0"/>
        <w:rPr>
          <w:sz w:val="20"/>
          <w:szCs w:val="20"/>
          <w:color w:val="auto"/>
        </w:rPr>
      </w:pPr>
      <w:r>
        <w:rPr>
          <w:rFonts w:ascii="Courier New" w:cs="Courier New" w:eastAsia="Courier New" w:hAnsi="Courier New"/>
          <w:sz w:val="18"/>
          <w:szCs w:val="18"/>
          <w:color w:val="auto"/>
        </w:rPr>
        <w:t>54,601</w:t>
      </w:r>
    </w:p>
    <w:p>
      <w:pPr>
        <w:ind w:left="4120"/>
        <w:spacing w:after="0" w:line="237" w:lineRule="auto"/>
        <w:rPr>
          <w:sz w:val="20"/>
          <w:szCs w:val="20"/>
          <w:color w:val="auto"/>
        </w:rPr>
      </w:pPr>
      <w:r>
        <w:rPr>
          <w:rFonts w:ascii="Courier New" w:cs="Courier New" w:eastAsia="Courier New" w:hAnsi="Courier New"/>
          <w:sz w:val="18"/>
          <w:szCs w:val="18"/>
          <w:color w:val="auto"/>
        </w:rPr>
        <w:t>0</w:t>
      </w:r>
    </w:p>
    <w:p>
      <w:pPr>
        <w:ind w:left="4020"/>
        <w:spacing w:after="0"/>
        <w:rPr>
          <w:sz w:val="20"/>
          <w:szCs w:val="20"/>
          <w:color w:val="auto"/>
        </w:rPr>
      </w:pPr>
      <w:r>
        <w:rPr>
          <w:rFonts w:ascii="Courier New" w:cs="Courier New" w:eastAsia="Courier New" w:hAnsi="Courier New"/>
          <w:sz w:val="18"/>
          <w:szCs w:val="18"/>
          <w:color w:val="auto"/>
        </w:rPr>
        <w:t>0</w:t>
      </w:r>
    </w:p>
    <w:p>
      <w:pPr>
        <w:ind w:left="4640"/>
        <w:spacing w:after="0" w:line="237" w:lineRule="auto"/>
        <w:rPr>
          <w:sz w:val="20"/>
          <w:szCs w:val="20"/>
          <w:color w:val="auto"/>
        </w:rPr>
      </w:pPr>
      <w:r>
        <w:rPr>
          <w:rFonts w:ascii="Courier New" w:cs="Courier New" w:eastAsia="Courier New" w:hAnsi="Courier New"/>
          <w:sz w:val="18"/>
          <w:szCs w:val="18"/>
          <w:color w:val="auto"/>
        </w:rPr>
        <w:t>0</w:t>
      </w:r>
    </w:p>
    <w:p>
      <w:pPr>
        <w:ind w:left="3800"/>
        <w:spacing w:after="0" w:line="238" w:lineRule="auto"/>
        <w:rPr>
          <w:sz w:val="20"/>
          <w:szCs w:val="20"/>
          <w:color w:val="auto"/>
        </w:rPr>
      </w:pPr>
      <w:r>
        <w:rPr>
          <w:rFonts w:ascii="Courier New" w:cs="Courier New" w:eastAsia="Courier New" w:hAnsi="Courier New"/>
          <w:sz w:val="18"/>
          <w:szCs w:val="18"/>
          <w:color w:val="auto"/>
        </w:rPr>
        <w:t>54,601</w:t>
      </w:r>
    </w:p>
    <w:p>
      <w:pPr>
        <w:ind w:left="4220"/>
        <w:spacing w:after="0"/>
        <w:rPr>
          <w:sz w:val="20"/>
          <w:szCs w:val="20"/>
          <w:color w:val="auto"/>
        </w:rPr>
      </w:pPr>
      <w:r>
        <w:rPr>
          <w:rFonts w:ascii="Courier New" w:cs="Courier New" w:eastAsia="Courier New" w:hAnsi="Courier New"/>
          <w:sz w:val="18"/>
          <w:szCs w:val="18"/>
          <w:color w:val="auto"/>
        </w:rPr>
        <w:t>.32</w:t>
      </w:r>
    </w:p>
    <w:p>
      <w:pPr>
        <w:ind w:left="4020"/>
        <w:spacing w:after="0" w:line="237" w:lineRule="auto"/>
        <w:rPr>
          <w:sz w:val="20"/>
          <w:szCs w:val="20"/>
          <w:color w:val="auto"/>
        </w:rPr>
      </w:pPr>
      <w:r>
        <w:rPr>
          <w:rFonts w:ascii="Courier New" w:cs="Courier New" w:eastAsia="Courier New" w:hAnsi="Courier New"/>
          <w:sz w:val="18"/>
          <w:szCs w:val="18"/>
          <w:color w:val="auto"/>
        </w:rPr>
        <w:t>.30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value represents NET amount.</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2019-12-20T05:34:25Z</dcterms:created>
  <dcterms:modified xsi:type="dcterms:W3CDTF">2019-12-20T05:34:25Z</dcterms:modified>
</cp:coreProperties>
</file>