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24,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24"/>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1-7819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04-2348234</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1384"/>
        <w:spacing w:after="0"/>
        <w:rPr>
          <w:sz w:val="20"/>
          <w:szCs w:val="20"/>
          <w:color w:val="auto"/>
        </w:rPr>
      </w:pPr>
      <w:r>
        <w:rPr>
          <w:rFonts w:ascii="Arial" w:cs="Arial" w:eastAsia="Arial" w:hAnsi="Arial"/>
          <w:sz w:val="16"/>
          <w:szCs w:val="16"/>
          <w:b w:val="1"/>
          <w:bCs w:val="1"/>
          <w:color w:val="auto"/>
        </w:rPr>
        <w:t>One Technology Way, Norwood, MA</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02062</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$0.16 2/3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ADI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u w:val="single" w:color="auto"/>
          <w:color w:val="auto"/>
        </w:rPr>
        <w:t>Other Events</w:t>
      </w:r>
    </w:p>
    <w:p>
      <w:pPr>
        <w:spacing w:after="0" w:line="121"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On August 24, 2020, Analog Devices, Inc. (the “Company”) voluntarily withdrew its pre-merger notification under the Hart-Scott-Rodino Antitrust Improvements Act of 1976, as amended (the “HSR Act”) relating to the Company’s proposed acquisition of Maxim Integrated Products, Inc. (“Maxim”), in order to provide the Federal Trade Commission (the “FTC”) with additional time to review the proposed acquisition.</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accordance with the regulations under the HSR Act, the Company plans to resubmit its HSR Act filing on August 26, 2020, commencing a new 30-day waiting period under the HSR Act. Withdrawing and refiling pre-merger notifications is a standard procedure in order to provide additional time for antitrust review of certain transactions. The Company and Maxim continue to work cooperatively with the FTC staff in their review of the proposed transaction, and continue to expect to complete the transaction in the summer of 2021, subject to the satisfaction or permitted waiver of the conditions to closing.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communication relates to a proposed business combination transaction between Analog Devices, Inc. (“ADI”) and Maxim. This communication contains “forward-looking statements” within the meaning of the federal securities laws. Forward-looking statements address a variety of subjects, including, for example, projections as to the anticipated benefits of the proposed transaction, the anticipated impact of the proposed transaction on the combined organization’s business and future financial and operating results, the expected amount and timing of synergies from the proposed transaction, and the anticipated closing date for the proposed transaction. Statements that are not historical facts, including statements about ADI’s and Maxim’s beliefs, plans and expectations, are forward-looking statements. Such statements are based on ADI’s and Maxim’s current expectations and are subject to a number of factors and uncertainties, which could cause actual results to differ materially from those described in the forward-looking statements. Forward-looking statements often contain words such as “expect,” “anticipate,” “intend,” “plan,” “believe,” “estimate,” “would,” “target” and similar expressions, as well as variations or negatives of these words. The following important factors and uncertainties, among others, could cause actual results to differ materially from those described in these forward-looking statements: the uncertainty as to the extent of the duration, scope and impacts of the COVID-19 pandemic; political and economic uncertainty, including any faltering in global economic conditions or the stability of credit and financial markets; erosion of consumer confidence and declines in customer spending; unavailability of raw materials, services, supplies or manufacturing capacity; changes in geographic, product or customer mix; changes in export classifications, import and export regulations or duties and tariffs; changes in ADI’s or Maxim’s estimates of their respective expected tax rates based on current tax law; ADI’s ability to successfully integrate Maxim’s businesses and technologies; the risk that the expected benefits and synergies of the proposed transaction and growth prospects of the combined company may not be fully achieved in a timely manner, or at all; adverse results in litigation matters, including pending litigation and any potential future litigation related to the proposed transaction; the risk that ADI or Maxim will be unable to retain and hire key personnel; the risk associated with ADI’s and Maxim’s ability to obtain the approvals of their respective shareholders required to consummate the proposed transaction and the timing of the closing of the proposed transaction,</w:t>
      </w:r>
    </w:p>
    <w:p>
      <w:pPr>
        <w:sectPr>
          <w:pgSz w:w="11900" w:h="16838" w:orient="portrait"/>
          <w:cols w:equalWidth="0" w:num="1">
            <w:col w:w="10980"/>
          </w:cols>
          <w:pgMar w:left="440" w:top="297" w:right="479" w:bottom="1440" w:gutter="0" w:footer="0" w:header="0"/>
        </w:sectPr>
      </w:pPr>
    </w:p>
    <w:bookmarkStart w:id="2" w:name="page3"/>
    <w:bookmarkEnd w:id="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including the risk that the conditions to the transaction are not satisfied on a timely basis or at all or the failure of the transaction to close for any other reason or to close on the anticipated terms, including the anticipated tax treatment; the risk that any regulatory approval, consent or authorization that may be required for the proposed transaction is not obtained or is obtained subject to conditions that are not anticipated; unanticipated difficulties or expenditures relating to the transaction, the response of business partners and retention as a result of the announcement and pendency of the transaction; uncertainty as to the long-term value of ADI’s common stock; and the diversion of management time on transaction-related matters. These risks, as well as other risks related to the proposed transaction, are included in the registration statement on Form S-4 that ADI filed with the Securities and Exchange Commission (the “SEC”) in connection with the proposed transaction and preliminary joint proxy statement/prospectus included therein. While the list of factors presented here is, and the list of factors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ADI’s and Maxim’s respective periodic reports and other filings with the SEC, including the risk factors contained in ADI’s and Maxim’s most recent Quarterly Reports on Form 10-Q and Annual Reports on Form 10-K. Forward-looking statements represent management’s current expectations and are inherently uncertain and are made only as of the date hereof. Except as required by law, neither ADI nor Maxim undertakes or assumes any obligation to update any forward-looking statements, whether as a result of new information or to reflect subsequent events or circumstances or otherwise.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Merger and Where to Find It</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proposed transaction, on August 17, 2020, ADI filed with the SEC a registration statement on Form S-4 that includes a preliminary joint proxy statement of ADI and Maxim and that also constitutes a preliminary prospectus of ADI (the “preliminary joint proxy statement/prospectus”). If and when the registration statement becomes effective and the preliminary joint proxy statement/prospectus is in definitive form (the “definitive joint proxy statement/prospectus”), the definitive joint proxy statement/prospectus will be mailed to shareholders of ADI and stockholders of Maxim. Each of ADI and Maxim may also file other relevant documents with the SEC regarding the proposed transaction. This document is not a substitute for the registration statement, the preliminary joint proxy statement/prospectus, the definitive joint proxy statement/prospectus, or any other document that ADI or Maxim have filed or may file with the SEC. INVESTORS AND SECURITY HOLDERS ARE URGED TO READ THE REGISTRATION STATEMENT, PRELIMINARY JOINT PROXY</w:t>
      </w:r>
    </w:p>
    <w:p>
      <w:pPr>
        <w:sectPr>
          <w:pgSz w:w="11900" w:h="16838" w:orient="portrait"/>
          <w:cols w:equalWidth="0" w:num="1">
            <w:col w:w="10980"/>
          </w:cols>
          <w:pgMar w:left="440" w:top="301" w:right="479" w:bottom="1440" w:gutter="0" w:footer="0" w:header="0"/>
        </w:sectPr>
      </w:pPr>
    </w:p>
    <w:bookmarkStart w:id="3" w:name="page4"/>
    <w:bookmarkEnd w:id="3"/>
    <w:p>
      <w:pPr>
        <w:ind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 xml:space="preserve">STATEMENT/PROSPECTUS, DEFINITIVE JOINT PROXY STATEMENT/PROSPECTUS AND ANY OTHER RELEVANT DOCUMENTS THAT HAVE BEEN OR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definitive joint proxy statement/prospectus (if and when available) and other documents containing important information about ADI, Maxim and the proposed transaction, once such documents are filed with the SEC through the website maintained by the SEC at </w:t>
      </w:r>
      <w:r>
        <w:rPr>
          <w:rFonts w:ascii="Arial" w:cs="Arial" w:eastAsia="Arial" w:hAnsi="Arial"/>
          <w:sz w:val="17"/>
          <w:szCs w:val="17"/>
          <w:i w:val="1"/>
          <w:iCs w:val="1"/>
          <w:color w:val="auto"/>
        </w:rPr>
        <w:t>http://www.sec.gov</w:t>
      </w:r>
      <w:r>
        <w:rPr>
          <w:rFonts w:ascii="Arial" w:cs="Arial" w:eastAsia="Arial" w:hAnsi="Arial"/>
          <w:sz w:val="17"/>
          <w:szCs w:val="17"/>
          <w:color w:val="auto"/>
        </w:rPr>
        <w:t>. Copies of the documents filed with the SEC by ADI will be available free of charge on ADI’s website at http://www.analog.com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by contacting ADI’s Investor Relations Department by email at </w:t>
      </w:r>
      <w:r>
        <w:rPr>
          <w:rFonts w:ascii="Arial" w:cs="Arial" w:eastAsia="Arial" w:hAnsi="Arial"/>
          <w:sz w:val="17"/>
          <w:szCs w:val="17"/>
          <w:i w:val="1"/>
          <w:iCs w:val="1"/>
          <w:color w:val="auto"/>
        </w:rPr>
        <w:t>investor.relations@analog.com</w:t>
      </w:r>
      <w:r>
        <w:rPr>
          <w:rFonts w:ascii="Arial" w:cs="Arial" w:eastAsia="Arial" w:hAnsi="Arial"/>
          <w:sz w:val="17"/>
          <w:szCs w:val="17"/>
          <w:color w:val="auto"/>
        </w:rPr>
        <w:t xml:space="preserve"> or by phone at 781-461-3282. Copies of the documents filed with the SEC by Maxim will be available free of charge on Maxim’s website at </w:t>
      </w:r>
      <w:r>
        <w:rPr>
          <w:rFonts w:ascii="Arial" w:cs="Arial" w:eastAsia="Arial" w:hAnsi="Arial"/>
          <w:sz w:val="17"/>
          <w:szCs w:val="17"/>
          <w:i w:val="1"/>
          <w:iCs w:val="1"/>
          <w:color w:val="auto"/>
        </w:rPr>
        <w:t>investor.maximintegrated.com</w:t>
      </w:r>
      <w:r>
        <w:rPr>
          <w:rFonts w:ascii="Arial" w:cs="Arial" w:eastAsia="Arial" w:hAnsi="Arial"/>
          <w:sz w:val="17"/>
          <w:szCs w:val="17"/>
          <w:color w:val="auto"/>
        </w:rPr>
        <w:t xml:space="preserve"> or by contacting Maxim’s Investor Relations department by phone at 408-601-5697.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ADI, Maxim and certain of their respective directors and executive officers may be deemed to be participants in the solicitation of proxies in respect of the proposed transaction. Information about the directors and executive officers of ADI, including a description of their direct or indirect interests, by security holdings or otherwise, is set forth in ADI’s proxy statement for its 2020 annual meeting of shareholders, which was filed with the SEC on January 24, 2020, and ADI’s Annual Report on Form 10-K for the fiscal year ended November 2, 2019, which was filed with the SEC on November 26, 2019. Information about the directors and executive officers of Maxim, including a description of their direct or indirect interests, by security holdings or otherwise, is set forth in Maxim’s proxy statement for its 2019 annual meeting of stockholders, which was filed with the SEC on September 27, 2019, and Maxim’s Annual Report on Form 10-K for the fiscal year ended June 27, 2020, which was filed with the SEC on August 19, 2020. Other information regarding the participants in the proxy solicitations and a description of their direct and indirect interests, by security holdings or otherwise, are contained in the preliminary joint proxy statement/prospectus and will be contained in the definitive joint proxy statement/prospectus and other relevant materials to be filed with the SEC regarding the proposed transaction when such materials become available. Investors should carefully read the preliminary joint proxy statement/prospectus and the definitive joint proxy statement/prospectus when it becomes available before making any voting or investment decisions. You may obtain free copies of these documents from ADI or Maxim using the sources indicated above.</w:t>
      </w:r>
    </w:p>
    <w:p>
      <w:pPr>
        <w:sectPr>
          <w:pgSz w:w="11900" w:h="16838" w:orient="portrait"/>
          <w:cols w:equalWidth="0" w:num="1">
            <w:col w:w="10980"/>
          </w:cols>
          <w:pgMar w:left="440" w:top="301" w:right="4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 August 24, 2020</w:t>
      </w:r>
      <w:r>
        <w:rPr>
          <w:sz w:val="20"/>
          <w:szCs w:val="20"/>
          <w:color w:val="auto"/>
        </w:rPr>
        <w:tab/>
      </w:r>
      <w:r>
        <w:rPr>
          <w:rFonts w:ascii="Arial" w:cs="Arial" w:eastAsia="Arial" w:hAnsi="Arial"/>
          <w:sz w:val="17"/>
          <w:szCs w:val="17"/>
          <w:color w:val="auto"/>
        </w:rPr>
        <w:t>ANALOG DEVICES, INC.</w:t>
      </w:r>
    </w:p>
    <w:p>
      <w:pPr>
        <w:spacing w:after="0" w:line="225" w:lineRule="exact"/>
        <w:rPr>
          <w:sz w:val="20"/>
          <w:szCs w:val="20"/>
          <w:color w:val="auto"/>
        </w:rPr>
      </w:pPr>
    </w:p>
    <w:tbl>
      <w:tblPr>
        <w:tblLayout w:type="fixed"/>
        <w:tblInd w:w="55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K. Seif</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Margaret K. Seif</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People Officer and SVP of Communications</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2020-08-24T16:07:48Z</dcterms:created>
  <dcterms:modified xsi:type="dcterms:W3CDTF">2020-08-24T16:07:48Z</dcterms:modified>
</cp:coreProperties>
</file>