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107315</wp:posOffset>
            </wp:positionV>
            <wp:extent cx="1877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83"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115570</wp:posOffset>
            </wp:positionV>
            <wp:extent cx="1877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68" w:lineRule="exact"/>
        <w:rPr>
          <w:sz w:val="24"/>
          <w:szCs w:val="24"/>
          <w:color w:val="auto"/>
        </w:rPr>
      </w:pPr>
    </w:p>
    <w:p>
      <w:pPr>
        <w:ind w:left="376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7240" w:type="dxa"/>
            <w:vAlign w:val="bottom"/>
            <w:gridSpan w:val="3"/>
          </w:tcPr>
          <w:p>
            <w:pPr>
              <w:ind w:left="3140"/>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2420" w:type="dxa"/>
            <w:vAlign w:val="bottom"/>
          </w:tcPr>
          <w:p>
            <w:pPr>
              <w:spacing w:after="0"/>
              <w:rPr>
                <w:sz w:val="20"/>
                <w:szCs w:val="20"/>
                <w:color w:val="auto"/>
              </w:rPr>
            </w:pPr>
          </w:p>
        </w:tc>
      </w:tr>
      <w:tr>
        <w:trPr>
          <w:trHeight w:val="173"/>
        </w:trPr>
        <w:tc>
          <w:tcPr>
            <w:tcW w:w="3580" w:type="dxa"/>
            <w:vAlign w:val="bottom"/>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99"/>
        </w:trPr>
        <w:tc>
          <w:tcPr>
            <w:tcW w:w="72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5"/>
              </w:rPr>
              <w:t>Massachusetts</w:t>
            </w:r>
          </w:p>
        </w:tc>
        <w:tc>
          <w:tcPr>
            <w:tcW w:w="2420" w:type="dxa"/>
            <w:vAlign w:val="bottom"/>
          </w:tcPr>
          <w:p>
            <w:pPr>
              <w:jc w:val="center"/>
              <w:ind w:left="257"/>
              <w:spacing w:after="0"/>
              <w:rPr>
                <w:sz w:val="20"/>
                <w:szCs w:val="20"/>
                <w:color w:val="auto"/>
              </w:rPr>
            </w:pPr>
            <w:r>
              <w:rPr>
                <w:rFonts w:ascii="Arial" w:cs="Arial" w:eastAsia="Arial" w:hAnsi="Arial"/>
                <w:sz w:val="18"/>
                <w:szCs w:val="18"/>
                <w:b w:val="1"/>
                <w:bCs w:val="1"/>
                <w:color w:val="auto"/>
                <w:w w:val="91"/>
              </w:rPr>
              <w:t>04-2348234</w:t>
            </w:r>
          </w:p>
        </w:tc>
      </w:tr>
      <w:tr>
        <w:trPr>
          <w:trHeight w:val="217"/>
        </w:trPr>
        <w:tc>
          <w:tcPr>
            <w:tcW w:w="7240" w:type="dxa"/>
            <w:vAlign w:val="bottom"/>
            <w:gridSpan w:val="3"/>
          </w:tcPr>
          <w:p>
            <w:pPr>
              <w:jc w:val="center"/>
              <w:ind w:right="37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420" w:type="dxa"/>
            <w:vAlign w:val="bottom"/>
          </w:tcPr>
          <w:p>
            <w:pPr>
              <w:jc w:val="center"/>
              <w:ind w:left="277"/>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404"/>
        </w:trPr>
        <w:tc>
          <w:tcPr>
            <w:tcW w:w="3580" w:type="dxa"/>
            <w:vAlign w:val="bottom"/>
          </w:tcPr>
          <w:p>
            <w:pPr>
              <w:spacing w:after="0"/>
              <w:rPr>
                <w:sz w:val="24"/>
                <w:szCs w:val="24"/>
                <w:color w:val="auto"/>
              </w:rPr>
            </w:pPr>
          </w:p>
        </w:tc>
        <w:tc>
          <w:tcPr>
            <w:tcW w:w="3660" w:type="dxa"/>
            <w:vAlign w:val="bottom"/>
            <w:gridSpan w:val="2"/>
          </w:tcPr>
          <w:p>
            <w:pPr>
              <w:ind w:left="660"/>
              <w:spacing w:after="0"/>
              <w:rPr>
                <w:sz w:val="20"/>
                <w:szCs w:val="20"/>
                <w:color w:val="auto"/>
              </w:rPr>
            </w:pPr>
            <w:r>
              <w:rPr>
                <w:rFonts w:ascii="Arial" w:cs="Arial" w:eastAsia="Arial" w:hAnsi="Arial"/>
                <w:sz w:val="18"/>
                <w:szCs w:val="18"/>
                <w:b w:val="1"/>
                <w:bCs w:val="1"/>
                <w:color w:val="auto"/>
              </w:rPr>
              <w:t>1-7819 (Commission File No.)</w:t>
            </w:r>
          </w:p>
        </w:tc>
        <w:tc>
          <w:tcPr>
            <w:tcW w:w="2420" w:type="dxa"/>
            <w:vAlign w:val="bottom"/>
          </w:tcPr>
          <w:p>
            <w:pPr>
              <w:spacing w:after="0"/>
              <w:rPr>
                <w:sz w:val="24"/>
                <w:szCs w:val="24"/>
                <w:color w:val="auto"/>
              </w:rPr>
            </w:pPr>
          </w:p>
        </w:tc>
      </w:tr>
      <w:tr>
        <w:trPr>
          <w:trHeight w:val="243"/>
        </w:trPr>
        <w:tc>
          <w:tcPr>
            <w:tcW w:w="72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1"/>
              </w:rPr>
              <w:t>One Technology Way, Norwood, MA</w:t>
            </w:r>
          </w:p>
        </w:tc>
        <w:tc>
          <w:tcPr>
            <w:tcW w:w="2420" w:type="dxa"/>
            <w:vAlign w:val="bottom"/>
          </w:tcPr>
          <w:p>
            <w:pPr>
              <w:jc w:val="center"/>
              <w:ind w:left="257"/>
              <w:spacing w:after="0"/>
              <w:rPr>
                <w:sz w:val="20"/>
                <w:szCs w:val="20"/>
                <w:color w:val="auto"/>
              </w:rPr>
            </w:pPr>
            <w:r>
              <w:rPr>
                <w:rFonts w:ascii="Arial" w:cs="Arial" w:eastAsia="Arial" w:hAnsi="Arial"/>
                <w:sz w:val="18"/>
                <w:szCs w:val="18"/>
                <w:b w:val="1"/>
                <w:bCs w:val="1"/>
                <w:color w:val="auto"/>
                <w:w w:val="91"/>
              </w:rPr>
              <w:t>02062-9106</w:t>
            </w:r>
          </w:p>
        </w:tc>
      </w:tr>
      <w:tr>
        <w:trPr>
          <w:trHeight w:val="218"/>
        </w:trPr>
        <w:tc>
          <w:tcPr>
            <w:tcW w:w="7240" w:type="dxa"/>
            <w:vAlign w:val="bottom"/>
            <w:gridSpan w:val="3"/>
          </w:tcPr>
          <w:p>
            <w:pPr>
              <w:jc w:val="center"/>
              <w:ind w:right="374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420" w:type="dxa"/>
            <w:vAlign w:val="bottom"/>
          </w:tcPr>
          <w:p>
            <w:pPr>
              <w:jc w:val="center"/>
              <w:ind w:left="257"/>
              <w:spacing w:after="0"/>
              <w:rPr>
                <w:sz w:val="20"/>
                <w:szCs w:val="20"/>
                <w:color w:val="auto"/>
              </w:rPr>
            </w:pPr>
            <w:r>
              <w:rPr>
                <w:rFonts w:ascii="Arial" w:cs="Arial" w:eastAsia="Arial" w:hAnsi="Arial"/>
                <w:sz w:val="14"/>
                <w:szCs w:val="14"/>
                <w:i w:val="1"/>
                <w:iCs w:val="1"/>
                <w:color w:val="auto"/>
                <w:w w:val="96"/>
              </w:rPr>
              <w:t>(Zip Code)</w:t>
            </w:r>
          </w:p>
        </w:tc>
      </w:tr>
      <w:tr>
        <w:trPr>
          <w:trHeight w:val="471"/>
        </w:trPr>
        <w:tc>
          <w:tcPr>
            <w:tcW w:w="72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Lawrence Weiss</w:t>
            </w:r>
          </w:p>
        </w:tc>
        <w:tc>
          <w:tcPr>
            <w:tcW w:w="2420" w:type="dxa"/>
            <w:vAlign w:val="bottom"/>
          </w:tcPr>
          <w:p>
            <w:pPr>
              <w:jc w:val="center"/>
              <w:ind w:left="277"/>
              <w:spacing w:after="0"/>
              <w:rPr>
                <w:sz w:val="20"/>
                <w:szCs w:val="20"/>
                <w:color w:val="auto"/>
              </w:rPr>
            </w:pPr>
            <w:r>
              <w:rPr>
                <w:rFonts w:ascii="Arial" w:cs="Arial" w:eastAsia="Arial" w:hAnsi="Arial"/>
                <w:sz w:val="18"/>
                <w:szCs w:val="18"/>
                <w:b w:val="1"/>
                <w:bCs w:val="1"/>
                <w:i w:val="1"/>
                <w:iCs w:val="1"/>
                <w:color w:val="auto"/>
                <w:w w:val="90"/>
              </w:rPr>
              <w:t>781-329-4700</w:t>
            </w:r>
          </w:p>
        </w:tc>
      </w:tr>
    </w:tbl>
    <w:p>
      <w:pPr>
        <w:spacing w:after="0" w:line="35" w:lineRule="exact"/>
        <w:rPr>
          <w:sz w:val="24"/>
          <w:szCs w:val="24"/>
          <w:color w:val="auto"/>
        </w:rPr>
      </w:pPr>
    </w:p>
    <w:p>
      <w:pPr>
        <w:ind w:left="2540"/>
        <w:spacing w:after="0"/>
        <w:rPr>
          <w:sz w:val="20"/>
          <w:szCs w:val="20"/>
          <w:color w:val="auto"/>
        </w:rPr>
      </w:pPr>
      <w:r>
        <w:rPr>
          <w:rFonts w:ascii="Arial" w:cs="Arial" w:eastAsia="Arial" w:hAnsi="Arial"/>
          <w:sz w:val="14"/>
          <w:szCs w:val="14"/>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9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ectPr>
          <w:pgSz w:w="11900" w:h="16838" w:orient="portrait"/>
          <w:cols w:equalWidth="0" w:num="1">
            <w:col w:w="10740"/>
          </w:cols>
          <w:pgMar w:left="320" w:top="1440" w:right="839" w:bottom="1440" w:gutter="0" w:footer="0" w:header="0"/>
        </w:sectPr>
      </w:pPr>
    </w:p>
    <w:bookmarkStart w:id="1" w:name="page2"/>
    <w:bookmarkEnd w:id="1"/>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 Conflict Minerals Disclosure and Report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 Exhibit</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53"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Exhibit 1.01 - </w:t>
      </w:r>
      <w:hyperlink w:anchor="page4">
        <w:r>
          <w:rPr>
            <w:rFonts w:ascii="Arial" w:cs="Arial" w:eastAsia="Arial" w:hAnsi="Arial"/>
            <w:sz w:val="22"/>
            <w:szCs w:val="22"/>
            <w:u w:val="single" w:color="auto"/>
            <w:color w:val="0000FF"/>
          </w:rPr>
          <w:t>Conflict Minerals Report</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243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(registrant)</w:t>
      </w:r>
    </w:p>
    <w:p>
      <w:pPr>
        <w:spacing w:after="0" w:line="301" w:lineRule="exact"/>
        <w:rPr>
          <w:sz w:val="20"/>
          <w:szCs w:val="20"/>
          <w:color w:val="auto"/>
        </w:rPr>
      </w:pPr>
    </w:p>
    <w:p>
      <w:pPr>
        <w:ind w:left="40"/>
        <w:spacing w:after="0"/>
        <w:tabs>
          <w:tab w:leader="none" w:pos="8920" w:val="left"/>
        </w:tabs>
        <w:rPr>
          <w:sz w:val="20"/>
          <w:szCs w:val="20"/>
          <w:color w:val="auto"/>
        </w:rPr>
      </w:pPr>
      <w:r>
        <w:rPr>
          <w:rFonts w:ascii="Arial" w:cs="Arial" w:eastAsia="Arial" w:hAnsi="Arial"/>
          <w:sz w:val="22"/>
          <w:szCs w:val="22"/>
          <w:color w:val="auto"/>
        </w:rPr>
        <w:t>/s/ Prashanth Mahendra-Rajah</w:t>
      </w:r>
      <w:r>
        <w:rPr>
          <w:sz w:val="20"/>
          <w:szCs w:val="20"/>
          <w:color w:val="auto"/>
        </w:rPr>
        <w:tab/>
      </w:r>
      <w:r>
        <w:rPr>
          <w:rFonts w:ascii="Arial" w:cs="Arial" w:eastAsia="Arial" w:hAnsi="Arial"/>
          <w:sz w:val="19"/>
          <w:szCs w:val="19"/>
          <w:color w:val="auto"/>
        </w:rPr>
        <w:t>Dated: May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243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Prashanth Mahendra-Rajah</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Senior Vice President, Finance and Chief Financial Officer</w:t>
      </w:r>
    </w:p>
    <w:p>
      <w:pPr>
        <w:sectPr>
          <w:pgSz w:w="11900" w:h="16838" w:orient="portrait"/>
          <w:cols w:equalWidth="0" w:num="1">
            <w:col w:w="11160"/>
          </w:cols>
          <w:pgMar w:left="320" w:top="144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1.01</w:t>
      </w:r>
    </w:p>
    <w:p>
      <w:pPr>
        <w:spacing w:after="0" w:line="237" w:lineRule="exact"/>
        <w:rPr>
          <w:sz w:val="20"/>
          <w:szCs w:val="20"/>
          <w:color w:val="auto"/>
        </w:rPr>
      </w:pPr>
    </w:p>
    <w:p>
      <w:pPr>
        <w:jc w:val="center"/>
        <w:ind w:left="340" w:right="1440"/>
        <w:spacing w:after="0" w:line="257" w:lineRule="auto"/>
        <w:rPr>
          <w:sz w:val="20"/>
          <w:szCs w:val="20"/>
          <w:color w:val="auto"/>
        </w:rPr>
      </w:pPr>
      <w:r>
        <w:rPr>
          <w:rFonts w:ascii="Arial" w:cs="Arial" w:eastAsia="Arial" w:hAnsi="Arial"/>
          <w:sz w:val="20"/>
          <w:szCs w:val="20"/>
          <w:b w:val="1"/>
          <w:bCs w:val="1"/>
          <w:color w:val="auto"/>
        </w:rPr>
        <w:t>CONFLICT MINERALS REPORT OF ANALOG DEVICES, INC. IN ACCORDANCE WITH RULE 13P-1 UNDER THE SECURITIES EXCHANGE ACT OF 1934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Introduction</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is the Conflict Minerals Report of Analog Devices, Inc. (“Analog Devices”, “ADI”, “we”, “our”) for calendar year 2019 in accordance with Rule 13p-1 under the Securities Exchange Act of 1934 (“Rule 13p-1”). Numerous terms in this Report are defined in Rule 13p-1 and Form SD and the reader is referred to those sources for such definitions and explanations thereof.</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scope of this report applies to Integrated Circuit (ICs), Assembled Products, and Evaluation Boards (collectively, the “Products”). Such Products may contain tantalum, tin, tungsten and/or gold (collectively, “conflict minerals”) that are necessary to the functionality or production of products manufactured or contracted to be manufactured by Analog Devices. Based on the Reasonable Country of Origin Inquiry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to determine whether the necessary conflict minerals in the Products did originate or may have originated in the Covered Countries.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Analog Devices is many steps removed from the mining of the conflict minerals; we do not purchase raw ore or unrefined conflict minerals, and we do no purchasing in the Covered Countries. We either purchase conflict minerals indirectly from a smelter or refiner (SOR)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 SORs are consolidating points for raw ore and are therefore in the best position in the total supply chain to know the origin of the ores. Our due diligence measures were based on multi-industry initiatives with the SORs of conflict minerals who provide those conflict minerals to Analog Devices’ suppliers.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1.1: Company Overview</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Analog Devices is a leading global high-performance analog, technology company. Since our inception in 1965, we have focused on solving our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We produce innovative products and technologies that accurately sense, measure, connect, interpret and power, allowing our customers to intelligently bridge the physical and digital domains.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design, manufacture and market a broad portfolio of solutions, including ICs, algorithms, software, and subsystems that leverage high-performance analog, mixed-signal and digital signal processing technologies. Our fusion of cutting-edge sensors, data converters, amplifiers and linear products, radio frequency (RF) ICs, power management products, and other signal processing products with deep industry expertise allows us to create robust technology platforms that meet a broad spectrum of customer</w:t>
      </w:r>
    </w:p>
    <w:p>
      <w:pPr>
        <w:sectPr>
          <w:pgSz w:w="11900" w:h="16838" w:orient="portrait"/>
          <w:cols w:equalWidth="0" w:num="1">
            <w:col w:w="11240"/>
          </w:cols>
          <w:pgMar w:left="320" w:top="1419"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t>and market needs. As new generations of applications evolve, such as autonomous vehicles, 5G networks, intelligent factories, and smart healthcare devices - the demand for Analog Devices’ high-performance analog signal processing and digital signal processing (DSP) products and technologies is increasing.</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focus on key strategic markets such as industrial, automotive, consumer, and communications where our signal processing technology is often a critical differentiator in our customers’ products.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1.2 Principal Products</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on micro-electro mechanical systems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produce and market a broad range of ICs and operate in one reportable segment based on the aggregation of eight operating segments. The ICs sold by each of our operating segments are manufactured using similar semiconductor manufacturing processes and raw materials in either our own production facilities or by third-party wafer fabricators using proprietary processes.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Conflict Minerals Policy</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Analog Devices has adopted a Conflict Minerals Policy. The ADI Conflict Minerals Policy is publicly available on our website (http://www.analog.com/media/en/Other/About-ADI/Sustainability/Analog_Devices_Conflict_Minerals_Policy_Statement.pdf) and is a key component of our conflict minerals program framework systems. This policy:</w:t>
      </w:r>
    </w:p>
    <w:p>
      <w:pPr>
        <w:spacing w:after="0" w:line="118"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reflects ADI’s commitment to ethical practices and compliance with applicable laws and regulations,</w:t>
      </w:r>
    </w:p>
    <w:p>
      <w:pPr>
        <w:spacing w:after="0" w:line="53" w:lineRule="exact"/>
        <w:rPr>
          <w:rFonts w:ascii="Arial" w:cs="Arial" w:eastAsia="Arial" w:hAnsi="Arial"/>
          <w:sz w:val="18"/>
          <w:szCs w:val="18"/>
          <w:color w:val="auto"/>
        </w:rPr>
      </w:pPr>
    </w:p>
    <w:p>
      <w:pPr>
        <w:ind w:left="580" w:hanging="329"/>
        <w:spacing w:after="0" w:line="281" w:lineRule="auto"/>
        <w:tabs>
          <w:tab w:leader="none" w:pos="576" w:val="left"/>
        </w:tabs>
        <w:numPr>
          <w:ilvl w:val="0"/>
          <w:numId w:val="2"/>
        </w:numPr>
        <w:rPr>
          <w:rFonts w:ascii="Arial" w:cs="Arial" w:eastAsia="Arial" w:hAnsi="Arial"/>
          <w:sz w:val="17"/>
          <w:szCs w:val="17"/>
          <w:color w:val="auto"/>
        </w:rPr>
      </w:pPr>
      <w:r>
        <w:rPr>
          <w:rFonts w:ascii="Arial" w:cs="Arial" w:eastAsia="Arial" w:hAnsi="Arial"/>
          <w:sz w:val="19"/>
          <w:szCs w:val="19"/>
          <w:color w:val="auto"/>
        </w:rPr>
        <w:t>includes ADI’s actions to collaborate with other concerned electronics companies, under the Responsible Minerals Initiative (RMI), in developing methods to track the origin of conflict minerals used in the manufacture of electronic products,</w:t>
      </w:r>
    </w:p>
    <w:p>
      <w:pPr>
        <w:spacing w:after="0" w:line="1" w:lineRule="exact"/>
        <w:rPr>
          <w:rFonts w:ascii="Arial" w:cs="Arial" w:eastAsia="Arial" w:hAnsi="Arial"/>
          <w:sz w:val="17"/>
          <w:szCs w:val="17"/>
          <w:color w:val="auto"/>
        </w:rPr>
      </w:pPr>
    </w:p>
    <w:p>
      <w:pPr>
        <w:ind w:left="580" w:hanging="329"/>
        <w:spacing w:after="0" w:line="281" w:lineRule="auto"/>
        <w:tabs>
          <w:tab w:leader="none" w:pos="576" w:val="left"/>
        </w:tabs>
        <w:numPr>
          <w:ilvl w:val="0"/>
          <w:numId w:val="2"/>
        </w:numPr>
        <w:rPr>
          <w:rFonts w:ascii="Arial" w:cs="Arial" w:eastAsia="Arial" w:hAnsi="Arial"/>
          <w:sz w:val="17"/>
          <w:szCs w:val="17"/>
          <w:color w:val="auto"/>
        </w:rPr>
      </w:pPr>
      <w:r>
        <w:rPr>
          <w:rFonts w:ascii="Arial" w:cs="Arial" w:eastAsia="Arial" w:hAnsi="Arial"/>
          <w:sz w:val="19"/>
          <w:szCs w:val="19"/>
          <w:color w:val="auto"/>
        </w:rPr>
        <w:t>reflects ADI’s support of the Responsible Minerals Assurance Process (RMAP) in assessing activities, processes, and systems used by the SOR facility to conduct upstream supply chain due diligence of minerals for conflict-affected and high-risk areas,</w:t>
      </w:r>
    </w:p>
    <w:p>
      <w:pPr>
        <w:spacing w:after="0" w:line="1" w:lineRule="exact"/>
        <w:rPr>
          <w:rFonts w:ascii="Arial" w:cs="Arial" w:eastAsia="Arial" w:hAnsi="Arial"/>
          <w:sz w:val="17"/>
          <w:szCs w:val="17"/>
          <w:color w:val="auto"/>
        </w:rPr>
      </w:pPr>
    </w:p>
    <w:p>
      <w:pPr>
        <w:ind w:left="580" w:hanging="329"/>
        <w:spacing w:after="0" w:line="287" w:lineRule="auto"/>
        <w:tabs>
          <w:tab w:leader="none" w:pos="576" w:val="left"/>
        </w:tabs>
        <w:numPr>
          <w:ilvl w:val="0"/>
          <w:numId w:val="2"/>
        </w:numPr>
        <w:rPr>
          <w:rFonts w:ascii="Arial" w:cs="Arial" w:eastAsia="Arial" w:hAnsi="Arial"/>
          <w:sz w:val="17"/>
          <w:szCs w:val="17"/>
          <w:color w:val="auto"/>
        </w:rPr>
      </w:pPr>
      <w:r>
        <w:rPr>
          <w:rFonts w:ascii="Arial" w:cs="Arial" w:eastAsia="Arial" w:hAnsi="Arial"/>
          <w:sz w:val="19"/>
          <w:szCs w:val="19"/>
          <w:color w:val="auto"/>
        </w:rPr>
        <w:t>is communicated to ADI’s supply chain with the expectation of compliance with the conflict minerals policy, and for the suppliers to provide sourcing information using the RMI Conflict Minerals Reporting Template (RMI CMRT) as a standard, and</w:t>
      </w:r>
    </w:p>
    <w:p>
      <w:pPr>
        <w:sectPr>
          <w:pgSz w:w="11900" w:h="16838" w:orient="portrait"/>
          <w:cols w:equalWidth="0" w:num="1">
            <w:col w:w="11240"/>
          </w:cols>
          <w:pgMar w:left="320" w:top="1419" w:right="339" w:bottom="1440" w:gutter="0" w:footer="0" w:header="0"/>
        </w:sectPr>
      </w:pPr>
    </w:p>
    <w:bookmarkStart w:id="5" w:name="page6"/>
    <w:bookmarkEnd w:id="5"/>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provides a dedicated email address (conflictminerals@analog.com) for any questions or feedback from the supply chain.</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Conflict Minerals Team</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 internal team is tasked to implement our Conflict Minerals Policy and oversee ADI’s conflict minerals program. The Director of Environmental, Health, &amp; Safety (EH&amp;S), who reports to the Senior Vice President of Global Operations and Technology, is the assigned team leader and is supported by representatives from different functional groups.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Conflict Minerals Team reports the program’s conformance status quarterly to the Senior Vice President of Global Operations and Technology.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Reasonable Country of Origin Inquiry (RCOI)</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Analog Devices engaged with our relevant suppliers to identify the SORs in our supply chain. We define relevant suppliers as those who supply materials to Analog Devices that are known to contain any or all of the conflict minerals and that end up in our final products, where such conflict minerals are necessary to the functionality and/or production of the products. We utilized an online platform to reach out to our relevant suppliers to request conflict minerals sourcing information using the RMI Conflict Minerals Reporting Template (RMI CMRT). Information provided by our relevant suppliers is reviewed for completeness and reasonableness, based on our knowledge of the supplier. If necessary, assessment reports were created to outline additional actions needed from suppliers regarding their submission, including but not limited to follow-up and escalation.</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Due Diligence</w:t>
      </w:r>
    </w:p>
    <w:p>
      <w:pPr>
        <w:spacing w:after="0" w:line="30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0"/>
          <w:szCs w:val="20"/>
          <w:color w:val="auto"/>
        </w:rPr>
        <w:t>Design of Analog Devices’ due diligence framework</w:t>
      </w:r>
    </w:p>
    <w:p>
      <w:pPr>
        <w:spacing w:after="0" w:line="249" w:lineRule="exact"/>
        <w:rPr>
          <w:rFonts w:ascii="Arial" w:cs="Arial" w:eastAsia="Arial" w:hAnsi="Arial"/>
          <w:sz w:val="22"/>
          <w:szCs w:val="22"/>
          <w:color w:val="auto"/>
        </w:rPr>
      </w:pPr>
    </w:p>
    <w:p>
      <w:pPr>
        <w:jc w:val="both"/>
        <w:ind w:left="660" w:right="20"/>
        <w:spacing w:after="0" w:line="246" w:lineRule="auto"/>
        <w:rPr>
          <w:rFonts w:ascii="Arial" w:cs="Arial" w:eastAsia="Arial" w:hAnsi="Arial"/>
          <w:sz w:val="22"/>
          <w:szCs w:val="22"/>
          <w:color w:val="auto"/>
        </w:rPr>
      </w:pPr>
      <w:r>
        <w:rPr>
          <w:rFonts w:ascii="Arial" w:cs="Arial" w:eastAsia="Arial" w:hAnsi="Arial"/>
          <w:sz w:val="20"/>
          <w:szCs w:val="20"/>
          <w:color w:val="auto"/>
        </w:rPr>
        <w:t>Analog Devices designed our due diligence measures to conform, in all material respects, with the internationally recognized due diligence framework in the OECD Due Diligence Guidance for Responsible Supply Chains of Minerals from Conflict-Affected and High-Risk Areas: Third Edition (OECD 2016) (“OECD Framework”), including related supplements for each of the conflict minerals.</w:t>
      </w:r>
    </w:p>
    <w:p>
      <w:pPr>
        <w:spacing w:after="0" w:line="245" w:lineRule="exact"/>
        <w:rPr>
          <w:rFonts w:ascii="Arial" w:cs="Arial" w:eastAsia="Arial" w:hAnsi="Arial"/>
          <w:sz w:val="22"/>
          <w:szCs w:val="22"/>
          <w:color w:val="auto"/>
        </w:rPr>
      </w:pPr>
    </w:p>
    <w:p>
      <w:pPr>
        <w:ind w:left="660" w:right="1200" w:hanging="328"/>
        <w:spacing w:after="0" w:line="48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Description of Analog Devices’ due diligence measures performed with respect to products manufactured during 2019 Analog Devices’ due diligence measures performed with respect to products manufactured during 2019 included</w:t>
      </w:r>
      <w:r>
        <w:rPr>
          <w:rFonts w:ascii="Arial" w:cs="Arial" w:eastAsia="Arial" w:hAnsi="Arial"/>
          <w:sz w:val="19"/>
          <w:szCs w:val="19"/>
          <w:color w:val="auto"/>
        </w:rPr>
        <w:t>:</w:t>
      </w:r>
    </w:p>
    <w:p>
      <w:pPr>
        <w:jc w:val="both"/>
        <w:ind w:left="980" w:right="220" w:hanging="324"/>
        <w:spacing w:after="0" w:line="250" w:lineRule="auto"/>
        <w:tabs>
          <w:tab w:leader="none" w:pos="969" w:val="left"/>
        </w:tabs>
        <w:numPr>
          <w:ilvl w:val="1"/>
          <w:numId w:val="4"/>
        </w:numPr>
        <w:rPr>
          <w:rFonts w:ascii="Arial" w:cs="Arial" w:eastAsia="Arial" w:hAnsi="Arial"/>
          <w:sz w:val="20"/>
          <w:szCs w:val="20"/>
          <w:color w:val="auto"/>
        </w:rPr>
      </w:pPr>
      <w:r>
        <w:rPr>
          <w:rFonts w:ascii="Arial" w:cs="Arial" w:eastAsia="Arial" w:hAnsi="Arial"/>
          <w:sz w:val="20"/>
          <w:szCs w:val="20"/>
          <w:color w:val="auto"/>
        </w:rPr>
        <w:t>Comparing the SORs identified by relevant suppliers via the CMRT against the RMI list of SOR facilities that have received a “conformant” designation for conflict minerals by participating in an independent third-party SOR audit. We also validated the SOR's status using RMI’s Active Smelters and Refiners List.</w:t>
      </w:r>
    </w:p>
    <w:p>
      <w:pPr>
        <w:spacing w:after="0" w:line="77" w:lineRule="exact"/>
        <w:rPr>
          <w:rFonts w:ascii="Arial" w:cs="Arial" w:eastAsia="Arial" w:hAnsi="Arial"/>
          <w:sz w:val="20"/>
          <w:szCs w:val="20"/>
          <w:color w:val="auto"/>
        </w:rPr>
      </w:pPr>
    </w:p>
    <w:p>
      <w:pPr>
        <w:ind w:left="980" w:right="200" w:hanging="324"/>
        <w:spacing w:after="0" w:line="291" w:lineRule="auto"/>
        <w:tabs>
          <w:tab w:leader="none" w:pos="969" w:val="left"/>
        </w:tabs>
        <w:numPr>
          <w:ilvl w:val="1"/>
          <w:numId w:val="4"/>
        </w:numPr>
        <w:rPr>
          <w:rFonts w:ascii="Arial" w:cs="Arial" w:eastAsia="Arial" w:hAnsi="Arial"/>
          <w:sz w:val="18"/>
          <w:szCs w:val="18"/>
          <w:color w:val="auto"/>
        </w:rPr>
      </w:pPr>
      <w:r>
        <w:rPr>
          <w:rFonts w:ascii="Arial" w:cs="Arial" w:eastAsia="Arial" w:hAnsi="Arial"/>
          <w:sz w:val="18"/>
          <w:szCs w:val="18"/>
          <w:color w:val="auto"/>
        </w:rPr>
        <w:t>Gathering more information on SORs that are not listed on the references mentioned above by working with the SOR directly, contacting the SOR indirectly through our suppliers, or conducting internet research. If the result of this data collection process indicates that the SOR is legitimately processing conflict minerals, we forward the SOR information to RMI</w:t>
      </w:r>
    </w:p>
    <w:p>
      <w:pPr>
        <w:sectPr>
          <w:pgSz w:w="11900" w:h="16838" w:orient="portrait"/>
          <w:cols w:equalWidth="0" w:num="1">
            <w:col w:w="11240"/>
          </w:cols>
          <w:pgMar w:left="320" w:top="1419" w:right="339" w:bottom="1440" w:gutter="0" w:footer="0" w:header="0"/>
        </w:sectPr>
      </w:pPr>
    </w:p>
    <w:bookmarkStart w:id="6" w:name="page7"/>
    <w:bookmarkEnd w:id="6"/>
    <w:p>
      <w:pPr>
        <w:ind w:left="980" w:right="580"/>
        <w:spacing w:after="0" w:line="250" w:lineRule="auto"/>
        <w:rPr>
          <w:sz w:val="20"/>
          <w:szCs w:val="20"/>
          <w:color w:val="auto"/>
        </w:rPr>
      </w:pPr>
      <w:r>
        <w:rPr>
          <w:rFonts w:ascii="Arial" w:cs="Arial" w:eastAsia="Arial" w:hAnsi="Arial"/>
          <w:sz w:val="20"/>
          <w:szCs w:val="20"/>
          <w:color w:val="auto"/>
        </w:rPr>
        <w:t>for further research. If, however, the result reveals that the SOR is not legitimate, we work with our supplier to conduct additional research on the SOR and to obtain information indicating that it is legitimate, otherwise, the supplier is asked to remove the alleged SOR from the supplier CMRT.</w:t>
      </w:r>
    </w:p>
    <w:p>
      <w:pPr>
        <w:spacing w:after="0" w:line="24" w:lineRule="exact"/>
        <w:rPr>
          <w:sz w:val="20"/>
          <w:szCs w:val="20"/>
          <w:color w:val="auto"/>
        </w:rPr>
      </w:pPr>
    </w:p>
    <w:p>
      <w:pPr>
        <w:ind w:left="980" w:right="160" w:hanging="324"/>
        <w:spacing w:after="0" w:line="250" w:lineRule="auto"/>
        <w:tabs>
          <w:tab w:leader="none" w:pos="969" w:val="left"/>
        </w:tabs>
        <w:numPr>
          <w:ilvl w:val="0"/>
          <w:numId w:val="5"/>
        </w:numPr>
        <w:rPr>
          <w:rFonts w:ascii="Arial" w:cs="Arial" w:eastAsia="Arial" w:hAnsi="Arial"/>
          <w:sz w:val="20"/>
          <w:szCs w:val="20"/>
          <w:color w:val="auto"/>
        </w:rPr>
      </w:pPr>
      <w:r>
        <w:rPr>
          <w:rFonts w:ascii="Arial" w:cs="Arial" w:eastAsia="Arial" w:hAnsi="Arial"/>
          <w:sz w:val="20"/>
          <w:szCs w:val="20"/>
          <w:color w:val="auto"/>
        </w:rPr>
        <w:t>Reaching out directly to SORs who are no longer certified as conformant by a recognized certification program to gather information regarding their plans of recertification, or lack thereof. If the SOR decided not to pursue recertification, we will ask our supplier to discontinue engagement with the SOR.</w:t>
      </w:r>
    </w:p>
    <w:p>
      <w:pPr>
        <w:spacing w:after="0" w:line="23" w:lineRule="exact"/>
        <w:rPr>
          <w:rFonts w:ascii="Arial" w:cs="Arial" w:eastAsia="Arial" w:hAnsi="Arial"/>
          <w:sz w:val="20"/>
          <w:szCs w:val="20"/>
          <w:color w:val="auto"/>
        </w:rPr>
      </w:pPr>
    </w:p>
    <w:p>
      <w:pPr>
        <w:ind w:left="980" w:right="200" w:hanging="324"/>
        <w:spacing w:after="0" w:line="250" w:lineRule="auto"/>
        <w:tabs>
          <w:tab w:leader="none" w:pos="969" w:val="left"/>
        </w:tabs>
        <w:numPr>
          <w:ilvl w:val="0"/>
          <w:numId w:val="5"/>
        </w:numPr>
        <w:rPr>
          <w:rFonts w:ascii="Arial" w:cs="Arial" w:eastAsia="Arial" w:hAnsi="Arial"/>
          <w:sz w:val="20"/>
          <w:szCs w:val="20"/>
          <w:color w:val="auto"/>
        </w:rPr>
      </w:pPr>
      <w:r>
        <w:rPr>
          <w:rFonts w:ascii="Arial" w:cs="Arial" w:eastAsia="Arial" w:hAnsi="Arial"/>
          <w:sz w:val="20"/>
          <w:szCs w:val="20"/>
          <w:color w:val="auto"/>
        </w:rPr>
        <w:t>Reaching out directly to the RMI to gather additional information regarding questionable SORs. These include but are not limited to SORs who have been on the Active list (i.e., SORs who have been in the audit process but have not completed it) for more than 6 months, SORs whose certification status have expired, or newly added SORs.</w:t>
      </w:r>
    </w:p>
    <w:p>
      <w:pPr>
        <w:spacing w:after="0" w:line="23" w:lineRule="exact"/>
        <w:rPr>
          <w:rFonts w:ascii="Arial" w:cs="Arial" w:eastAsia="Arial" w:hAnsi="Arial"/>
          <w:sz w:val="20"/>
          <w:szCs w:val="20"/>
          <w:color w:val="auto"/>
        </w:rPr>
      </w:pPr>
    </w:p>
    <w:p>
      <w:pPr>
        <w:ind w:left="980" w:right="60" w:hanging="324"/>
        <w:spacing w:after="0" w:line="260" w:lineRule="auto"/>
        <w:tabs>
          <w:tab w:leader="none" w:pos="969" w:val="left"/>
        </w:tabs>
        <w:numPr>
          <w:ilvl w:val="0"/>
          <w:numId w:val="5"/>
        </w:numPr>
        <w:rPr>
          <w:rFonts w:ascii="Arial" w:cs="Arial" w:eastAsia="Arial" w:hAnsi="Arial"/>
          <w:sz w:val="20"/>
          <w:szCs w:val="20"/>
          <w:color w:val="auto"/>
        </w:rPr>
      </w:pPr>
      <w:r>
        <w:rPr>
          <w:rFonts w:ascii="Arial" w:cs="Arial" w:eastAsia="Arial" w:hAnsi="Arial"/>
          <w:sz w:val="20"/>
          <w:szCs w:val="20"/>
          <w:color w:val="auto"/>
        </w:rPr>
        <w:t>Working with our suppliers to strongly encourage SORs in our supply chain to participate in the RMAP or a similar program and to cease sourcing from SORs who decline to participate in a RMAP or similar program.</w:t>
      </w:r>
    </w:p>
    <w:p>
      <w:pPr>
        <w:spacing w:after="0" w:line="14" w:lineRule="exact"/>
        <w:rPr>
          <w:rFonts w:ascii="Arial" w:cs="Arial" w:eastAsia="Arial" w:hAnsi="Arial"/>
          <w:sz w:val="20"/>
          <w:szCs w:val="20"/>
          <w:color w:val="auto"/>
        </w:rPr>
      </w:pPr>
    </w:p>
    <w:p>
      <w:pPr>
        <w:ind w:left="960" w:hanging="304"/>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Collaborating with suppliers to ensure accuracy of information being passed down the supply chain.</w:t>
      </w:r>
    </w:p>
    <w:p>
      <w:pPr>
        <w:spacing w:after="0" w:line="53" w:lineRule="exact"/>
        <w:rPr>
          <w:rFonts w:ascii="Arial" w:cs="Arial" w:eastAsia="Arial" w:hAnsi="Arial"/>
          <w:sz w:val="20"/>
          <w:szCs w:val="20"/>
          <w:color w:val="auto"/>
        </w:rPr>
      </w:pPr>
    </w:p>
    <w:p>
      <w:pPr>
        <w:ind w:left="980" w:right="200" w:hanging="324"/>
        <w:spacing w:after="0" w:line="250" w:lineRule="auto"/>
        <w:tabs>
          <w:tab w:leader="none" w:pos="969" w:val="left"/>
        </w:tabs>
        <w:numPr>
          <w:ilvl w:val="0"/>
          <w:numId w:val="5"/>
        </w:numPr>
        <w:rPr>
          <w:rFonts w:ascii="Arial" w:cs="Arial" w:eastAsia="Arial" w:hAnsi="Arial"/>
          <w:sz w:val="20"/>
          <w:szCs w:val="20"/>
          <w:color w:val="auto"/>
        </w:rPr>
      </w:pPr>
      <w:r>
        <w:rPr>
          <w:rFonts w:ascii="Arial" w:cs="Arial" w:eastAsia="Arial" w:hAnsi="Arial"/>
          <w:sz w:val="20"/>
          <w:szCs w:val="20"/>
          <w:color w:val="auto"/>
        </w:rPr>
        <w:t>Pursuing non-responsive suppliers to obtain a CMRT. Suppliers who failed to provide survey information were escalated to our purchasing group and the supplier’s management group. We will take measures up to and including termination of our relationship with the supplier, if warranted.</w:t>
      </w:r>
    </w:p>
    <w:p>
      <w:pPr>
        <w:spacing w:after="0" w:line="23" w:lineRule="exact"/>
        <w:rPr>
          <w:rFonts w:ascii="Arial" w:cs="Arial" w:eastAsia="Arial" w:hAnsi="Arial"/>
          <w:sz w:val="20"/>
          <w:szCs w:val="20"/>
          <w:color w:val="auto"/>
        </w:rPr>
      </w:pPr>
    </w:p>
    <w:p>
      <w:pPr>
        <w:ind w:left="980" w:right="120" w:hanging="324"/>
        <w:spacing w:after="0" w:line="260" w:lineRule="auto"/>
        <w:tabs>
          <w:tab w:leader="none" w:pos="969"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Increasing our capacity building efforts by educating additional members of our Procurement Team as a result of our integration activities associated with our 2017 acquisition of Linear Technology Corporation.</w:t>
      </w:r>
    </w:p>
    <w:p>
      <w:pPr>
        <w:spacing w:after="0" w:line="14" w:lineRule="exact"/>
        <w:rPr>
          <w:rFonts w:ascii="Arial" w:cs="Arial" w:eastAsia="Arial" w:hAnsi="Arial"/>
          <w:sz w:val="20"/>
          <w:szCs w:val="20"/>
          <w:color w:val="auto"/>
        </w:rPr>
      </w:pPr>
    </w:p>
    <w:p>
      <w:pPr>
        <w:ind w:left="980" w:right="220" w:hanging="324"/>
        <w:spacing w:after="0" w:line="260" w:lineRule="auto"/>
        <w:tabs>
          <w:tab w:leader="none" w:pos="969" w:val="left"/>
        </w:tabs>
        <w:numPr>
          <w:ilvl w:val="0"/>
          <w:numId w:val="5"/>
        </w:numPr>
        <w:rPr>
          <w:rFonts w:ascii="Arial" w:cs="Arial" w:eastAsia="Arial" w:hAnsi="Arial"/>
          <w:sz w:val="20"/>
          <w:szCs w:val="20"/>
          <w:color w:val="auto"/>
        </w:rPr>
      </w:pPr>
      <w:r>
        <w:rPr>
          <w:rFonts w:ascii="Arial" w:cs="Arial" w:eastAsia="Arial" w:hAnsi="Arial"/>
          <w:sz w:val="20"/>
          <w:szCs w:val="20"/>
          <w:color w:val="auto"/>
        </w:rPr>
        <w:t>Expanding the scope of our responsible sourcing program by including other minerals and geographies in our conflict minerals supplier survey.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Risk Management Plan</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OECD guidelines for managing risk are largely directed towards the upstream portion of the supply chain (SORs and mines of origin). Nevertheless, ADI as a downstream company in the supply chain, participates in the RMAP under the RMI consortium to identify and review the due diligence process of the SORs in the supply chain. RMI assesses and audits whether the SORs adhere to the due diligence measures per the OECD Guidance; compliant SORs are then designated as “conformant” and listed as such on the RMI website.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Our Risk Mitigation process includes the following:</w:t>
      </w:r>
    </w:p>
    <w:p>
      <w:pPr>
        <w:spacing w:after="0" w:line="108" w:lineRule="exact"/>
        <w:rPr>
          <w:sz w:val="20"/>
          <w:szCs w:val="20"/>
          <w:color w:val="auto"/>
        </w:rPr>
      </w:pPr>
    </w:p>
    <w:p>
      <w:pPr>
        <w:jc w:val="both"/>
        <w:ind w:left="700" w:hanging="328"/>
        <w:spacing w:after="0" w:line="244" w:lineRule="auto"/>
        <w:tabs>
          <w:tab w:leader="none" w:pos="710" w:val="left"/>
        </w:tabs>
        <w:numPr>
          <w:ilvl w:val="0"/>
          <w:numId w:val="6"/>
        </w:numPr>
        <w:rPr>
          <w:rFonts w:ascii="Arial" w:cs="Arial" w:eastAsia="Arial" w:hAnsi="Arial"/>
          <w:sz w:val="18"/>
          <w:szCs w:val="18"/>
          <w:color w:val="auto"/>
        </w:rPr>
      </w:pPr>
      <w:r>
        <w:rPr>
          <w:rFonts w:ascii="Arial" w:cs="Arial" w:eastAsia="Arial" w:hAnsi="Arial"/>
          <w:sz w:val="20"/>
          <w:szCs w:val="20"/>
          <w:color w:val="auto"/>
        </w:rPr>
        <w:t>In the event that a supplier reports on the RMI Conflict Minerals Reporting Template or it is discovered that the SOR has used conflict minerals sourced from mines that support armed conflict in the Covered Countries, then we work with the SOR to obtain its agreement to take steps to rectify the situation, including implementing corrective action to discontinue the use of non-DRC conflict free minerals in products supplied for ADI products, in an agreed upon timeframe. Should the SOR fail to mitigate the issue, ADI will discontinue engagement with the SOR.</w:t>
      </w:r>
    </w:p>
    <w:p>
      <w:pPr>
        <w:spacing w:after="0" w:line="32" w:lineRule="exact"/>
        <w:rPr>
          <w:rFonts w:ascii="Arial" w:cs="Arial" w:eastAsia="Arial" w:hAnsi="Arial"/>
          <w:sz w:val="18"/>
          <w:szCs w:val="18"/>
          <w:color w:val="auto"/>
        </w:rPr>
      </w:pPr>
    </w:p>
    <w:p>
      <w:pPr>
        <w:ind w:left="700" w:hanging="328"/>
        <w:spacing w:after="0" w:line="260" w:lineRule="auto"/>
        <w:tabs>
          <w:tab w:leader="none" w:pos="723" w:val="left"/>
        </w:tabs>
        <w:numPr>
          <w:ilvl w:val="0"/>
          <w:numId w:val="6"/>
        </w:numPr>
        <w:rPr>
          <w:rFonts w:ascii="Arial" w:cs="Arial" w:eastAsia="Arial" w:hAnsi="Arial"/>
          <w:sz w:val="18"/>
          <w:szCs w:val="18"/>
          <w:color w:val="auto"/>
        </w:rPr>
      </w:pPr>
      <w:r>
        <w:rPr>
          <w:rFonts w:ascii="Arial" w:cs="Arial" w:eastAsia="Arial" w:hAnsi="Arial"/>
          <w:sz w:val="20"/>
          <w:szCs w:val="20"/>
          <w:color w:val="auto"/>
        </w:rPr>
        <w:t>ADI will continue to work with our suppliers and with RMI to encourage SORs who have not yet obtained the “conformant” designation to do so.</w:t>
      </w:r>
    </w:p>
    <w:p>
      <w:pPr>
        <w:sectPr>
          <w:pgSz w:w="11900" w:h="16838" w:orient="portrait"/>
          <w:cols w:equalWidth="0" w:num="1">
            <w:col w:w="11240"/>
          </w:cols>
          <w:pgMar w:left="320" w:top="1419" w:right="3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20"/>
          <w:szCs w:val="20"/>
          <w:color w:val="auto"/>
        </w:rPr>
        <w:t>Findings, including the number of SORs which are designated as conformant and suppliers which reported conformant status of all its SORs during the preceding quarter relative to the total number of SORs and suppliers in the ADI supply chain, the number of SORs whose sources of minerals are undeterminable, and any supplier reporting use of minerals sourced from conflict mines are reported to the Senior Vice President of Global Operations and Technology and staff members quarterly.</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SORs used in our single component products are 100% conformant and we are working towards the same status for our multiple component products.</w:t>
      </w:r>
    </w:p>
    <w:p>
      <w:pPr>
        <w:spacing w:after="0" w:line="20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responses from our suppliers listed 293 entities as SORs of conflict minerals in their supply chains. A recognized responsible minerals assurance process verified 232 of these entities as conformant. The following is a summary of the SORs used by our suppliers broken out by mineral type:</w:t>
      </w:r>
    </w:p>
    <w:p>
      <w:pPr>
        <w:spacing w:after="0" w:line="88" w:lineRule="exact"/>
        <w:rPr>
          <w:sz w:val="20"/>
          <w:szCs w:val="20"/>
          <w:color w:val="auto"/>
        </w:rPr>
      </w:pPr>
    </w:p>
    <w:tbl>
      <w:tblPr>
        <w:tblLayout w:type="fixed"/>
        <w:tblInd w:w="630" w:type="dxa"/>
        <w:tblCellMar>
          <w:top w:w="0" w:type="dxa"/>
          <w:left w:w="0" w:type="dxa"/>
          <w:bottom w:w="0" w:type="dxa"/>
          <w:right w:w="0" w:type="dxa"/>
        </w:tblCellMar>
      </w:tblPr>
      <w:tr>
        <w:trPr>
          <w:trHeight w:val="274"/>
        </w:trPr>
        <w:tc>
          <w:tcPr>
            <w:tcW w:w="3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Metal</w:t>
            </w:r>
          </w:p>
        </w:tc>
        <w:tc>
          <w:tcPr>
            <w:tcW w:w="36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0"/>
                <w:szCs w:val="20"/>
                <w:b w:val="1"/>
                <w:bCs w:val="1"/>
                <w:color w:val="auto"/>
              </w:rPr>
              <w:t>Total Known SORs Used</w:t>
            </w:r>
          </w:p>
        </w:tc>
        <w:tc>
          <w:tcPr>
            <w:tcW w:w="322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20"/>
                <w:szCs w:val="20"/>
                <w:b w:val="1"/>
                <w:bCs w:val="1"/>
                <w:color w:val="auto"/>
              </w:rPr>
              <w:t>Conformant SORs</w:t>
            </w:r>
          </w:p>
        </w:tc>
      </w:tr>
      <w:tr>
        <w:trPr>
          <w:trHeight w:val="23"/>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3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150</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105</w:t>
            </w:r>
          </w:p>
        </w:tc>
      </w:tr>
      <w:tr>
        <w:trPr>
          <w:trHeight w:val="23"/>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3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Tantalum</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38</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38</w:t>
            </w:r>
          </w:p>
        </w:tc>
      </w:tr>
      <w:tr>
        <w:trPr>
          <w:trHeight w:val="23"/>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3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57</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46</w:t>
            </w:r>
          </w:p>
        </w:tc>
      </w:tr>
      <w:tr>
        <w:trPr>
          <w:trHeight w:val="23"/>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3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Tungsten</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48</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43</w:t>
            </w:r>
          </w:p>
        </w:tc>
      </w:tr>
      <w:tr>
        <w:trPr>
          <w:trHeight w:val="23"/>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314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20"/>
                <w:szCs w:val="20"/>
                <w:color w:val="auto"/>
              </w:rPr>
              <w:t>Total</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293</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232</w:t>
            </w:r>
          </w:p>
        </w:tc>
      </w:tr>
      <w:tr>
        <w:trPr>
          <w:trHeight w:val="23"/>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Other Matters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the information provided by our suppliers through December 31, 2019, we believe that the facilities that may have been used to process conflict minerals in our products include the SORs listed in Annex I below.</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 armed group in the Covered Countries. Based on information provided by our suppliers and from the RCOI data from RMI, Analog Devices believes the origin of the conflict minerals contained in our products may include the countries listed in Annex II below as well as recycled and scrap sources.</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Analog Devices will undertake the following steps during the next compliance period to continue to improve the due diligence conducted and to further mitigate the risk that our necessary conflict minerals benefit armed groups, including:</w:t>
      </w:r>
    </w:p>
    <w:p>
      <w:pPr>
        <w:spacing w:after="0" w:line="20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Continue to participate in industry initiatives, such as the RMI. We participate actively in RMI Plenary sessions.</w:t>
      </w:r>
    </w:p>
    <w:p>
      <w:pPr>
        <w:spacing w:after="0" w:line="53" w:lineRule="exact"/>
        <w:rPr>
          <w:rFonts w:ascii="Arial" w:cs="Arial" w:eastAsia="Arial" w:hAnsi="Arial"/>
          <w:sz w:val="18"/>
          <w:szCs w:val="18"/>
          <w:color w:val="auto"/>
        </w:rPr>
      </w:pPr>
    </w:p>
    <w:p>
      <w:pPr>
        <w:ind w:left="660" w:right="520" w:hanging="328"/>
        <w:spacing w:after="0" w:line="297"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contact SORs identified as a result of the RCOI process and request their participation in obtaining a “conformant” designation from an industry program such as the RMAP program or equivalent, if they have not already done so.</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color w:val="auto"/>
        </w:rPr>
        <w:t>Strengthen our alternate sourcing strategy to transition out suppliers who fail to comply with our Conflict Minerals requirements.</w:t>
      </w:r>
    </w:p>
    <w:p>
      <w:pPr>
        <w:spacing w:after="0" w:line="76" w:lineRule="exact"/>
        <w:rPr>
          <w:rFonts w:ascii="Arial" w:cs="Arial" w:eastAsia="Arial" w:hAnsi="Arial"/>
          <w:sz w:val="16"/>
          <w:szCs w:val="16"/>
          <w:color w:val="auto"/>
        </w:rPr>
      </w:pPr>
    </w:p>
    <w:p>
      <w:pPr>
        <w:ind w:left="660" w:right="340" w:hanging="328"/>
        <w:spacing w:after="0" w:line="260"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20"/>
          <w:szCs w:val="20"/>
          <w:color w:val="auto"/>
        </w:rPr>
        <w:t>Collaborate with our Procurement Team by providing them with resources that will guide them in choosing the material suppliers containing any or all of the conflict minerals.</w:t>
      </w:r>
    </w:p>
    <w:p>
      <w:pPr>
        <w:sectPr>
          <w:pgSz w:w="11900" w:h="16838" w:orient="portrait"/>
          <w:cols w:equalWidth="0" w:num="1">
            <w:col w:w="11240"/>
          </w:cols>
          <w:pgMar w:left="320" w:top="1419" w:right="339" w:bottom="1440" w:gutter="0" w:footer="0" w:header="0"/>
        </w:sectPr>
      </w:pPr>
    </w:p>
    <w:bookmarkStart w:id="8" w:name="page9"/>
    <w:bookmarkEnd w:id="8"/>
    <w:p>
      <w:pPr>
        <w:spacing w:after="0" w:line="243" w:lineRule="auto"/>
        <w:rPr>
          <w:sz w:val="20"/>
          <w:szCs w:val="20"/>
          <w:color w:val="auto"/>
        </w:rPr>
      </w:pPr>
      <w:r>
        <w:rPr>
          <w:rFonts w:ascii="Arial" w:cs="Arial" w:eastAsia="Arial" w:hAnsi="Arial"/>
          <w:sz w:val="20"/>
          <w:szCs w:val="20"/>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actions or performance. Analog Devices assumes no obligation to revise or update any forward-looking statements for any reason, except as required by law.</w:t>
      </w:r>
    </w:p>
    <w:p>
      <w:pPr>
        <w:sectPr>
          <w:pgSz w:w="11900" w:h="16838" w:orient="portrait"/>
          <w:cols w:equalWidth="0" w:num="1">
            <w:col w:w="11240"/>
          </w:cols>
          <w:pgMar w:left="320" w:top="1419"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ANNEX I</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283"/>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584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860" w:type="dxa"/>
            <w:vAlign w:val="bottom"/>
            <w:shd w:val="clear" w:color="auto" w:fill="AEAAAA"/>
          </w:tcPr>
          <w:p>
            <w:pPr>
              <w:ind w:left="1880"/>
              <w:spacing w:after="0"/>
              <w:rPr>
                <w:sz w:val="20"/>
                <w:szCs w:val="20"/>
                <w:color w:val="auto"/>
              </w:rPr>
            </w:pPr>
            <w:r>
              <w:rPr>
                <w:rFonts w:ascii="Arial" w:cs="Arial" w:eastAsia="Arial" w:hAnsi="Arial"/>
                <w:sz w:val="20"/>
                <w:szCs w:val="20"/>
                <w:b w:val="1"/>
                <w:bCs w:val="1"/>
                <w:color w:val="auto"/>
              </w:rPr>
              <w:t>Country</w:t>
            </w: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8853 S.p.A.*</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ITALY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Abington Reldan Metals, LLC</w:t>
            </w:r>
          </w:p>
        </w:tc>
        <w:tc>
          <w:tcPr>
            <w:tcW w:w="3860" w:type="dxa"/>
            <w:vAlign w:val="bottom"/>
          </w:tcPr>
          <w:p>
            <w:pPr>
              <w:ind w:left="64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Advanced Chemical Company*</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African Gold Refinery</w:t>
            </w:r>
          </w:p>
        </w:tc>
        <w:tc>
          <w:tcPr>
            <w:tcW w:w="3860" w:type="dxa"/>
            <w:vAlign w:val="bottom"/>
          </w:tcPr>
          <w:p>
            <w:pPr>
              <w:ind w:left="640"/>
              <w:spacing w:after="0"/>
              <w:rPr>
                <w:sz w:val="20"/>
                <w:szCs w:val="20"/>
                <w:color w:val="auto"/>
              </w:rPr>
            </w:pPr>
            <w:r>
              <w:rPr>
                <w:rFonts w:ascii="Arial" w:cs="Arial" w:eastAsia="Arial" w:hAnsi="Arial"/>
                <w:sz w:val="20"/>
                <w:szCs w:val="20"/>
                <w:color w:val="auto"/>
              </w:rPr>
              <w:t>UGANDA</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Aida Chemical Industries Co., Ltd.*</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Al Etihad Gold Refinery DMCC*</w:t>
            </w:r>
          </w:p>
        </w:tc>
        <w:tc>
          <w:tcPr>
            <w:tcW w:w="3860" w:type="dxa"/>
            <w:vAlign w:val="bottom"/>
          </w:tcPr>
          <w:p>
            <w:pPr>
              <w:ind w:left="640"/>
              <w:spacing w:after="0"/>
              <w:rPr>
                <w:sz w:val="20"/>
                <w:szCs w:val="20"/>
                <w:color w:val="auto"/>
              </w:rPr>
            </w:pPr>
            <w:r>
              <w:rPr>
                <w:rFonts w:ascii="Arial" w:cs="Arial" w:eastAsia="Arial" w:hAnsi="Arial"/>
                <w:sz w:val="20"/>
                <w:szCs w:val="20"/>
                <w:color w:val="auto"/>
              </w:rPr>
              <w:t>UNITED ARAB EMIRATES</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Allgemeine Gold-und Silberscheideanstalt A.G.*</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GERMANY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Almalyk Mining and Metallurgical Complex (AMMC)*</w:t>
            </w:r>
          </w:p>
        </w:tc>
        <w:tc>
          <w:tcPr>
            <w:tcW w:w="3860" w:type="dxa"/>
            <w:vAlign w:val="bottom"/>
          </w:tcPr>
          <w:p>
            <w:pPr>
              <w:ind w:left="640"/>
              <w:spacing w:after="0"/>
              <w:rPr>
                <w:sz w:val="20"/>
                <w:szCs w:val="20"/>
                <w:color w:val="auto"/>
              </w:rPr>
            </w:pPr>
            <w:r>
              <w:rPr>
                <w:rFonts w:ascii="Arial" w:cs="Arial" w:eastAsia="Arial" w:hAnsi="Arial"/>
                <w:sz w:val="20"/>
                <w:szCs w:val="20"/>
                <w:color w:val="auto"/>
              </w:rPr>
              <w:t>UZBEKISTAN</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AngloGold Ashanti Corrego do Sitio Mineracao*</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BRAZIL</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Argor-Heraeus S.A.*</w:t>
            </w:r>
          </w:p>
        </w:tc>
        <w:tc>
          <w:tcPr>
            <w:tcW w:w="3860" w:type="dxa"/>
            <w:vAlign w:val="bottom"/>
          </w:tcPr>
          <w:p>
            <w:pPr>
              <w:ind w:left="640"/>
              <w:spacing w:after="0"/>
              <w:rPr>
                <w:sz w:val="20"/>
                <w:szCs w:val="20"/>
                <w:color w:val="auto"/>
              </w:rPr>
            </w:pPr>
            <w:r>
              <w:rPr>
                <w:rFonts w:ascii="Arial" w:cs="Arial" w:eastAsia="Arial" w:hAnsi="Arial"/>
                <w:sz w:val="20"/>
                <w:szCs w:val="20"/>
                <w:color w:val="auto"/>
              </w:rPr>
              <w:t>SWITZERLAND</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Asahi Pretec Corp.*</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Asahi Refining Canada Ltd.*</w:t>
            </w:r>
          </w:p>
        </w:tc>
        <w:tc>
          <w:tcPr>
            <w:tcW w:w="3860" w:type="dxa"/>
            <w:vAlign w:val="bottom"/>
          </w:tcPr>
          <w:p>
            <w:pPr>
              <w:ind w:left="640"/>
              <w:spacing w:after="0"/>
              <w:rPr>
                <w:sz w:val="20"/>
                <w:szCs w:val="20"/>
                <w:color w:val="auto"/>
              </w:rPr>
            </w:pPr>
            <w:r>
              <w:rPr>
                <w:rFonts w:ascii="Arial" w:cs="Arial" w:eastAsia="Arial" w:hAnsi="Arial"/>
                <w:sz w:val="20"/>
                <w:szCs w:val="20"/>
                <w:color w:val="auto"/>
              </w:rPr>
              <w:t>CANADA</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Asahi Refining USA Inc.*</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Asaka Riken Co., Ltd.*</w:t>
            </w:r>
          </w:p>
        </w:tc>
        <w:tc>
          <w:tcPr>
            <w:tcW w:w="3860" w:type="dxa"/>
            <w:vAlign w:val="bottom"/>
          </w:tcPr>
          <w:p>
            <w:pPr>
              <w:ind w:left="64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Atasay Kuyumculuk Sanayi Ve Ticaret A.S.</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TURKEY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AU Traders and Refiners*</w:t>
            </w:r>
          </w:p>
        </w:tc>
        <w:tc>
          <w:tcPr>
            <w:tcW w:w="3860" w:type="dxa"/>
            <w:vAlign w:val="bottom"/>
          </w:tcPr>
          <w:p>
            <w:pPr>
              <w:ind w:left="640"/>
              <w:spacing w:after="0"/>
              <w:rPr>
                <w:sz w:val="20"/>
                <w:szCs w:val="20"/>
                <w:color w:val="auto"/>
              </w:rPr>
            </w:pPr>
            <w:r>
              <w:rPr>
                <w:rFonts w:ascii="Arial" w:cs="Arial" w:eastAsia="Arial" w:hAnsi="Arial"/>
                <w:sz w:val="20"/>
                <w:szCs w:val="20"/>
                <w:color w:val="auto"/>
              </w:rPr>
              <w:t>SOUTH AFRICA</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Aurubis AG*</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GERMANY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Bangalore Refinery*</w:t>
            </w:r>
          </w:p>
        </w:tc>
        <w:tc>
          <w:tcPr>
            <w:tcW w:w="3860" w:type="dxa"/>
            <w:vAlign w:val="bottom"/>
          </w:tcPr>
          <w:p>
            <w:pPr>
              <w:ind w:left="640"/>
              <w:spacing w:after="0"/>
              <w:rPr>
                <w:sz w:val="20"/>
                <w:szCs w:val="20"/>
                <w:color w:val="auto"/>
              </w:rPr>
            </w:pPr>
            <w:r>
              <w:rPr>
                <w:rFonts w:ascii="Arial" w:cs="Arial" w:eastAsia="Arial" w:hAnsi="Arial"/>
                <w:sz w:val="20"/>
                <w:szCs w:val="20"/>
                <w:color w:val="auto"/>
              </w:rPr>
              <w:t>INDIA</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Bangko Sentral ng Pilipinas (Central Bank of the Philippines)*</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PHILIPPINES</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Boliden AB*</w:t>
            </w:r>
          </w:p>
        </w:tc>
        <w:tc>
          <w:tcPr>
            <w:tcW w:w="3860" w:type="dxa"/>
            <w:vAlign w:val="bottom"/>
          </w:tcPr>
          <w:p>
            <w:pPr>
              <w:ind w:left="640"/>
              <w:spacing w:after="0"/>
              <w:rPr>
                <w:sz w:val="20"/>
                <w:szCs w:val="20"/>
                <w:color w:val="auto"/>
              </w:rPr>
            </w:pPr>
            <w:r>
              <w:rPr>
                <w:rFonts w:ascii="Arial" w:cs="Arial" w:eastAsia="Arial" w:hAnsi="Arial"/>
                <w:sz w:val="20"/>
                <w:szCs w:val="20"/>
                <w:color w:val="auto"/>
              </w:rPr>
              <w:t>SWEDEN</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 Hafner GmbH + Co. KG*</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GERMANY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Caridad</w:t>
            </w:r>
          </w:p>
        </w:tc>
        <w:tc>
          <w:tcPr>
            <w:tcW w:w="3860" w:type="dxa"/>
            <w:vAlign w:val="bottom"/>
          </w:tcPr>
          <w:p>
            <w:pPr>
              <w:ind w:left="640"/>
              <w:spacing w:after="0"/>
              <w:rPr>
                <w:sz w:val="20"/>
                <w:szCs w:val="20"/>
                <w:color w:val="auto"/>
              </w:rPr>
            </w:pPr>
            <w:r>
              <w:rPr>
                <w:rFonts w:ascii="Arial" w:cs="Arial" w:eastAsia="Arial" w:hAnsi="Arial"/>
                <w:sz w:val="20"/>
                <w:szCs w:val="20"/>
                <w:color w:val="auto"/>
              </w:rPr>
              <w:t>MEXICO</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CCR Refinery - Glencore Canada Corporation*</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CANADA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Cendres + Metaux S.A.*</w:t>
            </w:r>
          </w:p>
        </w:tc>
        <w:tc>
          <w:tcPr>
            <w:tcW w:w="3860" w:type="dxa"/>
            <w:vAlign w:val="bottom"/>
          </w:tcPr>
          <w:p>
            <w:pPr>
              <w:ind w:left="640"/>
              <w:spacing w:after="0"/>
              <w:rPr>
                <w:sz w:val="20"/>
                <w:szCs w:val="20"/>
                <w:color w:val="auto"/>
              </w:rPr>
            </w:pPr>
            <w:r>
              <w:rPr>
                <w:rFonts w:ascii="Arial" w:cs="Arial" w:eastAsia="Arial" w:hAnsi="Arial"/>
                <w:sz w:val="20"/>
                <w:szCs w:val="20"/>
                <w:color w:val="auto"/>
              </w:rPr>
              <w:t>SWITZERLAND</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CGR Metalloys Pvt Ltd.</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INDIA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Chimet S.p.A.*</w:t>
            </w:r>
          </w:p>
        </w:tc>
        <w:tc>
          <w:tcPr>
            <w:tcW w:w="3860" w:type="dxa"/>
            <w:vAlign w:val="bottom"/>
          </w:tcPr>
          <w:p>
            <w:pPr>
              <w:ind w:left="640"/>
              <w:spacing w:after="0"/>
              <w:rPr>
                <w:sz w:val="20"/>
                <w:szCs w:val="20"/>
                <w:color w:val="auto"/>
              </w:rPr>
            </w:pPr>
            <w:r>
              <w:rPr>
                <w:rFonts w:ascii="Arial" w:cs="Arial" w:eastAsia="Arial" w:hAnsi="Arial"/>
                <w:sz w:val="20"/>
                <w:szCs w:val="20"/>
                <w:color w:val="auto"/>
              </w:rPr>
              <w:t>ITALY</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Chugai Mining*</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Daye Non-Ferrous Metals Mining Ltd.</w:t>
            </w:r>
          </w:p>
        </w:tc>
        <w:tc>
          <w:tcPr>
            <w:tcW w:w="3860" w:type="dxa"/>
            <w:vAlign w:val="bottom"/>
          </w:tcPr>
          <w:p>
            <w:pPr>
              <w:ind w:left="64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Degussa Sonne / Mond Goldhandel GmbH</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GERMANY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Dijllah Gold Refinery FZC</w:t>
            </w:r>
          </w:p>
        </w:tc>
        <w:tc>
          <w:tcPr>
            <w:tcW w:w="3860" w:type="dxa"/>
            <w:vAlign w:val="bottom"/>
          </w:tcPr>
          <w:p>
            <w:pPr>
              <w:ind w:left="640"/>
              <w:spacing w:after="0"/>
              <w:rPr>
                <w:sz w:val="20"/>
                <w:szCs w:val="20"/>
                <w:color w:val="auto"/>
              </w:rPr>
            </w:pPr>
            <w:r>
              <w:rPr>
                <w:rFonts w:ascii="Arial" w:cs="Arial" w:eastAsia="Arial" w:hAnsi="Arial"/>
                <w:sz w:val="20"/>
                <w:szCs w:val="20"/>
                <w:color w:val="auto"/>
              </w:rPr>
              <w:t>UNITED ARAB EMIRATES</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DODUCO Contacts and Refining GmbH*</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GERMANY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Dowa*</w:t>
            </w:r>
          </w:p>
        </w:tc>
        <w:tc>
          <w:tcPr>
            <w:tcW w:w="3860" w:type="dxa"/>
            <w:vAlign w:val="bottom"/>
          </w:tcPr>
          <w:p>
            <w:pPr>
              <w:ind w:left="64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DS PRETECH Co., Ltd.*</w:t>
            </w:r>
          </w:p>
        </w:tc>
        <w:tc>
          <w:tcPr>
            <w:tcW w:w="38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20"/>
                <w:szCs w:val="20"/>
                <w:color w:val="auto"/>
              </w:rPr>
              <w:t>KOREA, REPUBLIC OF</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840" w:type="dxa"/>
            <w:vAlign w:val="bottom"/>
          </w:tcPr>
          <w:p>
            <w:pPr>
              <w:ind w:left="220"/>
              <w:spacing w:after="0"/>
              <w:rPr>
                <w:sz w:val="20"/>
                <w:szCs w:val="20"/>
                <w:color w:val="auto"/>
              </w:rPr>
            </w:pPr>
            <w:r>
              <w:rPr>
                <w:rFonts w:ascii="Arial" w:cs="Arial" w:eastAsia="Arial" w:hAnsi="Arial"/>
                <w:sz w:val="20"/>
                <w:szCs w:val="20"/>
                <w:color w:val="auto"/>
              </w:rPr>
              <w:t>DSC (Do Sung Corporation)*</w:t>
            </w:r>
          </w:p>
        </w:tc>
        <w:tc>
          <w:tcPr>
            <w:tcW w:w="3860" w:type="dxa"/>
            <w:vAlign w:val="bottom"/>
          </w:tcPr>
          <w:p>
            <w:pPr>
              <w:ind w:left="640"/>
              <w:spacing w:after="0"/>
              <w:rPr>
                <w:sz w:val="20"/>
                <w:szCs w:val="20"/>
                <w:color w:val="auto"/>
              </w:rPr>
            </w:pPr>
            <w:r>
              <w:rPr>
                <w:rFonts w:ascii="Arial" w:cs="Arial" w:eastAsia="Arial" w:hAnsi="Arial"/>
                <w:sz w:val="20"/>
                <w:szCs w:val="20"/>
                <w:color w:val="auto"/>
              </w:rPr>
              <w:t>KOREA, REPUBLIC OF</w:t>
            </w:r>
          </w:p>
        </w:tc>
      </w:tr>
    </w:tbl>
    <w:p>
      <w:pPr>
        <w:sectPr>
          <w:pgSz w:w="11900" w:h="16838" w:orient="portrait"/>
          <w:cols w:equalWidth="0" w:num="1">
            <w:col w:w="11020"/>
          </w:cols>
          <w:pgMar w:left="320" w:top="1413" w:right="559" w:bottom="1440" w:gutter="0" w:footer="0" w:header="0"/>
        </w:sectPr>
      </w:pPr>
    </w:p>
    <w:bookmarkStart w:id="10" w:name="page11"/>
    <w:bookmarkEnd w:id="10"/>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604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660" w:type="dxa"/>
            <w:vAlign w:val="bottom"/>
            <w:shd w:val="clear" w:color="auto" w:fill="AEAAAA"/>
          </w:tcPr>
          <w:p>
            <w:pPr>
              <w:ind w:left="168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Eco-System Recycling Co., Ltd. East Plant*</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Emirates Gold DMCC*</w:t>
            </w:r>
          </w:p>
        </w:tc>
        <w:tc>
          <w:tcPr>
            <w:tcW w:w="3660" w:type="dxa"/>
            <w:vAlign w:val="bottom"/>
          </w:tcPr>
          <w:p>
            <w:pPr>
              <w:ind w:left="440"/>
              <w:spacing w:after="0"/>
              <w:rPr>
                <w:sz w:val="20"/>
                <w:szCs w:val="20"/>
                <w:color w:val="auto"/>
              </w:rPr>
            </w:pPr>
            <w:r>
              <w:rPr>
                <w:rFonts w:ascii="Arial" w:cs="Arial" w:eastAsia="Arial" w:hAnsi="Arial"/>
                <w:sz w:val="20"/>
                <w:szCs w:val="20"/>
                <w:color w:val="auto"/>
              </w:rPr>
              <w:t>UNITED ARAB EMIRATES</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Fujairah Gold FZC</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UNITED ARAB EMIRATES</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GCC Gujrat Gold Centre Pvt. Ltd.</w:t>
            </w:r>
          </w:p>
        </w:tc>
        <w:tc>
          <w:tcPr>
            <w:tcW w:w="3660" w:type="dxa"/>
            <w:vAlign w:val="bottom"/>
          </w:tcPr>
          <w:p>
            <w:pPr>
              <w:ind w:left="440"/>
              <w:spacing w:after="0"/>
              <w:rPr>
                <w:sz w:val="20"/>
                <w:szCs w:val="20"/>
                <w:color w:val="auto"/>
              </w:rPr>
            </w:pPr>
            <w:r>
              <w:rPr>
                <w:rFonts w:ascii="Arial" w:cs="Arial" w:eastAsia="Arial" w:hAnsi="Arial"/>
                <w:sz w:val="20"/>
                <w:szCs w:val="20"/>
                <w:color w:val="auto"/>
              </w:rPr>
              <w:t>INDIA</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Geib Refining Corporation*</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Gold Refinery of Zijin Mining Group Co., Ltd.*</w:t>
            </w:r>
          </w:p>
        </w:tc>
        <w:tc>
          <w:tcPr>
            <w:tcW w:w="3660" w:type="dxa"/>
            <w:vAlign w:val="bottom"/>
          </w:tcPr>
          <w:p>
            <w:pPr>
              <w:ind w:left="44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Great Wall Precious Metals Co., Ltd. of CBPM</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Guangdong Jinding Gold Limited</w:t>
            </w:r>
          </w:p>
        </w:tc>
        <w:tc>
          <w:tcPr>
            <w:tcW w:w="3660" w:type="dxa"/>
            <w:vAlign w:val="bottom"/>
          </w:tcPr>
          <w:p>
            <w:pPr>
              <w:ind w:left="44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Guoda Safina High-Tech Environmental Refinery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Hangzhou Fuchunjiang Smelting Co., Ltd.</w:t>
            </w:r>
          </w:p>
        </w:tc>
        <w:tc>
          <w:tcPr>
            <w:tcW w:w="3660" w:type="dxa"/>
            <w:vAlign w:val="bottom"/>
          </w:tcPr>
          <w:p>
            <w:pPr>
              <w:ind w:left="44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Heimerle + Meule GmbH*</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GERMANY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Heraeus Metals Hong Kong Ltd.*</w:t>
            </w:r>
          </w:p>
        </w:tc>
        <w:tc>
          <w:tcPr>
            <w:tcW w:w="3660" w:type="dxa"/>
            <w:vAlign w:val="bottom"/>
          </w:tcPr>
          <w:p>
            <w:pPr>
              <w:ind w:left="44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Heraeus Precious Metals GmbH &amp; Co. KG*</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GERMANY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Hunan Chenzhou Mining Co., Ltd.</w:t>
            </w:r>
          </w:p>
        </w:tc>
        <w:tc>
          <w:tcPr>
            <w:tcW w:w="3660" w:type="dxa"/>
            <w:vAlign w:val="bottom"/>
          </w:tcPr>
          <w:p>
            <w:pPr>
              <w:ind w:left="44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Hunan Guiyang yinxing Nonferrous Smelting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HwaSeong CJ CO., LTD.</w:t>
            </w:r>
          </w:p>
        </w:tc>
        <w:tc>
          <w:tcPr>
            <w:tcW w:w="3660" w:type="dxa"/>
            <w:vAlign w:val="bottom"/>
          </w:tcPr>
          <w:p>
            <w:pPr>
              <w:ind w:left="440"/>
              <w:spacing w:after="0"/>
              <w:rPr>
                <w:sz w:val="20"/>
                <w:szCs w:val="20"/>
                <w:color w:val="auto"/>
              </w:rPr>
            </w:pPr>
            <w:r>
              <w:rPr>
                <w:rFonts w:ascii="Arial" w:cs="Arial" w:eastAsia="Arial" w:hAnsi="Arial"/>
                <w:sz w:val="20"/>
                <w:szCs w:val="20"/>
                <w:color w:val="auto"/>
              </w:rPr>
              <w:t>KOREA, REPUBLIC OF</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w w:val="99"/>
              </w:rPr>
              <w:t>Inner Mongolia Qiankun Gold and Silver Refinery Share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International Precious Metal Refiners</w:t>
            </w:r>
          </w:p>
        </w:tc>
        <w:tc>
          <w:tcPr>
            <w:tcW w:w="3660" w:type="dxa"/>
            <w:vAlign w:val="bottom"/>
          </w:tcPr>
          <w:p>
            <w:pPr>
              <w:ind w:left="440"/>
              <w:spacing w:after="0"/>
              <w:rPr>
                <w:sz w:val="20"/>
                <w:szCs w:val="20"/>
                <w:color w:val="auto"/>
              </w:rPr>
            </w:pPr>
            <w:r>
              <w:rPr>
                <w:rFonts w:ascii="Arial" w:cs="Arial" w:eastAsia="Arial" w:hAnsi="Arial"/>
                <w:sz w:val="20"/>
                <w:szCs w:val="20"/>
                <w:color w:val="auto"/>
              </w:rPr>
              <w:t>UNITED ARAB EMIRATES</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Ishifuku Metal Industry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Istanbul Gold Refinery*</w:t>
            </w:r>
          </w:p>
        </w:tc>
        <w:tc>
          <w:tcPr>
            <w:tcW w:w="3660" w:type="dxa"/>
            <w:vAlign w:val="bottom"/>
          </w:tcPr>
          <w:p>
            <w:pPr>
              <w:ind w:left="440"/>
              <w:spacing w:after="0"/>
              <w:rPr>
                <w:sz w:val="20"/>
                <w:szCs w:val="20"/>
                <w:color w:val="auto"/>
              </w:rPr>
            </w:pPr>
            <w:r>
              <w:rPr>
                <w:rFonts w:ascii="Arial" w:cs="Arial" w:eastAsia="Arial" w:hAnsi="Arial"/>
                <w:sz w:val="20"/>
                <w:szCs w:val="20"/>
                <w:color w:val="auto"/>
              </w:rPr>
              <w:t>TURKEY</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Italpreziosi*</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ITALY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Japan Mint*</w:t>
            </w:r>
          </w:p>
        </w:tc>
        <w:tc>
          <w:tcPr>
            <w:tcW w:w="3660" w:type="dxa"/>
            <w:vAlign w:val="bottom"/>
          </w:tcPr>
          <w:p>
            <w:pPr>
              <w:ind w:left="44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Copper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JSC Uralelectromed*</w:t>
            </w:r>
          </w:p>
        </w:tc>
        <w:tc>
          <w:tcPr>
            <w:tcW w:w="3660" w:type="dxa"/>
            <w:vAlign w:val="bottom"/>
          </w:tcPr>
          <w:p>
            <w:pPr>
              <w:ind w:left="440"/>
              <w:spacing w:after="0"/>
              <w:rPr>
                <w:sz w:val="20"/>
                <w:szCs w:val="20"/>
                <w:color w:val="auto"/>
              </w:rPr>
            </w:pPr>
            <w:r>
              <w:rPr>
                <w:rFonts w:ascii="Arial" w:cs="Arial" w:eastAsia="Arial" w:hAnsi="Arial"/>
                <w:sz w:val="20"/>
                <w:szCs w:val="20"/>
                <w:color w:val="auto"/>
              </w:rPr>
              <w:t>RUSSIAN FEDERATION</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JX Nippon Mining &amp; Metals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Kaloti Precious Metals</w:t>
            </w:r>
          </w:p>
        </w:tc>
        <w:tc>
          <w:tcPr>
            <w:tcW w:w="3660" w:type="dxa"/>
            <w:vAlign w:val="bottom"/>
          </w:tcPr>
          <w:p>
            <w:pPr>
              <w:ind w:left="440"/>
              <w:spacing w:after="0"/>
              <w:rPr>
                <w:sz w:val="20"/>
                <w:szCs w:val="20"/>
                <w:color w:val="auto"/>
              </w:rPr>
            </w:pPr>
            <w:r>
              <w:rPr>
                <w:rFonts w:ascii="Arial" w:cs="Arial" w:eastAsia="Arial" w:hAnsi="Arial"/>
                <w:sz w:val="20"/>
                <w:szCs w:val="20"/>
                <w:color w:val="auto"/>
              </w:rPr>
              <w:t>UNITED ARAB EMIRATES</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Kazakhmys Smelting LLC</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KAZAKHSTAN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Kazzinc*</w:t>
            </w:r>
          </w:p>
        </w:tc>
        <w:tc>
          <w:tcPr>
            <w:tcW w:w="3660" w:type="dxa"/>
            <w:vAlign w:val="bottom"/>
          </w:tcPr>
          <w:p>
            <w:pPr>
              <w:ind w:left="440"/>
              <w:spacing w:after="0"/>
              <w:rPr>
                <w:sz w:val="20"/>
                <w:szCs w:val="20"/>
                <w:color w:val="auto"/>
              </w:rPr>
            </w:pPr>
            <w:r>
              <w:rPr>
                <w:rFonts w:ascii="Arial" w:cs="Arial" w:eastAsia="Arial" w:hAnsi="Arial"/>
                <w:sz w:val="20"/>
                <w:szCs w:val="20"/>
                <w:color w:val="auto"/>
              </w:rPr>
              <w:t>KAZAKHSTAN</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Kennecott Utah Copper LLC*</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UNITED STATES OF AMERICA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KGHM Polska Miedz Spolka Akcyjna*</w:t>
            </w:r>
          </w:p>
        </w:tc>
        <w:tc>
          <w:tcPr>
            <w:tcW w:w="3660" w:type="dxa"/>
            <w:vAlign w:val="bottom"/>
          </w:tcPr>
          <w:p>
            <w:pPr>
              <w:ind w:left="440"/>
              <w:spacing w:after="0"/>
              <w:rPr>
                <w:sz w:val="20"/>
                <w:szCs w:val="20"/>
                <w:color w:val="auto"/>
              </w:rPr>
            </w:pPr>
            <w:r>
              <w:rPr>
                <w:rFonts w:ascii="Arial" w:cs="Arial" w:eastAsia="Arial" w:hAnsi="Arial"/>
                <w:sz w:val="20"/>
                <w:szCs w:val="20"/>
                <w:color w:val="auto"/>
              </w:rPr>
              <w:t>POLAND</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Kojima Chemicals Co., Ltd.*</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Korea Zinc Co., Ltd.*</w:t>
            </w:r>
          </w:p>
        </w:tc>
        <w:tc>
          <w:tcPr>
            <w:tcW w:w="3660" w:type="dxa"/>
            <w:vAlign w:val="bottom"/>
          </w:tcPr>
          <w:p>
            <w:pPr>
              <w:ind w:left="440"/>
              <w:spacing w:after="0"/>
              <w:rPr>
                <w:sz w:val="20"/>
                <w:szCs w:val="20"/>
                <w:color w:val="auto"/>
              </w:rPr>
            </w:pPr>
            <w:r>
              <w:rPr>
                <w:rFonts w:ascii="Arial" w:cs="Arial" w:eastAsia="Arial" w:hAnsi="Arial"/>
                <w:sz w:val="20"/>
                <w:szCs w:val="20"/>
                <w:color w:val="auto"/>
              </w:rPr>
              <w:t>KOREA, REPUBLIC OF</w:t>
            </w:r>
          </w:p>
        </w:tc>
      </w:tr>
      <w:tr>
        <w:trPr>
          <w:trHeight w:val="23"/>
        </w:trPr>
        <w:tc>
          <w:tcPr>
            <w:tcW w:w="10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Kyrgyzaltyn JSC*</w:t>
            </w:r>
          </w:p>
        </w:tc>
        <w:tc>
          <w:tcPr>
            <w:tcW w:w="3660" w:type="dxa"/>
            <w:vAlign w:val="bottom"/>
            <w:tcBorders>
              <w:bottom w:val="single" w:sz="8" w:color="F2F2F2"/>
            </w:tcBorders>
            <w:shd w:val="clear" w:color="auto" w:fill="F2F2F2"/>
          </w:tcPr>
          <w:p>
            <w:pPr>
              <w:ind w:left="440"/>
              <w:spacing w:after="0"/>
              <w:rPr>
                <w:sz w:val="20"/>
                <w:szCs w:val="20"/>
                <w:color w:val="auto"/>
              </w:rPr>
            </w:pPr>
            <w:r>
              <w:rPr>
                <w:rFonts w:ascii="Arial" w:cs="Arial" w:eastAsia="Arial" w:hAnsi="Arial"/>
                <w:sz w:val="20"/>
                <w:szCs w:val="20"/>
                <w:color w:val="auto"/>
              </w:rPr>
              <w:t>KYRGYZSTAN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40" w:type="dxa"/>
            <w:vAlign w:val="bottom"/>
          </w:tcPr>
          <w:p>
            <w:pPr>
              <w:ind w:left="220"/>
              <w:spacing w:after="0"/>
              <w:rPr>
                <w:sz w:val="20"/>
                <w:szCs w:val="20"/>
                <w:color w:val="auto"/>
              </w:rPr>
            </w:pPr>
            <w:r>
              <w:rPr>
                <w:rFonts w:ascii="Arial" w:cs="Arial" w:eastAsia="Arial" w:hAnsi="Arial"/>
                <w:sz w:val="20"/>
                <w:szCs w:val="20"/>
                <w:color w:val="auto"/>
              </w:rPr>
              <w:t>Kyshtym Copper-Electrolytic Plant ZAO</w:t>
            </w:r>
          </w:p>
        </w:tc>
        <w:tc>
          <w:tcPr>
            <w:tcW w:w="3660" w:type="dxa"/>
            <w:vAlign w:val="bottom"/>
          </w:tcPr>
          <w:p>
            <w:pPr>
              <w:ind w:left="440"/>
              <w:spacing w:after="0"/>
              <w:rPr>
                <w:sz w:val="20"/>
                <w:szCs w:val="20"/>
                <w:color w:val="auto"/>
              </w:rPr>
            </w:pPr>
            <w:r>
              <w:rPr>
                <w:rFonts w:ascii="Arial" w:cs="Arial" w:eastAsia="Arial" w:hAnsi="Arial"/>
                <w:sz w:val="20"/>
                <w:szCs w:val="20"/>
                <w:color w:val="auto"/>
              </w:rPr>
              <w:t>RUSSIAN FEDERATION</w:t>
            </w:r>
          </w:p>
        </w:tc>
      </w:tr>
    </w:tbl>
    <w:p>
      <w:pPr>
        <w:sectPr>
          <w:pgSz w:w="11900" w:h="16838" w:orient="portrait"/>
          <w:cols w:equalWidth="0" w:num="1">
            <w:col w:w="10780"/>
          </w:cols>
          <w:pgMar w:left="560" w:top="1440" w:right="559" w:bottom="1440" w:gutter="0" w:footer="0" w:header="0"/>
        </w:sectPr>
      </w:pPr>
    </w:p>
    <w:bookmarkStart w:id="11" w:name="page12"/>
    <w:bookmarkEnd w:id="11"/>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606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640" w:type="dxa"/>
            <w:vAlign w:val="bottom"/>
            <w:shd w:val="clear" w:color="auto" w:fill="AEAAAA"/>
          </w:tcPr>
          <w:p>
            <w:pPr>
              <w:ind w:left="166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L'azurde Company For Jewelry</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SAUDI ARABIA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Lingbao Gold Co., Ltd.</w:t>
            </w:r>
          </w:p>
        </w:tc>
        <w:tc>
          <w:tcPr>
            <w:tcW w:w="364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Lingbao Jinyuan Tonghui Refinery Co., Ltd.</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L'Orfebre S.A.*</w:t>
            </w:r>
          </w:p>
        </w:tc>
        <w:tc>
          <w:tcPr>
            <w:tcW w:w="3640" w:type="dxa"/>
            <w:vAlign w:val="bottom"/>
          </w:tcPr>
          <w:p>
            <w:pPr>
              <w:ind w:left="420"/>
              <w:spacing w:after="0"/>
              <w:rPr>
                <w:sz w:val="20"/>
                <w:szCs w:val="20"/>
                <w:color w:val="auto"/>
              </w:rPr>
            </w:pPr>
            <w:r>
              <w:rPr>
                <w:rFonts w:ascii="Arial" w:cs="Arial" w:eastAsia="Arial" w:hAnsi="Arial"/>
                <w:sz w:val="20"/>
                <w:szCs w:val="20"/>
                <w:color w:val="auto"/>
              </w:rPr>
              <w:t>ANDORRA</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LS-NIKKO Copper Inc.*</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KOREA, REPUBLIC OF</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LT Metal Ltd.*</w:t>
            </w:r>
          </w:p>
        </w:tc>
        <w:tc>
          <w:tcPr>
            <w:tcW w:w="3640" w:type="dxa"/>
            <w:vAlign w:val="bottom"/>
          </w:tcPr>
          <w:p>
            <w:pPr>
              <w:ind w:left="420"/>
              <w:spacing w:after="0"/>
              <w:rPr>
                <w:sz w:val="20"/>
                <w:szCs w:val="20"/>
                <w:color w:val="auto"/>
              </w:rPr>
            </w:pPr>
            <w:r>
              <w:rPr>
                <w:rFonts w:ascii="Arial" w:cs="Arial" w:eastAsia="Arial" w:hAnsi="Arial"/>
                <w:sz w:val="20"/>
                <w:szCs w:val="20"/>
                <w:color w:val="auto"/>
              </w:rPr>
              <w:t>KOREA, REPUBLIC OF</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Luoyang Zijin Yinhui Gold Refinery Co., Ltd.</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Marsam Metals*</w:t>
            </w:r>
          </w:p>
        </w:tc>
        <w:tc>
          <w:tcPr>
            <w:tcW w:w="3640" w:type="dxa"/>
            <w:vAlign w:val="bottom"/>
          </w:tcPr>
          <w:p>
            <w:pPr>
              <w:ind w:left="42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Materion*</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Matsuda Sangyo Co., Ltd.*</w:t>
            </w:r>
          </w:p>
        </w:tc>
        <w:tc>
          <w:tcPr>
            <w:tcW w:w="364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Metalor Technologies (Hong Kong) Ltd.*</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Metalor Technologies (Singapore) Pte., Ltd.*</w:t>
            </w:r>
          </w:p>
        </w:tc>
        <w:tc>
          <w:tcPr>
            <w:tcW w:w="3640" w:type="dxa"/>
            <w:vAlign w:val="bottom"/>
          </w:tcPr>
          <w:p>
            <w:pPr>
              <w:ind w:left="420"/>
              <w:spacing w:after="0"/>
              <w:rPr>
                <w:sz w:val="20"/>
                <w:szCs w:val="20"/>
                <w:color w:val="auto"/>
              </w:rPr>
            </w:pPr>
            <w:r>
              <w:rPr>
                <w:rFonts w:ascii="Arial" w:cs="Arial" w:eastAsia="Arial" w:hAnsi="Arial"/>
                <w:sz w:val="20"/>
                <w:szCs w:val="20"/>
                <w:color w:val="auto"/>
              </w:rPr>
              <w:t>SINGAPORE</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Metalor Technologies (Suzhou) Ltd.*</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Metalor Technologies S.A.*</w:t>
            </w:r>
          </w:p>
        </w:tc>
        <w:tc>
          <w:tcPr>
            <w:tcW w:w="3640" w:type="dxa"/>
            <w:vAlign w:val="bottom"/>
          </w:tcPr>
          <w:p>
            <w:pPr>
              <w:ind w:left="420"/>
              <w:spacing w:after="0"/>
              <w:rPr>
                <w:sz w:val="20"/>
                <w:szCs w:val="20"/>
                <w:color w:val="auto"/>
              </w:rPr>
            </w:pPr>
            <w:r>
              <w:rPr>
                <w:rFonts w:ascii="Arial" w:cs="Arial" w:eastAsia="Arial" w:hAnsi="Arial"/>
                <w:sz w:val="20"/>
                <w:szCs w:val="20"/>
                <w:color w:val="auto"/>
              </w:rPr>
              <w:t>SWITZERLAND</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Metalor USA Refining Corporation*</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Metalurgica Met-Mex Penoles S.A. De C.V.*</w:t>
            </w:r>
          </w:p>
        </w:tc>
        <w:tc>
          <w:tcPr>
            <w:tcW w:w="3640" w:type="dxa"/>
            <w:vAlign w:val="bottom"/>
          </w:tcPr>
          <w:p>
            <w:pPr>
              <w:ind w:left="420"/>
              <w:spacing w:after="0"/>
              <w:rPr>
                <w:sz w:val="20"/>
                <w:szCs w:val="20"/>
                <w:color w:val="auto"/>
              </w:rPr>
            </w:pPr>
            <w:r>
              <w:rPr>
                <w:rFonts w:ascii="Arial" w:cs="Arial" w:eastAsia="Arial" w:hAnsi="Arial"/>
                <w:sz w:val="20"/>
                <w:szCs w:val="20"/>
                <w:color w:val="auto"/>
              </w:rPr>
              <w:t>MEXICO</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Mitsubishi Materials Corporation*</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Mitsui Mining and Smelting Co., Ltd.*</w:t>
            </w:r>
          </w:p>
        </w:tc>
        <w:tc>
          <w:tcPr>
            <w:tcW w:w="364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MMTC-PAMP India Pvt., Ltd.*</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INDIA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Modeltech Sdn Bhd</w:t>
            </w:r>
          </w:p>
        </w:tc>
        <w:tc>
          <w:tcPr>
            <w:tcW w:w="3640" w:type="dxa"/>
            <w:vAlign w:val="bottom"/>
          </w:tcPr>
          <w:p>
            <w:pPr>
              <w:ind w:left="420"/>
              <w:spacing w:after="0"/>
              <w:rPr>
                <w:sz w:val="20"/>
                <w:szCs w:val="20"/>
                <w:color w:val="auto"/>
              </w:rPr>
            </w:pPr>
            <w:r>
              <w:rPr>
                <w:rFonts w:ascii="Arial" w:cs="Arial" w:eastAsia="Arial" w:hAnsi="Arial"/>
                <w:sz w:val="20"/>
                <w:szCs w:val="20"/>
                <w:color w:val="auto"/>
              </w:rPr>
              <w:t>MALAYSIA</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Morris and Watson</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NEW ZEALAND</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Moscow Special Alloys Processing Plant*</w:t>
            </w:r>
          </w:p>
        </w:tc>
        <w:tc>
          <w:tcPr>
            <w:tcW w:w="3640" w:type="dxa"/>
            <w:vAlign w:val="bottom"/>
          </w:tcPr>
          <w:p>
            <w:pPr>
              <w:ind w:left="420"/>
              <w:spacing w:after="0"/>
              <w:rPr>
                <w:sz w:val="20"/>
                <w:szCs w:val="20"/>
                <w:color w:val="auto"/>
              </w:rPr>
            </w:pPr>
            <w:r>
              <w:rPr>
                <w:rFonts w:ascii="Arial" w:cs="Arial" w:eastAsia="Arial" w:hAnsi="Arial"/>
                <w:sz w:val="20"/>
                <w:szCs w:val="20"/>
                <w:color w:val="auto"/>
              </w:rPr>
              <w:t>RUSSIAN FEDERATION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Nadir Metal Rafineri San. Ve Tic. A.S.*</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TURKEY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Navoi Mining and Metallurgical Combinat</w:t>
            </w:r>
          </w:p>
        </w:tc>
        <w:tc>
          <w:tcPr>
            <w:tcW w:w="3640" w:type="dxa"/>
            <w:vAlign w:val="bottom"/>
          </w:tcPr>
          <w:p>
            <w:pPr>
              <w:ind w:left="420"/>
              <w:spacing w:after="0"/>
              <w:rPr>
                <w:sz w:val="20"/>
                <w:szCs w:val="20"/>
                <w:color w:val="auto"/>
              </w:rPr>
            </w:pPr>
            <w:r>
              <w:rPr>
                <w:rFonts w:ascii="Arial" w:cs="Arial" w:eastAsia="Arial" w:hAnsi="Arial"/>
                <w:sz w:val="20"/>
                <w:szCs w:val="20"/>
                <w:color w:val="auto"/>
              </w:rPr>
              <w:t>UZBEKISTAN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NH Recytech Company</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KOREA, REPUBLIC OF</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Nihon Material Co., Ltd.*</w:t>
            </w:r>
          </w:p>
        </w:tc>
        <w:tc>
          <w:tcPr>
            <w:tcW w:w="364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Ogussa Osterreichische Gold- und Silber-Scheideanstalt GmbH*</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AUSTRIA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Ohura Precious Metal Industry Co., Ltd.*</w:t>
            </w:r>
          </w:p>
        </w:tc>
        <w:tc>
          <w:tcPr>
            <w:tcW w:w="364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40"/>
        </w:trPr>
        <w:tc>
          <w:tcPr>
            <w:tcW w:w="1080" w:type="dxa"/>
            <w:vAlign w:val="bottom"/>
            <w:shd w:val="clear" w:color="auto" w:fill="F2F2F2"/>
          </w:tcPr>
          <w:p>
            <w:pPr>
              <w:spacing w:after="0"/>
              <w:rPr>
                <w:sz w:val="20"/>
                <w:szCs w:val="20"/>
                <w:color w:val="auto"/>
              </w:rPr>
            </w:pPr>
          </w:p>
        </w:tc>
        <w:tc>
          <w:tcPr>
            <w:tcW w:w="6060" w:type="dxa"/>
            <w:vAlign w:val="bottom"/>
            <w:shd w:val="clear" w:color="auto" w:fill="F2F2F2"/>
          </w:tcPr>
          <w:p>
            <w:pPr>
              <w:ind w:left="220"/>
              <w:spacing w:after="0"/>
              <w:rPr>
                <w:sz w:val="20"/>
                <w:szCs w:val="20"/>
                <w:color w:val="auto"/>
              </w:rPr>
            </w:pPr>
            <w:r>
              <w:rPr>
                <w:rFonts w:ascii="Arial" w:cs="Arial" w:eastAsia="Arial" w:hAnsi="Arial"/>
                <w:sz w:val="20"/>
                <w:szCs w:val="20"/>
                <w:color w:val="auto"/>
                <w:w w:val="97"/>
              </w:rPr>
              <w:t>OJSC "The Gulidov Krasnoyarsk Non-Ferrous Metals Plant" (OJSC</w:t>
            </w:r>
          </w:p>
        </w:tc>
        <w:tc>
          <w:tcPr>
            <w:tcW w:w="3640" w:type="dxa"/>
            <w:vAlign w:val="bottom"/>
            <w:shd w:val="clear" w:color="auto" w:fill="F2F2F2"/>
          </w:tcPr>
          <w:p>
            <w:pPr>
              <w:spacing w:after="0"/>
              <w:rPr>
                <w:sz w:val="20"/>
                <w:szCs w:val="20"/>
                <w:color w:val="auto"/>
              </w:rPr>
            </w:pPr>
          </w:p>
        </w:tc>
      </w:tr>
      <w:tr>
        <w:trPr>
          <w:trHeight w:val="25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Krastsvetmet)*</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RUSSIAN FEDERATION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OJSC Novosibirsk Refinery*</w:t>
            </w:r>
          </w:p>
        </w:tc>
        <w:tc>
          <w:tcPr>
            <w:tcW w:w="3640" w:type="dxa"/>
            <w:vAlign w:val="bottom"/>
          </w:tcPr>
          <w:p>
            <w:pPr>
              <w:ind w:left="420"/>
              <w:spacing w:after="0"/>
              <w:rPr>
                <w:sz w:val="20"/>
                <w:szCs w:val="20"/>
                <w:color w:val="auto"/>
              </w:rPr>
            </w:pPr>
            <w:r>
              <w:rPr>
                <w:rFonts w:ascii="Arial" w:cs="Arial" w:eastAsia="Arial" w:hAnsi="Arial"/>
                <w:sz w:val="20"/>
                <w:szCs w:val="20"/>
                <w:color w:val="auto"/>
              </w:rPr>
              <w:t>RUSSIAN FEDERATION</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PAMP S.A.*</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SWITZERLAND</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Pease &amp; Curren</w:t>
            </w:r>
          </w:p>
        </w:tc>
        <w:tc>
          <w:tcPr>
            <w:tcW w:w="364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Penglai Penggang Gold Industry Co., Ltd.</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Planta Recuperadora de Metales SpA*</w:t>
            </w:r>
          </w:p>
        </w:tc>
        <w:tc>
          <w:tcPr>
            <w:tcW w:w="3640" w:type="dxa"/>
            <w:vAlign w:val="bottom"/>
          </w:tcPr>
          <w:p>
            <w:pPr>
              <w:ind w:left="420"/>
              <w:spacing w:after="0"/>
              <w:rPr>
                <w:sz w:val="20"/>
                <w:szCs w:val="20"/>
                <w:color w:val="auto"/>
              </w:rPr>
            </w:pPr>
            <w:r>
              <w:rPr>
                <w:rFonts w:ascii="Arial" w:cs="Arial" w:eastAsia="Arial" w:hAnsi="Arial"/>
                <w:sz w:val="20"/>
                <w:szCs w:val="20"/>
                <w:color w:val="auto"/>
              </w:rPr>
              <w:t>CHILE</w:t>
            </w:r>
          </w:p>
        </w:tc>
      </w:tr>
      <w:tr>
        <w:trPr>
          <w:trHeight w:val="23"/>
        </w:trPr>
        <w:tc>
          <w:tcPr>
            <w:tcW w:w="10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0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Prioksky Plant of Non-Ferrous Metals*</w:t>
            </w:r>
          </w:p>
        </w:tc>
        <w:tc>
          <w:tcPr>
            <w:tcW w:w="364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RUSSIAN FEDERATION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060" w:type="dxa"/>
            <w:vAlign w:val="bottom"/>
          </w:tcPr>
          <w:p>
            <w:pPr>
              <w:ind w:left="220"/>
              <w:spacing w:after="0"/>
              <w:rPr>
                <w:sz w:val="20"/>
                <w:szCs w:val="20"/>
                <w:color w:val="auto"/>
              </w:rPr>
            </w:pPr>
            <w:r>
              <w:rPr>
                <w:rFonts w:ascii="Arial" w:cs="Arial" w:eastAsia="Arial" w:hAnsi="Arial"/>
                <w:sz w:val="20"/>
                <w:szCs w:val="20"/>
                <w:color w:val="auto"/>
              </w:rPr>
              <w:t>PT Aneka Tambang (Persero) Tbk*</w:t>
            </w:r>
          </w:p>
        </w:tc>
        <w:tc>
          <w:tcPr>
            <w:tcW w:w="3640" w:type="dxa"/>
            <w:vAlign w:val="bottom"/>
          </w:tcPr>
          <w:p>
            <w:pPr>
              <w:ind w:left="420"/>
              <w:spacing w:after="0"/>
              <w:rPr>
                <w:sz w:val="20"/>
                <w:szCs w:val="20"/>
                <w:color w:val="auto"/>
              </w:rPr>
            </w:pPr>
            <w:r>
              <w:rPr>
                <w:rFonts w:ascii="Arial" w:cs="Arial" w:eastAsia="Arial" w:hAnsi="Arial"/>
                <w:sz w:val="20"/>
                <w:szCs w:val="20"/>
                <w:color w:val="auto"/>
              </w:rPr>
              <w:t>INDONESIA</w:t>
            </w:r>
          </w:p>
        </w:tc>
      </w:tr>
    </w:tbl>
    <w:p>
      <w:pPr>
        <w:sectPr>
          <w:pgSz w:w="11900" w:h="16838" w:orient="portrait"/>
          <w:cols w:equalWidth="0" w:num="1">
            <w:col w:w="10780"/>
          </w:cols>
          <w:pgMar w:left="560" w:top="1440" w:right="559" w:bottom="1440" w:gutter="0" w:footer="0" w:header="0"/>
        </w:sectPr>
      </w:pPr>
    </w:p>
    <w:bookmarkStart w:id="12" w:name="page13"/>
    <w:bookmarkEnd w:id="12"/>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610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600" w:type="dxa"/>
            <w:vAlign w:val="bottom"/>
            <w:shd w:val="clear" w:color="auto" w:fill="AEAAAA"/>
          </w:tcPr>
          <w:p>
            <w:pPr>
              <w:ind w:left="162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PX Precinox S.A.*</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SWITZERLAND</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QG Refining, LLC</w:t>
            </w:r>
          </w:p>
        </w:tc>
        <w:tc>
          <w:tcPr>
            <w:tcW w:w="3600" w:type="dxa"/>
            <w:vAlign w:val="bottom"/>
          </w:tcPr>
          <w:p>
            <w:pPr>
              <w:ind w:left="38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Rand Refinery (Pty) Ltd.*</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SOUTH AFRICA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Refinery of Seemine Gold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REMONDIS PMR B.V.*</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NETHERLANDS</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Royal Canadian Mint*</w:t>
            </w:r>
          </w:p>
        </w:tc>
        <w:tc>
          <w:tcPr>
            <w:tcW w:w="3600" w:type="dxa"/>
            <w:vAlign w:val="bottom"/>
          </w:tcPr>
          <w:p>
            <w:pPr>
              <w:ind w:left="380"/>
              <w:spacing w:after="0"/>
              <w:rPr>
                <w:sz w:val="20"/>
                <w:szCs w:val="20"/>
                <w:color w:val="auto"/>
              </w:rPr>
            </w:pPr>
            <w:r>
              <w:rPr>
                <w:rFonts w:ascii="Arial" w:cs="Arial" w:eastAsia="Arial" w:hAnsi="Arial"/>
                <w:sz w:val="20"/>
                <w:szCs w:val="20"/>
                <w:color w:val="auto"/>
              </w:rPr>
              <w:t>CANADA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SAAMP*</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FRANCE</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Sabin Metal Corp.</w:t>
            </w:r>
          </w:p>
        </w:tc>
        <w:tc>
          <w:tcPr>
            <w:tcW w:w="3600" w:type="dxa"/>
            <w:vAlign w:val="bottom"/>
          </w:tcPr>
          <w:p>
            <w:pPr>
              <w:ind w:left="38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Safimet S.p.A*</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ITALY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SAFINA A.S.**</w:t>
            </w:r>
          </w:p>
        </w:tc>
        <w:tc>
          <w:tcPr>
            <w:tcW w:w="3600" w:type="dxa"/>
            <w:vAlign w:val="bottom"/>
          </w:tcPr>
          <w:p>
            <w:pPr>
              <w:ind w:left="380"/>
              <w:spacing w:after="0"/>
              <w:rPr>
                <w:sz w:val="20"/>
                <w:szCs w:val="20"/>
                <w:color w:val="auto"/>
              </w:rPr>
            </w:pPr>
            <w:r>
              <w:rPr>
                <w:rFonts w:ascii="Arial" w:cs="Arial" w:eastAsia="Arial" w:hAnsi="Arial"/>
                <w:sz w:val="20"/>
                <w:szCs w:val="20"/>
                <w:color w:val="auto"/>
              </w:rPr>
              <w:t>CZECHIA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Sai Refinery</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INDIA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Samduck Precious Metals*</w:t>
            </w:r>
          </w:p>
        </w:tc>
        <w:tc>
          <w:tcPr>
            <w:tcW w:w="3600" w:type="dxa"/>
            <w:vAlign w:val="bottom"/>
          </w:tcPr>
          <w:p>
            <w:pPr>
              <w:ind w:left="380"/>
              <w:spacing w:after="0"/>
              <w:rPr>
                <w:sz w:val="20"/>
                <w:szCs w:val="20"/>
                <w:color w:val="auto"/>
              </w:rPr>
            </w:pPr>
            <w:r>
              <w:rPr>
                <w:rFonts w:ascii="Arial" w:cs="Arial" w:eastAsia="Arial" w:hAnsi="Arial"/>
                <w:sz w:val="20"/>
                <w:szCs w:val="20"/>
                <w:color w:val="auto"/>
              </w:rPr>
              <w:t>KOREA, REPUBLIC OF</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Samwon Metals Corp.</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KOREA, REPUBLIC OF</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SAXONIA Edelmetalle GmbH*</w:t>
            </w:r>
          </w:p>
        </w:tc>
        <w:tc>
          <w:tcPr>
            <w:tcW w:w="36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SEMPSA Joyeria Plateria S.A.*</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SPAIN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Shandong Humon Smelting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Shandong Tiancheng Biological Gold Industrial Co., Ltd.</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Shandong Zhaojin Gold &amp; Silver Refinery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Sichuan Tianze Precious Metals Co., Ltd.*</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Singway Technology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TAIWAN, PROVINCE OF 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SOE Shyolkovsky Factory of Secondary Precious Metals*</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RUSSIAN FEDERATION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Solar Applied Materials Technology Corp.*</w:t>
            </w:r>
          </w:p>
        </w:tc>
        <w:tc>
          <w:tcPr>
            <w:tcW w:w="3600" w:type="dxa"/>
            <w:vAlign w:val="bottom"/>
          </w:tcPr>
          <w:p>
            <w:pPr>
              <w:ind w:left="380"/>
              <w:spacing w:after="0"/>
              <w:rPr>
                <w:sz w:val="20"/>
                <w:szCs w:val="20"/>
                <w:color w:val="auto"/>
              </w:rPr>
            </w:pPr>
            <w:r>
              <w:rPr>
                <w:rFonts w:ascii="Arial" w:cs="Arial" w:eastAsia="Arial" w:hAnsi="Arial"/>
                <w:sz w:val="20"/>
                <w:szCs w:val="20"/>
                <w:color w:val="auto"/>
              </w:rPr>
              <w:t>TAIWAN, PROVINCE OF 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Sovereign Metals</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INDIA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w w:val="94"/>
              </w:rPr>
              <w:t>State Research Institute Center for Physical Sciences and Technology</w:t>
            </w:r>
          </w:p>
        </w:tc>
        <w:tc>
          <w:tcPr>
            <w:tcW w:w="3600" w:type="dxa"/>
            <w:vAlign w:val="bottom"/>
          </w:tcPr>
          <w:p>
            <w:pPr>
              <w:ind w:left="380"/>
              <w:spacing w:after="0"/>
              <w:rPr>
                <w:sz w:val="20"/>
                <w:szCs w:val="20"/>
                <w:color w:val="auto"/>
              </w:rPr>
            </w:pPr>
            <w:r>
              <w:rPr>
                <w:rFonts w:ascii="Arial" w:cs="Arial" w:eastAsia="Arial" w:hAnsi="Arial"/>
                <w:sz w:val="20"/>
                <w:szCs w:val="20"/>
                <w:color w:val="auto"/>
              </w:rPr>
              <w:t>LITHUANIA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Sudan Gold Refinery</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SUDAN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Sumitomo Metal Mining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SungEel HiMetal Co., Ltd.*</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KOREA, REPUBLIC OF</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T.C.A S.p.A*</w:t>
            </w:r>
          </w:p>
        </w:tc>
        <w:tc>
          <w:tcPr>
            <w:tcW w:w="3600" w:type="dxa"/>
            <w:vAlign w:val="bottom"/>
          </w:tcPr>
          <w:p>
            <w:pPr>
              <w:ind w:left="380"/>
              <w:spacing w:after="0"/>
              <w:rPr>
                <w:sz w:val="20"/>
                <w:szCs w:val="20"/>
                <w:color w:val="auto"/>
              </w:rPr>
            </w:pPr>
            <w:r>
              <w:rPr>
                <w:rFonts w:ascii="Arial" w:cs="Arial" w:eastAsia="Arial" w:hAnsi="Arial"/>
                <w:sz w:val="20"/>
                <w:szCs w:val="20"/>
                <w:color w:val="auto"/>
              </w:rPr>
              <w:t>ITALY</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Tanaka Kikinzoku Kogyo K.K.*</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The Refinery of Shandong Gold Mining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Tokuriki Honten Co., Ltd.*</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JAPAN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Tongling Nonferrous Metals Group Co., Ltd.</w:t>
            </w:r>
          </w:p>
        </w:tc>
        <w:tc>
          <w:tcPr>
            <w:tcW w:w="3600" w:type="dxa"/>
            <w:vAlign w:val="bottom"/>
          </w:tcPr>
          <w:p>
            <w:pPr>
              <w:ind w:left="38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Tony Goetz NV</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BELGIUM</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TOO Tau-Ken-Altyn*</w:t>
            </w:r>
          </w:p>
        </w:tc>
        <w:tc>
          <w:tcPr>
            <w:tcW w:w="3600" w:type="dxa"/>
            <w:vAlign w:val="bottom"/>
          </w:tcPr>
          <w:p>
            <w:pPr>
              <w:ind w:left="380"/>
              <w:spacing w:after="0"/>
              <w:rPr>
                <w:sz w:val="20"/>
                <w:szCs w:val="20"/>
                <w:color w:val="auto"/>
              </w:rPr>
            </w:pPr>
            <w:r>
              <w:rPr>
                <w:rFonts w:ascii="Arial" w:cs="Arial" w:eastAsia="Arial" w:hAnsi="Arial"/>
                <w:sz w:val="20"/>
                <w:szCs w:val="20"/>
                <w:color w:val="auto"/>
              </w:rPr>
              <w:t>KAZAKHSTAN</w:t>
            </w:r>
          </w:p>
        </w:tc>
      </w:tr>
      <w:tr>
        <w:trPr>
          <w:trHeight w:val="23"/>
        </w:trPr>
        <w:tc>
          <w:tcPr>
            <w:tcW w:w="10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Torecom*</w:t>
            </w:r>
          </w:p>
        </w:tc>
        <w:tc>
          <w:tcPr>
            <w:tcW w:w="360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20"/>
                <w:szCs w:val="20"/>
                <w:color w:val="auto"/>
              </w:rPr>
              <w:t>KOREA, REPUBLIC OF</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Umicore Brasil Ltda.*</w:t>
            </w:r>
          </w:p>
        </w:tc>
        <w:tc>
          <w:tcPr>
            <w:tcW w:w="3600" w:type="dxa"/>
            <w:vAlign w:val="bottom"/>
          </w:tcPr>
          <w:p>
            <w:pPr>
              <w:ind w:left="380"/>
              <w:spacing w:after="0"/>
              <w:rPr>
                <w:sz w:val="20"/>
                <w:szCs w:val="20"/>
                <w:color w:val="auto"/>
              </w:rPr>
            </w:pPr>
            <w:r>
              <w:rPr>
                <w:rFonts w:ascii="Arial" w:cs="Arial" w:eastAsia="Arial" w:hAnsi="Arial"/>
                <w:sz w:val="20"/>
                <w:szCs w:val="20"/>
                <w:color w:val="auto"/>
              </w:rPr>
              <w:t>BRAZIL</w:t>
            </w:r>
          </w:p>
        </w:tc>
      </w:tr>
    </w:tbl>
    <w:p>
      <w:pPr>
        <w:sectPr>
          <w:pgSz w:w="11900" w:h="16838" w:orient="portrait"/>
          <w:cols w:equalWidth="0" w:num="1">
            <w:col w:w="10780"/>
          </w:cols>
          <w:pgMar w:left="560" w:top="1440" w:right="559" w:bottom="1440" w:gutter="0" w:footer="0" w:header="0"/>
        </w:sectPr>
      </w:pPr>
    </w:p>
    <w:bookmarkStart w:id="13" w:name="page14"/>
    <w:bookmarkEnd w:id="13"/>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562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4080" w:type="dxa"/>
            <w:vAlign w:val="bottom"/>
            <w:shd w:val="clear" w:color="auto" w:fill="AEAAAA"/>
          </w:tcPr>
          <w:p>
            <w:pPr>
              <w:ind w:left="2100"/>
              <w:spacing w:after="0"/>
              <w:rPr>
                <w:sz w:val="20"/>
                <w:szCs w:val="20"/>
                <w:color w:val="auto"/>
              </w:rPr>
            </w:pPr>
            <w:r>
              <w:rPr>
                <w:rFonts w:ascii="Arial" w:cs="Arial" w:eastAsia="Arial" w:hAnsi="Arial"/>
                <w:sz w:val="20"/>
                <w:szCs w:val="20"/>
                <w:b w:val="1"/>
                <w:bCs w:val="1"/>
                <w:color w:val="auto"/>
              </w:rPr>
              <w:t>Country</w:t>
            </w: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Umicore Precious Metals Thailand*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THAILAND</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Umicore S.A. Business Unit Precious Metals Refining*</w:t>
            </w:r>
          </w:p>
        </w:tc>
        <w:tc>
          <w:tcPr>
            <w:tcW w:w="4080" w:type="dxa"/>
            <w:vAlign w:val="bottom"/>
          </w:tcPr>
          <w:p>
            <w:pPr>
              <w:ind w:left="860"/>
              <w:spacing w:after="0"/>
              <w:rPr>
                <w:sz w:val="20"/>
                <w:szCs w:val="20"/>
                <w:color w:val="auto"/>
              </w:rPr>
            </w:pPr>
            <w:r>
              <w:rPr>
                <w:rFonts w:ascii="Arial" w:cs="Arial" w:eastAsia="Arial" w:hAnsi="Arial"/>
                <w:sz w:val="20"/>
                <w:szCs w:val="20"/>
                <w:color w:val="auto"/>
              </w:rPr>
              <w:t>BELGIUM</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United Precious Metal Refining, Inc.*</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Valcambi S.A.*</w:t>
            </w:r>
          </w:p>
        </w:tc>
        <w:tc>
          <w:tcPr>
            <w:tcW w:w="4080" w:type="dxa"/>
            <w:vAlign w:val="bottom"/>
          </w:tcPr>
          <w:p>
            <w:pPr>
              <w:ind w:left="860"/>
              <w:spacing w:after="0"/>
              <w:rPr>
                <w:sz w:val="20"/>
                <w:szCs w:val="20"/>
                <w:color w:val="auto"/>
              </w:rPr>
            </w:pPr>
            <w:r>
              <w:rPr>
                <w:rFonts w:ascii="Arial" w:cs="Arial" w:eastAsia="Arial" w:hAnsi="Arial"/>
                <w:sz w:val="20"/>
                <w:szCs w:val="20"/>
                <w:color w:val="auto"/>
              </w:rPr>
              <w:t>SWITZERLAND</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Western Australian Mint (T/a The Perth Mint)*</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AUSTRALIA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WIELAND Edelmetalle GmbH*</w:t>
            </w:r>
          </w:p>
        </w:tc>
        <w:tc>
          <w:tcPr>
            <w:tcW w:w="4080" w:type="dxa"/>
            <w:vAlign w:val="bottom"/>
          </w:tcPr>
          <w:p>
            <w:pPr>
              <w:ind w:left="860"/>
              <w:spacing w:after="0"/>
              <w:rPr>
                <w:sz w:val="20"/>
                <w:szCs w:val="20"/>
                <w:color w:val="auto"/>
              </w:rPr>
            </w:pPr>
            <w:r>
              <w:rPr>
                <w:rFonts w:ascii="Arial" w:cs="Arial" w:eastAsia="Arial" w:hAnsi="Arial"/>
                <w:sz w:val="20"/>
                <w:szCs w:val="20"/>
                <w:color w:val="auto"/>
              </w:rPr>
              <w:t>GERMANY</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Yamakin Co.,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Yokohama Metal Co., Ltd.*</w:t>
            </w:r>
          </w:p>
        </w:tc>
        <w:tc>
          <w:tcPr>
            <w:tcW w:w="4080" w:type="dxa"/>
            <w:vAlign w:val="bottom"/>
          </w:tcPr>
          <w:p>
            <w:pPr>
              <w:ind w:left="86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Gold</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Yunnan Copper Industry Co.,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Gold</w:t>
            </w:r>
          </w:p>
        </w:tc>
        <w:tc>
          <w:tcPr>
            <w:tcW w:w="5620" w:type="dxa"/>
            <w:vAlign w:val="bottom"/>
          </w:tcPr>
          <w:p>
            <w:pPr>
              <w:ind w:left="220"/>
              <w:spacing w:after="0"/>
              <w:rPr>
                <w:sz w:val="20"/>
                <w:szCs w:val="20"/>
                <w:color w:val="auto"/>
              </w:rPr>
            </w:pPr>
            <w:r>
              <w:rPr>
                <w:rFonts w:ascii="Arial" w:cs="Arial" w:eastAsia="Arial" w:hAnsi="Arial"/>
                <w:sz w:val="20"/>
                <w:szCs w:val="20"/>
                <w:color w:val="auto"/>
              </w:rPr>
              <w:t>Zhongyuan Gold Smelter of Zhongjin Gold Corporation*</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Asaka Riken Co.,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Changsha South Tantalum Niobium Co., Ltd.*</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CP Metals Inc.*</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D Block Metals, LLC*</w:t>
            </w:r>
          </w:p>
        </w:tc>
        <w:tc>
          <w:tcPr>
            <w:tcW w:w="4080" w:type="dxa"/>
            <w:vAlign w:val="bottom"/>
          </w:tcPr>
          <w:p>
            <w:pPr>
              <w:ind w:left="86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Exotech Inc.*</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F&amp;X Electro-Materials Ltd.*</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FIR Metals &amp; Resource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Global Advanced Metals Aizu*</w:t>
            </w:r>
          </w:p>
        </w:tc>
        <w:tc>
          <w:tcPr>
            <w:tcW w:w="4080" w:type="dxa"/>
            <w:vAlign w:val="bottom"/>
          </w:tcPr>
          <w:p>
            <w:pPr>
              <w:ind w:left="86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Global Advanced Metals Boyertown*</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UNITED STATES OF AMERICA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Guangdong Zhiyuan New Material Co., Ltd.*</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Co.,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THAILAND</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H.C. Starck Hermsdorf GmbH*</w:t>
            </w:r>
          </w:p>
        </w:tc>
        <w:tc>
          <w:tcPr>
            <w:tcW w:w="4080" w:type="dxa"/>
            <w:vAlign w:val="bottom"/>
          </w:tcPr>
          <w:p>
            <w:pPr>
              <w:ind w:left="860"/>
              <w:spacing w:after="0"/>
              <w:rPr>
                <w:sz w:val="20"/>
                <w:szCs w:val="20"/>
                <w:color w:val="auto"/>
              </w:rPr>
            </w:pPr>
            <w:r>
              <w:rPr>
                <w:rFonts w:ascii="Arial" w:cs="Arial" w:eastAsia="Arial" w:hAnsi="Arial"/>
                <w:sz w:val="20"/>
                <w:szCs w:val="20"/>
                <w:color w:val="auto"/>
              </w:rPr>
              <w:t>GERMANY</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Inc.*</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UNITED STATES OF AMERICA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H.C. Starck Ltd.*</w:t>
            </w:r>
          </w:p>
        </w:tc>
        <w:tc>
          <w:tcPr>
            <w:tcW w:w="4080" w:type="dxa"/>
            <w:vAlign w:val="bottom"/>
          </w:tcPr>
          <w:p>
            <w:pPr>
              <w:ind w:left="86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Smelting GmbH &amp; Co. KG*</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GERMANY</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H.C. Starck Tantalum and Niobium GmbH*</w:t>
            </w:r>
          </w:p>
        </w:tc>
        <w:tc>
          <w:tcPr>
            <w:tcW w:w="4080" w:type="dxa"/>
            <w:vAlign w:val="bottom"/>
          </w:tcPr>
          <w:p>
            <w:pPr>
              <w:ind w:left="860"/>
              <w:spacing w:after="0"/>
              <w:rPr>
                <w:sz w:val="20"/>
                <w:szCs w:val="20"/>
                <w:color w:val="auto"/>
              </w:rPr>
            </w:pPr>
            <w:r>
              <w:rPr>
                <w:rFonts w:ascii="Arial" w:cs="Arial" w:eastAsia="Arial" w:hAnsi="Arial"/>
                <w:sz w:val="20"/>
                <w:szCs w:val="20"/>
                <w:color w:val="auto"/>
              </w:rPr>
              <w:t>GERMANY</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Hengyang King Xing Lifeng New Materials Co.,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Jiangxi Dinghai Tantalum &amp; Niobium Co., Ltd.*</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Tuohong New Raw Material*</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JiuJiang JinXin Nonferrous Metals Co., Ltd.*</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Jiujiang Tanbre Co.,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Jiujiang Zhongao Tantalum &amp; Niobium Co., Ltd.*</w:t>
            </w:r>
          </w:p>
        </w:tc>
        <w:tc>
          <w:tcPr>
            <w:tcW w:w="4080" w:type="dxa"/>
            <w:vAlign w:val="bottom"/>
          </w:tcPr>
          <w:p>
            <w:pPr>
              <w:ind w:left="8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KEMET Blue Metals*</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MEXICO</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LSM Brasil S.A.*</w:t>
            </w:r>
          </w:p>
        </w:tc>
        <w:tc>
          <w:tcPr>
            <w:tcW w:w="4080" w:type="dxa"/>
            <w:vAlign w:val="bottom"/>
          </w:tcPr>
          <w:p>
            <w:pPr>
              <w:ind w:left="86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5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Metallurgical Products India Pvt., Ltd.*</w:t>
            </w:r>
          </w:p>
        </w:tc>
        <w:tc>
          <w:tcPr>
            <w:tcW w:w="408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20"/>
                <w:szCs w:val="20"/>
                <w:color w:val="auto"/>
              </w:rPr>
              <w:t>INDIA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5620" w:type="dxa"/>
            <w:vAlign w:val="bottom"/>
          </w:tcPr>
          <w:p>
            <w:pPr>
              <w:ind w:left="220"/>
              <w:spacing w:after="0"/>
              <w:rPr>
                <w:sz w:val="20"/>
                <w:szCs w:val="20"/>
                <w:color w:val="auto"/>
              </w:rPr>
            </w:pPr>
            <w:r>
              <w:rPr>
                <w:rFonts w:ascii="Arial" w:cs="Arial" w:eastAsia="Arial" w:hAnsi="Arial"/>
                <w:sz w:val="20"/>
                <w:szCs w:val="20"/>
                <w:color w:val="auto"/>
              </w:rPr>
              <w:t>Mineracao Taboca S.A.*</w:t>
            </w:r>
          </w:p>
        </w:tc>
        <w:tc>
          <w:tcPr>
            <w:tcW w:w="4080" w:type="dxa"/>
            <w:vAlign w:val="bottom"/>
          </w:tcPr>
          <w:p>
            <w:pPr>
              <w:ind w:left="860"/>
              <w:spacing w:after="0"/>
              <w:rPr>
                <w:sz w:val="20"/>
                <w:szCs w:val="20"/>
                <w:color w:val="auto"/>
              </w:rPr>
            </w:pPr>
            <w:r>
              <w:rPr>
                <w:rFonts w:ascii="Arial" w:cs="Arial" w:eastAsia="Arial" w:hAnsi="Arial"/>
                <w:sz w:val="20"/>
                <w:szCs w:val="20"/>
                <w:color w:val="auto"/>
              </w:rPr>
              <w:t>BRAZIL</w:t>
            </w:r>
          </w:p>
        </w:tc>
      </w:tr>
    </w:tbl>
    <w:p>
      <w:pPr>
        <w:sectPr>
          <w:pgSz w:w="11900" w:h="16838" w:orient="portrait"/>
          <w:cols w:equalWidth="0" w:num="1">
            <w:col w:w="10780"/>
          </w:cols>
          <w:pgMar w:left="560" w:top="1440" w:right="559" w:bottom="1440" w:gutter="0" w:footer="0" w:header="0"/>
        </w:sectPr>
      </w:pPr>
    </w:p>
    <w:bookmarkStart w:id="14" w:name="page15"/>
    <w:bookmarkEnd w:id="14"/>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628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420" w:type="dxa"/>
            <w:vAlign w:val="bottom"/>
            <w:shd w:val="clear" w:color="auto" w:fill="AEAAAA"/>
          </w:tcPr>
          <w:p>
            <w:pPr>
              <w:ind w:left="1440"/>
              <w:spacing w:after="0"/>
              <w:rPr>
                <w:sz w:val="20"/>
                <w:szCs w:val="20"/>
                <w:color w:val="auto"/>
              </w:rPr>
            </w:pPr>
            <w:r>
              <w:rPr>
                <w:rFonts w:ascii="Arial" w:cs="Arial" w:eastAsia="Arial" w:hAnsi="Arial"/>
                <w:sz w:val="20"/>
                <w:szCs w:val="20"/>
                <w:b w:val="1"/>
                <w:bCs w:val="1"/>
                <w:color w:val="auto"/>
              </w:rPr>
              <w:t>Country</w:t>
            </w: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Mitsui Mining and Smelting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6280" w:type="dxa"/>
            <w:vAlign w:val="bottom"/>
          </w:tcPr>
          <w:p>
            <w:pPr>
              <w:ind w:left="220"/>
              <w:spacing w:after="0"/>
              <w:rPr>
                <w:sz w:val="20"/>
                <w:szCs w:val="20"/>
                <w:color w:val="auto"/>
              </w:rPr>
            </w:pPr>
            <w:r>
              <w:rPr>
                <w:rFonts w:ascii="Arial" w:cs="Arial" w:eastAsia="Arial" w:hAnsi="Arial"/>
                <w:sz w:val="20"/>
                <w:szCs w:val="20"/>
                <w:color w:val="auto"/>
              </w:rPr>
              <w:t>Ningxia Orient Tantalum Industry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NPM Silmet AS*</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ESTONIA</w:t>
            </w:r>
          </w:p>
        </w:tc>
      </w:tr>
      <w:tr>
        <w:trPr>
          <w:trHeight w:val="240"/>
        </w:trPr>
        <w:tc>
          <w:tcPr>
            <w:tcW w:w="10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20"/>
                <w:szCs w:val="20"/>
                <w:color w:val="auto"/>
              </w:rPr>
              <w:t>NORTH MACEDONIA, REPUBLIC</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6280" w:type="dxa"/>
            <w:vAlign w:val="bottom"/>
          </w:tcPr>
          <w:p>
            <w:pPr>
              <w:ind w:left="220"/>
              <w:spacing w:after="0"/>
              <w:rPr>
                <w:sz w:val="20"/>
                <w:szCs w:val="20"/>
                <w:color w:val="auto"/>
              </w:rPr>
            </w:pPr>
            <w:r>
              <w:rPr>
                <w:rFonts w:ascii="Arial" w:cs="Arial" w:eastAsia="Arial" w:hAnsi="Arial"/>
                <w:sz w:val="20"/>
                <w:szCs w:val="20"/>
                <w:color w:val="auto"/>
              </w:rPr>
              <w:t>PRG Dooel*</w:t>
            </w:r>
          </w:p>
        </w:tc>
        <w:tc>
          <w:tcPr>
            <w:tcW w:w="3420" w:type="dxa"/>
            <w:vAlign w:val="bottom"/>
          </w:tcPr>
          <w:p>
            <w:pPr>
              <w:ind w:left="200"/>
              <w:spacing w:after="0"/>
              <w:rPr>
                <w:sz w:val="20"/>
                <w:szCs w:val="20"/>
                <w:color w:val="auto"/>
              </w:rPr>
            </w:pPr>
            <w:r>
              <w:rPr>
                <w:rFonts w:ascii="Arial" w:cs="Arial" w:eastAsia="Arial" w:hAnsi="Arial"/>
                <w:sz w:val="20"/>
                <w:szCs w:val="20"/>
                <w:color w:val="auto"/>
              </w:rPr>
              <w:t>OF</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QuantumClean*</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6280" w:type="dxa"/>
            <w:vAlign w:val="bottom"/>
          </w:tcPr>
          <w:p>
            <w:pPr>
              <w:ind w:left="220"/>
              <w:spacing w:after="0"/>
              <w:rPr>
                <w:sz w:val="20"/>
                <w:szCs w:val="20"/>
                <w:color w:val="auto"/>
              </w:rPr>
            </w:pPr>
            <w:r>
              <w:rPr>
                <w:rFonts w:ascii="Arial" w:cs="Arial" w:eastAsia="Arial" w:hAnsi="Arial"/>
                <w:sz w:val="20"/>
                <w:szCs w:val="20"/>
                <w:color w:val="auto"/>
              </w:rPr>
              <w:t>Resind Industria e Comercio Ltda.*</w:t>
            </w:r>
          </w:p>
        </w:tc>
        <w:tc>
          <w:tcPr>
            <w:tcW w:w="3420" w:type="dxa"/>
            <w:vAlign w:val="bottom"/>
          </w:tcPr>
          <w:p>
            <w:pPr>
              <w:ind w:left="2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Solikamsk Magnesium Works OAO*</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RUSSIAN FEDERATION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6280" w:type="dxa"/>
            <w:vAlign w:val="bottom"/>
          </w:tcPr>
          <w:p>
            <w:pPr>
              <w:ind w:left="220"/>
              <w:spacing w:after="0"/>
              <w:rPr>
                <w:sz w:val="20"/>
                <w:szCs w:val="20"/>
                <w:color w:val="auto"/>
              </w:rPr>
            </w:pPr>
            <w:r>
              <w:rPr>
                <w:rFonts w:ascii="Arial" w:cs="Arial" w:eastAsia="Arial" w:hAnsi="Arial"/>
                <w:sz w:val="20"/>
                <w:szCs w:val="20"/>
                <w:color w:val="auto"/>
              </w:rPr>
              <w:t>Taki Chemical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Telex Metals*</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6280" w:type="dxa"/>
            <w:vAlign w:val="bottom"/>
          </w:tcPr>
          <w:p>
            <w:pPr>
              <w:ind w:left="220"/>
              <w:spacing w:after="0"/>
              <w:rPr>
                <w:sz w:val="20"/>
                <w:szCs w:val="20"/>
                <w:color w:val="auto"/>
              </w:rPr>
            </w:pPr>
            <w:r>
              <w:rPr>
                <w:rFonts w:ascii="Arial" w:cs="Arial" w:eastAsia="Arial" w:hAnsi="Arial"/>
                <w:sz w:val="20"/>
                <w:szCs w:val="20"/>
                <w:color w:val="auto"/>
              </w:rPr>
              <w:t>Ulba Metallurgical Plant JSC*</w:t>
            </w:r>
          </w:p>
        </w:tc>
        <w:tc>
          <w:tcPr>
            <w:tcW w:w="3420" w:type="dxa"/>
            <w:vAlign w:val="bottom"/>
          </w:tcPr>
          <w:p>
            <w:pPr>
              <w:ind w:left="200"/>
              <w:spacing w:after="0"/>
              <w:rPr>
                <w:sz w:val="20"/>
                <w:szCs w:val="20"/>
                <w:color w:val="auto"/>
              </w:rPr>
            </w:pPr>
            <w:r>
              <w:rPr>
                <w:rFonts w:ascii="Arial" w:cs="Arial" w:eastAsia="Arial" w:hAnsi="Arial"/>
                <w:sz w:val="20"/>
                <w:szCs w:val="20"/>
                <w:color w:val="auto"/>
              </w:rPr>
              <w:t>KAZAKHSTAN</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Tantalum</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XinXing HaoRong Electronic Material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Tantalum</w:t>
            </w:r>
          </w:p>
        </w:tc>
        <w:tc>
          <w:tcPr>
            <w:tcW w:w="6280" w:type="dxa"/>
            <w:vAlign w:val="bottom"/>
          </w:tcPr>
          <w:p>
            <w:pPr>
              <w:ind w:left="220"/>
              <w:spacing w:after="0"/>
              <w:rPr>
                <w:sz w:val="20"/>
                <w:szCs w:val="20"/>
                <w:color w:val="auto"/>
              </w:rPr>
            </w:pPr>
            <w:r>
              <w:rPr>
                <w:rFonts w:ascii="Arial" w:cs="Arial" w:eastAsia="Arial" w:hAnsi="Arial"/>
                <w:sz w:val="20"/>
                <w:szCs w:val="20"/>
                <w:color w:val="auto"/>
              </w:rPr>
              <w:t>Yanling Jincheng Tantalum &amp; Niobium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Alpha*</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An Vinh Joint Stock Mineral Processing Company</w:t>
            </w:r>
          </w:p>
        </w:tc>
        <w:tc>
          <w:tcPr>
            <w:tcW w:w="3420" w:type="dxa"/>
            <w:vAlign w:val="bottom"/>
          </w:tcPr>
          <w:p>
            <w:pPr>
              <w:ind w:left="200"/>
              <w:spacing w:after="0"/>
              <w:rPr>
                <w:sz w:val="20"/>
                <w:szCs w:val="20"/>
                <w:color w:val="auto"/>
              </w:rPr>
            </w:pPr>
            <w:r>
              <w:rPr>
                <w:rFonts w:ascii="Arial" w:cs="Arial" w:eastAsia="Arial" w:hAnsi="Arial"/>
                <w:sz w:val="20"/>
                <w:szCs w:val="20"/>
                <w:color w:val="auto"/>
              </w:rPr>
              <w:t>VIET NAM</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Chenzhou Yunxiang Mining and Metallurgy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Chifeng Dajingzi Tin Industry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China Tin Group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Dongguan CiEXPO Environmental Engineering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Dowa*</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JAPAN</w:t>
            </w:r>
          </w:p>
        </w:tc>
      </w:tr>
      <w:tr>
        <w:trPr>
          <w:trHeight w:val="240"/>
        </w:trPr>
        <w:tc>
          <w:tcPr>
            <w:tcW w:w="1080" w:type="dxa"/>
            <w:vAlign w:val="bottom"/>
          </w:tcPr>
          <w:p>
            <w:pPr>
              <w:spacing w:after="0"/>
              <w:rPr>
                <w:sz w:val="20"/>
                <w:szCs w:val="20"/>
                <w:color w:val="auto"/>
              </w:rPr>
            </w:pPr>
          </w:p>
        </w:tc>
        <w:tc>
          <w:tcPr>
            <w:tcW w:w="6280" w:type="dxa"/>
            <w:vAlign w:val="bottom"/>
          </w:tcPr>
          <w:p>
            <w:pPr>
              <w:ind w:left="220"/>
              <w:spacing w:after="0"/>
              <w:rPr>
                <w:sz w:val="20"/>
                <w:szCs w:val="20"/>
                <w:color w:val="auto"/>
              </w:rPr>
            </w:pPr>
            <w:r>
              <w:rPr>
                <w:rFonts w:ascii="Arial" w:cs="Arial" w:eastAsia="Arial" w:hAnsi="Arial"/>
                <w:sz w:val="20"/>
                <w:szCs w:val="20"/>
                <w:color w:val="auto"/>
                <w:w w:val="95"/>
              </w:rPr>
              <w:t>Electro-Mechanical Facility of the Cao Bang Minerals &amp; Metallurgy Joint</w:t>
            </w:r>
          </w:p>
        </w:tc>
        <w:tc>
          <w:tcPr>
            <w:tcW w:w="3420" w:type="dxa"/>
            <w:vAlign w:val="bottom"/>
          </w:tcPr>
          <w:p>
            <w:pPr>
              <w:spacing w:after="0"/>
              <w:rPr>
                <w:sz w:val="20"/>
                <w:szCs w:val="20"/>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Stock Company</w:t>
            </w:r>
          </w:p>
        </w:tc>
        <w:tc>
          <w:tcPr>
            <w:tcW w:w="3420" w:type="dxa"/>
            <w:vAlign w:val="bottom"/>
          </w:tcPr>
          <w:p>
            <w:pPr>
              <w:ind w:left="200"/>
              <w:spacing w:after="0"/>
              <w:rPr>
                <w:sz w:val="20"/>
                <w:szCs w:val="20"/>
                <w:color w:val="auto"/>
              </w:rPr>
            </w:pPr>
            <w:r>
              <w:rPr>
                <w:rFonts w:ascii="Arial" w:cs="Arial" w:eastAsia="Arial" w:hAnsi="Arial"/>
                <w:sz w:val="20"/>
                <w:szCs w:val="20"/>
                <w:color w:val="auto"/>
              </w:rPr>
              <w:t>VIET NAM</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40"/>
        </w:trPr>
        <w:tc>
          <w:tcPr>
            <w:tcW w:w="1080" w:type="dxa"/>
            <w:vAlign w:val="bottom"/>
            <w:shd w:val="clear" w:color="auto" w:fill="F2F2F2"/>
          </w:tcPr>
          <w:p>
            <w:pPr>
              <w:spacing w:after="0"/>
              <w:rPr>
                <w:sz w:val="20"/>
                <w:szCs w:val="20"/>
                <w:color w:val="auto"/>
              </w:rPr>
            </w:pPr>
          </w:p>
        </w:tc>
        <w:tc>
          <w:tcPr>
            <w:tcW w:w="6280" w:type="dxa"/>
            <w:vAlign w:val="bottom"/>
            <w:shd w:val="clear" w:color="auto" w:fill="F2F2F2"/>
          </w:tcPr>
          <w:p>
            <w:pPr>
              <w:spacing w:after="0"/>
              <w:rPr>
                <w:sz w:val="20"/>
                <w:szCs w:val="20"/>
                <w:color w:val="auto"/>
              </w:rPr>
            </w:pPr>
          </w:p>
        </w:tc>
        <w:tc>
          <w:tcPr>
            <w:tcW w:w="3420" w:type="dxa"/>
            <w:vAlign w:val="bottom"/>
            <w:shd w:val="clear" w:color="auto" w:fill="F2F2F2"/>
          </w:tcPr>
          <w:p>
            <w:pPr>
              <w:ind w:left="200"/>
              <w:spacing w:after="0"/>
              <w:rPr>
                <w:sz w:val="20"/>
                <w:szCs w:val="20"/>
                <w:color w:val="auto"/>
              </w:rPr>
            </w:pPr>
            <w:r>
              <w:rPr>
                <w:rFonts w:ascii="Arial" w:cs="Arial" w:eastAsia="Arial" w:hAnsi="Arial"/>
                <w:sz w:val="20"/>
                <w:szCs w:val="20"/>
                <w:color w:val="auto"/>
              </w:rPr>
              <w:t>BOLIVIA (PLURINATIONAL STATE</w:t>
            </w:r>
          </w:p>
        </w:tc>
      </w:tr>
      <w:tr>
        <w:trPr>
          <w:trHeight w:val="25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EM Vinto*</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OF)</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Estanho de Rondonia S.A.</w:t>
            </w:r>
          </w:p>
        </w:tc>
        <w:tc>
          <w:tcPr>
            <w:tcW w:w="3420" w:type="dxa"/>
            <w:vAlign w:val="bottom"/>
          </w:tcPr>
          <w:p>
            <w:pPr>
              <w:ind w:left="2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Fenix Metals*</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POLAND</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Gejiu City Fuxiang Industry and Trade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Gejiu Kai Meng Industry and Trade LLC*</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Gejiu Non-Ferrous Metal Processing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Gejiu Yunxin Nonferrous Electrolysis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Gejiu Zili Mining And Metallurgy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Guangdong Hanhe Non-Ferrous Metal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Guanyang Guida Nonferrous Metal Smelting Plant*</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HuiChang Hill Tin Industry Co.,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Huichang Jinshunda Tin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New Nanshan Technology Ltd.*</w:t>
            </w:r>
          </w:p>
        </w:tc>
        <w:tc>
          <w:tcPr>
            <w:tcW w:w="342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6280" w:type="dxa"/>
            <w:vAlign w:val="bottom"/>
          </w:tcPr>
          <w:p>
            <w:pPr>
              <w:ind w:left="220"/>
              <w:spacing w:after="0"/>
              <w:rPr>
                <w:sz w:val="20"/>
                <w:szCs w:val="20"/>
                <w:color w:val="auto"/>
              </w:rPr>
            </w:pPr>
            <w:r>
              <w:rPr>
                <w:rFonts w:ascii="Arial" w:cs="Arial" w:eastAsia="Arial" w:hAnsi="Arial"/>
                <w:sz w:val="20"/>
                <w:szCs w:val="20"/>
                <w:color w:val="auto"/>
              </w:rPr>
              <w:t>Ma'anshan Weitai Tin Co., Ltd.*</w:t>
            </w:r>
          </w:p>
        </w:tc>
        <w:tc>
          <w:tcPr>
            <w:tcW w:w="3420" w:type="dxa"/>
            <w:vAlign w:val="bottom"/>
          </w:tcPr>
          <w:p>
            <w:pPr>
              <w:ind w:left="2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60"/>
        </w:trPr>
        <w:tc>
          <w:tcPr>
            <w:tcW w:w="1080" w:type="dxa"/>
            <w:vAlign w:val="bottom"/>
            <w:shd w:val="clear" w:color="auto" w:fill="F2F2F2"/>
          </w:tcPr>
          <w:p>
            <w:pPr>
              <w:spacing w:after="0"/>
              <w:rPr>
                <w:sz w:val="20"/>
                <w:szCs w:val="20"/>
                <w:color w:val="auto"/>
              </w:rPr>
            </w:pPr>
            <w:r>
              <w:rPr>
                <w:rFonts w:ascii="Arial" w:cs="Arial" w:eastAsia="Arial" w:hAnsi="Arial"/>
                <w:sz w:val="20"/>
                <w:szCs w:val="20"/>
                <w:color w:val="auto"/>
              </w:rPr>
              <w:t>Tin</w:t>
            </w:r>
          </w:p>
        </w:tc>
        <w:tc>
          <w:tcPr>
            <w:tcW w:w="6280" w:type="dxa"/>
            <w:vAlign w:val="bottom"/>
            <w:shd w:val="clear" w:color="auto" w:fill="F2F2F2"/>
          </w:tcPr>
          <w:p>
            <w:pPr>
              <w:ind w:left="220"/>
              <w:spacing w:after="0"/>
              <w:rPr>
                <w:sz w:val="20"/>
                <w:szCs w:val="20"/>
                <w:color w:val="auto"/>
              </w:rPr>
            </w:pPr>
            <w:r>
              <w:rPr>
                <w:rFonts w:ascii="Arial" w:cs="Arial" w:eastAsia="Arial" w:hAnsi="Arial"/>
                <w:sz w:val="20"/>
                <w:szCs w:val="20"/>
                <w:color w:val="auto"/>
              </w:rPr>
              <w:t>Magnu's Minerais Metais e Ligas Ltda.*</w:t>
            </w:r>
          </w:p>
        </w:tc>
        <w:tc>
          <w:tcPr>
            <w:tcW w:w="3420" w:type="dxa"/>
            <w:vAlign w:val="bottom"/>
            <w:shd w:val="clear" w:color="auto" w:fill="F2F2F2"/>
          </w:tcPr>
          <w:p>
            <w:pPr>
              <w:ind w:left="2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shd w:val="clear" w:color="auto" w:fill="F2F2F2"/>
          </w:tcPr>
          <w:p>
            <w:pPr>
              <w:spacing w:after="0"/>
              <w:rPr>
                <w:sz w:val="2"/>
                <w:szCs w:val="2"/>
                <w:color w:val="auto"/>
              </w:rPr>
            </w:pPr>
          </w:p>
        </w:tc>
        <w:tc>
          <w:tcPr>
            <w:tcW w:w="6280" w:type="dxa"/>
            <w:vAlign w:val="bottom"/>
            <w:shd w:val="clear" w:color="auto" w:fill="F2F2F2"/>
          </w:tcPr>
          <w:p>
            <w:pPr>
              <w:spacing w:after="0"/>
              <w:rPr>
                <w:sz w:val="2"/>
                <w:szCs w:val="2"/>
                <w:color w:val="auto"/>
              </w:rPr>
            </w:pPr>
          </w:p>
        </w:tc>
        <w:tc>
          <w:tcPr>
            <w:tcW w:w="3420" w:type="dxa"/>
            <w:vAlign w:val="bottom"/>
            <w:shd w:val="clear" w:color="auto" w:fill="F2F2F2"/>
          </w:tcPr>
          <w:p>
            <w:pPr>
              <w:spacing w:after="0"/>
              <w:rPr>
                <w:sz w:val="2"/>
                <w:szCs w:val="2"/>
                <w:color w:val="auto"/>
              </w:rPr>
            </w:pPr>
          </w:p>
        </w:tc>
      </w:tr>
    </w:tbl>
    <w:p>
      <w:pPr>
        <w:sectPr>
          <w:pgSz w:w="11900" w:h="16838" w:orient="portrait"/>
          <w:cols w:equalWidth="0" w:num="1">
            <w:col w:w="10780"/>
          </w:cols>
          <w:pgMar w:left="560" w:top="1440" w:right="559" w:bottom="1440" w:gutter="0" w:footer="0" w:header="0"/>
        </w:sectPr>
      </w:pPr>
    </w:p>
    <w:bookmarkStart w:id="15" w:name="page16"/>
    <w:bookmarkEnd w:id="15"/>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558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4120" w:type="dxa"/>
            <w:vAlign w:val="bottom"/>
            <w:shd w:val="clear" w:color="auto" w:fill="AEAAAA"/>
          </w:tcPr>
          <w:p>
            <w:pPr>
              <w:ind w:left="2140"/>
              <w:spacing w:after="0"/>
              <w:rPr>
                <w:sz w:val="20"/>
                <w:szCs w:val="20"/>
                <w:color w:val="auto"/>
              </w:rPr>
            </w:pPr>
            <w:r>
              <w:rPr>
                <w:rFonts w:ascii="Arial" w:cs="Arial" w:eastAsia="Arial" w:hAnsi="Arial"/>
                <w:sz w:val="20"/>
                <w:szCs w:val="20"/>
                <w:b w:val="1"/>
                <w:bCs w:val="1"/>
                <w:color w:val="auto"/>
              </w:rPr>
              <w:t>Country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Malaysia Smelting Corporation (MSC)*</w:t>
            </w:r>
          </w:p>
        </w:tc>
        <w:tc>
          <w:tcPr>
            <w:tcW w:w="4120" w:type="dxa"/>
            <w:vAlign w:val="bottom"/>
          </w:tcPr>
          <w:p>
            <w:pPr>
              <w:ind w:left="900"/>
              <w:spacing w:after="0"/>
              <w:rPr>
                <w:sz w:val="20"/>
                <w:szCs w:val="20"/>
                <w:color w:val="auto"/>
              </w:rPr>
            </w:pPr>
            <w:r>
              <w:rPr>
                <w:rFonts w:ascii="Arial" w:cs="Arial" w:eastAsia="Arial" w:hAnsi="Arial"/>
                <w:sz w:val="20"/>
                <w:szCs w:val="20"/>
                <w:color w:val="auto"/>
              </w:rPr>
              <w:t>MALAYSIA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Melt Metais e Ligas S.A.*</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BRAZIL</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Metallic Resources, Inc.*</w:t>
            </w:r>
          </w:p>
        </w:tc>
        <w:tc>
          <w:tcPr>
            <w:tcW w:w="4120" w:type="dxa"/>
            <w:vAlign w:val="bottom"/>
          </w:tcPr>
          <w:p>
            <w:pPr>
              <w:ind w:left="90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Metallo Belgium N.V.*</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BELGIUM</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Metallo Spain S.L.U.*</w:t>
            </w:r>
          </w:p>
        </w:tc>
        <w:tc>
          <w:tcPr>
            <w:tcW w:w="4120" w:type="dxa"/>
            <w:vAlign w:val="bottom"/>
          </w:tcPr>
          <w:p>
            <w:pPr>
              <w:ind w:left="900"/>
              <w:spacing w:after="0"/>
              <w:rPr>
                <w:sz w:val="20"/>
                <w:szCs w:val="20"/>
                <w:color w:val="auto"/>
              </w:rPr>
            </w:pPr>
            <w:r>
              <w:rPr>
                <w:rFonts w:ascii="Arial" w:cs="Arial" w:eastAsia="Arial" w:hAnsi="Arial"/>
                <w:sz w:val="20"/>
                <w:szCs w:val="20"/>
                <w:color w:val="auto"/>
              </w:rPr>
              <w:t>SPAIN</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Mineracao Taboca S.A.*</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BRAZIL</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Minsur*</w:t>
            </w:r>
          </w:p>
        </w:tc>
        <w:tc>
          <w:tcPr>
            <w:tcW w:w="4120" w:type="dxa"/>
            <w:vAlign w:val="bottom"/>
          </w:tcPr>
          <w:p>
            <w:pPr>
              <w:ind w:left="900"/>
              <w:spacing w:after="0"/>
              <w:rPr>
                <w:sz w:val="20"/>
                <w:szCs w:val="20"/>
                <w:color w:val="auto"/>
              </w:rPr>
            </w:pPr>
            <w:r>
              <w:rPr>
                <w:rFonts w:ascii="Arial" w:cs="Arial" w:eastAsia="Arial" w:hAnsi="Arial"/>
                <w:sz w:val="20"/>
                <w:szCs w:val="20"/>
                <w:color w:val="auto"/>
              </w:rPr>
              <w:t>PERU</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Mitsubishi Materials Corporation*</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JAPAN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Modeltech Sdn Bhd</w:t>
            </w:r>
          </w:p>
        </w:tc>
        <w:tc>
          <w:tcPr>
            <w:tcW w:w="4120" w:type="dxa"/>
            <w:vAlign w:val="bottom"/>
          </w:tcPr>
          <w:p>
            <w:pPr>
              <w:ind w:left="900"/>
              <w:spacing w:after="0"/>
              <w:rPr>
                <w:sz w:val="20"/>
                <w:szCs w:val="20"/>
                <w:color w:val="auto"/>
              </w:rPr>
            </w:pPr>
            <w:r>
              <w:rPr>
                <w:rFonts w:ascii="Arial" w:cs="Arial" w:eastAsia="Arial" w:hAnsi="Arial"/>
                <w:sz w:val="20"/>
                <w:szCs w:val="20"/>
                <w:color w:val="auto"/>
              </w:rPr>
              <w:t>MALAYSIA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Nghe Tinh Non-Ferrous Metals Joint Stock Company</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VIET NAM</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O.M. Manufacturing (Thailand) Co., Ltd.*</w:t>
            </w:r>
          </w:p>
        </w:tc>
        <w:tc>
          <w:tcPr>
            <w:tcW w:w="4120" w:type="dxa"/>
            <w:vAlign w:val="bottom"/>
          </w:tcPr>
          <w:p>
            <w:pPr>
              <w:ind w:left="900"/>
              <w:spacing w:after="0"/>
              <w:rPr>
                <w:sz w:val="20"/>
                <w:szCs w:val="20"/>
                <w:color w:val="auto"/>
              </w:rPr>
            </w:pPr>
            <w:r>
              <w:rPr>
                <w:rFonts w:ascii="Arial" w:cs="Arial" w:eastAsia="Arial" w:hAnsi="Arial"/>
                <w:sz w:val="20"/>
                <w:szCs w:val="20"/>
                <w:color w:val="auto"/>
              </w:rPr>
              <w:t>THAILAND</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O.M. Manufacturing Philippines, Inc.*</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PHILIPPINES</w:t>
            </w:r>
          </w:p>
        </w:tc>
      </w:tr>
      <w:tr>
        <w:trPr>
          <w:trHeight w:val="240"/>
        </w:trPr>
        <w:tc>
          <w:tcPr>
            <w:tcW w:w="10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120" w:type="dxa"/>
            <w:vAlign w:val="bottom"/>
          </w:tcPr>
          <w:p>
            <w:pPr>
              <w:ind w:left="900"/>
              <w:spacing w:after="0"/>
              <w:rPr>
                <w:sz w:val="20"/>
                <w:szCs w:val="20"/>
                <w:color w:val="auto"/>
              </w:rPr>
            </w:pPr>
            <w:r>
              <w:rPr>
                <w:rFonts w:ascii="Arial" w:cs="Arial" w:eastAsia="Arial" w:hAnsi="Arial"/>
                <w:sz w:val="20"/>
                <w:szCs w:val="20"/>
                <w:color w:val="auto"/>
              </w:rPr>
              <w:t>BOLIVIA (PLURINATIONAL STATE</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Operaciones Metalurgicas S.A.*</w:t>
            </w:r>
          </w:p>
        </w:tc>
        <w:tc>
          <w:tcPr>
            <w:tcW w:w="4120" w:type="dxa"/>
            <w:vAlign w:val="bottom"/>
          </w:tcPr>
          <w:p>
            <w:pPr>
              <w:ind w:left="900"/>
              <w:spacing w:after="0"/>
              <w:rPr>
                <w:sz w:val="20"/>
                <w:szCs w:val="20"/>
                <w:color w:val="auto"/>
              </w:rPr>
            </w:pPr>
            <w:r>
              <w:rPr>
                <w:rFonts w:ascii="Arial" w:cs="Arial" w:eastAsia="Arial" w:hAnsi="Arial"/>
                <w:sz w:val="20"/>
                <w:szCs w:val="20"/>
                <w:color w:val="auto"/>
              </w:rPr>
              <w:t>OF)</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Pongpipat Company Limited</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MYANMAR</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Precious Minerals and Smelting Limited**</w:t>
            </w:r>
          </w:p>
        </w:tc>
        <w:tc>
          <w:tcPr>
            <w:tcW w:w="4120" w:type="dxa"/>
            <w:vAlign w:val="bottom"/>
          </w:tcPr>
          <w:p>
            <w:pPr>
              <w:ind w:left="900"/>
              <w:spacing w:after="0"/>
              <w:rPr>
                <w:sz w:val="20"/>
                <w:szCs w:val="20"/>
                <w:color w:val="auto"/>
              </w:rPr>
            </w:pPr>
            <w:r>
              <w:rPr>
                <w:rFonts w:ascii="Arial" w:cs="Arial" w:eastAsia="Arial" w:hAnsi="Arial"/>
                <w:sz w:val="20"/>
                <w:szCs w:val="20"/>
                <w:color w:val="auto"/>
              </w:rPr>
              <w:t>INDIA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Artha Cipta Langgeng*</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INDONESIA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PT ATD Makmur Mandiri Jaya*</w:t>
            </w:r>
          </w:p>
        </w:tc>
        <w:tc>
          <w:tcPr>
            <w:tcW w:w="4120" w:type="dxa"/>
            <w:vAlign w:val="bottom"/>
          </w:tcPr>
          <w:p>
            <w:pPr>
              <w:ind w:left="900"/>
              <w:spacing w:after="0"/>
              <w:rPr>
                <w:sz w:val="20"/>
                <w:szCs w:val="20"/>
                <w:color w:val="auto"/>
              </w:rPr>
            </w:pPr>
            <w:r>
              <w:rPr>
                <w:rFonts w:ascii="Arial" w:cs="Arial" w:eastAsia="Arial" w:hAnsi="Arial"/>
                <w:sz w:val="20"/>
                <w:szCs w:val="20"/>
                <w:color w:val="auto"/>
              </w:rPr>
              <w:t>INDONESIA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Menara Cipta Mulia*</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INDONESIA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PT Mitra Stania Prima*</w:t>
            </w:r>
          </w:p>
        </w:tc>
        <w:tc>
          <w:tcPr>
            <w:tcW w:w="4120" w:type="dxa"/>
            <w:vAlign w:val="bottom"/>
          </w:tcPr>
          <w:p>
            <w:pPr>
              <w:ind w:left="900"/>
              <w:spacing w:after="0"/>
              <w:rPr>
                <w:sz w:val="20"/>
                <w:szCs w:val="20"/>
                <w:color w:val="auto"/>
              </w:rPr>
            </w:pPr>
            <w:r>
              <w:rPr>
                <w:rFonts w:ascii="Arial" w:cs="Arial" w:eastAsia="Arial" w:hAnsi="Arial"/>
                <w:sz w:val="20"/>
                <w:szCs w:val="20"/>
                <w:color w:val="auto"/>
              </w:rPr>
              <w:t>INDONESIA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Refined Bangka Tin*</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INDONESIA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PT Timah Tbk Kundur*</w:t>
            </w:r>
          </w:p>
        </w:tc>
        <w:tc>
          <w:tcPr>
            <w:tcW w:w="4120" w:type="dxa"/>
            <w:vAlign w:val="bottom"/>
          </w:tcPr>
          <w:p>
            <w:pPr>
              <w:ind w:left="900"/>
              <w:spacing w:after="0"/>
              <w:rPr>
                <w:sz w:val="20"/>
                <w:szCs w:val="20"/>
                <w:color w:val="auto"/>
              </w:rPr>
            </w:pPr>
            <w:r>
              <w:rPr>
                <w:rFonts w:ascii="Arial" w:cs="Arial" w:eastAsia="Arial" w:hAnsi="Arial"/>
                <w:sz w:val="20"/>
                <w:szCs w:val="20"/>
                <w:color w:val="auto"/>
              </w:rPr>
              <w:t>INDONESIA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Timah Tbk Mentok*</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INDONESIA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Resind Industria e Comercio Ltda.*</w:t>
            </w:r>
          </w:p>
        </w:tc>
        <w:tc>
          <w:tcPr>
            <w:tcW w:w="4120" w:type="dxa"/>
            <w:vAlign w:val="bottom"/>
          </w:tcPr>
          <w:p>
            <w:pPr>
              <w:ind w:left="9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Rui Da Hung*</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TAIWAN, PROVINCE OF 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Soft Metais Ltda.*</w:t>
            </w:r>
          </w:p>
        </w:tc>
        <w:tc>
          <w:tcPr>
            <w:tcW w:w="4120" w:type="dxa"/>
            <w:vAlign w:val="bottom"/>
          </w:tcPr>
          <w:p>
            <w:pPr>
              <w:ind w:left="9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Super Ligas</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BRAZIL</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Thai Nguyen Mining and Metallurgy Co., Ltd.*</w:t>
            </w:r>
          </w:p>
        </w:tc>
        <w:tc>
          <w:tcPr>
            <w:tcW w:w="4120" w:type="dxa"/>
            <w:vAlign w:val="bottom"/>
          </w:tcPr>
          <w:p>
            <w:pPr>
              <w:ind w:left="900"/>
              <w:spacing w:after="0"/>
              <w:rPr>
                <w:sz w:val="20"/>
                <w:szCs w:val="20"/>
                <w:color w:val="auto"/>
              </w:rPr>
            </w:pPr>
            <w:r>
              <w:rPr>
                <w:rFonts w:ascii="Arial" w:cs="Arial" w:eastAsia="Arial" w:hAnsi="Arial"/>
                <w:sz w:val="20"/>
                <w:szCs w:val="20"/>
                <w:color w:val="auto"/>
              </w:rPr>
              <w:t>VIET NAM</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Thaisarco*</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THAILAND</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Tin Technology &amp; Refining*</w:t>
            </w:r>
          </w:p>
        </w:tc>
        <w:tc>
          <w:tcPr>
            <w:tcW w:w="4120" w:type="dxa"/>
            <w:vAlign w:val="bottom"/>
          </w:tcPr>
          <w:p>
            <w:pPr>
              <w:ind w:left="90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Tuyen Quang Non-Ferrous Metals Joint Stock Company</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VIET NAM</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White Solder Metalurgia e Mineracao Ltda.*</w:t>
            </w:r>
          </w:p>
        </w:tc>
        <w:tc>
          <w:tcPr>
            <w:tcW w:w="4120" w:type="dxa"/>
            <w:vAlign w:val="bottom"/>
          </w:tcPr>
          <w:p>
            <w:pPr>
              <w:ind w:left="9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Yunnan Chengfeng Non-ferrous Metals Co., Ltd.*</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Tin</w:t>
            </w:r>
          </w:p>
        </w:tc>
        <w:tc>
          <w:tcPr>
            <w:tcW w:w="5580" w:type="dxa"/>
            <w:vAlign w:val="bottom"/>
          </w:tcPr>
          <w:p>
            <w:pPr>
              <w:ind w:left="220"/>
              <w:spacing w:after="0"/>
              <w:rPr>
                <w:sz w:val="20"/>
                <w:szCs w:val="20"/>
                <w:color w:val="auto"/>
              </w:rPr>
            </w:pPr>
            <w:r>
              <w:rPr>
                <w:rFonts w:ascii="Arial" w:cs="Arial" w:eastAsia="Arial" w:hAnsi="Arial"/>
                <w:sz w:val="20"/>
                <w:szCs w:val="20"/>
                <w:color w:val="auto"/>
              </w:rPr>
              <w:t>Yunnan Tin Company Limited*</w:t>
            </w:r>
          </w:p>
        </w:tc>
        <w:tc>
          <w:tcPr>
            <w:tcW w:w="4120" w:type="dxa"/>
            <w:vAlign w:val="bottom"/>
          </w:tcPr>
          <w:p>
            <w:pPr>
              <w:ind w:left="90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Tin</w:t>
            </w:r>
          </w:p>
        </w:tc>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Yunnan Yunfan Non-ferrous Metals Co., Ltd.*</w:t>
            </w:r>
          </w:p>
        </w:tc>
        <w:tc>
          <w:tcPr>
            <w:tcW w:w="4120" w:type="dxa"/>
            <w:vAlign w:val="bottom"/>
            <w:tcBorders>
              <w:bottom w:val="single" w:sz="8" w:color="F2F2F2"/>
            </w:tcBorders>
            <w:shd w:val="clear" w:color="auto" w:fill="F2F2F2"/>
          </w:tcPr>
          <w:p>
            <w:pPr>
              <w:ind w:left="90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580" w:type="dxa"/>
            <w:vAlign w:val="bottom"/>
          </w:tcPr>
          <w:p>
            <w:pPr>
              <w:ind w:left="220"/>
              <w:spacing w:after="0"/>
              <w:rPr>
                <w:sz w:val="20"/>
                <w:szCs w:val="20"/>
                <w:color w:val="auto"/>
              </w:rPr>
            </w:pPr>
            <w:r>
              <w:rPr>
                <w:rFonts w:ascii="Arial" w:cs="Arial" w:eastAsia="Arial" w:hAnsi="Arial"/>
                <w:sz w:val="20"/>
                <w:szCs w:val="20"/>
                <w:color w:val="auto"/>
              </w:rPr>
              <w:t>A.L.M.T. Corp.*</w:t>
            </w:r>
          </w:p>
        </w:tc>
        <w:tc>
          <w:tcPr>
            <w:tcW w:w="4120" w:type="dxa"/>
            <w:vAlign w:val="bottom"/>
          </w:tcPr>
          <w:p>
            <w:pPr>
              <w:ind w:left="90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60"/>
        </w:trPr>
        <w:tc>
          <w:tcPr>
            <w:tcW w:w="1080" w:type="dxa"/>
            <w:vAlign w:val="bottom"/>
            <w:shd w:val="clear" w:color="auto" w:fill="F2F2F2"/>
          </w:tcPr>
          <w:p>
            <w:pPr>
              <w:spacing w:after="0"/>
              <w:rPr>
                <w:sz w:val="20"/>
                <w:szCs w:val="20"/>
                <w:color w:val="auto"/>
              </w:rPr>
            </w:pPr>
            <w:r>
              <w:rPr>
                <w:rFonts w:ascii="Arial" w:cs="Arial" w:eastAsia="Arial" w:hAnsi="Arial"/>
                <w:sz w:val="20"/>
                <w:szCs w:val="20"/>
                <w:color w:val="auto"/>
              </w:rPr>
              <w:t>Tungsten</w:t>
            </w:r>
          </w:p>
        </w:tc>
        <w:tc>
          <w:tcPr>
            <w:tcW w:w="5580" w:type="dxa"/>
            <w:vAlign w:val="bottom"/>
            <w:shd w:val="clear" w:color="auto" w:fill="F2F2F2"/>
          </w:tcPr>
          <w:p>
            <w:pPr>
              <w:ind w:left="220"/>
              <w:spacing w:after="0"/>
              <w:rPr>
                <w:sz w:val="20"/>
                <w:szCs w:val="20"/>
                <w:color w:val="auto"/>
              </w:rPr>
            </w:pPr>
            <w:r>
              <w:rPr>
                <w:rFonts w:ascii="Arial" w:cs="Arial" w:eastAsia="Arial" w:hAnsi="Arial"/>
                <w:sz w:val="20"/>
                <w:szCs w:val="20"/>
                <w:color w:val="auto"/>
              </w:rPr>
              <w:t>ACL Metais Eireli*</w:t>
            </w:r>
          </w:p>
        </w:tc>
        <w:tc>
          <w:tcPr>
            <w:tcW w:w="4120" w:type="dxa"/>
            <w:vAlign w:val="bottom"/>
            <w:shd w:val="clear" w:color="auto" w:fill="F2F2F2"/>
          </w:tcPr>
          <w:p>
            <w:pPr>
              <w:ind w:left="900"/>
              <w:spacing w:after="0"/>
              <w:rPr>
                <w:sz w:val="20"/>
                <w:szCs w:val="20"/>
                <w:color w:val="auto"/>
              </w:rPr>
            </w:pPr>
            <w:r>
              <w:rPr>
                <w:rFonts w:ascii="Arial" w:cs="Arial" w:eastAsia="Arial" w:hAnsi="Arial"/>
                <w:sz w:val="20"/>
                <w:szCs w:val="20"/>
                <w:color w:val="auto"/>
              </w:rPr>
              <w:t>BRAZIL</w:t>
            </w:r>
          </w:p>
        </w:tc>
      </w:tr>
      <w:tr>
        <w:trPr>
          <w:trHeight w:val="23"/>
        </w:trPr>
        <w:tc>
          <w:tcPr>
            <w:tcW w:w="1080" w:type="dxa"/>
            <w:vAlign w:val="bottom"/>
            <w:shd w:val="clear" w:color="auto" w:fill="F2F2F2"/>
          </w:tcPr>
          <w:p>
            <w:pPr>
              <w:spacing w:after="0"/>
              <w:rPr>
                <w:sz w:val="2"/>
                <w:szCs w:val="2"/>
                <w:color w:val="auto"/>
              </w:rPr>
            </w:pPr>
          </w:p>
        </w:tc>
        <w:tc>
          <w:tcPr>
            <w:tcW w:w="5580" w:type="dxa"/>
            <w:vAlign w:val="bottom"/>
            <w:shd w:val="clear" w:color="auto" w:fill="F2F2F2"/>
          </w:tcPr>
          <w:p>
            <w:pPr>
              <w:spacing w:after="0"/>
              <w:rPr>
                <w:sz w:val="2"/>
                <w:szCs w:val="2"/>
                <w:color w:val="auto"/>
              </w:rPr>
            </w:pPr>
          </w:p>
        </w:tc>
        <w:tc>
          <w:tcPr>
            <w:tcW w:w="4120" w:type="dxa"/>
            <w:vAlign w:val="bottom"/>
            <w:shd w:val="clear" w:color="auto" w:fill="F2F2F2"/>
          </w:tcPr>
          <w:p>
            <w:pPr>
              <w:spacing w:after="0"/>
              <w:rPr>
                <w:sz w:val="2"/>
                <w:szCs w:val="2"/>
                <w:color w:val="auto"/>
              </w:rPr>
            </w:pPr>
          </w:p>
        </w:tc>
      </w:tr>
    </w:tbl>
    <w:p>
      <w:pPr>
        <w:sectPr>
          <w:pgSz w:w="11900" w:h="16838" w:orient="portrait"/>
          <w:cols w:equalWidth="0" w:num="1">
            <w:col w:w="10780"/>
          </w:cols>
          <w:pgMar w:left="560" w:top="1440" w:right="559" w:bottom="1440" w:gutter="0" w:footer="0" w:header="0"/>
        </w:sectPr>
      </w:pPr>
    </w:p>
    <w:bookmarkStart w:id="16" w:name="page17"/>
    <w:bookmarkEnd w:id="16"/>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596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740" w:type="dxa"/>
            <w:vAlign w:val="bottom"/>
            <w:shd w:val="clear" w:color="auto" w:fill="AEAAAA"/>
          </w:tcPr>
          <w:p>
            <w:pPr>
              <w:ind w:left="1760"/>
              <w:spacing w:after="0"/>
              <w:rPr>
                <w:sz w:val="20"/>
                <w:szCs w:val="20"/>
                <w:color w:val="auto"/>
              </w:rPr>
            </w:pPr>
            <w:r>
              <w:rPr>
                <w:rFonts w:ascii="Arial" w:cs="Arial" w:eastAsia="Arial" w:hAnsi="Arial"/>
                <w:sz w:val="20"/>
                <w:szCs w:val="20"/>
                <w:b w:val="1"/>
                <w:bCs w:val="1"/>
                <w:color w:val="auto"/>
              </w:rPr>
              <w:t>Country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Asia Tungsten Products Vietnam Ltd.*</w:t>
            </w:r>
          </w:p>
        </w:tc>
        <w:tc>
          <w:tcPr>
            <w:tcW w:w="3740" w:type="dxa"/>
            <w:vAlign w:val="bottom"/>
          </w:tcPr>
          <w:p>
            <w:pPr>
              <w:ind w:left="520"/>
              <w:spacing w:after="0"/>
              <w:rPr>
                <w:sz w:val="20"/>
                <w:szCs w:val="20"/>
                <w:color w:val="auto"/>
              </w:rPr>
            </w:pPr>
            <w:r>
              <w:rPr>
                <w:rFonts w:ascii="Arial" w:cs="Arial" w:eastAsia="Arial" w:hAnsi="Arial"/>
                <w:sz w:val="20"/>
                <w:szCs w:val="20"/>
                <w:color w:val="auto"/>
              </w:rPr>
              <w:t>VIET NAM</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Chenzhou Diamond Tungsten Products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China Molybdenum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Chongyi Zhangyuan Tungsten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CNMC (Guangxi) PGMA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Fujian Ganmin RareMetal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Fujian Jinxin Tungsten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Ganzhou Haichuang Tungsten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Ganzhou Huaxing Tungsten Products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Ganzhou Jiangwu Ferrotungsten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Ganzhou Seadragon W &amp; Mo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Global Tungsten &amp; Powders Corp.*</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UNITED STATES OF AMERICA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Guangdong Xianglu Tungsten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Smelting GmbH &amp; Co. KG*</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GERMANY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H.C. Starck Tungsten GmbH*</w:t>
            </w:r>
          </w:p>
        </w:tc>
        <w:tc>
          <w:tcPr>
            <w:tcW w:w="3740" w:type="dxa"/>
            <w:vAlign w:val="bottom"/>
          </w:tcPr>
          <w:p>
            <w:pPr>
              <w:ind w:left="520"/>
              <w:spacing w:after="0"/>
              <w:rPr>
                <w:sz w:val="20"/>
                <w:szCs w:val="20"/>
                <w:color w:val="auto"/>
              </w:rPr>
            </w:pPr>
            <w:r>
              <w:rPr>
                <w:rFonts w:ascii="Arial" w:cs="Arial" w:eastAsia="Arial" w:hAnsi="Arial"/>
                <w:sz w:val="20"/>
                <w:szCs w:val="20"/>
                <w:color w:val="auto"/>
              </w:rPr>
              <w:t>GERMANY</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Hunan Chenzhou Mining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Hunan Chuangda Vanadium Tungsten Co., Ltd. Wuji*</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Hunan Chunchang Nonferrous Metals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Hunan Litian Tungsten Industry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Hydrometallurg, JSC*</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RUSSIAN FEDERATION</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Japan New Metals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JAPAN</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Jiangwu H.C. Starck Tungsten Products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Jiangxi Gan Bei Tungsten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Minmetals Gao'an Non-ferrous Metals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Jiangxi Tonggu Non-ferrous Metallurgical &amp; Chemical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Xianglu Tungsten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Jiangxi Xinsheng Tungsten Industry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Yaosheng Tungsten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JSC "Kirovgrad Hard Alloys Plant"**</w:t>
            </w:r>
          </w:p>
        </w:tc>
        <w:tc>
          <w:tcPr>
            <w:tcW w:w="3740" w:type="dxa"/>
            <w:vAlign w:val="bottom"/>
          </w:tcPr>
          <w:p>
            <w:pPr>
              <w:ind w:left="520"/>
              <w:spacing w:after="0"/>
              <w:rPr>
                <w:sz w:val="20"/>
                <w:szCs w:val="20"/>
                <w:color w:val="auto"/>
              </w:rPr>
            </w:pPr>
            <w:r>
              <w:rPr>
                <w:rFonts w:ascii="Arial" w:cs="Arial" w:eastAsia="Arial" w:hAnsi="Arial"/>
                <w:sz w:val="20"/>
                <w:szCs w:val="20"/>
                <w:color w:val="auto"/>
              </w:rPr>
              <w:t>RUSSIAN FEDERATION</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Kennametal Fallon*</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UNITED STATES OF AMERICA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Kennametal Huntsville*</w:t>
            </w:r>
          </w:p>
        </w:tc>
        <w:tc>
          <w:tcPr>
            <w:tcW w:w="3740" w:type="dxa"/>
            <w:vAlign w:val="bottom"/>
          </w:tcPr>
          <w:p>
            <w:pPr>
              <w:ind w:left="52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KGETS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KOREA, REPUBLIC OF</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Lianyou Metals Co., Ltd.*</w:t>
            </w:r>
          </w:p>
        </w:tc>
        <w:tc>
          <w:tcPr>
            <w:tcW w:w="3740" w:type="dxa"/>
            <w:vAlign w:val="bottom"/>
          </w:tcPr>
          <w:p>
            <w:pPr>
              <w:ind w:left="520"/>
              <w:spacing w:after="0"/>
              <w:rPr>
                <w:sz w:val="20"/>
                <w:szCs w:val="20"/>
                <w:color w:val="auto"/>
              </w:rPr>
            </w:pPr>
            <w:r>
              <w:rPr>
                <w:rFonts w:ascii="Arial" w:cs="Arial" w:eastAsia="Arial" w:hAnsi="Arial"/>
                <w:sz w:val="20"/>
                <w:szCs w:val="20"/>
                <w:color w:val="auto"/>
              </w:rPr>
              <w:t>TAIWAN, PROVINCE OF CHINA</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Malipo Haiyu Tungsten Co., Ltd.*</w:t>
            </w:r>
          </w:p>
        </w:tc>
        <w:tc>
          <w:tcPr>
            <w:tcW w:w="37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20"/>
                <w:szCs w:val="20"/>
                <w:color w:val="auto"/>
              </w:rPr>
              <w:t>CHINA</w:t>
            </w:r>
          </w:p>
        </w:tc>
      </w:tr>
      <w:tr>
        <w:trPr>
          <w:trHeight w:val="260"/>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5960" w:type="dxa"/>
            <w:vAlign w:val="bottom"/>
          </w:tcPr>
          <w:p>
            <w:pPr>
              <w:ind w:left="220"/>
              <w:spacing w:after="0"/>
              <w:rPr>
                <w:sz w:val="20"/>
                <w:szCs w:val="20"/>
                <w:color w:val="auto"/>
              </w:rPr>
            </w:pPr>
            <w:r>
              <w:rPr>
                <w:rFonts w:ascii="Arial" w:cs="Arial" w:eastAsia="Arial" w:hAnsi="Arial"/>
                <w:sz w:val="20"/>
                <w:szCs w:val="20"/>
                <w:color w:val="auto"/>
              </w:rPr>
              <w:t>Masan Tungsten Chemical LLC (MTC)*</w:t>
            </w:r>
          </w:p>
        </w:tc>
        <w:tc>
          <w:tcPr>
            <w:tcW w:w="3740" w:type="dxa"/>
            <w:vAlign w:val="bottom"/>
          </w:tcPr>
          <w:p>
            <w:pPr>
              <w:ind w:left="520"/>
              <w:spacing w:after="0"/>
              <w:rPr>
                <w:sz w:val="20"/>
                <w:szCs w:val="20"/>
                <w:color w:val="auto"/>
              </w:rPr>
            </w:pPr>
            <w:r>
              <w:rPr>
                <w:rFonts w:ascii="Arial" w:cs="Arial" w:eastAsia="Arial" w:hAnsi="Arial"/>
                <w:sz w:val="20"/>
                <w:szCs w:val="20"/>
                <w:color w:val="auto"/>
              </w:rPr>
              <w:t>VIET NAM</w:t>
            </w:r>
          </w:p>
        </w:tc>
      </w:tr>
      <w:tr>
        <w:trPr>
          <w:trHeight w:val="23"/>
        </w:trPr>
        <w:tc>
          <w:tcPr>
            <w:tcW w:w="10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0"/>
        </w:trPr>
        <w:tc>
          <w:tcPr>
            <w:tcW w:w="1080" w:type="dxa"/>
            <w:vAlign w:val="bottom"/>
            <w:shd w:val="clear" w:color="auto" w:fill="F2F2F2"/>
          </w:tcPr>
          <w:p>
            <w:pPr>
              <w:spacing w:after="0"/>
              <w:rPr>
                <w:sz w:val="20"/>
                <w:szCs w:val="20"/>
                <w:color w:val="auto"/>
              </w:rPr>
            </w:pPr>
            <w:r>
              <w:rPr>
                <w:rFonts w:ascii="Arial" w:cs="Arial" w:eastAsia="Arial" w:hAnsi="Arial"/>
                <w:sz w:val="20"/>
                <w:szCs w:val="20"/>
                <w:color w:val="auto"/>
              </w:rPr>
              <w:t>Tungsten</w:t>
            </w:r>
          </w:p>
        </w:tc>
        <w:tc>
          <w:tcPr>
            <w:tcW w:w="5960" w:type="dxa"/>
            <w:vAlign w:val="bottom"/>
            <w:shd w:val="clear" w:color="auto" w:fill="F2F2F2"/>
          </w:tcPr>
          <w:p>
            <w:pPr>
              <w:ind w:left="220"/>
              <w:spacing w:after="0"/>
              <w:rPr>
                <w:sz w:val="20"/>
                <w:szCs w:val="20"/>
                <w:color w:val="auto"/>
              </w:rPr>
            </w:pPr>
            <w:r>
              <w:rPr>
                <w:rFonts w:ascii="Arial" w:cs="Arial" w:eastAsia="Arial" w:hAnsi="Arial"/>
                <w:sz w:val="20"/>
                <w:szCs w:val="20"/>
                <w:color w:val="auto"/>
              </w:rPr>
              <w:t>Moliren Ltd.*</w:t>
            </w:r>
          </w:p>
        </w:tc>
        <w:tc>
          <w:tcPr>
            <w:tcW w:w="3740" w:type="dxa"/>
            <w:vAlign w:val="bottom"/>
            <w:shd w:val="clear" w:color="auto" w:fill="F2F2F2"/>
          </w:tcPr>
          <w:p>
            <w:pPr>
              <w:ind w:left="520"/>
              <w:spacing w:after="0"/>
              <w:rPr>
                <w:sz w:val="20"/>
                <w:szCs w:val="20"/>
                <w:color w:val="auto"/>
              </w:rPr>
            </w:pPr>
            <w:r>
              <w:rPr>
                <w:rFonts w:ascii="Arial" w:cs="Arial" w:eastAsia="Arial" w:hAnsi="Arial"/>
                <w:sz w:val="20"/>
                <w:szCs w:val="20"/>
                <w:color w:val="auto"/>
              </w:rPr>
              <w:t>RUSSIAN FEDERATION</w:t>
            </w:r>
          </w:p>
        </w:tc>
      </w:tr>
      <w:tr>
        <w:trPr>
          <w:trHeight w:val="23"/>
        </w:trPr>
        <w:tc>
          <w:tcPr>
            <w:tcW w:w="1080" w:type="dxa"/>
            <w:vAlign w:val="bottom"/>
            <w:shd w:val="clear" w:color="auto" w:fill="F2F2F2"/>
          </w:tcPr>
          <w:p>
            <w:pPr>
              <w:spacing w:after="0"/>
              <w:rPr>
                <w:sz w:val="2"/>
                <w:szCs w:val="2"/>
                <w:color w:val="auto"/>
              </w:rPr>
            </w:pPr>
          </w:p>
        </w:tc>
        <w:tc>
          <w:tcPr>
            <w:tcW w:w="5960" w:type="dxa"/>
            <w:vAlign w:val="bottom"/>
            <w:shd w:val="clear" w:color="auto" w:fill="F2F2F2"/>
          </w:tcPr>
          <w:p>
            <w:pPr>
              <w:spacing w:after="0"/>
              <w:rPr>
                <w:sz w:val="2"/>
                <w:szCs w:val="2"/>
                <w:color w:val="auto"/>
              </w:rPr>
            </w:pPr>
          </w:p>
        </w:tc>
        <w:tc>
          <w:tcPr>
            <w:tcW w:w="3740" w:type="dxa"/>
            <w:vAlign w:val="bottom"/>
            <w:shd w:val="clear" w:color="auto" w:fill="F2F2F2"/>
          </w:tcPr>
          <w:p>
            <w:pPr>
              <w:spacing w:after="0"/>
              <w:rPr>
                <w:sz w:val="2"/>
                <w:szCs w:val="2"/>
                <w:color w:val="auto"/>
              </w:rPr>
            </w:pPr>
          </w:p>
        </w:tc>
      </w:tr>
    </w:tbl>
    <w:p>
      <w:pPr>
        <w:sectPr>
          <w:pgSz w:w="11900" w:h="16838" w:orient="portrait"/>
          <w:cols w:equalWidth="0" w:num="1">
            <w:col w:w="10780"/>
          </w:cols>
          <w:pgMar w:left="560" w:top="1440" w:right="559" w:bottom="1440" w:gutter="0" w:footer="0" w:header="0"/>
        </w:sectPr>
      </w:pPr>
    </w:p>
    <w:bookmarkStart w:id="17" w:name="page18"/>
    <w:bookmarkEnd w:id="17"/>
    <w:p>
      <w:pPr>
        <w:spacing w:after="0" w:line="118" w:lineRule="exact"/>
        <w:rPr>
          <w:sz w:val="20"/>
          <w:szCs w:val="20"/>
          <w:color w:val="auto"/>
        </w:rPr>
      </w:pPr>
    </w:p>
    <w:tbl>
      <w:tblPr>
        <w:tblLayout w:type="fixed"/>
        <w:tblInd w:w="70" w:type="dxa"/>
        <w:tblCellMar>
          <w:top w:w="0" w:type="dxa"/>
          <w:left w:w="0" w:type="dxa"/>
          <w:bottom w:w="0" w:type="dxa"/>
          <w:right w:w="0" w:type="dxa"/>
        </w:tblCellMar>
      </w:tblPr>
      <w:tr>
        <w:trPr>
          <w:trHeight w:val="284"/>
        </w:trPr>
        <w:tc>
          <w:tcPr>
            <w:tcW w:w="1080" w:type="dxa"/>
            <w:vAlign w:val="bottom"/>
            <w:shd w:val="clear" w:color="auto" w:fill="AEAAAA"/>
          </w:tcPr>
          <w:p>
            <w:pPr>
              <w:ind w:left="380"/>
              <w:spacing w:after="0"/>
              <w:rPr>
                <w:sz w:val="20"/>
                <w:szCs w:val="20"/>
                <w:color w:val="auto"/>
              </w:rPr>
            </w:pPr>
            <w:r>
              <w:rPr>
                <w:rFonts w:ascii="Arial" w:cs="Arial" w:eastAsia="Arial" w:hAnsi="Arial"/>
                <w:sz w:val="20"/>
                <w:szCs w:val="20"/>
                <w:b w:val="1"/>
                <w:bCs w:val="1"/>
                <w:color w:val="auto"/>
              </w:rPr>
              <w:t>Metal</w:t>
            </w:r>
          </w:p>
        </w:tc>
        <w:tc>
          <w:tcPr>
            <w:tcW w:w="6020" w:type="dxa"/>
            <w:vAlign w:val="bottom"/>
            <w:shd w:val="clear" w:color="auto" w:fill="AEAAAA"/>
          </w:tcPr>
          <w:p>
            <w:pPr>
              <w:ind w:left="2740"/>
              <w:spacing w:after="0"/>
              <w:rPr>
                <w:sz w:val="20"/>
                <w:szCs w:val="20"/>
                <w:color w:val="auto"/>
              </w:rPr>
            </w:pPr>
            <w:r>
              <w:rPr>
                <w:rFonts w:ascii="Arial" w:cs="Arial" w:eastAsia="Arial" w:hAnsi="Arial"/>
                <w:sz w:val="20"/>
                <w:szCs w:val="20"/>
                <w:b w:val="1"/>
                <w:bCs w:val="1"/>
                <w:color w:val="auto"/>
              </w:rPr>
              <w:t>Smelter Name</w:t>
            </w:r>
          </w:p>
        </w:tc>
        <w:tc>
          <w:tcPr>
            <w:tcW w:w="3680" w:type="dxa"/>
            <w:vAlign w:val="bottom"/>
            <w:shd w:val="clear" w:color="auto" w:fill="AEAAAA"/>
          </w:tcPr>
          <w:p>
            <w:pPr>
              <w:ind w:left="1700"/>
              <w:spacing w:after="0"/>
              <w:rPr>
                <w:sz w:val="20"/>
                <w:szCs w:val="20"/>
                <w:color w:val="auto"/>
              </w:rPr>
            </w:pPr>
            <w:r>
              <w:rPr>
                <w:rFonts w:ascii="Arial" w:cs="Arial" w:eastAsia="Arial" w:hAnsi="Arial"/>
                <w:sz w:val="20"/>
                <w:szCs w:val="20"/>
                <w:b w:val="1"/>
                <w:bCs w:val="1"/>
                <w:color w:val="auto"/>
              </w:rPr>
              <w:t>Country</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6020" w:type="dxa"/>
            <w:vAlign w:val="bottom"/>
          </w:tcPr>
          <w:p>
            <w:pPr>
              <w:ind w:left="220"/>
              <w:spacing w:after="0"/>
              <w:rPr>
                <w:sz w:val="20"/>
                <w:szCs w:val="20"/>
                <w:color w:val="auto"/>
              </w:rPr>
            </w:pPr>
            <w:r>
              <w:rPr>
                <w:rFonts w:ascii="Arial" w:cs="Arial" w:eastAsia="Arial" w:hAnsi="Arial"/>
                <w:sz w:val="20"/>
                <w:szCs w:val="20"/>
                <w:color w:val="auto"/>
              </w:rPr>
              <w:t>Niagara Refining LLC*</w:t>
            </w:r>
          </w:p>
        </w:tc>
        <w:tc>
          <w:tcPr>
            <w:tcW w:w="3680" w:type="dxa"/>
            <w:vAlign w:val="bottom"/>
          </w:tcPr>
          <w:p>
            <w:pPr>
              <w:ind w:left="460"/>
              <w:spacing w:after="0"/>
              <w:rPr>
                <w:sz w:val="20"/>
                <w:szCs w:val="20"/>
                <w:color w:val="auto"/>
              </w:rPr>
            </w:pPr>
            <w:r>
              <w:rPr>
                <w:rFonts w:ascii="Arial" w:cs="Arial" w:eastAsia="Arial" w:hAnsi="Arial"/>
                <w:sz w:val="20"/>
                <w:szCs w:val="20"/>
                <w:color w:val="auto"/>
              </w:rPr>
              <w:t>UNITED STATES OF AMERICA</w:t>
            </w:r>
          </w:p>
        </w:tc>
      </w:tr>
      <w:tr>
        <w:trPr>
          <w:trHeight w:val="23"/>
        </w:trPr>
        <w:tc>
          <w:tcPr>
            <w:tcW w:w="10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6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Philippine Chuangxin Industrial Co., Inc.*</w:t>
            </w:r>
          </w:p>
        </w:tc>
        <w:tc>
          <w:tcPr>
            <w:tcW w:w="368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20"/>
                <w:szCs w:val="20"/>
                <w:color w:val="auto"/>
              </w:rPr>
              <w:t>PHILIPPINES</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6020" w:type="dxa"/>
            <w:vAlign w:val="bottom"/>
          </w:tcPr>
          <w:p>
            <w:pPr>
              <w:ind w:left="220"/>
              <w:spacing w:after="0"/>
              <w:rPr>
                <w:sz w:val="20"/>
                <w:szCs w:val="20"/>
                <w:color w:val="auto"/>
              </w:rPr>
            </w:pPr>
            <w:r>
              <w:rPr>
                <w:rFonts w:ascii="Arial" w:cs="Arial" w:eastAsia="Arial" w:hAnsi="Arial"/>
                <w:sz w:val="20"/>
                <w:szCs w:val="20"/>
                <w:color w:val="auto"/>
              </w:rPr>
              <w:t>Tejing (Vietnam) Tungsten Co., Ltd.*</w:t>
            </w:r>
          </w:p>
        </w:tc>
        <w:tc>
          <w:tcPr>
            <w:tcW w:w="3680" w:type="dxa"/>
            <w:vAlign w:val="bottom"/>
          </w:tcPr>
          <w:p>
            <w:pPr>
              <w:ind w:left="460"/>
              <w:spacing w:after="0"/>
              <w:rPr>
                <w:sz w:val="20"/>
                <w:szCs w:val="20"/>
                <w:color w:val="auto"/>
              </w:rPr>
            </w:pPr>
            <w:r>
              <w:rPr>
                <w:rFonts w:ascii="Arial" w:cs="Arial" w:eastAsia="Arial" w:hAnsi="Arial"/>
                <w:sz w:val="20"/>
                <w:szCs w:val="20"/>
                <w:color w:val="auto"/>
              </w:rPr>
              <w:t>VIET NAM</w:t>
            </w:r>
          </w:p>
        </w:tc>
      </w:tr>
      <w:tr>
        <w:trPr>
          <w:trHeight w:val="23"/>
        </w:trPr>
        <w:tc>
          <w:tcPr>
            <w:tcW w:w="10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6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Unecha Refractory metals plant*</w:t>
            </w:r>
          </w:p>
        </w:tc>
        <w:tc>
          <w:tcPr>
            <w:tcW w:w="368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20"/>
                <w:szCs w:val="20"/>
                <w:color w:val="auto"/>
              </w:rPr>
              <w:t>RUSSIAN FEDERATION</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6020" w:type="dxa"/>
            <w:vAlign w:val="bottom"/>
          </w:tcPr>
          <w:p>
            <w:pPr>
              <w:ind w:left="220"/>
              <w:spacing w:after="0"/>
              <w:rPr>
                <w:sz w:val="20"/>
                <w:szCs w:val="20"/>
                <w:color w:val="auto"/>
              </w:rPr>
            </w:pPr>
            <w:r>
              <w:rPr>
                <w:rFonts w:ascii="Arial" w:cs="Arial" w:eastAsia="Arial" w:hAnsi="Arial"/>
                <w:sz w:val="20"/>
                <w:szCs w:val="20"/>
                <w:color w:val="auto"/>
              </w:rPr>
              <w:t>Wolfram Bergbau und Hutten AG*</w:t>
            </w:r>
          </w:p>
        </w:tc>
        <w:tc>
          <w:tcPr>
            <w:tcW w:w="3680" w:type="dxa"/>
            <w:vAlign w:val="bottom"/>
          </w:tcPr>
          <w:p>
            <w:pPr>
              <w:ind w:left="460"/>
              <w:spacing w:after="0"/>
              <w:rPr>
                <w:sz w:val="20"/>
                <w:szCs w:val="20"/>
                <w:color w:val="auto"/>
              </w:rPr>
            </w:pPr>
            <w:r>
              <w:rPr>
                <w:rFonts w:ascii="Arial" w:cs="Arial" w:eastAsia="Arial" w:hAnsi="Arial"/>
                <w:sz w:val="20"/>
                <w:szCs w:val="20"/>
                <w:color w:val="auto"/>
              </w:rPr>
              <w:t>AUSTRIA</w:t>
            </w:r>
          </w:p>
        </w:tc>
      </w:tr>
      <w:tr>
        <w:trPr>
          <w:trHeight w:val="23"/>
        </w:trPr>
        <w:tc>
          <w:tcPr>
            <w:tcW w:w="10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6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Woltech Korea Co., Ltd.*</w:t>
            </w:r>
          </w:p>
        </w:tc>
        <w:tc>
          <w:tcPr>
            <w:tcW w:w="368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20"/>
                <w:szCs w:val="20"/>
                <w:color w:val="auto"/>
              </w:rPr>
              <w:t>KOREA, REPUBLIC OF</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6020" w:type="dxa"/>
            <w:vAlign w:val="bottom"/>
          </w:tcPr>
          <w:p>
            <w:pPr>
              <w:ind w:left="220"/>
              <w:spacing w:after="0"/>
              <w:rPr>
                <w:sz w:val="20"/>
                <w:szCs w:val="20"/>
                <w:color w:val="auto"/>
              </w:rPr>
            </w:pPr>
            <w:r>
              <w:rPr>
                <w:rFonts w:ascii="Arial" w:cs="Arial" w:eastAsia="Arial" w:hAnsi="Arial"/>
                <w:sz w:val="20"/>
                <w:szCs w:val="20"/>
                <w:color w:val="auto"/>
              </w:rPr>
              <w:t>Xiamen Tungsten (H.C.) Co., Ltd.*</w:t>
            </w:r>
          </w:p>
        </w:tc>
        <w:tc>
          <w:tcPr>
            <w:tcW w:w="3680" w:type="dxa"/>
            <w:vAlign w:val="bottom"/>
          </w:tcPr>
          <w:p>
            <w:pPr>
              <w:ind w:left="4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3"/>
        </w:trPr>
        <w:tc>
          <w:tcPr>
            <w:tcW w:w="10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20"/>
                <w:szCs w:val="20"/>
                <w:color w:val="auto"/>
              </w:rPr>
              <w:t>Tungsten</w:t>
            </w:r>
          </w:p>
        </w:tc>
        <w:tc>
          <w:tcPr>
            <w:tcW w:w="60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Xiamen Tungsten Co., Ltd.*</w:t>
            </w:r>
          </w:p>
        </w:tc>
        <w:tc>
          <w:tcPr>
            <w:tcW w:w="368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20"/>
                <w:szCs w:val="20"/>
                <w:color w:val="auto"/>
              </w:rPr>
              <w:t>CHINA</w:t>
            </w:r>
          </w:p>
        </w:tc>
      </w:tr>
      <w:tr>
        <w:trPr>
          <w:trHeight w:val="261"/>
        </w:trPr>
        <w:tc>
          <w:tcPr>
            <w:tcW w:w="1080" w:type="dxa"/>
            <w:vAlign w:val="bottom"/>
          </w:tcPr>
          <w:p>
            <w:pPr>
              <w:spacing w:after="0"/>
              <w:rPr>
                <w:sz w:val="20"/>
                <w:szCs w:val="20"/>
                <w:color w:val="auto"/>
              </w:rPr>
            </w:pPr>
            <w:r>
              <w:rPr>
                <w:rFonts w:ascii="Arial" w:cs="Arial" w:eastAsia="Arial" w:hAnsi="Arial"/>
                <w:sz w:val="20"/>
                <w:szCs w:val="20"/>
                <w:color w:val="auto"/>
              </w:rPr>
              <w:t>Tungsten</w:t>
            </w:r>
          </w:p>
        </w:tc>
        <w:tc>
          <w:tcPr>
            <w:tcW w:w="6020" w:type="dxa"/>
            <w:vAlign w:val="bottom"/>
          </w:tcPr>
          <w:p>
            <w:pPr>
              <w:ind w:left="220"/>
              <w:spacing w:after="0"/>
              <w:rPr>
                <w:sz w:val="20"/>
                <w:szCs w:val="20"/>
                <w:color w:val="auto"/>
              </w:rPr>
            </w:pPr>
            <w:r>
              <w:rPr>
                <w:rFonts w:ascii="Arial" w:cs="Arial" w:eastAsia="Arial" w:hAnsi="Arial"/>
                <w:sz w:val="20"/>
                <w:szCs w:val="20"/>
                <w:color w:val="auto"/>
              </w:rPr>
              <w:t>Xinfeng Huarui Tungsten &amp; Molybdenum New Material Co., Ltd.*</w:t>
            </w:r>
          </w:p>
        </w:tc>
        <w:tc>
          <w:tcPr>
            <w:tcW w:w="3680" w:type="dxa"/>
            <w:vAlign w:val="bottom"/>
          </w:tcPr>
          <w:p>
            <w:pPr>
              <w:ind w:left="4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1"/>
        </w:trPr>
        <w:tc>
          <w:tcPr>
            <w:tcW w:w="1080" w:type="dxa"/>
            <w:vAlign w:val="bottom"/>
            <w:shd w:val="clear" w:color="auto" w:fill="F2F2F2"/>
          </w:tcPr>
          <w:p>
            <w:pPr>
              <w:spacing w:after="0"/>
              <w:rPr>
                <w:sz w:val="20"/>
                <w:szCs w:val="20"/>
                <w:color w:val="auto"/>
              </w:rPr>
            </w:pPr>
            <w:r>
              <w:rPr>
                <w:rFonts w:ascii="Arial" w:cs="Arial" w:eastAsia="Arial" w:hAnsi="Arial"/>
                <w:sz w:val="20"/>
                <w:szCs w:val="20"/>
                <w:color w:val="auto"/>
              </w:rPr>
              <w:t>Tungsten</w:t>
            </w:r>
          </w:p>
        </w:tc>
        <w:tc>
          <w:tcPr>
            <w:tcW w:w="6020" w:type="dxa"/>
            <w:vAlign w:val="bottom"/>
            <w:shd w:val="clear" w:color="auto" w:fill="F2F2F2"/>
          </w:tcPr>
          <w:p>
            <w:pPr>
              <w:ind w:left="220"/>
              <w:spacing w:after="0"/>
              <w:rPr>
                <w:sz w:val="20"/>
                <w:szCs w:val="20"/>
                <w:color w:val="auto"/>
              </w:rPr>
            </w:pPr>
            <w:r>
              <w:rPr>
                <w:rFonts w:ascii="Arial" w:cs="Arial" w:eastAsia="Arial" w:hAnsi="Arial"/>
                <w:sz w:val="20"/>
                <w:szCs w:val="20"/>
                <w:color w:val="auto"/>
              </w:rPr>
              <w:t>Xinhai Rendan Shaoguan Tungsten Co., Ltd.*</w:t>
            </w:r>
          </w:p>
        </w:tc>
        <w:tc>
          <w:tcPr>
            <w:tcW w:w="3680" w:type="dxa"/>
            <w:vAlign w:val="bottom"/>
            <w:shd w:val="clear" w:color="auto" w:fill="F2F2F2"/>
          </w:tcPr>
          <w:p>
            <w:pPr>
              <w:ind w:left="460"/>
              <w:spacing w:after="0"/>
              <w:rPr>
                <w:sz w:val="20"/>
                <w:szCs w:val="20"/>
                <w:color w:val="auto"/>
              </w:rPr>
            </w:pPr>
            <w:r>
              <w:rPr>
                <w:rFonts w:ascii="Arial" w:cs="Arial" w:eastAsia="Arial" w:hAnsi="Arial"/>
                <w:sz w:val="20"/>
                <w:szCs w:val="20"/>
                <w:color w:val="auto"/>
              </w:rPr>
              <w:t>CHINA</w:t>
            </w:r>
          </w:p>
        </w:tc>
      </w:tr>
      <w:tr>
        <w:trPr>
          <w:trHeight w:val="23"/>
        </w:trPr>
        <w:tc>
          <w:tcPr>
            <w:tcW w:w="1080" w:type="dxa"/>
            <w:vAlign w:val="bottom"/>
            <w:shd w:val="clear" w:color="auto" w:fill="F2F2F2"/>
          </w:tcPr>
          <w:p>
            <w:pPr>
              <w:spacing w:after="0"/>
              <w:rPr>
                <w:sz w:val="2"/>
                <w:szCs w:val="2"/>
                <w:color w:val="auto"/>
              </w:rPr>
            </w:pPr>
          </w:p>
        </w:tc>
        <w:tc>
          <w:tcPr>
            <w:tcW w:w="6020" w:type="dxa"/>
            <w:vAlign w:val="bottom"/>
            <w:shd w:val="clear" w:color="auto" w:fill="F2F2F2"/>
          </w:tcPr>
          <w:p>
            <w:pPr>
              <w:spacing w:after="0"/>
              <w:rPr>
                <w:sz w:val="2"/>
                <w:szCs w:val="2"/>
                <w:color w:val="auto"/>
              </w:rPr>
            </w:pPr>
          </w:p>
        </w:tc>
        <w:tc>
          <w:tcPr>
            <w:tcW w:w="3680" w:type="dxa"/>
            <w:vAlign w:val="bottom"/>
            <w:shd w:val="clear" w:color="auto" w:fill="F2F2F2"/>
          </w:tcPr>
          <w:p>
            <w:pPr>
              <w:spacing w:after="0"/>
              <w:rPr>
                <w:sz w:val="2"/>
                <w:szCs w:val="2"/>
                <w:color w:val="auto"/>
              </w:rPr>
            </w:pPr>
          </w:p>
        </w:tc>
      </w:tr>
    </w:tbl>
    <w:p>
      <w:pPr>
        <w:spacing w:after="0" w:line="58" w:lineRule="exact"/>
        <w:rPr>
          <w:sz w:val="20"/>
          <w:szCs w:val="20"/>
          <w:color w:val="auto"/>
        </w:rPr>
      </w:pPr>
    </w:p>
    <w:p>
      <w:pPr>
        <w:ind w:left="10" w:right="4700" w:hanging="10"/>
        <w:spacing w:after="0" w:line="329" w:lineRule="auto"/>
        <w:tabs>
          <w:tab w:leader="none" w:pos="131" w:val="left"/>
        </w:tabs>
        <w:numPr>
          <w:ilvl w:val="0"/>
          <w:numId w:val="8"/>
        </w:numPr>
        <w:rPr>
          <w:rFonts w:ascii="Arial" w:cs="Arial" w:eastAsia="Arial" w:hAnsi="Arial"/>
          <w:sz w:val="14"/>
          <w:szCs w:val="14"/>
          <w:color w:val="auto"/>
        </w:rPr>
      </w:pPr>
      <w:r>
        <w:rPr>
          <w:rFonts w:ascii="Arial" w:cs="Arial" w:eastAsia="Arial" w:hAnsi="Arial"/>
          <w:sz w:val="14"/>
          <w:szCs w:val="14"/>
          <w:color w:val="auto"/>
        </w:rPr>
        <w:t>Smelter name included in the RMAP Conformant Smelters and Refiners as of April 23, 2020 ** Smelter name included in the RMI Active Smelters and Refiners List as of April 23, 2020</w:t>
      </w:r>
    </w:p>
    <w:p>
      <w:pPr>
        <w:sectPr>
          <w:pgSz w:w="11900" w:h="16838" w:orient="portrait"/>
          <w:cols w:equalWidth="0" w:num="1">
            <w:col w:w="10850"/>
          </w:cols>
          <w:pgMar w:left="490" w:top="1440" w:right="5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6"/>
        </w:trPr>
        <w:tc>
          <w:tcPr>
            <w:tcW w:w="4580" w:type="dxa"/>
            <w:vAlign w:val="bottom"/>
            <w:gridSpan w:val="2"/>
          </w:tcPr>
          <w:p>
            <w:pPr>
              <w:spacing w:after="0"/>
              <w:rPr>
                <w:sz w:val="20"/>
                <w:szCs w:val="20"/>
                <w:color w:val="auto"/>
              </w:rPr>
            </w:pPr>
            <w:r>
              <w:rPr>
                <w:rFonts w:ascii="Arial" w:cs="Arial" w:eastAsia="Arial" w:hAnsi="Arial"/>
                <w:sz w:val="20"/>
                <w:szCs w:val="20"/>
                <w:b w:val="1"/>
                <w:bCs w:val="1"/>
                <w:color w:val="auto"/>
              </w:rPr>
              <w:t>ANNEX II</w:t>
            </w:r>
          </w:p>
        </w:tc>
        <w:tc>
          <w:tcPr>
            <w:tcW w:w="6340" w:type="dxa"/>
            <w:vAlign w:val="bottom"/>
          </w:tcPr>
          <w:p>
            <w:pPr>
              <w:spacing w:after="0"/>
              <w:rPr>
                <w:sz w:val="22"/>
                <w:szCs w:val="22"/>
                <w:color w:val="auto"/>
              </w:rPr>
            </w:pPr>
          </w:p>
        </w:tc>
      </w:tr>
      <w:tr>
        <w:trPr>
          <w:trHeight w:val="378"/>
        </w:trPr>
        <w:tc>
          <w:tcPr>
            <w:tcW w:w="34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Argentina</w:t>
            </w:r>
          </w:p>
        </w:tc>
        <w:tc>
          <w:tcPr>
            <w:tcW w:w="6340" w:type="dxa"/>
            <w:vAlign w:val="bottom"/>
          </w:tcPr>
          <w:p>
            <w:pPr>
              <w:ind w:left="1400"/>
              <w:spacing w:after="0"/>
              <w:rPr>
                <w:sz w:val="20"/>
                <w:szCs w:val="20"/>
                <w:color w:val="auto"/>
              </w:rPr>
            </w:pPr>
            <w:r>
              <w:rPr>
                <w:rFonts w:ascii="Arial" w:cs="Arial" w:eastAsia="Arial" w:hAnsi="Arial"/>
                <w:sz w:val="20"/>
                <w:szCs w:val="20"/>
                <w:color w:val="auto"/>
              </w:rPr>
              <w:t>Macau</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Armenia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Madagascar</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Australia</w:t>
            </w:r>
          </w:p>
        </w:tc>
        <w:tc>
          <w:tcPr>
            <w:tcW w:w="6340" w:type="dxa"/>
            <w:vAlign w:val="bottom"/>
          </w:tcPr>
          <w:p>
            <w:pPr>
              <w:ind w:left="1400"/>
              <w:spacing w:after="0"/>
              <w:rPr>
                <w:sz w:val="20"/>
                <w:szCs w:val="20"/>
                <w:color w:val="auto"/>
              </w:rPr>
            </w:pPr>
            <w:r>
              <w:rPr>
                <w:rFonts w:ascii="Arial" w:cs="Arial" w:eastAsia="Arial" w:hAnsi="Arial"/>
                <w:sz w:val="20"/>
                <w:szCs w:val="20"/>
                <w:color w:val="auto"/>
              </w:rPr>
              <w:t>Malaysia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Austria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Mali</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Azerbaijan</w:t>
            </w:r>
          </w:p>
        </w:tc>
        <w:tc>
          <w:tcPr>
            <w:tcW w:w="6340" w:type="dxa"/>
            <w:vAlign w:val="bottom"/>
          </w:tcPr>
          <w:p>
            <w:pPr>
              <w:ind w:left="1400"/>
              <w:spacing w:after="0"/>
              <w:rPr>
                <w:sz w:val="20"/>
                <w:szCs w:val="20"/>
                <w:color w:val="auto"/>
              </w:rPr>
            </w:pPr>
            <w:r>
              <w:rPr>
                <w:rFonts w:ascii="Arial" w:cs="Arial" w:eastAsia="Arial" w:hAnsi="Arial"/>
                <w:sz w:val="20"/>
                <w:szCs w:val="20"/>
                <w:color w:val="auto"/>
              </w:rPr>
              <w:t>Malta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Belgium</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Mauritania</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Benin</w:t>
            </w:r>
          </w:p>
        </w:tc>
        <w:tc>
          <w:tcPr>
            <w:tcW w:w="6340" w:type="dxa"/>
            <w:vAlign w:val="bottom"/>
          </w:tcPr>
          <w:p>
            <w:pPr>
              <w:ind w:left="1400"/>
              <w:spacing w:after="0"/>
              <w:rPr>
                <w:sz w:val="20"/>
                <w:szCs w:val="20"/>
                <w:color w:val="auto"/>
              </w:rPr>
            </w:pPr>
            <w:r>
              <w:rPr>
                <w:rFonts w:ascii="Arial" w:cs="Arial" w:eastAsia="Arial" w:hAnsi="Arial"/>
                <w:sz w:val="20"/>
                <w:szCs w:val="20"/>
                <w:color w:val="auto"/>
              </w:rPr>
              <w:t>Mauritius</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Bolivia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Mexico</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Bolivia (Plurinational State of)</w:t>
            </w:r>
          </w:p>
        </w:tc>
        <w:tc>
          <w:tcPr>
            <w:tcW w:w="6340" w:type="dxa"/>
            <w:vAlign w:val="bottom"/>
          </w:tcPr>
          <w:p>
            <w:pPr>
              <w:ind w:left="1400"/>
              <w:spacing w:after="0"/>
              <w:rPr>
                <w:sz w:val="20"/>
                <w:szCs w:val="20"/>
                <w:color w:val="auto"/>
              </w:rPr>
            </w:pPr>
            <w:r>
              <w:rPr>
                <w:rFonts w:ascii="Arial" w:cs="Arial" w:eastAsia="Arial" w:hAnsi="Arial"/>
                <w:sz w:val="20"/>
                <w:szCs w:val="20"/>
                <w:color w:val="auto"/>
              </w:rPr>
              <w:t>Mongolia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Botswana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Morocco</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Brazil</w:t>
            </w:r>
          </w:p>
        </w:tc>
        <w:tc>
          <w:tcPr>
            <w:tcW w:w="6340" w:type="dxa"/>
            <w:vAlign w:val="bottom"/>
          </w:tcPr>
          <w:p>
            <w:pPr>
              <w:ind w:left="1400"/>
              <w:spacing w:after="0"/>
              <w:rPr>
                <w:sz w:val="20"/>
                <w:szCs w:val="20"/>
                <w:color w:val="auto"/>
              </w:rPr>
            </w:pPr>
            <w:r>
              <w:rPr>
                <w:rFonts w:ascii="Arial" w:cs="Arial" w:eastAsia="Arial" w:hAnsi="Arial"/>
                <w:sz w:val="20"/>
                <w:szCs w:val="20"/>
                <w:color w:val="auto"/>
              </w:rPr>
              <w:t>Mozambique</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Brunei</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Myanmar</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Bulgaria</w:t>
            </w:r>
          </w:p>
        </w:tc>
        <w:tc>
          <w:tcPr>
            <w:tcW w:w="6340" w:type="dxa"/>
            <w:vAlign w:val="bottom"/>
          </w:tcPr>
          <w:p>
            <w:pPr>
              <w:ind w:left="1400"/>
              <w:spacing w:after="0"/>
              <w:rPr>
                <w:sz w:val="20"/>
                <w:szCs w:val="20"/>
                <w:color w:val="auto"/>
              </w:rPr>
            </w:pPr>
            <w:r>
              <w:rPr>
                <w:rFonts w:ascii="Arial" w:cs="Arial" w:eastAsia="Arial" w:hAnsi="Arial"/>
                <w:sz w:val="20"/>
                <w:szCs w:val="20"/>
                <w:color w:val="auto"/>
              </w:rPr>
              <w:t>Namibia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Burkina Faso</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Netherlands</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Burundi</w:t>
            </w:r>
          </w:p>
        </w:tc>
        <w:tc>
          <w:tcPr>
            <w:tcW w:w="6340" w:type="dxa"/>
            <w:vAlign w:val="bottom"/>
          </w:tcPr>
          <w:p>
            <w:pPr>
              <w:ind w:left="1400"/>
              <w:spacing w:after="0"/>
              <w:rPr>
                <w:sz w:val="20"/>
                <w:szCs w:val="20"/>
                <w:color w:val="auto"/>
              </w:rPr>
            </w:pPr>
            <w:r>
              <w:rPr>
                <w:rFonts w:ascii="Arial" w:cs="Arial" w:eastAsia="Arial" w:hAnsi="Arial"/>
                <w:sz w:val="20"/>
                <w:szCs w:val="20"/>
                <w:color w:val="auto"/>
              </w:rPr>
              <w:t>New Caledonia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Cameroon</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New Zealand</w:t>
            </w:r>
          </w:p>
        </w:tc>
      </w:tr>
      <w:tr>
        <w:trPr>
          <w:trHeight w:val="261"/>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Canada</w:t>
            </w:r>
          </w:p>
        </w:tc>
        <w:tc>
          <w:tcPr>
            <w:tcW w:w="6340" w:type="dxa"/>
            <w:vAlign w:val="bottom"/>
          </w:tcPr>
          <w:p>
            <w:pPr>
              <w:ind w:left="1400"/>
              <w:spacing w:after="0"/>
              <w:rPr>
                <w:sz w:val="20"/>
                <w:szCs w:val="20"/>
                <w:color w:val="auto"/>
              </w:rPr>
            </w:pPr>
            <w:r>
              <w:rPr>
                <w:rFonts w:ascii="Arial" w:cs="Arial" w:eastAsia="Arial" w:hAnsi="Arial"/>
                <w:sz w:val="20"/>
                <w:szCs w:val="20"/>
                <w:color w:val="auto"/>
              </w:rPr>
              <w:t>Nicaragua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Chile</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Niger</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China</w:t>
            </w:r>
          </w:p>
        </w:tc>
        <w:tc>
          <w:tcPr>
            <w:tcW w:w="6340" w:type="dxa"/>
            <w:vAlign w:val="bottom"/>
          </w:tcPr>
          <w:p>
            <w:pPr>
              <w:ind w:left="1400"/>
              <w:spacing w:after="0"/>
              <w:rPr>
                <w:sz w:val="20"/>
                <w:szCs w:val="20"/>
                <w:color w:val="auto"/>
              </w:rPr>
            </w:pPr>
            <w:r>
              <w:rPr>
                <w:rFonts w:ascii="Arial" w:cs="Arial" w:eastAsia="Arial" w:hAnsi="Arial"/>
                <w:sz w:val="20"/>
                <w:szCs w:val="20"/>
                <w:color w:val="auto"/>
              </w:rPr>
              <w:t>Nigeria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Colombia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Norway</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Congo, Democratic Republic of the</w:t>
            </w:r>
          </w:p>
        </w:tc>
        <w:tc>
          <w:tcPr>
            <w:tcW w:w="6340" w:type="dxa"/>
            <w:vAlign w:val="bottom"/>
          </w:tcPr>
          <w:p>
            <w:pPr>
              <w:ind w:left="1400"/>
              <w:spacing w:after="0"/>
              <w:rPr>
                <w:sz w:val="20"/>
                <w:szCs w:val="20"/>
                <w:color w:val="auto"/>
              </w:rPr>
            </w:pPr>
            <w:r>
              <w:rPr>
                <w:rFonts w:ascii="Arial" w:cs="Arial" w:eastAsia="Arial" w:hAnsi="Arial"/>
                <w:sz w:val="20"/>
                <w:szCs w:val="20"/>
                <w:color w:val="auto"/>
              </w:rPr>
              <w:t>Pakistan</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Croatia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Panama</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Cuba</w:t>
            </w:r>
          </w:p>
        </w:tc>
        <w:tc>
          <w:tcPr>
            <w:tcW w:w="6340" w:type="dxa"/>
            <w:vAlign w:val="bottom"/>
          </w:tcPr>
          <w:p>
            <w:pPr>
              <w:ind w:left="1400"/>
              <w:spacing w:after="0"/>
              <w:rPr>
                <w:sz w:val="20"/>
                <w:szCs w:val="20"/>
                <w:color w:val="auto"/>
              </w:rPr>
            </w:pPr>
            <w:r>
              <w:rPr>
                <w:rFonts w:ascii="Arial" w:cs="Arial" w:eastAsia="Arial" w:hAnsi="Arial"/>
                <w:sz w:val="20"/>
                <w:szCs w:val="20"/>
                <w:color w:val="auto"/>
              </w:rPr>
              <w:t>Papua New Guinea</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Cyprus</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Paraguay</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Czech Republic</w:t>
            </w:r>
          </w:p>
        </w:tc>
        <w:tc>
          <w:tcPr>
            <w:tcW w:w="6340" w:type="dxa"/>
            <w:vAlign w:val="bottom"/>
          </w:tcPr>
          <w:p>
            <w:pPr>
              <w:ind w:left="1400"/>
              <w:spacing w:after="0"/>
              <w:rPr>
                <w:sz w:val="20"/>
                <w:szCs w:val="20"/>
                <w:color w:val="auto"/>
              </w:rPr>
            </w:pPr>
            <w:r>
              <w:rPr>
                <w:rFonts w:ascii="Arial" w:cs="Arial" w:eastAsia="Arial" w:hAnsi="Arial"/>
                <w:sz w:val="20"/>
                <w:szCs w:val="20"/>
                <w:color w:val="auto"/>
              </w:rPr>
              <w:t>Peru</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Denmark</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Philippines</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Ecuador</w:t>
            </w:r>
          </w:p>
        </w:tc>
        <w:tc>
          <w:tcPr>
            <w:tcW w:w="6340" w:type="dxa"/>
            <w:vAlign w:val="bottom"/>
          </w:tcPr>
          <w:p>
            <w:pPr>
              <w:ind w:left="1400"/>
              <w:spacing w:after="0"/>
              <w:rPr>
                <w:sz w:val="20"/>
                <w:szCs w:val="20"/>
                <w:color w:val="auto"/>
              </w:rPr>
            </w:pPr>
            <w:r>
              <w:rPr>
                <w:rFonts w:ascii="Arial" w:cs="Arial" w:eastAsia="Arial" w:hAnsi="Arial"/>
                <w:sz w:val="20"/>
                <w:szCs w:val="20"/>
                <w:color w:val="auto"/>
              </w:rPr>
              <w:t>Poland</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Egypt</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Portugal</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El Salvador</w:t>
            </w:r>
          </w:p>
        </w:tc>
        <w:tc>
          <w:tcPr>
            <w:tcW w:w="6340" w:type="dxa"/>
            <w:vAlign w:val="bottom"/>
          </w:tcPr>
          <w:p>
            <w:pPr>
              <w:ind w:left="1400"/>
              <w:spacing w:after="0"/>
              <w:rPr>
                <w:sz w:val="20"/>
                <w:szCs w:val="20"/>
                <w:color w:val="auto"/>
              </w:rPr>
            </w:pPr>
            <w:r>
              <w:rPr>
                <w:rFonts w:ascii="Arial" w:cs="Arial" w:eastAsia="Arial" w:hAnsi="Arial"/>
                <w:sz w:val="20"/>
                <w:szCs w:val="20"/>
                <w:color w:val="auto"/>
              </w:rPr>
              <w:t>Puerto Rico</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Eritrea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Romania</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Estonia</w:t>
            </w:r>
          </w:p>
        </w:tc>
        <w:tc>
          <w:tcPr>
            <w:tcW w:w="6340" w:type="dxa"/>
            <w:vAlign w:val="bottom"/>
          </w:tcPr>
          <w:p>
            <w:pPr>
              <w:ind w:left="1400"/>
              <w:spacing w:after="0"/>
              <w:rPr>
                <w:sz w:val="20"/>
                <w:szCs w:val="20"/>
                <w:color w:val="auto"/>
              </w:rPr>
            </w:pPr>
            <w:r>
              <w:rPr>
                <w:rFonts w:ascii="Arial" w:cs="Arial" w:eastAsia="Arial" w:hAnsi="Arial"/>
                <w:sz w:val="20"/>
                <w:szCs w:val="20"/>
                <w:color w:val="auto"/>
              </w:rPr>
              <w:t>Russian Federation</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3"/>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Ethiopia</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Rwanda</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Fiji</w:t>
            </w:r>
          </w:p>
        </w:tc>
        <w:tc>
          <w:tcPr>
            <w:tcW w:w="6340" w:type="dxa"/>
            <w:vAlign w:val="bottom"/>
          </w:tcPr>
          <w:p>
            <w:pPr>
              <w:ind w:left="1400"/>
              <w:spacing w:after="0"/>
              <w:rPr>
                <w:sz w:val="20"/>
                <w:szCs w:val="20"/>
                <w:color w:val="auto"/>
              </w:rPr>
            </w:pPr>
            <w:r>
              <w:rPr>
                <w:rFonts w:ascii="Arial" w:cs="Arial" w:eastAsia="Arial" w:hAnsi="Arial"/>
                <w:sz w:val="20"/>
                <w:szCs w:val="20"/>
                <w:color w:val="auto"/>
              </w:rPr>
              <w:t>San Marino</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Finland</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Saudi Arabia</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France</w:t>
            </w:r>
          </w:p>
        </w:tc>
        <w:tc>
          <w:tcPr>
            <w:tcW w:w="6340" w:type="dxa"/>
            <w:vAlign w:val="bottom"/>
          </w:tcPr>
          <w:p>
            <w:pPr>
              <w:ind w:left="1400"/>
              <w:spacing w:after="0"/>
              <w:rPr>
                <w:sz w:val="20"/>
                <w:szCs w:val="20"/>
                <w:color w:val="auto"/>
              </w:rPr>
            </w:pPr>
            <w:r>
              <w:rPr>
                <w:rFonts w:ascii="Arial" w:cs="Arial" w:eastAsia="Arial" w:hAnsi="Arial"/>
                <w:sz w:val="20"/>
                <w:szCs w:val="20"/>
                <w:color w:val="auto"/>
              </w:rPr>
              <w:t>Senegal</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Gambia, The</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Serbia</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Georgia</w:t>
            </w:r>
          </w:p>
        </w:tc>
        <w:tc>
          <w:tcPr>
            <w:tcW w:w="6340" w:type="dxa"/>
            <w:vAlign w:val="bottom"/>
          </w:tcPr>
          <w:p>
            <w:pPr>
              <w:ind w:left="1400"/>
              <w:spacing w:after="0"/>
              <w:rPr>
                <w:sz w:val="20"/>
                <w:szCs w:val="20"/>
                <w:color w:val="auto"/>
              </w:rPr>
            </w:pPr>
            <w:r>
              <w:rPr>
                <w:rFonts w:ascii="Arial" w:cs="Arial" w:eastAsia="Arial" w:hAnsi="Arial"/>
                <w:sz w:val="20"/>
                <w:szCs w:val="20"/>
                <w:color w:val="auto"/>
              </w:rPr>
              <w:t>Sierra Leone</w:t>
            </w:r>
          </w:p>
        </w:tc>
      </w:tr>
      <w:tr>
        <w:trPr>
          <w:trHeight w:val="23"/>
        </w:trPr>
        <w:tc>
          <w:tcPr>
            <w:tcW w:w="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Germany</w:t>
            </w:r>
          </w:p>
        </w:tc>
        <w:tc>
          <w:tcPr>
            <w:tcW w:w="6340" w:type="dxa"/>
            <w:vAlign w:val="bottom"/>
            <w:tcBorders>
              <w:bottom w:val="single" w:sz="8" w:color="F2F2F2"/>
            </w:tcBorders>
            <w:shd w:val="clear" w:color="auto" w:fill="F2F2F2"/>
          </w:tcPr>
          <w:p>
            <w:pPr>
              <w:ind w:left="1400"/>
              <w:spacing w:after="0"/>
              <w:rPr>
                <w:sz w:val="20"/>
                <w:szCs w:val="20"/>
                <w:color w:val="auto"/>
              </w:rPr>
            </w:pPr>
            <w:r>
              <w:rPr>
                <w:rFonts w:ascii="Arial" w:cs="Arial" w:eastAsia="Arial" w:hAnsi="Arial"/>
                <w:sz w:val="20"/>
                <w:szCs w:val="20"/>
                <w:color w:val="auto"/>
              </w:rPr>
              <w:t>Singapore</w:t>
            </w:r>
          </w:p>
        </w:tc>
      </w:tr>
      <w:tr>
        <w:trPr>
          <w:trHeight w:val="260"/>
        </w:trPr>
        <w:tc>
          <w:tcPr>
            <w:tcW w:w="340" w:type="dxa"/>
            <w:vAlign w:val="bottom"/>
          </w:tcPr>
          <w:p>
            <w:pPr>
              <w:spacing w:after="0"/>
              <w:rPr>
                <w:sz w:val="22"/>
                <w:szCs w:val="22"/>
                <w:color w:val="auto"/>
              </w:rPr>
            </w:pPr>
          </w:p>
        </w:tc>
        <w:tc>
          <w:tcPr>
            <w:tcW w:w="4240" w:type="dxa"/>
            <w:vAlign w:val="bottom"/>
          </w:tcPr>
          <w:p>
            <w:pPr>
              <w:ind w:left="20"/>
              <w:spacing w:after="0"/>
              <w:rPr>
                <w:sz w:val="20"/>
                <w:szCs w:val="20"/>
                <w:color w:val="auto"/>
              </w:rPr>
            </w:pPr>
            <w:r>
              <w:rPr>
                <w:rFonts w:ascii="Arial" w:cs="Arial" w:eastAsia="Arial" w:hAnsi="Arial"/>
                <w:sz w:val="20"/>
                <w:szCs w:val="20"/>
                <w:color w:val="auto"/>
              </w:rPr>
              <w:t>Ghana</w:t>
            </w:r>
          </w:p>
        </w:tc>
        <w:tc>
          <w:tcPr>
            <w:tcW w:w="6340" w:type="dxa"/>
            <w:vAlign w:val="bottom"/>
          </w:tcPr>
          <w:p>
            <w:pPr>
              <w:ind w:left="1400"/>
              <w:spacing w:after="0"/>
              <w:rPr>
                <w:sz w:val="20"/>
                <w:szCs w:val="20"/>
                <w:color w:val="auto"/>
              </w:rPr>
            </w:pPr>
            <w:r>
              <w:rPr>
                <w:rFonts w:ascii="Arial" w:cs="Arial" w:eastAsia="Arial" w:hAnsi="Arial"/>
                <w:sz w:val="20"/>
                <w:szCs w:val="20"/>
                <w:color w:val="auto"/>
              </w:rPr>
              <w:t>Slovakia</w:t>
            </w:r>
          </w:p>
        </w:tc>
      </w:tr>
    </w:tbl>
    <w:p>
      <w:pPr>
        <w:sectPr>
          <w:pgSz w:w="11900" w:h="16838" w:orient="portrait"/>
          <w:cols w:equalWidth="0" w:num="1">
            <w:col w:w="10920"/>
          </w:cols>
          <w:pgMar w:left="320" w:top="1413" w:right="659" w:bottom="1440" w:gutter="0" w:footer="0" w:header="0"/>
        </w:sectPr>
      </w:pPr>
    </w:p>
    <w:bookmarkStart w:id="19" w:name="page20"/>
    <w:bookmarkEnd w:id="19"/>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80" w:type="dxa"/>
            <w:vAlign w:val="bottom"/>
            <w:shd w:val="clear" w:color="auto" w:fill="F2F2F2"/>
          </w:tcPr>
          <w:p>
            <w:pPr>
              <w:ind w:left="20"/>
              <w:spacing w:after="0"/>
              <w:rPr>
                <w:sz w:val="20"/>
                <w:szCs w:val="20"/>
                <w:color w:val="auto"/>
              </w:rPr>
            </w:pPr>
            <w:r>
              <w:rPr>
                <w:rFonts w:ascii="Arial" w:cs="Arial" w:eastAsia="Arial" w:hAnsi="Arial"/>
                <w:sz w:val="20"/>
                <w:szCs w:val="20"/>
                <w:color w:val="auto"/>
              </w:rPr>
              <w:t>Greece</w:t>
            </w:r>
          </w:p>
        </w:tc>
        <w:tc>
          <w:tcPr>
            <w:tcW w:w="7000" w:type="dxa"/>
            <w:vAlign w:val="bottom"/>
            <w:shd w:val="clear" w:color="auto" w:fill="F2F2F2"/>
          </w:tcPr>
          <w:p>
            <w:pPr>
              <w:ind w:left="2060"/>
              <w:spacing w:after="0"/>
              <w:rPr>
                <w:sz w:val="20"/>
                <w:szCs w:val="20"/>
                <w:color w:val="auto"/>
              </w:rPr>
            </w:pPr>
            <w:r>
              <w:rPr>
                <w:rFonts w:ascii="Arial" w:cs="Arial" w:eastAsia="Arial" w:hAnsi="Arial"/>
                <w:sz w:val="20"/>
                <w:szCs w:val="20"/>
                <w:color w:val="auto"/>
              </w:rPr>
              <w:t>Slovenia</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Guatemala</w:t>
            </w:r>
          </w:p>
        </w:tc>
        <w:tc>
          <w:tcPr>
            <w:tcW w:w="7000" w:type="dxa"/>
            <w:vAlign w:val="bottom"/>
          </w:tcPr>
          <w:p>
            <w:pPr>
              <w:ind w:left="2060"/>
              <w:spacing w:after="0"/>
              <w:rPr>
                <w:sz w:val="20"/>
                <w:szCs w:val="20"/>
                <w:color w:val="auto"/>
              </w:rPr>
            </w:pPr>
            <w:r>
              <w:rPr>
                <w:rFonts w:ascii="Arial" w:cs="Arial" w:eastAsia="Arial" w:hAnsi="Arial"/>
                <w:sz w:val="20"/>
                <w:szCs w:val="20"/>
                <w:color w:val="auto"/>
              </w:rPr>
              <w:t>Solomon Islands</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Guinea</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Somaliland</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Guyana</w:t>
            </w:r>
          </w:p>
        </w:tc>
        <w:tc>
          <w:tcPr>
            <w:tcW w:w="7000" w:type="dxa"/>
            <w:vAlign w:val="bottom"/>
          </w:tcPr>
          <w:p>
            <w:pPr>
              <w:ind w:left="2060"/>
              <w:spacing w:after="0"/>
              <w:rPr>
                <w:sz w:val="20"/>
                <w:szCs w:val="20"/>
                <w:color w:val="auto"/>
              </w:rPr>
            </w:pPr>
            <w:r>
              <w:rPr>
                <w:rFonts w:ascii="Arial" w:cs="Arial" w:eastAsia="Arial" w:hAnsi="Arial"/>
                <w:sz w:val="20"/>
                <w:szCs w:val="20"/>
                <w:color w:val="auto"/>
              </w:rPr>
              <w:t>South Africa</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Honduras</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Spain</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Hong Kong</w:t>
            </w:r>
          </w:p>
        </w:tc>
        <w:tc>
          <w:tcPr>
            <w:tcW w:w="7000" w:type="dxa"/>
            <w:vAlign w:val="bottom"/>
          </w:tcPr>
          <w:p>
            <w:pPr>
              <w:ind w:left="2060"/>
              <w:spacing w:after="0"/>
              <w:rPr>
                <w:sz w:val="20"/>
                <w:szCs w:val="20"/>
                <w:color w:val="auto"/>
              </w:rPr>
            </w:pPr>
            <w:r>
              <w:rPr>
                <w:rFonts w:ascii="Arial" w:cs="Arial" w:eastAsia="Arial" w:hAnsi="Arial"/>
                <w:sz w:val="20"/>
                <w:szCs w:val="20"/>
                <w:color w:val="auto"/>
              </w:rPr>
              <w:t>Sudan</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Hungary</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Suriname</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Iceland</w:t>
            </w:r>
          </w:p>
        </w:tc>
        <w:tc>
          <w:tcPr>
            <w:tcW w:w="7000" w:type="dxa"/>
            <w:vAlign w:val="bottom"/>
          </w:tcPr>
          <w:p>
            <w:pPr>
              <w:ind w:left="2060"/>
              <w:spacing w:after="0"/>
              <w:rPr>
                <w:sz w:val="20"/>
                <w:szCs w:val="20"/>
                <w:color w:val="auto"/>
              </w:rPr>
            </w:pPr>
            <w:r>
              <w:rPr>
                <w:rFonts w:ascii="Arial" w:cs="Arial" w:eastAsia="Arial" w:hAnsi="Arial"/>
                <w:sz w:val="20"/>
                <w:szCs w:val="20"/>
                <w:color w:val="auto"/>
              </w:rPr>
              <w:t>Swaziland</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India</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Sweden</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Indonesia</w:t>
            </w:r>
          </w:p>
        </w:tc>
        <w:tc>
          <w:tcPr>
            <w:tcW w:w="7000" w:type="dxa"/>
            <w:vAlign w:val="bottom"/>
          </w:tcPr>
          <w:p>
            <w:pPr>
              <w:ind w:left="2060"/>
              <w:spacing w:after="0"/>
              <w:rPr>
                <w:sz w:val="20"/>
                <w:szCs w:val="20"/>
                <w:color w:val="auto"/>
              </w:rPr>
            </w:pPr>
            <w:r>
              <w:rPr>
                <w:rFonts w:ascii="Arial" w:cs="Arial" w:eastAsia="Arial" w:hAnsi="Arial"/>
                <w:sz w:val="20"/>
                <w:szCs w:val="20"/>
                <w:color w:val="auto"/>
              </w:rPr>
              <w:t>Switzerland</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Iran</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Taiwan</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Ireland</w:t>
            </w:r>
          </w:p>
        </w:tc>
        <w:tc>
          <w:tcPr>
            <w:tcW w:w="7000" w:type="dxa"/>
            <w:vAlign w:val="bottom"/>
          </w:tcPr>
          <w:p>
            <w:pPr>
              <w:ind w:left="2060"/>
              <w:spacing w:after="0"/>
              <w:rPr>
                <w:sz w:val="20"/>
                <w:szCs w:val="20"/>
                <w:color w:val="auto"/>
              </w:rPr>
            </w:pPr>
            <w:r>
              <w:rPr>
                <w:rFonts w:ascii="Arial" w:cs="Arial" w:eastAsia="Arial" w:hAnsi="Arial"/>
                <w:sz w:val="20"/>
                <w:szCs w:val="20"/>
                <w:color w:val="auto"/>
              </w:rPr>
              <w:t>Tajikistan</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Israel</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Tanzania</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Italy</w:t>
            </w:r>
          </w:p>
        </w:tc>
        <w:tc>
          <w:tcPr>
            <w:tcW w:w="7000" w:type="dxa"/>
            <w:vAlign w:val="bottom"/>
          </w:tcPr>
          <w:p>
            <w:pPr>
              <w:ind w:left="2060"/>
              <w:spacing w:after="0"/>
              <w:rPr>
                <w:sz w:val="20"/>
                <w:szCs w:val="20"/>
                <w:color w:val="auto"/>
              </w:rPr>
            </w:pPr>
            <w:r>
              <w:rPr>
                <w:rFonts w:ascii="Arial" w:cs="Arial" w:eastAsia="Arial" w:hAnsi="Arial"/>
                <w:sz w:val="20"/>
                <w:szCs w:val="20"/>
                <w:color w:val="auto"/>
              </w:rPr>
              <w:t>Thailand</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Ivory Coast</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Togo</w:t>
            </w:r>
          </w:p>
        </w:tc>
      </w:tr>
      <w:tr>
        <w:trPr>
          <w:trHeight w:val="261"/>
        </w:trPr>
        <w:tc>
          <w:tcPr>
            <w:tcW w:w="3580" w:type="dxa"/>
            <w:vAlign w:val="bottom"/>
          </w:tcPr>
          <w:p>
            <w:pPr>
              <w:ind w:left="20"/>
              <w:spacing w:after="0"/>
              <w:rPr>
                <w:sz w:val="20"/>
                <w:szCs w:val="20"/>
                <w:color w:val="auto"/>
              </w:rPr>
            </w:pPr>
            <w:r>
              <w:rPr>
                <w:rFonts w:ascii="Arial" w:cs="Arial" w:eastAsia="Arial" w:hAnsi="Arial"/>
                <w:sz w:val="20"/>
                <w:szCs w:val="20"/>
                <w:color w:val="auto"/>
              </w:rPr>
              <w:t>Japan</w:t>
            </w:r>
          </w:p>
        </w:tc>
        <w:tc>
          <w:tcPr>
            <w:tcW w:w="7000" w:type="dxa"/>
            <w:vAlign w:val="bottom"/>
          </w:tcPr>
          <w:p>
            <w:pPr>
              <w:ind w:left="2060"/>
              <w:spacing w:after="0"/>
              <w:rPr>
                <w:sz w:val="20"/>
                <w:szCs w:val="20"/>
                <w:color w:val="auto"/>
              </w:rPr>
            </w:pPr>
            <w:r>
              <w:rPr>
                <w:rFonts w:ascii="Arial" w:cs="Arial" w:eastAsia="Arial" w:hAnsi="Arial"/>
                <w:sz w:val="20"/>
                <w:szCs w:val="20"/>
                <w:color w:val="auto"/>
              </w:rPr>
              <w:t>Trinidad and Tobago</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Jordan</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Tunisia</w:t>
            </w:r>
          </w:p>
        </w:tc>
      </w:tr>
      <w:tr>
        <w:trPr>
          <w:trHeight w:val="260"/>
        </w:trPr>
        <w:tc>
          <w:tcPr>
            <w:tcW w:w="3580" w:type="dxa"/>
            <w:vAlign w:val="bottom"/>
          </w:tcPr>
          <w:p>
            <w:pPr>
              <w:ind w:left="20"/>
              <w:spacing w:after="0"/>
              <w:rPr>
                <w:sz w:val="20"/>
                <w:szCs w:val="20"/>
                <w:color w:val="auto"/>
              </w:rPr>
            </w:pPr>
            <w:r>
              <w:rPr>
                <w:rFonts w:ascii="Arial" w:cs="Arial" w:eastAsia="Arial" w:hAnsi="Arial"/>
                <w:sz w:val="20"/>
                <w:szCs w:val="20"/>
                <w:color w:val="auto"/>
              </w:rPr>
              <w:t>Kazakhstan</w:t>
            </w:r>
          </w:p>
        </w:tc>
        <w:tc>
          <w:tcPr>
            <w:tcW w:w="7000" w:type="dxa"/>
            <w:vAlign w:val="bottom"/>
          </w:tcPr>
          <w:p>
            <w:pPr>
              <w:ind w:left="2060"/>
              <w:spacing w:after="0"/>
              <w:rPr>
                <w:sz w:val="20"/>
                <w:szCs w:val="20"/>
                <w:color w:val="auto"/>
              </w:rPr>
            </w:pPr>
            <w:r>
              <w:rPr>
                <w:rFonts w:ascii="Arial" w:cs="Arial" w:eastAsia="Arial" w:hAnsi="Arial"/>
                <w:sz w:val="20"/>
                <w:szCs w:val="20"/>
                <w:color w:val="auto"/>
              </w:rPr>
              <w:t>Turkey</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4"/>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Kenya</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Uganda</w:t>
            </w:r>
          </w:p>
        </w:tc>
      </w:tr>
      <w:tr>
        <w:trPr>
          <w:trHeight w:val="260"/>
        </w:trPr>
        <w:tc>
          <w:tcPr>
            <w:tcW w:w="3580" w:type="dxa"/>
            <w:vAlign w:val="bottom"/>
          </w:tcPr>
          <w:p>
            <w:pPr>
              <w:ind w:left="20"/>
              <w:spacing w:after="0"/>
              <w:rPr>
                <w:sz w:val="20"/>
                <w:szCs w:val="20"/>
                <w:color w:val="auto"/>
              </w:rPr>
            </w:pPr>
            <w:r>
              <w:rPr>
                <w:rFonts w:ascii="Arial" w:cs="Arial" w:eastAsia="Arial" w:hAnsi="Arial"/>
                <w:sz w:val="20"/>
                <w:szCs w:val="20"/>
                <w:color w:val="auto"/>
              </w:rPr>
              <w:t>Korea, Republic of</w:t>
            </w:r>
          </w:p>
        </w:tc>
        <w:tc>
          <w:tcPr>
            <w:tcW w:w="7000" w:type="dxa"/>
            <w:vAlign w:val="bottom"/>
          </w:tcPr>
          <w:p>
            <w:pPr>
              <w:ind w:left="2060"/>
              <w:spacing w:after="0"/>
              <w:rPr>
                <w:sz w:val="20"/>
                <w:szCs w:val="20"/>
                <w:color w:val="auto"/>
              </w:rPr>
            </w:pPr>
            <w:r>
              <w:rPr>
                <w:rFonts w:ascii="Arial" w:cs="Arial" w:eastAsia="Arial" w:hAnsi="Arial"/>
                <w:sz w:val="20"/>
                <w:szCs w:val="20"/>
                <w:color w:val="auto"/>
              </w:rPr>
              <w:t>Ukraine</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Kuwait</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United Arab Emirates</w:t>
            </w:r>
          </w:p>
        </w:tc>
      </w:tr>
      <w:tr>
        <w:trPr>
          <w:trHeight w:val="260"/>
        </w:trPr>
        <w:tc>
          <w:tcPr>
            <w:tcW w:w="3580" w:type="dxa"/>
            <w:vAlign w:val="bottom"/>
          </w:tcPr>
          <w:p>
            <w:pPr>
              <w:ind w:left="20"/>
              <w:spacing w:after="0"/>
              <w:rPr>
                <w:sz w:val="20"/>
                <w:szCs w:val="20"/>
                <w:color w:val="auto"/>
              </w:rPr>
            </w:pPr>
            <w:r>
              <w:rPr>
                <w:rFonts w:ascii="Arial" w:cs="Arial" w:eastAsia="Arial" w:hAnsi="Arial"/>
                <w:sz w:val="20"/>
                <w:szCs w:val="20"/>
                <w:color w:val="auto"/>
              </w:rPr>
              <w:t>Kyrgyzstan</w:t>
            </w:r>
          </w:p>
        </w:tc>
        <w:tc>
          <w:tcPr>
            <w:tcW w:w="7000" w:type="dxa"/>
            <w:vAlign w:val="bottom"/>
          </w:tcPr>
          <w:p>
            <w:pPr>
              <w:ind w:left="2060"/>
              <w:spacing w:after="0"/>
              <w:rPr>
                <w:sz w:val="20"/>
                <w:szCs w:val="20"/>
                <w:color w:val="auto"/>
              </w:rPr>
            </w:pPr>
            <w:r>
              <w:rPr>
                <w:rFonts w:ascii="Arial" w:cs="Arial" w:eastAsia="Arial" w:hAnsi="Arial"/>
                <w:sz w:val="20"/>
                <w:szCs w:val="20"/>
                <w:color w:val="auto"/>
              </w:rPr>
              <w:t>United Kingdom of Great Britain and Northern Ireland</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Laos</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United States of America</w:t>
            </w:r>
          </w:p>
        </w:tc>
      </w:tr>
      <w:tr>
        <w:trPr>
          <w:trHeight w:val="260"/>
        </w:trPr>
        <w:tc>
          <w:tcPr>
            <w:tcW w:w="3580" w:type="dxa"/>
            <w:vAlign w:val="bottom"/>
          </w:tcPr>
          <w:p>
            <w:pPr>
              <w:ind w:left="20"/>
              <w:spacing w:after="0"/>
              <w:rPr>
                <w:sz w:val="20"/>
                <w:szCs w:val="20"/>
                <w:color w:val="auto"/>
              </w:rPr>
            </w:pPr>
            <w:r>
              <w:rPr>
                <w:rFonts w:ascii="Arial" w:cs="Arial" w:eastAsia="Arial" w:hAnsi="Arial"/>
                <w:sz w:val="20"/>
                <w:szCs w:val="20"/>
                <w:color w:val="auto"/>
              </w:rPr>
              <w:t>Latvia</w:t>
            </w:r>
          </w:p>
        </w:tc>
        <w:tc>
          <w:tcPr>
            <w:tcW w:w="7000" w:type="dxa"/>
            <w:vAlign w:val="bottom"/>
          </w:tcPr>
          <w:p>
            <w:pPr>
              <w:ind w:left="2060"/>
              <w:spacing w:after="0"/>
              <w:rPr>
                <w:sz w:val="20"/>
                <w:szCs w:val="20"/>
                <w:color w:val="auto"/>
              </w:rPr>
            </w:pPr>
            <w:r>
              <w:rPr>
                <w:rFonts w:ascii="Arial" w:cs="Arial" w:eastAsia="Arial" w:hAnsi="Arial"/>
                <w:sz w:val="20"/>
                <w:szCs w:val="20"/>
                <w:color w:val="auto"/>
              </w:rPr>
              <w:t>Uruguay</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4"/>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Lebanon</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Uzbekistan</w:t>
            </w:r>
          </w:p>
        </w:tc>
      </w:tr>
      <w:tr>
        <w:trPr>
          <w:trHeight w:val="260"/>
        </w:trPr>
        <w:tc>
          <w:tcPr>
            <w:tcW w:w="3580" w:type="dxa"/>
            <w:vAlign w:val="bottom"/>
          </w:tcPr>
          <w:p>
            <w:pPr>
              <w:ind w:left="20"/>
              <w:spacing w:after="0"/>
              <w:rPr>
                <w:sz w:val="20"/>
                <w:szCs w:val="20"/>
                <w:color w:val="auto"/>
              </w:rPr>
            </w:pPr>
            <w:r>
              <w:rPr>
                <w:rFonts w:ascii="Arial" w:cs="Arial" w:eastAsia="Arial" w:hAnsi="Arial"/>
                <w:sz w:val="20"/>
                <w:szCs w:val="20"/>
                <w:color w:val="auto"/>
              </w:rPr>
              <w:t>Liberia</w:t>
            </w:r>
          </w:p>
        </w:tc>
        <w:tc>
          <w:tcPr>
            <w:tcW w:w="7000" w:type="dxa"/>
            <w:vAlign w:val="bottom"/>
          </w:tcPr>
          <w:p>
            <w:pPr>
              <w:ind w:left="2060"/>
              <w:spacing w:after="0"/>
              <w:rPr>
                <w:sz w:val="20"/>
                <w:szCs w:val="20"/>
                <w:color w:val="auto"/>
              </w:rPr>
            </w:pPr>
            <w:r>
              <w:rPr>
                <w:rFonts w:ascii="Arial" w:cs="Arial" w:eastAsia="Arial" w:hAnsi="Arial"/>
                <w:sz w:val="20"/>
                <w:szCs w:val="20"/>
                <w:color w:val="auto"/>
              </w:rPr>
              <w:t>Venezuela</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3"/>
        </w:trPr>
        <w:tc>
          <w:tcPr>
            <w:tcW w:w="35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Liechtenstein</w:t>
            </w:r>
          </w:p>
        </w:tc>
        <w:tc>
          <w:tcPr>
            <w:tcW w:w="7000" w:type="dxa"/>
            <w:vAlign w:val="bottom"/>
            <w:tcBorders>
              <w:bottom w:val="single" w:sz="8" w:color="F2F2F2"/>
            </w:tcBorders>
            <w:shd w:val="clear" w:color="auto" w:fill="F2F2F2"/>
          </w:tcPr>
          <w:p>
            <w:pPr>
              <w:ind w:left="2060"/>
              <w:spacing w:after="0"/>
              <w:rPr>
                <w:sz w:val="20"/>
                <w:szCs w:val="20"/>
                <w:color w:val="auto"/>
              </w:rPr>
            </w:pPr>
            <w:r>
              <w:rPr>
                <w:rFonts w:ascii="Arial" w:cs="Arial" w:eastAsia="Arial" w:hAnsi="Arial"/>
                <w:sz w:val="20"/>
                <w:szCs w:val="20"/>
                <w:color w:val="auto"/>
              </w:rPr>
              <w:t>Vietnam</w:t>
            </w:r>
          </w:p>
        </w:tc>
      </w:tr>
      <w:tr>
        <w:trPr>
          <w:trHeight w:val="260"/>
        </w:trPr>
        <w:tc>
          <w:tcPr>
            <w:tcW w:w="3580" w:type="dxa"/>
            <w:vAlign w:val="bottom"/>
          </w:tcPr>
          <w:p>
            <w:pPr>
              <w:ind w:left="20"/>
              <w:spacing w:after="0"/>
              <w:rPr>
                <w:sz w:val="20"/>
                <w:szCs w:val="20"/>
                <w:color w:val="auto"/>
              </w:rPr>
            </w:pPr>
            <w:r>
              <w:rPr>
                <w:rFonts w:ascii="Arial" w:cs="Arial" w:eastAsia="Arial" w:hAnsi="Arial"/>
                <w:sz w:val="20"/>
                <w:szCs w:val="20"/>
                <w:color w:val="auto"/>
              </w:rPr>
              <w:t>Lithuania</w:t>
            </w:r>
          </w:p>
        </w:tc>
        <w:tc>
          <w:tcPr>
            <w:tcW w:w="7000" w:type="dxa"/>
            <w:vAlign w:val="bottom"/>
          </w:tcPr>
          <w:p>
            <w:pPr>
              <w:ind w:left="2060"/>
              <w:spacing w:after="0"/>
              <w:rPr>
                <w:sz w:val="20"/>
                <w:szCs w:val="20"/>
                <w:color w:val="auto"/>
              </w:rPr>
            </w:pPr>
            <w:r>
              <w:rPr>
                <w:rFonts w:ascii="Arial" w:cs="Arial" w:eastAsia="Arial" w:hAnsi="Arial"/>
                <w:sz w:val="20"/>
                <w:szCs w:val="20"/>
                <w:color w:val="auto"/>
              </w:rPr>
              <w:t>Zambia</w:t>
            </w:r>
          </w:p>
        </w:tc>
      </w:tr>
      <w:tr>
        <w:trPr>
          <w:trHeight w:val="23"/>
        </w:trPr>
        <w:tc>
          <w:tcPr>
            <w:tcW w:w="358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260"/>
        </w:trPr>
        <w:tc>
          <w:tcPr>
            <w:tcW w:w="3580" w:type="dxa"/>
            <w:vAlign w:val="bottom"/>
            <w:shd w:val="clear" w:color="auto" w:fill="F2F2F2"/>
          </w:tcPr>
          <w:p>
            <w:pPr>
              <w:ind w:left="20"/>
              <w:spacing w:after="0"/>
              <w:rPr>
                <w:sz w:val="20"/>
                <w:szCs w:val="20"/>
                <w:color w:val="auto"/>
              </w:rPr>
            </w:pPr>
            <w:r>
              <w:rPr>
                <w:rFonts w:ascii="Arial" w:cs="Arial" w:eastAsia="Arial" w:hAnsi="Arial"/>
                <w:sz w:val="20"/>
                <w:szCs w:val="20"/>
                <w:color w:val="auto"/>
              </w:rPr>
              <w:t>Luxembourg</w:t>
            </w:r>
          </w:p>
        </w:tc>
        <w:tc>
          <w:tcPr>
            <w:tcW w:w="7000" w:type="dxa"/>
            <w:vAlign w:val="bottom"/>
            <w:shd w:val="clear" w:color="auto" w:fill="F2F2F2"/>
          </w:tcPr>
          <w:p>
            <w:pPr>
              <w:ind w:left="2060"/>
              <w:spacing w:after="0"/>
              <w:rPr>
                <w:sz w:val="20"/>
                <w:szCs w:val="20"/>
                <w:color w:val="auto"/>
              </w:rPr>
            </w:pPr>
            <w:r>
              <w:rPr>
                <w:rFonts w:ascii="Arial" w:cs="Arial" w:eastAsia="Arial" w:hAnsi="Arial"/>
                <w:sz w:val="20"/>
                <w:szCs w:val="20"/>
                <w:color w:val="auto"/>
              </w:rPr>
              <w:t>Zimbabwe</w:t>
            </w:r>
          </w:p>
        </w:tc>
      </w:tr>
      <w:tr>
        <w:trPr>
          <w:trHeight w:val="23"/>
        </w:trPr>
        <w:tc>
          <w:tcPr>
            <w:tcW w:w="3580" w:type="dxa"/>
            <w:vAlign w:val="bottom"/>
            <w:shd w:val="clear" w:color="auto" w:fill="F2F2F2"/>
          </w:tcPr>
          <w:p>
            <w:pPr>
              <w:spacing w:after="0"/>
              <w:rPr>
                <w:sz w:val="2"/>
                <w:szCs w:val="2"/>
                <w:color w:val="auto"/>
              </w:rPr>
            </w:pPr>
          </w:p>
        </w:tc>
        <w:tc>
          <w:tcPr>
            <w:tcW w:w="7000" w:type="dxa"/>
            <w:vAlign w:val="bottom"/>
            <w:shd w:val="clear" w:color="auto" w:fill="F2F2F2"/>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580"/>
      </w:cols>
      <w:pgMar w:left="66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2020-05-29T07:02:24Z</dcterms:created>
  <dcterms:modified xsi:type="dcterms:W3CDTF">2020-05-29T07:02:24Z</dcterms:modified>
</cp:coreProperties>
</file>